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5677" w:rsidR="007446B6" w:rsidP="007446B6" w:rsidRDefault="007446B6" w14:paraId="59E6D737" w14:textId="77777777">
      <w:pPr>
        <w:jc w:val="center"/>
        <w:rPr>
          <w:rFonts w:ascii="Times New Roman" w:hAnsi="Times New Roman" w:cs="Times New Roman"/>
          <w:b/>
          <w:bCs/>
          <w:sz w:val="24"/>
          <w:szCs w:val="24"/>
        </w:rPr>
      </w:pPr>
      <w:r w:rsidRPr="00B95677">
        <w:rPr>
          <w:rFonts w:ascii="Times New Roman" w:hAnsi="Times New Roman" w:cs="Times New Roman"/>
          <w:b/>
          <w:bCs/>
          <w:sz w:val="24"/>
          <w:szCs w:val="24"/>
        </w:rPr>
        <w:t>PUBLIC UTILITIES COMMISSION OF THE STATE OF CALIFORNIA</w:t>
      </w:r>
    </w:p>
    <w:p w:rsidR="00E013FB" w:rsidP="00DD3B2B" w:rsidRDefault="00E013FB" w14:paraId="07DB31ED" w14:textId="77777777">
      <w:pPr>
        <w:rPr>
          <w:rFonts w:ascii="Times New Roman" w:hAnsi="Times New Roman" w:cs="Times New Roman"/>
          <w:sz w:val="24"/>
          <w:szCs w:val="24"/>
        </w:rPr>
      </w:pPr>
    </w:p>
    <w:p w:rsidR="00DD3B2B" w:rsidP="00DD3B2B" w:rsidRDefault="00467675" w14:paraId="7F16F582" w14:textId="77777777">
      <w:pPr>
        <w:rPr>
          <w:rFonts w:ascii="Times New Roman" w:hAnsi="Times New Roman" w:cs="Times New Roman"/>
          <w:sz w:val="24"/>
          <w:szCs w:val="24"/>
        </w:rPr>
      </w:pPr>
      <w:r>
        <w:rPr>
          <w:rFonts w:ascii="Times New Roman" w:hAnsi="Times New Roman" w:cs="Times New Roman"/>
          <w:sz w:val="24"/>
          <w:szCs w:val="24"/>
        </w:rPr>
        <w:t>EXECUTIVE DIVISION</w:t>
      </w:r>
      <w:r w:rsidR="00DD3B2B">
        <w:rPr>
          <w:rFonts w:ascii="Times New Roman" w:hAnsi="Times New Roman" w:cs="Times New Roman"/>
          <w:sz w:val="24"/>
          <w:szCs w:val="24"/>
        </w:rPr>
        <w:tab/>
      </w:r>
      <w:r w:rsidR="00DD3B2B">
        <w:rPr>
          <w:rFonts w:ascii="Times New Roman" w:hAnsi="Times New Roman" w:cs="Times New Roman"/>
          <w:sz w:val="24"/>
          <w:szCs w:val="24"/>
        </w:rPr>
        <w:tab/>
      </w:r>
      <w:r w:rsidR="00DD3B2B">
        <w:rPr>
          <w:rFonts w:ascii="Times New Roman" w:hAnsi="Times New Roman" w:cs="Times New Roman"/>
          <w:sz w:val="24"/>
          <w:szCs w:val="24"/>
        </w:rPr>
        <w:tab/>
      </w:r>
      <w:r w:rsidR="00DD3B2B">
        <w:rPr>
          <w:rFonts w:ascii="Times New Roman" w:hAnsi="Times New Roman" w:cs="Times New Roman"/>
          <w:sz w:val="24"/>
          <w:szCs w:val="24"/>
        </w:rPr>
        <w:tab/>
      </w:r>
      <w:r w:rsidR="00DD3B2B">
        <w:rPr>
          <w:rFonts w:ascii="Times New Roman" w:hAnsi="Times New Roman" w:cs="Times New Roman"/>
          <w:sz w:val="24"/>
          <w:szCs w:val="24"/>
        </w:rPr>
        <w:tab/>
      </w:r>
      <w:r w:rsidR="00DD3B2B">
        <w:rPr>
          <w:rFonts w:ascii="Times New Roman" w:hAnsi="Times New Roman" w:cs="Times New Roman"/>
          <w:sz w:val="24"/>
          <w:szCs w:val="24"/>
        </w:rPr>
        <w:tab/>
      </w:r>
      <w:r w:rsidR="00DD3B2B">
        <w:rPr>
          <w:rFonts w:ascii="Times New Roman" w:hAnsi="Times New Roman" w:cs="Times New Roman"/>
          <w:sz w:val="24"/>
          <w:szCs w:val="24"/>
        </w:rPr>
        <w:tab/>
        <w:t>December 2, 2021</w:t>
      </w:r>
    </w:p>
    <w:p w:rsidRPr="00B95677" w:rsidR="00DD3B2B" w:rsidP="00DD3B2B" w:rsidRDefault="00DD3B2B" w14:paraId="2ED58712" w14:textId="77777777">
      <w:pPr>
        <w:ind w:left="6480" w:firstLine="720"/>
        <w:rPr>
          <w:rFonts w:ascii="Times New Roman" w:hAnsi="Times New Roman" w:cs="Times New Roman"/>
          <w:sz w:val="24"/>
          <w:szCs w:val="24"/>
        </w:rPr>
      </w:pPr>
      <w:r>
        <w:rPr>
          <w:rFonts w:ascii="Times New Roman" w:hAnsi="Times New Roman" w:cs="Times New Roman"/>
          <w:sz w:val="24"/>
          <w:szCs w:val="24"/>
        </w:rPr>
        <w:t>Resolution M</w:t>
      </w:r>
      <w:r w:rsidR="00AF7CC0">
        <w:rPr>
          <w:rFonts w:ascii="Times New Roman" w:hAnsi="Times New Roman" w:cs="Times New Roman"/>
          <w:sz w:val="24"/>
          <w:szCs w:val="24"/>
        </w:rPr>
        <w:t>-4860</w:t>
      </w:r>
    </w:p>
    <w:p w:rsidRPr="00B95677" w:rsidR="007446B6" w:rsidP="007446B6" w:rsidRDefault="007446B6" w14:paraId="50AB8758" w14:textId="77777777">
      <w:pPr>
        <w:tabs>
          <w:tab w:val="right" w:pos="9360"/>
        </w:tabs>
        <w:rPr>
          <w:rFonts w:ascii="Times New Roman" w:hAnsi="Times New Roman" w:cs="Times New Roman"/>
          <w:sz w:val="24"/>
          <w:szCs w:val="24"/>
        </w:rPr>
      </w:pPr>
    </w:p>
    <w:p w:rsidRPr="00B95677" w:rsidR="007446B6" w:rsidP="0011395B" w:rsidRDefault="007446B6" w14:paraId="5F741196" w14:textId="77777777">
      <w:pPr>
        <w:pStyle w:val="Mainex"/>
        <w:rPr>
          <w:rFonts w:ascii="Times New Roman" w:hAnsi="Times New Roman" w:cs="Times New Roman"/>
          <w:sz w:val="24"/>
          <w:szCs w:val="24"/>
          <w:u w:val="single"/>
        </w:rPr>
      </w:pPr>
      <w:r w:rsidRPr="00B95677">
        <w:rPr>
          <w:rFonts w:ascii="Times New Roman" w:hAnsi="Times New Roman" w:cs="Times New Roman"/>
          <w:sz w:val="24"/>
          <w:szCs w:val="24"/>
          <w:u w:val="single"/>
        </w:rPr>
        <w:t>Resolution</w:t>
      </w:r>
    </w:p>
    <w:p w:rsidRPr="003B6DFA" w:rsidR="00FD7120" w:rsidP="00FD7120" w:rsidRDefault="003B6DFA" w14:paraId="02D38070" w14:textId="77777777">
      <w:pPr>
        <w:pStyle w:val="Heading1"/>
        <w:pBdr>
          <w:bottom w:val="single" w:color="auto" w:sz="12" w:space="1"/>
        </w:pBdr>
        <w:spacing w:after="120"/>
        <w:ind w:left="1080" w:right="630"/>
        <w:rPr>
          <w:rFonts w:ascii="Times New Roman" w:hAnsi="Times New Roman" w:eastAsia="Calibri" w:cs="Times New Roman"/>
          <w:bCs/>
          <w:caps w:val="0"/>
          <w:sz w:val="24"/>
          <w:szCs w:val="24"/>
          <w:u w:val="none"/>
        </w:rPr>
      </w:pPr>
      <w:bookmarkStart w:name="_Hlk53408509" w:id="0"/>
      <w:r w:rsidRPr="003B6DFA">
        <w:rPr>
          <w:rFonts w:ascii="Times New Roman" w:hAnsi="Times New Roman" w:eastAsia="Calibri" w:cs="Times New Roman"/>
          <w:bCs/>
          <w:caps w:val="0"/>
          <w:sz w:val="24"/>
          <w:szCs w:val="24"/>
          <w:u w:val="none"/>
        </w:rPr>
        <w:t>RESOLUTION M</w:t>
      </w:r>
      <w:r w:rsidRPr="003B6DFA" w:rsidR="00AF7CC0">
        <w:rPr>
          <w:rFonts w:ascii="Times New Roman" w:hAnsi="Times New Roman" w:eastAsia="Calibri" w:cs="Times New Roman"/>
          <w:bCs/>
          <w:caps w:val="0"/>
          <w:sz w:val="24"/>
          <w:szCs w:val="24"/>
          <w:u w:val="none"/>
        </w:rPr>
        <w:t>-</w:t>
      </w:r>
      <w:r w:rsidR="00AF7CC0">
        <w:rPr>
          <w:rFonts w:ascii="Times New Roman" w:hAnsi="Times New Roman" w:eastAsia="Calibri" w:cs="Times New Roman"/>
          <w:bCs/>
          <w:caps w:val="0"/>
          <w:sz w:val="24"/>
          <w:szCs w:val="24"/>
          <w:u w:val="none"/>
        </w:rPr>
        <w:t>4860</w:t>
      </w:r>
      <w:r w:rsidRPr="003B6DFA" w:rsidR="00AF7CC0">
        <w:rPr>
          <w:rFonts w:ascii="Times New Roman" w:hAnsi="Times New Roman" w:eastAsia="Calibri" w:cs="Times New Roman"/>
          <w:bCs/>
          <w:caps w:val="0"/>
          <w:sz w:val="24"/>
          <w:szCs w:val="24"/>
          <w:u w:val="none"/>
        </w:rPr>
        <w:t xml:space="preserve">.  </w:t>
      </w:r>
      <w:r w:rsidRPr="003B6DFA">
        <w:rPr>
          <w:rFonts w:ascii="Times New Roman" w:hAnsi="Times New Roman" w:eastAsia="Calibri" w:cs="Times New Roman"/>
          <w:bCs/>
          <w:caps w:val="0"/>
          <w:sz w:val="24"/>
          <w:szCs w:val="24"/>
          <w:u w:val="none"/>
        </w:rPr>
        <w:t>RESOLUTION PURSUANT TO THE REQUIREMENTS OF PUBLIC UTILITIES CODE SECTIONS 8389(D)(1), (2), (3) AND (4), RELATED TO CATASTROPHIC WILDFIRES CAUSED BY ELECTRICAL CORPORATIONS SUBJECT TO THE COMMISSION’S REGULATORY AUTHORITY.</w:t>
      </w:r>
    </w:p>
    <w:bookmarkEnd w:id="0"/>
    <w:p w:rsidRPr="00B95677" w:rsidR="00C31AA8" w:rsidP="00FD7120" w:rsidRDefault="00C31AA8" w14:paraId="06F2ED1B" w14:textId="77777777">
      <w:pPr>
        <w:pStyle w:val="Heading1"/>
        <w:spacing w:before="240" w:after="120"/>
        <w:rPr>
          <w:rFonts w:ascii="Times New Roman" w:hAnsi="Times New Roman" w:cs="Times New Roman"/>
          <w:b w:val="0"/>
          <w:sz w:val="24"/>
          <w:szCs w:val="24"/>
          <w:u w:val="none"/>
        </w:rPr>
      </w:pPr>
      <w:r w:rsidRPr="003B6DFA">
        <w:rPr>
          <w:rFonts w:ascii="Times New Roman" w:hAnsi="Times New Roman" w:cs="Times New Roman"/>
          <w:bCs/>
          <w:sz w:val="24"/>
          <w:szCs w:val="24"/>
        </w:rPr>
        <w:t>SUMMARY</w:t>
      </w:r>
      <w:r w:rsidRPr="00B95677" w:rsidR="003431AF">
        <w:rPr>
          <w:rFonts w:ascii="Times New Roman" w:hAnsi="Times New Roman" w:cs="Times New Roman"/>
          <w:b w:val="0"/>
          <w:sz w:val="24"/>
          <w:szCs w:val="24"/>
          <w:u w:val="none"/>
        </w:rPr>
        <w:t>:</w:t>
      </w:r>
    </w:p>
    <w:p w:rsidRPr="00B95677" w:rsidR="001253F9" w:rsidP="00E013FB" w:rsidRDefault="00DD17EB" w14:paraId="307EE2EE" w14:textId="77777777">
      <w:pPr>
        <w:pStyle w:val="Res-Caption"/>
        <w:spacing w:after="240"/>
        <w:ind w:left="0" w:right="0"/>
        <w:rPr>
          <w:rFonts w:ascii="Times New Roman" w:hAnsi="Times New Roman"/>
          <w:sz w:val="24"/>
          <w:szCs w:val="24"/>
        </w:rPr>
      </w:pPr>
      <w:r w:rsidRPr="00B95677">
        <w:rPr>
          <w:rFonts w:ascii="Times New Roman" w:hAnsi="Times New Roman"/>
          <w:sz w:val="24"/>
          <w:szCs w:val="24"/>
        </w:rPr>
        <w:t xml:space="preserve">This Resolution </w:t>
      </w:r>
      <w:r w:rsidRPr="00B95677" w:rsidR="006C04C4">
        <w:rPr>
          <w:rFonts w:ascii="Times New Roman" w:hAnsi="Times New Roman"/>
          <w:sz w:val="24"/>
          <w:szCs w:val="24"/>
        </w:rPr>
        <w:t xml:space="preserve">satisfies </w:t>
      </w:r>
      <w:r w:rsidRPr="00B95677" w:rsidR="004C622B">
        <w:rPr>
          <w:rFonts w:ascii="Times New Roman" w:hAnsi="Times New Roman"/>
          <w:sz w:val="24"/>
          <w:szCs w:val="24"/>
        </w:rPr>
        <w:t xml:space="preserve">the requirements of </w:t>
      </w:r>
      <w:r w:rsidRPr="00B95677" w:rsidR="009B094B">
        <w:rPr>
          <w:rFonts w:ascii="Times New Roman" w:hAnsi="Times New Roman"/>
          <w:sz w:val="24"/>
          <w:szCs w:val="24"/>
        </w:rPr>
        <w:t>Public Utilities Code</w:t>
      </w:r>
      <w:r w:rsidRPr="00B95677" w:rsidR="008B6903">
        <w:rPr>
          <w:rFonts w:ascii="Times New Roman" w:hAnsi="Times New Roman"/>
          <w:sz w:val="24"/>
          <w:szCs w:val="24"/>
        </w:rPr>
        <w:t xml:space="preserve"> </w:t>
      </w:r>
      <w:r w:rsidRPr="00B95677" w:rsidR="00CC3A1F">
        <w:rPr>
          <w:rFonts w:ascii="Times New Roman" w:hAnsi="Times New Roman"/>
          <w:sz w:val="24"/>
          <w:szCs w:val="24"/>
        </w:rPr>
        <w:t xml:space="preserve">(Pub. Util. Code) </w:t>
      </w:r>
      <w:r w:rsidRPr="00B95677" w:rsidR="001557A2">
        <w:rPr>
          <w:rFonts w:ascii="Times New Roman" w:hAnsi="Times New Roman"/>
          <w:sz w:val="24"/>
          <w:szCs w:val="24"/>
        </w:rPr>
        <w:t>Sections</w:t>
      </w:r>
      <w:r w:rsidRPr="00B95677" w:rsidR="007F2779">
        <w:rPr>
          <w:rFonts w:ascii="Times New Roman" w:hAnsi="Times New Roman"/>
          <w:sz w:val="24"/>
          <w:szCs w:val="24"/>
        </w:rPr>
        <w:t xml:space="preserve"> </w:t>
      </w:r>
      <w:r w:rsidRPr="00B95677" w:rsidR="003C694B">
        <w:rPr>
          <w:rFonts w:ascii="Times New Roman" w:hAnsi="Times New Roman"/>
          <w:sz w:val="24"/>
          <w:szCs w:val="24"/>
        </w:rPr>
        <w:t>838</w:t>
      </w:r>
      <w:r w:rsidRPr="00B95677" w:rsidR="009B094B">
        <w:rPr>
          <w:rFonts w:ascii="Times New Roman" w:hAnsi="Times New Roman"/>
          <w:sz w:val="24"/>
          <w:szCs w:val="24"/>
        </w:rPr>
        <w:t>9(d)</w:t>
      </w:r>
      <w:r w:rsidRPr="00B95677" w:rsidR="004C622B">
        <w:rPr>
          <w:rFonts w:ascii="Times New Roman" w:hAnsi="Times New Roman"/>
          <w:sz w:val="24"/>
          <w:szCs w:val="24"/>
        </w:rPr>
        <w:t xml:space="preserve">(1), (2) </w:t>
      </w:r>
      <w:r w:rsidRPr="00B95677" w:rsidR="00A6437C">
        <w:rPr>
          <w:rFonts w:ascii="Times New Roman" w:hAnsi="Times New Roman"/>
          <w:sz w:val="24"/>
          <w:szCs w:val="24"/>
        </w:rPr>
        <w:t xml:space="preserve">(3) </w:t>
      </w:r>
      <w:r w:rsidRPr="00B95677" w:rsidR="004C622B">
        <w:rPr>
          <w:rFonts w:ascii="Times New Roman" w:hAnsi="Times New Roman"/>
          <w:sz w:val="24"/>
          <w:szCs w:val="24"/>
        </w:rPr>
        <w:t>and (4), related to catastrophic wildfire</w:t>
      </w:r>
      <w:r w:rsidRPr="00B95677" w:rsidR="00AB527F">
        <w:rPr>
          <w:rFonts w:ascii="Times New Roman" w:hAnsi="Times New Roman"/>
          <w:sz w:val="24"/>
          <w:szCs w:val="24"/>
        </w:rPr>
        <w:t>s</w:t>
      </w:r>
      <w:r w:rsidRPr="00B95677" w:rsidR="0011395B">
        <w:rPr>
          <w:rFonts w:ascii="Times New Roman" w:hAnsi="Times New Roman"/>
          <w:sz w:val="24"/>
          <w:szCs w:val="24"/>
        </w:rPr>
        <w:t>.</w:t>
      </w:r>
      <w:r w:rsidRPr="00FE2C2D" w:rsidR="0011395B">
        <w:rPr>
          <w:rStyle w:val="FootnoteReference"/>
          <w:rFonts w:ascii="Times New Roman" w:hAnsi="Times New Roman"/>
          <w:b/>
          <w:bCs/>
          <w:sz w:val="24"/>
          <w:szCs w:val="24"/>
          <w:u w:val="single"/>
        </w:rPr>
        <w:footnoteReference w:id="2"/>
      </w:r>
      <w:r w:rsidRPr="00B95677" w:rsidR="0011395B">
        <w:rPr>
          <w:rFonts w:ascii="Times New Roman" w:hAnsi="Times New Roman"/>
          <w:sz w:val="24"/>
          <w:szCs w:val="24"/>
        </w:rPr>
        <w:t xml:space="preserve">  </w:t>
      </w:r>
      <w:r w:rsidRPr="00B95677" w:rsidR="001253F9">
        <w:rPr>
          <w:rFonts w:ascii="Times New Roman" w:hAnsi="Times New Roman"/>
          <w:sz w:val="24"/>
          <w:szCs w:val="24"/>
        </w:rPr>
        <w:t>The statute requires the following:</w:t>
      </w:r>
    </w:p>
    <w:p w:rsidRPr="00B95677" w:rsidR="001253F9" w:rsidP="00E013FB" w:rsidRDefault="001253F9" w14:paraId="0ED47ED3" w14:textId="77777777">
      <w:pPr>
        <w:pStyle w:val="BlockQuote"/>
        <w:ind w:right="1440"/>
        <w:rPr>
          <w:rFonts w:ascii="Times New Roman" w:hAnsi="Times New Roman" w:cs="Times New Roman"/>
          <w:sz w:val="24"/>
          <w:szCs w:val="24"/>
        </w:rPr>
      </w:pPr>
      <w:r w:rsidRPr="00B95677">
        <w:rPr>
          <w:rFonts w:ascii="Times New Roman" w:hAnsi="Times New Roman" w:cs="Times New Roman"/>
          <w:sz w:val="24"/>
          <w:szCs w:val="24"/>
        </w:rPr>
        <w:t xml:space="preserve">(d) By December 1, 2020, and annually thereafter, the </w:t>
      </w:r>
      <w:r w:rsidRPr="00B95677" w:rsidR="007F2779">
        <w:rPr>
          <w:rFonts w:ascii="Times New Roman" w:hAnsi="Times New Roman" w:cs="Times New Roman"/>
          <w:sz w:val="24"/>
          <w:szCs w:val="24"/>
        </w:rPr>
        <w:t>[C]</w:t>
      </w:r>
      <w:proofErr w:type="spellStart"/>
      <w:r w:rsidRPr="00B95677">
        <w:rPr>
          <w:rFonts w:ascii="Times New Roman" w:hAnsi="Times New Roman" w:cs="Times New Roman"/>
          <w:sz w:val="24"/>
          <w:szCs w:val="24"/>
        </w:rPr>
        <w:t>ommission</w:t>
      </w:r>
      <w:proofErr w:type="spellEnd"/>
      <w:r w:rsidRPr="00B95677">
        <w:rPr>
          <w:rFonts w:ascii="Times New Roman" w:hAnsi="Times New Roman" w:cs="Times New Roman"/>
          <w:sz w:val="24"/>
          <w:szCs w:val="24"/>
        </w:rPr>
        <w:t xml:space="preserve">, after consultation with the </w:t>
      </w:r>
      <w:r w:rsidRPr="00B95677" w:rsidR="007F2779">
        <w:rPr>
          <w:rFonts w:ascii="Times New Roman" w:hAnsi="Times New Roman" w:cs="Times New Roman"/>
          <w:sz w:val="24"/>
          <w:szCs w:val="24"/>
        </w:rPr>
        <w:t xml:space="preserve">[Wildfire Safety </w:t>
      </w:r>
      <w:r w:rsidRPr="00B95677" w:rsidR="00E013FB">
        <w:rPr>
          <w:rFonts w:ascii="Times New Roman" w:hAnsi="Times New Roman" w:cs="Times New Roman"/>
          <w:sz w:val="24"/>
          <w:szCs w:val="24"/>
        </w:rPr>
        <w:t>[</w:t>
      </w:r>
      <w:r w:rsidRPr="00B95677" w:rsidR="007F2779">
        <w:rPr>
          <w:rFonts w:ascii="Times New Roman" w:hAnsi="Times New Roman" w:cs="Times New Roman"/>
          <w:sz w:val="24"/>
          <w:szCs w:val="24"/>
        </w:rPr>
        <w:t>D]</w:t>
      </w:r>
      <w:proofErr w:type="spellStart"/>
      <w:r w:rsidRPr="00B95677">
        <w:rPr>
          <w:rFonts w:ascii="Times New Roman" w:hAnsi="Times New Roman" w:cs="Times New Roman"/>
          <w:sz w:val="24"/>
          <w:szCs w:val="24"/>
        </w:rPr>
        <w:t>ivision</w:t>
      </w:r>
      <w:proofErr w:type="spellEnd"/>
      <w:r w:rsidRPr="00B95677" w:rsidR="00A046AA">
        <w:rPr>
          <w:rFonts w:ascii="Times New Roman" w:hAnsi="Times New Roman" w:cs="Times New Roman"/>
          <w:sz w:val="24"/>
          <w:szCs w:val="24"/>
        </w:rPr>
        <w:t>]</w:t>
      </w:r>
      <w:r w:rsidRPr="00661D60" w:rsidR="00661D60">
        <w:rPr>
          <w:rFonts w:ascii="Times New Roman" w:hAnsi="Times New Roman" w:cs="Times New Roman"/>
          <w:sz w:val="24"/>
          <w:szCs w:val="24"/>
          <w:vertAlign w:val="superscript"/>
        </w:rPr>
        <w:t>[</w:t>
      </w:r>
      <w:r w:rsidRPr="00661D60" w:rsidR="00661D60">
        <w:rPr>
          <w:rStyle w:val="FootnoteReference"/>
          <w:rFonts w:ascii="Times New Roman" w:hAnsi="Times New Roman" w:cs="Times New Roman"/>
          <w:sz w:val="24"/>
          <w:szCs w:val="24"/>
        </w:rPr>
        <w:footnoteReference w:id="3"/>
      </w:r>
      <w:r w:rsidRPr="00661D60" w:rsidR="00661D60">
        <w:rPr>
          <w:rFonts w:ascii="Times New Roman" w:hAnsi="Times New Roman" w:cs="Times New Roman"/>
          <w:sz w:val="24"/>
          <w:szCs w:val="24"/>
          <w:vertAlign w:val="superscript"/>
        </w:rPr>
        <w:t>]</w:t>
      </w:r>
      <w:r w:rsidRPr="00B95677">
        <w:rPr>
          <w:rFonts w:ascii="Times New Roman" w:hAnsi="Times New Roman" w:cs="Times New Roman"/>
          <w:sz w:val="24"/>
          <w:szCs w:val="24"/>
        </w:rPr>
        <w:t>, shall adopt and approve all of the following:</w:t>
      </w:r>
    </w:p>
    <w:p w:rsidRPr="00B95677" w:rsidR="001253F9" w:rsidP="00E013FB" w:rsidRDefault="001253F9" w14:paraId="09121BFE" w14:textId="77777777">
      <w:pPr>
        <w:pStyle w:val="Res-Caption"/>
        <w:spacing w:after="120"/>
        <w:ind w:left="1440" w:right="1440" w:hanging="360"/>
        <w:rPr>
          <w:rFonts w:ascii="Times New Roman" w:hAnsi="Times New Roman"/>
          <w:sz w:val="24"/>
          <w:szCs w:val="24"/>
        </w:rPr>
      </w:pPr>
      <w:r w:rsidRPr="00B95677">
        <w:rPr>
          <w:rFonts w:ascii="Times New Roman" w:hAnsi="Times New Roman"/>
          <w:sz w:val="24"/>
          <w:szCs w:val="24"/>
        </w:rPr>
        <w:t>(1) Performance metrics for electrical corporations.</w:t>
      </w:r>
    </w:p>
    <w:p w:rsidRPr="00B95677" w:rsidR="001253F9" w:rsidP="00E013FB" w:rsidRDefault="001253F9" w14:paraId="16C88501" w14:textId="77777777">
      <w:pPr>
        <w:pStyle w:val="Res-Caption"/>
        <w:spacing w:after="120"/>
        <w:ind w:left="1440" w:right="1440" w:hanging="360"/>
        <w:rPr>
          <w:rFonts w:ascii="Times New Roman" w:hAnsi="Times New Roman"/>
          <w:sz w:val="24"/>
          <w:szCs w:val="24"/>
        </w:rPr>
      </w:pPr>
      <w:r w:rsidRPr="00B95677">
        <w:rPr>
          <w:rFonts w:ascii="Times New Roman" w:hAnsi="Times New Roman"/>
          <w:sz w:val="24"/>
          <w:szCs w:val="24"/>
        </w:rPr>
        <w:t>(2) Additional requirements for wildfire mitigation plans</w:t>
      </w:r>
      <w:r w:rsidRPr="00B95677" w:rsidR="00E013FB">
        <w:rPr>
          <w:rFonts w:ascii="Times New Roman" w:hAnsi="Times New Roman"/>
          <w:sz w:val="24"/>
          <w:szCs w:val="24"/>
        </w:rPr>
        <w:t>.</w:t>
      </w:r>
    </w:p>
    <w:p w:rsidRPr="00B95677" w:rsidR="00DE6054" w:rsidP="00DE6054" w:rsidRDefault="00DE6054" w14:paraId="25A32928" w14:textId="77777777">
      <w:pPr>
        <w:pStyle w:val="BlockQuote"/>
        <w:ind w:firstLine="360"/>
        <w:rPr>
          <w:rFonts w:ascii="Times New Roman" w:hAnsi="Times New Roman" w:cs="Times New Roman"/>
          <w:sz w:val="24"/>
          <w:szCs w:val="24"/>
        </w:rPr>
      </w:pPr>
      <w:r w:rsidRPr="00B95677">
        <w:rPr>
          <w:rFonts w:ascii="Times New Roman" w:hAnsi="Times New Roman" w:cs="Times New Roman"/>
          <w:sz w:val="24"/>
          <w:szCs w:val="24"/>
        </w:rPr>
        <w:t>(3) A wildfire mitigation plan compliance process.</w:t>
      </w:r>
    </w:p>
    <w:p w:rsidRPr="00B95677" w:rsidR="001253F9" w:rsidP="00E013FB" w:rsidRDefault="001253F9" w14:paraId="7F6E9EAF" w14:textId="77777777">
      <w:pPr>
        <w:pStyle w:val="Res-Caption"/>
        <w:spacing w:after="120"/>
        <w:ind w:left="1440" w:right="1440" w:hanging="360"/>
        <w:rPr>
          <w:rFonts w:ascii="Times New Roman" w:hAnsi="Times New Roman"/>
          <w:sz w:val="24"/>
          <w:szCs w:val="24"/>
        </w:rPr>
      </w:pPr>
      <w:r w:rsidRPr="00B95677">
        <w:rPr>
          <w:rFonts w:ascii="Times New Roman" w:hAnsi="Times New Roman"/>
          <w:sz w:val="24"/>
          <w:szCs w:val="24"/>
        </w:rPr>
        <w:t>(4) A process for the division to conduct annual safety culture assessments for each electrical corporation.</w:t>
      </w:r>
    </w:p>
    <w:p w:rsidR="003C694B" w:rsidP="009F0662" w:rsidRDefault="009C674E" w14:paraId="51CA9C24"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Pursuant to</w:t>
      </w:r>
      <w:r w:rsidRPr="00B95677" w:rsidR="002912FB">
        <w:rPr>
          <w:rFonts w:ascii="Times New Roman" w:hAnsi="Times New Roman" w:cs="Times New Roman"/>
          <w:sz w:val="24"/>
          <w:szCs w:val="24"/>
        </w:rPr>
        <w:t xml:space="preserve"> Section</w:t>
      </w:r>
      <w:r w:rsidRPr="00B95677" w:rsidR="005840A1">
        <w:rPr>
          <w:rFonts w:ascii="Times New Roman" w:hAnsi="Times New Roman" w:cs="Times New Roman"/>
          <w:sz w:val="24"/>
          <w:szCs w:val="24"/>
        </w:rPr>
        <w:t>s</w:t>
      </w:r>
      <w:r w:rsidRPr="00B95677" w:rsidR="002912FB">
        <w:rPr>
          <w:rFonts w:ascii="Times New Roman" w:hAnsi="Times New Roman" w:cs="Times New Roman"/>
          <w:sz w:val="24"/>
          <w:szCs w:val="24"/>
        </w:rPr>
        <w:t xml:space="preserve"> (d)(1)</w:t>
      </w:r>
      <w:r w:rsidRPr="00B95677" w:rsidR="00D65C82">
        <w:rPr>
          <w:rFonts w:ascii="Times New Roman" w:hAnsi="Times New Roman" w:cs="Times New Roman"/>
          <w:sz w:val="24"/>
          <w:szCs w:val="24"/>
        </w:rPr>
        <w:t xml:space="preserve"> and (d)(2)</w:t>
      </w:r>
      <w:r w:rsidRPr="00B95677" w:rsidR="0011395B">
        <w:rPr>
          <w:rFonts w:ascii="Times New Roman" w:hAnsi="Times New Roman" w:cs="Times New Roman"/>
          <w:sz w:val="24"/>
          <w:szCs w:val="24"/>
        </w:rPr>
        <w:t>,</w:t>
      </w:r>
      <w:r w:rsidRPr="00B95677" w:rsidR="002912FB">
        <w:rPr>
          <w:rFonts w:ascii="Times New Roman" w:hAnsi="Times New Roman" w:cs="Times New Roman"/>
          <w:sz w:val="24"/>
          <w:szCs w:val="24"/>
        </w:rPr>
        <w:t xml:space="preserve"> th</w:t>
      </w:r>
      <w:r w:rsidRPr="00B95677" w:rsidR="0011395B">
        <w:rPr>
          <w:rFonts w:ascii="Times New Roman" w:hAnsi="Times New Roman" w:cs="Times New Roman"/>
          <w:sz w:val="24"/>
          <w:szCs w:val="24"/>
        </w:rPr>
        <w:t>is</w:t>
      </w:r>
      <w:r w:rsidRPr="00B95677" w:rsidR="002912FB">
        <w:rPr>
          <w:rFonts w:ascii="Times New Roman" w:hAnsi="Times New Roman" w:cs="Times New Roman"/>
          <w:sz w:val="24"/>
          <w:szCs w:val="24"/>
        </w:rPr>
        <w:t xml:space="preserve"> Resolution </w:t>
      </w:r>
      <w:r w:rsidRPr="00B95677" w:rsidR="00AB5B28">
        <w:rPr>
          <w:rFonts w:ascii="Times New Roman" w:hAnsi="Times New Roman" w:cs="Times New Roman"/>
          <w:sz w:val="24"/>
          <w:szCs w:val="24"/>
        </w:rPr>
        <w:t xml:space="preserve">recommends continuing the performance metrics used to evaluate 2021 </w:t>
      </w:r>
      <w:r w:rsidRPr="00B95677" w:rsidR="007B06B8">
        <w:rPr>
          <w:rFonts w:ascii="Times New Roman" w:hAnsi="Times New Roman" w:cs="Times New Roman"/>
          <w:sz w:val="24"/>
          <w:szCs w:val="24"/>
        </w:rPr>
        <w:t>Wildfire Mitigation Plans (</w:t>
      </w:r>
      <w:r w:rsidRPr="00B95677" w:rsidR="00AB5B28">
        <w:rPr>
          <w:rFonts w:ascii="Times New Roman" w:hAnsi="Times New Roman" w:cs="Times New Roman"/>
          <w:sz w:val="24"/>
          <w:szCs w:val="24"/>
        </w:rPr>
        <w:t>WMP</w:t>
      </w:r>
      <w:r w:rsidRPr="00B95677" w:rsidR="007B06B8">
        <w:rPr>
          <w:rFonts w:ascii="Times New Roman" w:hAnsi="Times New Roman" w:cs="Times New Roman"/>
          <w:sz w:val="24"/>
          <w:szCs w:val="24"/>
        </w:rPr>
        <w:t xml:space="preserve">) </w:t>
      </w:r>
      <w:r w:rsidRPr="00B95677" w:rsidR="00FD56DF">
        <w:rPr>
          <w:rFonts w:ascii="Times New Roman" w:hAnsi="Times New Roman" w:cs="Times New Roman"/>
          <w:sz w:val="24"/>
          <w:szCs w:val="24"/>
        </w:rPr>
        <w:t xml:space="preserve">and </w:t>
      </w:r>
      <w:r w:rsidRPr="00B95677" w:rsidR="0045295E">
        <w:rPr>
          <w:rFonts w:ascii="Times New Roman" w:hAnsi="Times New Roman" w:cs="Times New Roman"/>
          <w:sz w:val="24"/>
          <w:szCs w:val="24"/>
        </w:rPr>
        <w:t>maintaining the</w:t>
      </w:r>
      <w:r w:rsidRPr="00B95677" w:rsidR="005871F6">
        <w:rPr>
          <w:rFonts w:ascii="Times New Roman" w:hAnsi="Times New Roman" w:cs="Times New Roman"/>
          <w:sz w:val="24"/>
          <w:szCs w:val="24"/>
        </w:rPr>
        <w:t xml:space="preserve"> existing</w:t>
      </w:r>
      <w:r w:rsidRPr="00B95677" w:rsidR="0095648F">
        <w:rPr>
          <w:rFonts w:ascii="Times New Roman" w:hAnsi="Times New Roman" w:cs="Times New Roman"/>
          <w:sz w:val="24"/>
          <w:szCs w:val="24"/>
        </w:rPr>
        <w:t xml:space="preserve"> </w:t>
      </w:r>
      <w:r w:rsidRPr="00B95677" w:rsidR="007B06B8">
        <w:rPr>
          <w:rFonts w:ascii="Times New Roman" w:hAnsi="Times New Roman" w:cs="Times New Roman"/>
          <w:sz w:val="24"/>
          <w:szCs w:val="24"/>
        </w:rPr>
        <w:t>WMP</w:t>
      </w:r>
      <w:r w:rsidRPr="00B95677" w:rsidR="00FD56DF">
        <w:rPr>
          <w:rFonts w:ascii="Times New Roman" w:hAnsi="Times New Roman" w:cs="Times New Roman"/>
          <w:sz w:val="24"/>
          <w:szCs w:val="24"/>
        </w:rPr>
        <w:t xml:space="preserve"> requirements</w:t>
      </w:r>
      <w:r w:rsidRPr="00B95677" w:rsidR="00AB5B28">
        <w:rPr>
          <w:rFonts w:ascii="Times New Roman" w:hAnsi="Times New Roman" w:cs="Times New Roman"/>
          <w:sz w:val="24"/>
          <w:szCs w:val="24"/>
        </w:rPr>
        <w:t xml:space="preserve">.  </w:t>
      </w:r>
      <w:r w:rsidRPr="00B95677">
        <w:rPr>
          <w:rFonts w:ascii="Times New Roman" w:hAnsi="Times New Roman" w:cs="Times New Roman"/>
          <w:sz w:val="24"/>
          <w:szCs w:val="24"/>
        </w:rPr>
        <w:t>Pursuant to</w:t>
      </w:r>
      <w:r w:rsidRPr="00B95677" w:rsidR="00AB5B28">
        <w:rPr>
          <w:rFonts w:ascii="Times New Roman" w:hAnsi="Times New Roman" w:cs="Times New Roman"/>
          <w:sz w:val="24"/>
          <w:szCs w:val="24"/>
        </w:rPr>
        <w:t xml:space="preserve"> Section</w:t>
      </w:r>
      <w:r w:rsidRPr="00B95677" w:rsidR="007627C5">
        <w:rPr>
          <w:rFonts w:ascii="Times New Roman" w:hAnsi="Times New Roman" w:cs="Times New Roman"/>
          <w:sz w:val="24"/>
          <w:szCs w:val="24"/>
        </w:rPr>
        <w:t>s</w:t>
      </w:r>
      <w:r w:rsidRPr="00B95677" w:rsidR="00AB5B28">
        <w:rPr>
          <w:rFonts w:ascii="Times New Roman" w:hAnsi="Times New Roman" w:cs="Times New Roman"/>
          <w:sz w:val="24"/>
          <w:szCs w:val="24"/>
        </w:rPr>
        <w:t xml:space="preserve"> </w:t>
      </w:r>
      <w:r w:rsidRPr="00B95677" w:rsidR="00BA7ED3">
        <w:rPr>
          <w:rFonts w:ascii="Times New Roman" w:hAnsi="Times New Roman" w:cs="Times New Roman"/>
          <w:sz w:val="24"/>
          <w:szCs w:val="24"/>
        </w:rPr>
        <w:t>(d)(3) and (d)(4)</w:t>
      </w:r>
      <w:r w:rsidRPr="00B95677" w:rsidR="00AB5B28">
        <w:rPr>
          <w:rFonts w:ascii="Times New Roman" w:hAnsi="Times New Roman" w:cs="Times New Roman"/>
          <w:sz w:val="24"/>
          <w:szCs w:val="24"/>
        </w:rPr>
        <w:t>, this Resolution provides</w:t>
      </w:r>
      <w:r w:rsidRPr="00B95677" w:rsidR="002912FB">
        <w:rPr>
          <w:rFonts w:ascii="Times New Roman" w:hAnsi="Times New Roman" w:cs="Times New Roman"/>
          <w:sz w:val="24"/>
          <w:szCs w:val="24"/>
        </w:rPr>
        <w:t xml:space="preserve"> </w:t>
      </w:r>
      <w:r w:rsidRPr="00B95677" w:rsidR="00EE6CE4">
        <w:rPr>
          <w:rFonts w:ascii="Times New Roman" w:hAnsi="Times New Roman" w:cs="Times New Roman"/>
          <w:sz w:val="24"/>
          <w:szCs w:val="24"/>
        </w:rPr>
        <w:t xml:space="preserve">updates </w:t>
      </w:r>
      <w:r w:rsidRPr="00B95677" w:rsidR="00BA7ED3">
        <w:rPr>
          <w:rFonts w:ascii="Times New Roman" w:hAnsi="Times New Roman" w:cs="Times New Roman"/>
          <w:sz w:val="24"/>
          <w:szCs w:val="24"/>
        </w:rPr>
        <w:t xml:space="preserve">and revisions </w:t>
      </w:r>
      <w:r w:rsidRPr="00B95677" w:rsidR="0011395B">
        <w:rPr>
          <w:rFonts w:ascii="Times New Roman" w:hAnsi="Times New Roman" w:cs="Times New Roman"/>
          <w:sz w:val="24"/>
          <w:szCs w:val="24"/>
        </w:rPr>
        <w:t>to</w:t>
      </w:r>
      <w:r w:rsidRPr="00B95677" w:rsidR="003C01F5">
        <w:rPr>
          <w:rFonts w:ascii="Times New Roman" w:hAnsi="Times New Roman" w:cs="Times New Roman"/>
          <w:sz w:val="24"/>
          <w:szCs w:val="24"/>
        </w:rPr>
        <w:t xml:space="preserve"> the </w:t>
      </w:r>
      <w:r w:rsidRPr="00B95677" w:rsidR="00DE6054">
        <w:rPr>
          <w:rFonts w:ascii="Times New Roman" w:hAnsi="Times New Roman" w:cs="Times New Roman"/>
          <w:sz w:val="24"/>
          <w:szCs w:val="24"/>
        </w:rPr>
        <w:t>process</w:t>
      </w:r>
      <w:r w:rsidRPr="00B95677" w:rsidR="00646DD0">
        <w:rPr>
          <w:rFonts w:ascii="Times New Roman" w:hAnsi="Times New Roman" w:cs="Times New Roman"/>
          <w:sz w:val="24"/>
          <w:szCs w:val="24"/>
        </w:rPr>
        <w:t>es</w:t>
      </w:r>
      <w:r w:rsidRPr="00B95677" w:rsidR="00DE6054">
        <w:rPr>
          <w:rFonts w:ascii="Times New Roman" w:hAnsi="Times New Roman" w:cs="Times New Roman"/>
          <w:sz w:val="24"/>
          <w:szCs w:val="24"/>
        </w:rPr>
        <w:t xml:space="preserve"> for overseeing </w:t>
      </w:r>
      <w:r w:rsidRPr="00B95677" w:rsidR="007B06B8">
        <w:rPr>
          <w:rFonts w:ascii="Times New Roman" w:hAnsi="Times New Roman" w:cs="Times New Roman"/>
          <w:sz w:val="24"/>
          <w:szCs w:val="24"/>
        </w:rPr>
        <w:t>WMP</w:t>
      </w:r>
      <w:r w:rsidRPr="00B95677" w:rsidR="00DE6054">
        <w:rPr>
          <w:rFonts w:ascii="Times New Roman" w:hAnsi="Times New Roman" w:cs="Times New Roman"/>
          <w:sz w:val="24"/>
          <w:szCs w:val="24"/>
        </w:rPr>
        <w:t xml:space="preserve"> compliance</w:t>
      </w:r>
      <w:r w:rsidRPr="00B95677" w:rsidR="003C01F5">
        <w:rPr>
          <w:rFonts w:ascii="Times New Roman" w:hAnsi="Times New Roman" w:cs="Times New Roman"/>
          <w:sz w:val="24"/>
          <w:szCs w:val="24"/>
        </w:rPr>
        <w:t xml:space="preserve"> </w:t>
      </w:r>
      <w:r w:rsidRPr="00B95677" w:rsidR="00BA7ED3">
        <w:rPr>
          <w:rFonts w:ascii="Times New Roman" w:hAnsi="Times New Roman" w:cs="Times New Roman"/>
          <w:sz w:val="24"/>
          <w:szCs w:val="24"/>
        </w:rPr>
        <w:t>and</w:t>
      </w:r>
      <w:r w:rsidRPr="00B95677" w:rsidR="00A6437C">
        <w:rPr>
          <w:rFonts w:ascii="Times New Roman" w:hAnsi="Times New Roman" w:cs="Times New Roman"/>
          <w:sz w:val="24"/>
          <w:szCs w:val="24"/>
        </w:rPr>
        <w:t xml:space="preserve"> </w:t>
      </w:r>
      <w:r w:rsidRPr="00B95677" w:rsidR="00646DD0">
        <w:rPr>
          <w:rFonts w:ascii="Times New Roman" w:hAnsi="Times New Roman" w:cs="Times New Roman"/>
          <w:sz w:val="24"/>
          <w:szCs w:val="24"/>
        </w:rPr>
        <w:t xml:space="preserve">for conducting </w:t>
      </w:r>
      <w:r w:rsidRPr="00B95677" w:rsidR="00920346">
        <w:rPr>
          <w:rFonts w:ascii="Times New Roman" w:hAnsi="Times New Roman" w:cs="Times New Roman"/>
          <w:sz w:val="24"/>
          <w:szCs w:val="24"/>
        </w:rPr>
        <w:t xml:space="preserve">the </w:t>
      </w:r>
      <w:r w:rsidRPr="00B95677" w:rsidR="00F81150">
        <w:rPr>
          <w:rFonts w:ascii="Times New Roman" w:hAnsi="Times New Roman" w:cs="Times New Roman"/>
          <w:sz w:val="24"/>
          <w:szCs w:val="24"/>
        </w:rPr>
        <w:t>O</w:t>
      </w:r>
      <w:r w:rsidRPr="00B95677" w:rsidR="00473D7B">
        <w:rPr>
          <w:rFonts w:ascii="Times New Roman" w:hAnsi="Times New Roman" w:cs="Times New Roman"/>
          <w:sz w:val="24"/>
          <w:szCs w:val="24"/>
        </w:rPr>
        <w:t xml:space="preserve">ffice of </w:t>
      </w:r>
      <w:r w:rsidRPr="00B95677" w:rsidR="00F81150">
        <w:rPr>
          <w:rFonts w:ascii="Times New Roman" w:hAnsi="Times New Roman" w:cs="Times New Roman"/>
          <w:sz w:val="24"/>
          <w:szCs w:val="24"/>
        </w:rPr>
        <w:t>E</w:t>
      </w:r>
      <w:r w:rsidRPr="00B95677" w:rsidR="00473D7B">
        <w:rPr>
          <w:rFonts w:ascii="Times New Roman" w:hAnsi="Times New Roman" w:cs="Times New Roman"/>
          <w:sz w:val="24"/>
          <w:szCs w:val="24"/>
        </w:rPr>
        <w:t xml:space="preserve">nergy </w:t>
      </w:r>
      <w:r w:rsidRPr="00B95677" w:rsidR="00F81150">
        <w:rPr>
          <w:rFonts w:ascii="Times New Roman" w:hAnsi="Times New Roman" w:cs="Times New Roman"/>
          <w:sz w:val="24"/>
          <w:szCs w:val="24"/>
        </w:rPr>
        <w:t>I</w:t>
      </w:r>
      <w:r w:rsidRPr="00B95677" w:rsidR="00473D7B">
        <w:rPr>
          <w:rFonts w:ascii="Times New Roman" w:hAnsi="Times New Roman" w:cs="Times New Roman"/>
          <w:sz w:val="24"/>
          <w:szCs w:val="24"/>
        </w:rPr>
        <w:t xml:space="preserve">nfrastructure </w:t>
      </w:r>
      <w:r w:rsidRPr="00B95677" w:rsidR="00F81150">
        <w:rPr>
          <w:rFonts w:ascii="Times New Roman" w:hAnsi="Times New Roman" w:cs="Times New Roman"/>
          <w:sz w:val="24"/>
          <w:szCs w:val="24"/>
        </w:rPr>
        <w:t>S</w:t>
      </w:r>
      <w:r w:rsidRPr="00B95677" w:rsidR="00473D7B">
        <w:rPr>
          <w:rFonts w:ascii="Times New Roman" w:hAnsi="Times New Roman" w:cs="Times New Roman"/>
          <w:sz w:val="24"/>
          <w:szCs w:val="24"/>
        </w:rPr>
        <w:t>afety</w:t>
      </w:r>
      <w:r w:rsidRPr="00B95677" w:rsidR="00F03057">
        <w:rPr>
          <w:rFonts w:ascii="Times New Roman" w:hAnsi="Times New Roman" w:cs="Times New Roman"/>
          <w:sz w:val="24"/>
          <w:szCs w:val="24"/>
        </w:rPr>
        <w:t>’s</w:t>
      </w:r>
      <w:r w:rsidRPr="00B95677" w:rsidR="00F81150">
        <w:rPr>
          <w:rFonts w:ascii="Times New Roman" w:hAnsi="Times New Roman" w:cs="Times New Roman"/>
          <w:sz w:val="24"/>
          <w:szCs w:val="24"/>
        </w:rPr>
        <w:t xml:space="preserve"> </w:t>
      </w:r>
      <w:r w:rsidRPr="00B95677" w:rsidR="00F03057">
        <w:rPr>
          <w:rFonts w:ascii="Times New Roman" w:hAnsi="Times New Roman" w:cs="Times New Roman"/>
          <w:sz w:val="24"/>
          <w:szCs w:val="24"/>
        </w:rPr>
        <w:t>(</w:t>
      </w:r>
      <w:r w:rsidRPr="00B95677" w:rsidR="007A15A5">
        <w:rPr>
          <w:rFonts w:ascii="Times New Roman" w:hAnsi="Times New Roman" w:cs="Times New Roman"/>
          <w:sz w:val="24"/>
          <w:szCs w:val="24"/>
        </w:rPr>
        <w:t>Energy Safety</w:t>
      </w:r>
      <w:r w:rsidRPr="00B95677" w:rsidR="00F03057">
        <w:rPr>
          <w:rFonts w:ascii="Times New Roman" w:hAnsi="Times New Roman" w:cs="Times New Roman"/>
          <w:sz w:val="24"/>
          <w:szCs w:val="24"/>
        </w:rPr>
        <w:t>)</w:t>
      </w:r>
      <w:r w:rsidRPr="00B95677" w:rsidR="003C01F5">
        <w:rPr>
          <w:rFonts w:ascii="Times New Roman" w:hAnsi="Times New Roman" w:cs="Times New Roman"/>
          <w:sz w:val="24"/>
          <w:szCs w:val="24"/>
        </w:rPr>
        <w:t xml:space="preserve"> </w:t>
      </w:r>
      <w:r w:rsidRPr="00B95677" w:rsidR="002912FB">
        <w:rPr>
          <w:rFonts w:ascii="Times New Roman" w:hAnsi="Times New Roman" w:cs="Times New Roman"/>
          <w:sz w:val="24"/>
          <w:szCs w:val="24"/>
        </w:rPr>
        <w:t xml:space="preserve">annual </w:t>
      </w:r>
      <w:r w:rsidRPr="00B95677" w:rsidR="00A046AA">
        <w:rPr>
          <w:rFonts w:ascii="Times New Roman" w:hAnsi="Times New Roman" w:cs="Times New Roman"/>
          <w:sz w:val="24"/>
          <w:szCs w:val="24"/>
        </w:rPr>
        <w:t>s</w:t>
      </w:r>
      <w:r w:rsidRPr="00B95677" w:rsidR="002912FB">
        <w:rPr>
          <w:rFonts w:ascii="Times New Roman" w:hAnsi="Times New Roman" w:cs="Times New Roman"/>
          <w:sz w:val="24"/>
          <w:szCs w:val="24"/>
        </w:rPr>
        <w:t xml:space="preserve">afety </w:t>
      </w:r>
      <w:r w:rsidRPr="00B95677" w:rsidR="00A046AA">
        <w:rPr>
          <w:rFonts w:ascii="Times New Roman" w:hAnsi="Times New Roman" w:cs="Times New Roman"/>
          <w:sz w:val="24"/>
          <w:szCs w:val="24"/>
        </w:rPr>
        <w:t>c</w:t>
      </w:r>
      <w:r w:rsidRPr="00B95677" w:rsidR="002912FB">
        <w:rPr>
          <w:rFonts w:ascii="Times New Roman" w:hAnsi="Times New Roman" w:cs="Times New Roman"/>
          <w:sz w:val="24"/>
          <w:szCs w:val="24"/>
        </w:rPr>
        <w:t xml:space="preserve">ulture </w:t>
      </w:r>
      <w:r w:rsidRPr="00B95677" w:rsidR="00A046AA">
        <w:rPr>
          <w:rFonts w:ascii="Times New Roman" w:hAnsi="Times New Roman" w:cs="Times New Roman"/>
          <w:sz w:val="24"/>
          <w:szCs w:val="24"/>
        </w:rPr>
        <w:t>a</w:t>
      </w:r>
      <w:r w:rsidRPr="00B95677" w:rsidR="002912FB">
        <w:rPr>
          <w:rFonts w:ascii="Times New Roman" w:hAnsi="Times New Roman" w:cs="Times New Roman"/>
          <w:sz w:val="24"/>
          <w:szCs w:val="24"/>
        </w:rPr>
        <w:t xml:space="preserve">ssessment.  </w:t>
      </w:r>
    </w:p>
    <w:p w:rsidRPr="00B95677" w:rsidR="009F0662" w:rsidP="009F0662" w:rsidRDefault="009F0662" w14:paraId="64D4FD59" w14:textId="77777777">
      <w:pPr>
        <w:pStyle w:val="Standard"/>
        <w:spacing w:after="0"/>
        <w:rPr>
          <w:rFonts w:ascii="Times New Roman" w:hAnsi="Times New Roman" w:cs="Times New Roman"/>
          <w:sz w:val="24"/>
          <w:szCs w:val="24"/>
        </w:rPr>
      </w:pPr>
    </w:p>
    <w:p w:rsidR="00BA7ED3" w:rsidP="009F0662" w:rsidRDefault="00025E58" w14:paraId="5A082B3A"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 xml:space="preserve">Pursuant to Assembly Bill (AB) 1054 (2019), </w:t>
      </w:r>
      <w:r w:rsidRPr="00B95677" w:rsidR="009C6444">
        <w:rPr>
          <w:rFonts w:ascii="Times New Roman" w:hAnsi="Times New Roman" w:cs="Times New Roman"/>
          <w:sz w:val="24"/>
          <w:szCs w:val="24"/>
        </w:rPr>
        <w:t>in late 202</w:t>
      </w:r>
      <w:r w:rsidRPr="00B95677" w:rsidR="009B43D3">
        <w:rPr>
          <w:rFonts w:ascii="Times New Roman" w:hAnsi="Times New Roman" w:cs="Times New Roman"/>
          <w:sz w:val="24"/>
          <w:szCs w:val="24"/>
        </w:rPr>
        <w:t>0</w:t>
      </w:r>
      <w:r w:rsidRPr="00B95677">
        <w:rPr>
          <w:rFonts w:ascii="Times New Roman" w:hAnsi="Times New Roman" w:cs="Times New Roman"/>
          <w:sz w:val="24"/>
          <w:szCs w:val="24"/>
        </w:rPr>
        <w:t xml:space="preserve"> for 2021 WMPs, the Commission adopted and approved performance metrics for electrical corporations</w:t>
      </w:r>
      <w:r w:rsidRPr="00B95677" w:rsidR="00171046">
        <w:rPr>
          <w:rFonts w:ascii="Times New Roman" w:hAnsi="Times New Roman" w:cs="Times New Roman"/>
          <w:sz w:val="24"/>
          <w:szCs w:val="24"/>
        </w:rPr>
        <w:t>,</w:t>
      </w:r>
      <w:r w:rsidRPr="00B95677">
        <w:rPr>
          <w:rFonts w:ascii="Times New Roman" w:hAnsi="Times New Roman" w:cs="Times New Roman"/>
          <w:sz w:val="24"/>
          <w:szCs w:val="24"/>
        </w:rPr>
        <w:t xml:space="preserve"> </w:t>
      </w:r>
      <w:r w:rsidRPr="00B95677" w:rsidR="00A34953">
        <w:rPr>
          <w:rFonts w:ascii="Times New Roman" w:hAnsi="Times New Roman" w:cs="Times New Roman"/>
          <w:sz w:val="24"/>
          <w:szCs w:val="24"/>
        </w:rPr>
        <w:t xml:space="preserve">revised </w:t>
      </w:r>
      <w:r w:rsidRPr="00B95677" w:rsidR="008270BC">
        <w:rPr>
          <w:rFonts w:ascii="Times New Roman" w:hAnsi="Times New Roman" w:cs="Times New Roman"/>
          <w:sz w:val="24"/>
          <w:szCs w:val="24"/>
        </w:rPr>
        <w:t>guidance for utilities to complete their 2021 WMP updates</w:t>
      </w:r>
      <w:r w:rsidRPr="00B95677" w:rsidR="00171046">
        <w:rPr>
          <w:rFonts w:ascii="Times New Roman" w:hAnsi="Times New Roman" w:cs="Times New Roman"/>
          <w:sz w:val="24"/>
          <w:szCs w:val="24"/>
        </w:rPr>
        <w:t>,</w:t>
      </w:r>
      <w:r w:rsidRPr="00B95677">
        <w:rPr>
          <w:rFonts w:ascii="Times New Roman" w:hAnsi="Times New Roman" w:cs="Times New Roman"/>
          <w:sz w:val="24"/>
          <w:szCs w:val="24"/>
        </w:rPr>
        <w:t xml:space="preserve"> </w:t>
      </w:r>
      <w:r w:rsidRPr="00B95677" w:rsidR="004676A0">
        <w:rPr>
          <w:rFonts w:ascii="Times New Roman" w:hAnsi="Times New Roman" w:cs="Times New Roman"/>
          <w:sz w:val="24"/>
          <w:szCs w:val="24"/>
        </w:rPr>
        <w:t xml:space="preserve">and </w:t>
      </w:r>
      <w:r w:rsidRPr="00B95677" w:rsidR="00A943CE">
        <w:rPr>
          <w:rFonts w:ascii="Times New Roman" w:hAnsi="Times New Roman" w:cs="Times New Roman"/>
          <w:sz w:val="24"/>
          <w:szCs w:val="24"/>
        </w:rPr>
        <w:t xml:space="preserve">created </w:t>
      </w:r>
      <w:r w:rsidRPr="00B95677" w:rsidR="00AD7571">
        <w:rPr>
          <w:rFonts w:ascii="Times New Roman" w:hAnsi="Times New Roman" w:cs="Times New Roman"/>
          <w:sz w:val="24"/>
          <w:szCs w:val="24"/>
        </w:rPr>
        <w:t>a</w:t>
      </w:r>
      <w:r w:rsidRPr="00B95677" w:rsidR="004E5CE2">
        <w:rPr>
          <w:rFonts w:ascii="Times New Roman" w:hAnsi="Times New Roman" w:cs="Times New Roman"/>
          <w:sz w:val="24"/>
          <w:szCs w:val="24"/>
        </w:rPr>
        <w:t xml:space="preserve"> WMP compliance process</w:t>
      </w:r>
      <w:r w:rsidRPr="00B95677" w:rsidR="00B835A3">
        <w:rPr>
          <w:rFonts w:ascii="Times New Roman" w:hAnsi="Times New Roman" w:cs="Times New Roman"/>
          <w:sz w:val="24"/>
          <w:szCs w:val="24"/>
        </w:rPr>
        <w:t xml:space="preserve"> </w:t>
      </w:r>
      <w:r w:rsidRPr="00B95677">
        <w:rPr>
          <w:rFonts w:ascii="Times New Roman" w:hAnsi="Times New Roman" w:cs="Times New Roman"/>
          <w:sz w:val="24"/>
          <w:szCs w:val="24"/>
        </w:rPr>
        <w:t xml:space="preserve">and a </w:t>
      </w:r>
      <w:r w:rsidRPr="00B95677">
        <w:rPr>
          <w:rFonts w:ascii="Times New Roman" w:hAnsi="Times New Roman" w:cs="Times New Roman"/>
          <w:sz w:val="24"/>
          <w:szCs w:val="24"/>
        </w:rPr>
        <w:lastRenderedPageBreak/>
        <w:t>process for Energy Safety to conduct annual safety culture assessments.  The Commission adopted Resolutions WSD-011</w:t>
      </w:r>
      <w:r w:rsidRPr="00383EDB" w:rsidR="000058EC">
        <w:rPr>
          <w:rStyle w:val="FootnoteReference"/>
          <w:rFonts w:ascii="Times New Roman" w:hAnsi="Times New Roman" w:cs="Times New Roman"/>
          <w:b/>
          <w:bCs/>
          <w:sz w:val="24"/>
          <w:szCs w:val="24"/>
          <w:u w:val="single"/>
        </w:rPr>
        <w:footnoteReference w:id="4"/>
      </w:r>
      <w:r w:rsidRPr="00B95677">
        <w:rPr>
          <w:rFonts w:ascii="Times New Roman" w:hAnsi="Times New Roman" w:cs="Times New Roman"/>
          <w:sz w:val="24"/>
          <w:szCs w:val="24"/>
        </w:rPr>
        <w:t xml:space="preserve"> and WSD-012</w:t>
      </w:r>
      <w:r w:rsidRPr="00161705" w:rsidR="000058EC">
        <w:rPr>
          <w:rStyle w:val="FootnoteReference"/>
          <w:rFonts w:ascii="Times New Roman" w:hAnsi="Times New Roman" w:cs="Times New Roman"/>
          <w:b/>
          <w:bCs/>
          <w:sz w:val="24"/>
          <w:szCs w:val="24"/>
          <w:u w:val="single"/>
        </w:rPr>
        <w:footnoteReference w:id="5"/>
      </w:r>
      <w:r w:rsidRPr="00B95677">
        <w:rPr>
          <w:rFonts w:ascii="Times New Roman" w:hAnsi="Times New Roman" w:cs="Times New Roman"/>
          <w:sz w:val="24"/>
          <w:szCs w:val="24"/>
        </w:rPr>
        <w:t xml:space="preserve"> </w:t>
      </w:r>
      <w:r w:rsidRPr="00B95677" w:rsidR="00CC3A1F">
        <w:rPr>
          <w:rFonts w:ascii="Times New Roman" w:hAnsi="Times New Roman" w:cs="Times New Roman"/>
          <w:sz w:val="24"/>
          <w:szCs w:val="24"/>
        </w:rPr>
        <w:t xml:space="preserve">to meet the </w:t>
      </w:r>
      <w:r w:rsidRPr="00B95677" w:rsidR="00535118">
        <w:rPr>
          <w:rFonts w:ascii="Times New Roman" w:hAnsi="Times New Roman" w:cs="Times New Roman"/>
          <w:sz w:val="24"/>
          <w:szCs w:val="24"/>
        </w:rPr>
        <w:t xml:space="preserve">Section 8389(d) </w:t>
      </w:r>
      <w:r w:rsidRPr="00B95677" w:rsidR="00CC3A1F">
        <w:rPr>
          <w:rFonts w:ascii="Times New Roman" w:hAnsi="Times New Roman" w:cs="Times New Roman"/>
          <w:sz w:val="24"/>
          <w:szCs w:val="24"/>
        </w:rPr>
        <w:t>requirements.</w:t>
      </w:r>
    </w:p>
    <w:p w:rsidRPr="00B95677" w:rsidR="00383EDB" w:rsidP="00383EDB" w:rsidRDefault="00383EDB" w14:paraId="066F3F7E" w14:textId="77777777">
      <w:pPr>
        <w:pStyle w:val="Standard"/>
        <w:spacing w:after="0"/>
        <w:rPr>
          <w:rFonts w:ascii="Times New Roman" w:hAnsi="Times New Roman" w:cs="Times New Roman"/>
          <w:sz w:val="24"/>
          <w:szCs w:val="24"/>
        </w:rPr>
      </w:pPr>
    </w:p>
    <w:p w:rsidR="00CC3A1F" w:rsidP="00383EDB" w:rsidRDefault="00CC3A1F" w14:paraId="74E37C11"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 xml:space="preserve">This Resolution is in furtherance of the requirement in Section 8389(d) to annually adopt and approve the above requirements </w:t>
      </w:r>
      <w:r w:rsidRPr="00B95677" w:rsidR="008E06C1">
        <w:rPr>
          <w:rFonts w:ascii="Times New Roman" w:hAnsi="Times New Roman" w:cs="Times New Roman"/>
          <w:sz w:val="24"/>
          <w:szCs w:val="24"/>
        </w:rPr>
        <w:t xml:space="preserve">and processes </w:t>
      </w:r>
      <w:r w:rsidRPr="00B95677">
        <w:rPr>
          <w:rFonts w:ascii="Times New Roman" w:hAnsi="Times New Roman" w:cs="Times New Roman"/>
          <w:sz w:val="24"/>
          <w:szCs w:val="24"/>
        </w:rPr>
        <w:t>after consultation with Energy Safety.</w:t>
      </w:r>
      <w:r w:rsidRPr="00B95677" w:rsidDel="0006500F" w:rsidR="0006500F">
        <w:rPr>
          <w:rStyle w:val="FootnoteReference"/>
          <w:rFonts w:ascii="Times New Roman" w:hAnsi="Times New Roman" w:cs="Times New Roman"/>
          <w:sz w:val="24"/>
          <w:szCs w:val="24"/>
        </w:rPr>
        <w:t xml:space="preserve"> </w:t>
      </w:r>
    </w:p>
    <w:p w:rsidRPr="00B95677" w:rsidR="00383EDB" w:rsidP="00383EDB" w:rsidRDefault="00383EDB" w14:paraId="561B9A53" w14:textId="77777777">
      <w:pPr>
        <w:pStyle w:val="Standard"/>
        <w:spacing w:after="0"/>
        <w:rPr>
          <w:rFonts w:ascii="Times New Roman" w:hAnsi="Times New Roman" w:cs="Times New Roman"/>
          <w:sz w:val="24"/>
          <w:szCs w:val="24"/>
        </w:rPr>
      </w:pPr>
    </w:p>
    <w:p w:rsidR="000667C4" w:rsidP="00383EDB" w:rsidRDefault="006D223A" w14:paraId="7BFC4F9F"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 xml:space="preserve">Energy Safety’s </w:t>
      </w:r>
      <w:r w:rsidRPr="00B95677" w:rsidR="00A813B7">
        <w:rPr>
          <w:rFonts w:ascii="Times New Roman" w:hAnsi="Times New Roman" w:cs="Times New Roman"/>
          <w:sz w:val="24"/>
          <w:szCs w:val="24"/>
        </w:rPr>
        <w:t>proposed</w:t>
      </w:r>
      <w:r w:rsidRPr="00B95677" w:rsidR="00CC3A1F">
        <w:rPr>
          <w:rFonts w:ascii="Times New Roman" w:hAnsi="Times New Roman" w:cs="Times New Roman"/>
          <w:sz w:val="24"/>
          <w:szCs w:val="24"/>
        </w:rPr>
        <w:t xml:space="preserve"> updates and revisions to each of the 8389(d) requirements is contained within this Resolution in the following Attachments</w:t>
      </w:r>
      <w:r w:rsidRPr="00B95677" w:rsidR="000667C4">
        <w:rPr>
          <w:rFonts w:ascii="Times New Roman" w:hAnsi="Times New Roman" w:cs="Times New Roman"/>
          <w:sz w:val="24"/>
          <w:szCs w:val="24"/>
        </w:rPr>
        <w:t>:</w:t>
      </w:r>
    </w:p>
    <w:p w:rsidRPr="00B95677" w:rsidR="00383EDB" w:rsidP="00383EDB" w:rsidRDefault="00383EDB" w14:paraId="19876F11" w14:textId="77777777">
      <w:pPr>
        <w:pStyle w:val="Standard"/>
        <w:spacing w:after="0"/>
        <w:rPr>
          <w:rFonts w:ascii="Times New Roman" w:hAnsi="Times New Roman" w:cs="Times New Roman"/>
          <w:sz w:val="24"/>
          <w:szCs w:val="24"/>
        </w:rPr>
      </w:pPr>
    </w:p>
    <w:p w:rsidRPr="00B95677" w:rsidR="00080840" w:rsidP="00080840" w:rsidRDefault="000667C4" w14:paraId="7BBC8CA7" w14:textId="77777777">
      <w:pPr>
        <w:pStyle w:val="Res-Caption"/>
        <w:numPr>
          <w:ilvl w:val="0"/>
          <w:numId w:val="16"/>
        </w:numPr>
        <w:rPr>
          <w:rFonts w:ascii="Times New Roman" w:hAnsi="Times New Roman" w:eastAsiaTheme="minorHAnsi"/>
          <w:sz w:val="24"/>
          <w:szCs w:val="24"/>
        </w:rPr>
      </w:pPr>
      <w:r w:rsidRPr="00B95677">
        <w:rPr>
          <w:rFonts w:ascii="Times New Roman" w:hAnsi="Times New Roman" w:eastAsiaTheme="minorHAnsi"/>
          <w:b/>
          <w:sz w:val="24"/>
          <w:szCs w:val="24"/>
        </w:rPr>
        <w:t xml:space="preserve">Attachment </w:t>
      </w:r>
      <w:r w:rsidRPr="00B95677" w:rsidR="00EA53B4">
        <w:rPr>
          <w:rFonts w:ascii="Times New Roman" w:hAnsi="Times New Roman" w:eastAsiaTheme="minorHAnsi"/>
          <w:b/>
          <w:sz w:val="24"/>
          <w:szCs w:val="24"/>
        </w:rPr>
        <w:t>1</w:t>
      </w:r>
      <w:r w:rsidRPr="00B95677">
        <w:rPr>
          <w:rFonts w:ascii="Times New Roman" w:hAnsi="Times New Roman" w:eastAsiaTheme="minorHAnsi"/>
          <w:b/>
          <w:sz w:val="24"/>
          <w:szCs w:val="24"/>
        </w:rPr>
        <w:t xml:space="preserve">: </w:t>
      </w:r>
      <w:r w:rsidRPr="00B95677" w:rsidR="00984162">
        <w:rPr>
          <w:rFonts w:ascii="Times New Roman" w:hAnsi="Times New Roman" w:eastAsiaTheme="minorHAnsi"/>
          <w:b/>
          <w:sz w:val="24"/>
          <w:szCs w:val="24"/>
        </w:rPr>
        <w:t>Energy Safety’s Recommend</w:t>
      </w:r>
      <w:r w:rsidRPr="00B95677" w:rsidR="00170665">
        <w:rPr>
          <w:rFonts w:ascii="Times New Roman" w:hAnsi="Times New Roman" w:eastAsiaTheme="minorHAnsi"/>
          <w:b/>
          <w:sz w:val="24"/>
          <w:szCs w:val="24"/>
        </w:rPr>
        <w:t>ed</w:t>
      </w:r>
      <w:r w:rsidRPr="00B95677" w:rsidR="00984162">
        <w:rPr>
          <w:rFonts w:ascii="Times New Roman" w:hAnsi="Times New Roman" w:eastAsiaTheme="minorHAnsi"/>
          <w:b/>
          <w:sz w:val="24"/>
          <w:szCs w:val="24"/>
        </w:rPr>
        <w:t xml:space="preserve"> Performance Metrics</w:t>
      </w:r>
    </w:p>
    <w:p w:rsidRPr="00B95677" w:rsidR="000667C4" w:rsidP="00080840" w:rsidRDefault="00922514" w14:paraId="0B6CECB0" w14:textId="77777777">
      <w:pPr>
        <w:pStyle w:val="Res-Caption"/>
        <w:spacing w:after="120"/>
        <w:rPr>
          <w:rFonts w:ascii="Times New Roman" w:hAnsi="Times New Roman" w:eastAsiaTheme="minorHAnsi"/>
          <w:sz w:val="24"/>
          <w:szCs w:val="24"/>
        </w:rPr>
      </w:pPr>
      <w:r w:rsidRPr="00B95677">
        <w:rPr>
          <w:rFonts w:ascii="Times New Roman" w:hAnsi="Times New Roman" w:eastAsiaTheme="minorHAnsi"/>
          <w:sz w:val="24"/>
          <w:szCs w:val="24"/>
        </w:rPr>
        <w:t xml:space="preserve">Energy Safety </w:t>
      </w:r>
      <w:r w:rsidRPr="00B95677" w:rsidR="004A205B">
        <w:rPr>
          <w:rFonts w:ascii="Times New Roman" w:hAnsi="Times New Roman" w:eastAsiaTheme="minorHAnsi"/>
          <w:sz w:val="24"/>
          <w:szCs w:val="24"/>
        </w:rPr>
        <w:t>did not</w:t>
      </w:r>
      <w:r w:rsidRPr="00B95677">
        <w:rPr>
          <w:rFonts w:ascii="Times New Roman" w:hAnsi="Times New Roman" w:eastAsiaTheme="minorHAnsi"/>
          <w:sz w:val="24"/>
          <w:szCs w:val="24"/>
        </w:rPr>
        <w:t xml:space="preserve"> recommend changes to the performance metrics</w:t>
      </w:r>
      <w:r w:rsidRPr="00B95677" w:rsidR="00BD7178">
        <w:rPr>
          <w:rFonts w:ascii="Times New Roman" w:hAnsi="Times New Roman" w:eastAsiaTheme="minorHAnsi"/>
          <w:sz w:val="24"/>
          <w:szCs w:val="24"/>
        </w:rPr>
        <w:t xml:space="preserve"> for electrical corporations</w:t>
      </w:r>
      <w:r w:rsidRPr="00B95677" w:rsidR="000F62D2">
        <w:rPr>
          <w:rFonts w:ascii="Times New Roman" w:hAnsi="Times New Roman" w:eastAsiaTheme="minorHAnsi"/>
          <w:sz w:val="24"/>
          <w:szCs w:val="24"/>
        </w:rPr>
        <w:t>, however, it</w:t>
      </w:r>
      <w:r w:rsidRPr="00B95677">
        <w:rPr>
          <w:rFonts w:ascii="Times New Roman" w:hAnsi="Times New Roman" w:eastAsiaTheme="minorHAnsi"/>
          <w:sz w:val="24"/>
          <w:szCs w:val="24"/>
        </w:rPr>
        <w:t xml:space="preserve"> </w:t>
      </w:r>
      <w:r w:rsidRPr="00B95677" w:rsidR="000C3316">
        <w:rPr>
          <w:rFonts w:ascii="Times New Roman" w:hAnsi="Times New Roman" w:eastAsiaTheme="minorHAnsi"/>
          <w:sz w:val="24"/>
          <w:szCs w:val="24"/>
        </w:rPr>
        <w:t xml:space="preserve">reviewed and responded to </w:t>
      </w:r>
      <w:r w:rsidRPr="00B95677" w:rsidR="00247F64">
        <w:rPr>
          <w:rFonts w:ascii="Times New Roman" w:hAnsi="Times New Roman" w:eastAsiaTheme="minorHAnsi"/>
          <w:sz w:val="24"/>
          <w:szCs w:val="24"/>
        </w:rPr>
        <w:t xml:space="preserve">the </w:t>
      </w:r>
      <w:r w:rsidRPr="00B95677" w:rsidR="00A11B57">
        <w:rPr>
          <w:rFonts w:ascii="Times New Roman" w:hAnsi="Times New Roman" w:eastAsiaTheme="minorHAnsi"/>
          <w:sz w:val="24"/>
          <w:szCs w:val="24"/>
        </w:rPr>
        <w:t>Wildfire Safety Advisory Board’s (</w:t>
      </w:r>
      <w:r w:rsidRPr="00B95677" w:rsidR="000C3316">
        <w:rPr>
          <w:rFonts w:ascii="Times New Roman" w:hAnsi="Times New Roman" w:eastAsiaTheme="minorHAnsi"/>
          <w:sz w:val="24"/>
          <w:szCs w:val="24"/>
        </w:rPr>
        <w:t>WSAB</w:t>
      </w:r>
      <w:r w:rsidRPr="00B95677" w:rsidR="00A11B57">
        <w:rPr>
          <w:rFonts w:ascii="Times New Roman" w:hAnsi="Times New Roman" w:eastAsiaTheme="minorHAnsi"/>
          <w:sz w:val="24"/>
          <w:szCs w:val="24"/>
        </w:rPr>
        <w:t>)</w:t>
      </w:r>
      <w:r w:rsidRPr="00B95677" w:rsidR="000C3316">
        <w:rPr>
          <w:rFonts w:ascii="Times New Roman" w:hAnsi="Times New Roman" w:eastAsiaTheme="minorHAnsi"/>
          <w:sz w:val="24"/>
          <w:szCs w:val="24"/>
        </w:rPr>
        <w:t xml:space="preserve"> recommendations to </w:t>
      </w:r>
      <w:r w:rsidRPr="00B95677" w:rsidR="00A74000">
        <w:rPr>
          <w:rFonts w:ascii="Times New Roman" w:hAnsi="Times New Roman" w:eastAsiaTheme="minorHAnsi"/>
          <w:sz w:val="24"/>
          <w:szCs w:val="24"/>
        </w:rPr>
        <w:t xml:space="preserve">create </w:t>
      </w:r>
      <w:r w:rsidRPr="00B95677" w:rsidR="000C3316">
        <w:rPr>
          <w:rFonts w:ascii="Times New Roman" w:hAnsi="Times New Roman" w:eastAsiaTheme="minorHAnsi"/>
          <w:sz w:val="24"/>
          <w:szCs w:val="24"/>
        </w:rPr>
        <w:t>communication and community outreach performance metrics</w:t>
      </w:r>
      <w:r w:rsidRPr="00B95677">
        <w:rPr>
          <w:rFonts w:ascii="Times New Roman" w:hAnsi="Times New Roman" w:eastAsiaTheme="minorHAnsi"/>
          <w:sz w:val="24"/>
          <w:szCs w:val="24"/>
        </w:rPr>
        <w:t>.</w:t>
      </w:r>
    </w:p>
    <w:p w:rsidRPr="00B95677" w:rsidR="00DE5456" w:rsidP="008F4C9D" w:rsidRDefault="00984162" w14:paraId="6CC0E5E4" w14:textId="77777777">
      <w:pPr>
        <w:pStyle w:val="Res-Caption"/>
        <w:numPr>
          <w:ilvl w:val="0"/>
          <w:numId w:val="16"/>
        </w:numPr>
        <w:rPr>
          <w:rFonts w:ascii="Times New Roman" w:hAnsi="Times New Roman" w:eastAsiaTheme="minorEastAsia"/>
          <w:b/>
          <w:sz w:val="24"/>
          <w:szCs w:val="24"/>
        </w:rPr>
      </w:pPr>
      <w:r w:rsidRPr="00B95677">
        <w:rPr>
          <w:rFonts w:ascii="Times New Roman" w:hAnsi="Times New Roman" w:eastAsiaTheme="minorEastAsia"/>
          <w:b/>
          <w:sz w:val="24"/>
          <w:szCs w:val="24"/>
        </w:rPr>
        <w:t xml:space="preserve">Attachment </w:t>
      </w:r>
      <w:r w:rsidRPr="00B95677" w:rsidR="00EA53B4">
        <w:rPr>
          <w:rFonts w:ascii="Times New Roman" w:hAnsi="Times New Roman" w:eastAsiaTheme="minorEastAsia"/>
          <w:b/>
          <w:sz w:val="24"/>
          <w:szCs w:val="24"/>
        </w:rPr>
        <w:t>2</w:t>
      </w:r>
      <w:r w:rsidRPr="00B95677">
        <w:rPr>
          <w:rFonts w:ascii="Times New Roman" w:hAnsi="Times New Roman" w:eastAsiaTheme="minorEastAsia"/>
          <w:b/>
          <w:sz w:val="24"/>
          <w:szCs w:val="24"/>
        </w:rPr>
        <w:t xml:space="preserve">: </w:t>
      </w:r>
      <w:r w:rsidRPr="00B95677" w:rsidR="00DE5456">
        <w:rPr>
          <w:rFonts w:ascii="Times New Roman" w:hAnsi="Times New Roman" w:eastAsiaTheme="minorEastAsia"/>
          <w:b/>
          <w:sz w:val="24"/>
          <w:szCs w:val="24"/>
        </w:rPr>
        <w:t xml:space="preserve">Energy Safety’s </w:t>
      </w:r>
      <w:r w:rsidR="00B56D72">
        <w:rPr>
          <w:rFonts w:ascii="Times New Roman" w:hAnsi="Times New Roman" w:eastAsiaTheme="minorEastAsia"/>
          <w:b/>
          <w:sz w:val="24"/>
          <w:szCs w:val="24"/>
        </w:rPr>
        <w:t>Review of</w:t>
      </w:r>
      <w:r w:rsidRPr="00B95677" w:rsidR="00DE5456">
        <w:rPr>
          <w:rFonts w:ascii="Times New Roman" w:hAnsi="Times New Roman" w:eastAsiaTheme="minorEastAsia"/>
          <w:b/>
          <w:sz w:val="24"/>
          <w:szCs w:val="24"/>
        </w:rPr>
        <w:t xml:space="preserve"> Additional WMP </w:t>
      </w:r>
      <w:r w:rsidR="000058EC">
        <w:rPr>
          <w:rFonts w:ascii="Times New Roman" w:hAnsi="Times New Roman" w:eastAsiaTheme="minorEastAsia"/>
          <w:b/>
          <w:sz w:val="24"/>
          <w:szCs w:val="24"/>
        </w:rPr>
        <w:t>R</w:t>
      </w:r>
      <w:r w:rsidRPr="00B95677" w:rsidR="00DE5456">
        <w:rPr>
          <w:rFonts w:ascii="Times New Roman" w:hAnsi="Times New Roman" w:eastAsiaTheme="minorEastAsia"/>
          <w:b/>
          <w:sz w:val="24"/>
          <w:szCs w:val="24"/>
        </w:rPr>
        <w:t>equirements</w:t>
      </w:r>
    </w:p>
    <w:p w:rsidRPr="00B95677" w:rsidR="00DE5456" w:rsidP="00DE5456" w:rsidRDefault="00B016CB" w14:paraId="3F404062" w14:textId="77777777">
      <w:pPr>
        <w:pStyle w:val="Res-Caption"/>
        <w:rPr>
          <w:rFonts w:ascii="Times New Roman" w:hAnsi="Times New Roman" w:eastAsiaTheme="minorEastAsia"/>
          <w:sz w:val="24"/>
          <w:szCs w:val="24"/>
        </w:rPr>
      </w:pPr>
      <w:r w:rsidRPr="00B95677">
        <w:rPr>
          <w:rFonts w:ascii="Times New Roman" w:hAnsi="Times New Roman" w:eastAsiaTheme="minorEastAsia"/>
          <w:sz w:val="24"/>
          <w:szCs w:val="24"/>
        </w:rPr>
        <w:t xml:space="preserve">Energy Safety </w:t>
      </w:r>
      <w:r w:rsidRPr="00B95677" w:rsidR="00C24063">
        <w:rPr>
          <w:rFonts w:ascii="Times New Roman" w:hAnsi="Times New Roman" w:eastAsiaTheme="minorEastAsia"/>
          <w:sz w:val="24"/>
          <w:szCs w:val="24"/>
        </w:rPr>
        <w:t>d</w:t>
      </w:r>
      <w:r w:rsidRPr="00B95677" w:rsidR="005F41EE">
        <w:rPr>
          <w:rFonts w:ascii="Times New Roman" w:hAnsi="Times New Roman" w:eastAsiaTheme="minorEastAsia"/>
          <w:sz w:val="24"/>
          <w:szCs w:val="24"/>
        </w:rPr>
        <w:t>id</w:t>
      </w:r>
      <w:r w:rsidRPr="00B95677" w:rsidR="00C24063">
        <w:rPr>
          <w:rFonts w:ascii="Times New Roman" w:hAnsi="Times New Roman" w:eastAsiaTheme="minorEastAsia"/>
          <w:sz w:val="24"/>
          <w:szCs w:val="24"/>
        </w:rPr>
        <w:t xml:space="preserve"> </w:t>
      </w:r>
      <w:r w:rsidRPr="00B95677">
        <w:rPr>
          <w:rFonts w:ascii="Times New Roman" w:hAnsi="Times New Roman" w:eastAsiaTheme="minorEastAsia"/>
          <w:sz w:val="24"/>
          <w:szCs w:val="24"/>
        </w:rPr>
        <w:t xml:space="preserve">not </w:t>
      </w:r>
      <w:r w:rsidRPr="00B95677" w:rsidR="007044A4">
        <w:rPr>
          <w:rFonts w:ascii="Times New Roman" w:hAnsi="Times New Roman" w:eastAsiaTheme="minorEastAsia"/>
          <w:sz w:val="24"/>
          <w:szCs w:val="24"/>
        </w:rPr>
        <w:t>recommend</w:t>
      </w:r>
      <w:r w:rsidRPr="00B95677">
        <w:rPr>
          <w:rFonts w:ascii="Times New Roman" w:hAnsi="Times New Roman" w:eastAsiaTheme="minorEastAsia"/>
          <w:sz w:val="24"/>
          <w:szCs w:val="24"/>
        </w:rPr>
        <w:t xml:space="preserve"> </w:t>
      </w:r>
      <w:r w:rsidRPr="00B95677" w:rsidR="008C7E44">
        <w:rPr>
          <w:rFonts w:ascii="Times New Roman" w:hAnsi="Times New Roman" w:eastAsiaTheme="minorEastAsia"/>
          <w:sz w:val="24"/>
          <w:szCs w:val="24"/>
        </w:rPr>
        <w:t>additional WMP requirements.</w:t>
      </w:r>
    </w:p>
    <w:p w:rsidRPr="00B95677" w:rsidR="008C7E44" w:rsidP="00DE5456" w:rsidRDefault="008C7E44" w14:paraId="1EF2C074" w14:textId="77777777">
      <w:pPr>
        <w:pStyle w:val="Res-Caption"/>
        <w:rPr>
          <w:rFonts w:ascii="Times New Roman" w:hAnsi="Times New Roman" w:eastAsiaTheme="minorHAnsi"/>
          <w:b/>
          <w:sz w:val="24"/>
          <w:szCs w:val="24"/>
        </w:rPr>
      </w:pPr>
    </w:p>
    <w:p w:rsidRPr="00B95677" w:rsidR="007C1E23" w:rsidP="6E5B9321" w:rsidRDefault="00DE5456" w14:paraId="61CDD53D" w14:textId="77777777">
      <w:pPr>
        <w:pStyle w:val="Res-Caption"/>
        <w:numPr>
          <w:ilvl w:val="0"/>
          <w:numId w:val="16"/>
        </w:numPr>
        <w:rPr>
          <w:rFonts w:ascii="Times New Roman" w:hAnsi="Times New Roman" w:eastAsiaTheme="minorEastAsia"/>
          <w:b/>
          <w:bCs/>
          <w:sz w:val="24"/>
          <w:szCs w:val="24"/>
        </w:rPr>
      </w:pPr>
      <w:r w:rsidRPr="00B95677">
        <w:rPr>
          <w:rFonts w:ascii="Times New Roman" w:hAnsi="Times New Roman" w:eastAsiaTheme="minorEastAsia"/>
          <w:b/>
          <w:bCs/>
          <w:sz w:val="24"/>
          <w:szCs w:val="24"/>
        </w:rPr>
        <w:t xml:space="preserve">Attachment </w:t>
      </w:r>
      <w:r w:rsidRPr="00B95677" w:rsidR="00EA53B4">
        <w:rPr>
          <w:rFonts w:ascii="Times New Roman" w:hAnsi="Times New Roman" w:eastAsiaTheme="minorEastAsia"/>
          <w:b/>
          <w:bCs/>
          <w:sz w:val="24"/>
          <w:szCs w:val="24"/>
        </w:rPr>
        <w:t>3</w:t>
      </w:r>
      <w:r w:rsidRPr="00B95677">
        <w:rPr>
          <w:rFonts w:ascii="Times New Roman" w:hAnsi="Times New Roman" w:eastAsiaTheme="minorEastAsia"/>
          <w:b/>
          <w:bCs/>
          <w:sz w:val="24"/>
          <w:szCs w:val="24"/>
        </w:rPr>
        <w:t xml:space="preserve">: </w:t>
      </w:r>
      <w:r w:rsidRPr="00B95677" w:rsidR="00984162">
        <w:rPr>
          <w:rFonts w:ascii="Times New Roman" w:hAnsi="Times New Roman" w:eastAsiaTheme="minorEastAsia"/>
          <w:b/>
          <w:bCs/>
          <w:sz w:val="24"/>
          <w:szCs w:val="24"/>
        </w:rPr>
        <w:t xml:space="preserve">Energy Safety’s Proposed </w:t>
      </w:r>
      <w:r w:rsidRPr="00B95677" w:rsidR="007C1E23">
        <w:rPr>
          <w:rFonts w:ascii="Times New Roman" w:hAnsi="Times New Roman" w:eastAsiaTheme="minorEastAsia"/>
          <w:b/>
          <w:bCs/>
          <w:sz w:val="24"/>
          <w:szCs w:val="24"/>
        </w:rPr>
        <w:t>Compliance Process</w:t>
      </w:r>
      <w:r w:rsidR="00784493">
        <w:rPr>
          <w:rFonts w:ascii="Times New Roman" w:hAnsi="Times New Roman" w:eastAsiaTheme="minorEastAsia"/>
          <w:b/>
          <w:bCs/>
          <w:sz w:val="24"/>
          <w:szCs w:val="24"/>
        </w:rPr>
        <w:t xml:space="preserve"> for 2021 WMPs</w:t>
      </w:r>
    </w:p>
    <w:p w:rsidRPr="00B95677" w:rsidR="00080840" w:rsidP="00700D44" w:rsidRDefault="00984162" w14:paraId="307A80B8" w14:textId="77777777">
      <w:pPr>
        <w:pStyle w:val="Res-Caption"/>
        <w:spacing w:after="240"/>
        <w:ind w:right="1440"/>
        <w:rPr>
          <w:rFonts w:ascii="Times New Roman" w:hAnsi="Times New Roman"/>
          <w:sz w:val="24"/>
          <w:szCs w:val="24"/>
        </w:rPr>
      </w:pPr>
      <w:r w:rsidRPr="00B95677">
        <w:rPr>
          <w:rFonts w:ascii="Times New Roman" w:hAnsi="Times New Roman" w:eastAsiaTheme="minorEastAsia"/>
          <w:sz w:val="24"/>
          <w:szCs w:val="24"/>
        </w:rPr>
        <w:t>Energy Safety recommended updates to the</w:t>
      </w:r>
      <w:r w:rsidRPr="00B95677" w:rsidR="007C1E23">
        <w:rPr>
          <w:rFonts w:ascii="Times New Roman" w:hAnsi="Times New Roman" w:eastAsiaTheme="minorEastAsia"/>
          <w:sz w:val="24"/>
          <w:szCs w:val="24"/>
        </w:rPr>
        <w:t xml:space="preserve"> compliance process </w:t>
      </w:r>
      <w:r w:rsidRPr="00B95677" w:rsidR="00053A5B">
        <w:rPr>
          <w:rFonts w:ascii="Times New Roman" w:hAnsi="Times New Roman"/>
          <w:sz w:val="24"/>
          <w:szCs w:val="24"/>
        </w:rPr>
        <w:t>to</w:t>
      </w:r>
      <w:r w:rsidRPr="00B95677" w:rsidR="002F6D82">
        <w:rPr>
          <w:rFonts w:ascii="Times New Roman" w:hAnsi="Times New Roman"/>
          <w:sz w:val="24"/>
          <w:szCs w:val="24"/>
        </w:rPr>
        <w:t>, in part,</w:t>
      </w:r>
      <w:r w:rsidRPr="00B95677" w:rsidR="004E4FEE">
        <w:rPr>
          <w:rFonts w:ascii="Times New Roman" w:hAnsi="Times New Roman"/>
          <w:sz w:val="24"/>
          <w:szCs w:val="24"/>
        </w:rPr>
        <w:t xml:space="preserve"> align</w:t>
      </w:r>
      <w:r w:rsidRPr="00B95677" w:rsidR="00700D44">
        <w:rPr>
          <w:rFonts w:ascii="Times New Roman" w:hAnsi="Times New Roman"/>
          <w:sz w:val="24"/>
          <w:szCs w:val="24"/>
        </w:rPr>
        <w:t xml:space="preserve"> the process</w:t>
      </w:r>
      <w:r w:rsidRPr="00B95677" w:rsidR="004E4FEE">
        <w:rPr>
          <w:rFonts w:ascii="Times New Roman" w:hAnsi="Times New Roman"/>
          <w:sz w:val="24"/>
          <w:szCs w:val="24"/>
        </w:rPr>
        <w:t xml:space="preserve"> with </w:t>
      </w:r>
      <w:r w:rsidRPr="00B95677" w:rsidR="00F75620">
        <w:rPr>
          <w:rFonts w:ascii="Times New Roman" w:hAnsi="Times New Roman"/>
          <w:sz w:val="24"/>
          <w:szCs w:val="24"/>
        </w:rPr>
        <w:t>its</w:t>
      </w:r>
      <w:r w:rsidRPr="00B95677" w:rsidR="004E4FEE">
        <w:rPr>
          <w:rFonts w:ascii="Times New Roman" w:hAnsi="Times New Roman"/>
          <w:sz w:val="24"/>
          <w:szCs w:val="24"/>
        </w:rPr>
        <w:t xml:space="preserve"> new statutory authority and role following the transition from a </w:t>
      </w:r>
      <w:r w:rsidRPr="00B95677" w:rsidR="00AA19FA">
        <w:rPr>
          <w:rFonts w:ascii="Times New Roman" w:hAnsi="Times New Roman"/>
          <w:sz w:val="24"/>
          <w:szCs w:val="24"/>
        </w:rPr>
        <w:t>d</w:t>
      </w:r>
      <w:r w:rsidRPr="00B95677" w:rsidR="004E4FEE">
        <w:rPr>
          <w:rFonts w:ascii="Times New Roman" w:hAnsi="Times New Roman"/>
          <w:sz w:val="24"/>
          <w:szCs w:val="24"/>
        </w:rPr>
        <w:t>ivision within the Commission to a new department under the California Natural Resources Agency.</w:t>
      </w:r>
    </w:p>
    <w:p w:rsidRPr="00B95677" w:rsidR="00080840" w:rsidP="00080840" w:rsidRDefault="000667C4" w14:paraId="66A8DA79" w14:textId="77777777">
      <w:pPr>
        <w:pStyle w:val="Res-Caption"/>
        <w:numPr>
          <w:ilvl w:val="0"/>
          <w:numId w:val="16"/>
        </w:numPr>
        <w:rPr>
          <w:rFonts w:ascii="Times New Roman" w:hAnsi="Times New Roman" w:eastAsiaTheme="minorEastAsia"/>
          <w:sz w:val="24"/>
          <w:szCs w:val="24"/>
        </w:rPr>
      </w:pPr>
      <w:r w:rsidRPr="00B95677">
        <w:rPr>
          <w:rFonts w:ascii="Times New Roman" w:hAnsi="Times New Roman" w:eastAsiaTheme="minorEastAsia"/>
          <w:b/>
          <w:bCs/>
          <w:sz w:val="24"/>
          <w:szCs w:val="24"/>
        </w:rPr>
        <w:t xml:space="preserve">Attachment </w:t>
      </w:r>
      <w:r w:rsidRPr="00B95677" w:rsidR="00B0158A">
        <w:rPr>
          <w:rFonts w:ascii="Times New Roman" w:hAnsi="Times New Roman" w:eastAsiaTheme="minorEastAsia"/>
          <w:b/>
          <w:bCs/>
          <w:sz w:val="24"/>
          <w:szCs w:val="24"/>
        </w:rPr>
        <w:t>4</w:t>
      </w:r>
      <w:r w:rsidRPr="00B95677">
        <w:rPr>
          <w:rFonts w:ascii="Times New Roman" w:hAnsi="Times New Roman" w:eastAsiaTheme="minorEastAsia"/>
          <w:b/>
          <w:bCs/>
          <w:sz w:val="24"/>
          <w:szCs w:val="24"/>
        </w:rPr>
        <w:t xml:space="preserve">: </w:t>
      </w:r>
      <w:r w:rsidRPr="00B95677" w:rsidR="00984162">
        <w:rPr>
          <w:rFonts w:ascii="Times New Roman" w:hAnsi="Times New Roman" w:eastAsiaTheme="minorEastAsia"/>
          <w:b/>
          <w:bCs/>
          <w:sz w:val="24"/>
          <w:szCs w:val="24"/>
        </w:rPr>
        <w:t xml:space="preserve">Energy Safety’s Proposed </w:t>
      </w:r>
      <w:r w:rsidR="005F79E9">
        <w:rPr>
          <w:rFonts w:ascii="Times New Roman" w:hAnsi="Times New Roman" w:eastAsiaTheme="minorEastAsia"/>
          <w:b/>
          <w:bCs/>
          <w:sz w:val="24"/>
          <w:szCs w:val="24"/>
        </w:rPr>
        <w:t>2022</w:t>
      </w:r>
      <w:r w:rsidRPr="00B95677" w:rsidR="00984162">
        <w:rPr>
          <w:rFonts w:ascii="Times New Roman" w:hAnsi="Times New Roman" w:eastAsiaTheme="minorEastAsia"/>
          <w:b/>
          <w:bCs/>
          <w:sz w:val="24"/>
          <w:szCs w:val="24"/>
        </w:rPr>
        <w:t xml:space="preserve"> </w:t>
      </w:r>
      <w:r w:rsidRPr="00B95677">
        <w:rPr>
          <w:rFonts w:ascii="Times New Roman" w:hAnsi="Times New Roman" w:eastAsiaTheme="minorEastAsia"/>
          <w:b/>
          <w:bCs/>
          <w:sz w:val="24"/>
          <w:szCs w:val="24"/>
        </w:rPr>
        <w:t xml:space="preserve">Safety Culture Assessment Process </w:t>
      </w:r>
    </w:p>
    <w:p w:rsidRPr="00B95677" w:rsidR="00F7770D" w:rsidP="00080840" w:rsidRDefault="00984162" w14:paraId="76D246AB" w14:textId="77777777">
      <w:pPr>
        <w:pStyle w:val="Res-Caption"/>
        <w:rPr>
          <w:rFonts w:ascii="Times New Roman" w:hAnsi="Times New Roman" w:eastAsiaTheme="minorEastAsia"/>
          <w:sz w:val="24"/>
          <w:szCs w:val="24"/>
        </w:rPr>
      </w:pPr>
      <w:r w:rsidRPr="00B95677">
        <w:rPr>
          <w:rFonts w:ascii="Times New Roman" w:hAnsi="Times New Roman" w:eastAsiaTheme="minorEastAsia"/>
          <w:sz w:val="24"/>
          <w:szCs w:val="24"/>
        </w:rPr>
        <w:t xml:space="preserve">Energy Safety </w:t>
      </w:r>
      <w:r w:rsidRPr="00B95677" w:rsidR="000667C4">
        <w:rPr>
          <w:rFonts w:ascii="Times New Roman" w:hAnsi="Times New Roman" w:eastAsiaTheme="minorEastAsia"/>
          <w:sz w:val="24"/>
          <w:szCs w:val="24"/>
        </w:rPr>
        <w:t>recommend</w:t>
      </w:r>
      <w:r w:rsidRPr="00B95677">
        <w:rPr>
          <w:rFonts w:ascii="Times New Roman" w:hAnsi="Times New Roman" w:eastAsiaTheme="minorEastAsia"/>
          <w:sz w:val="24"/>
          <w:szCs w:val="24"/>
        </w:rPr>
        <w:t xml:space="preserve">ed updates to the </w:t>
      </w:r>
      <w:r w:rsidRPr="00B95677" w:rsidR="000667C4">
        <w:rPr>
          <w:rFonts w:ascii="Times New Roman" w:hAnsi="Times New Roman" w:eastAsiaTheme="minorEastAsia"/>
          <w:sz w:val="24"/>
          <w:szCs w:val="24"/>
        </w:rPr>
        <w:t>annual safety culture assessment</w:t>
      </w:r>
      <w:r w:rsidRPr="00B95677">
        <w:rPr>
          <w:rFonts w:ascii="Times New Roman" w:hAnsi="Times New Roman" w:eastAsiaTheme="minorEastAsia"/>
          <w:sz w:val="24"/>
          <w:szCs w:val="24"/>
        </w:rPr>
        <w:t xml:space="preserve"> process</w:t>
      </w:r>
      <w:r w:rsidRPr="00B95677" w:rsidR="000667C4">
        <w:rPr>
          <w:rFonts w:ascii="Times New Roman" w:hAnsi="Times New Roman" w:eastAsiaTheme="minorEastAsia"/>
          <w:sz w:val="24"/>
          <w:szCs w:val="24"/>
        </w:rPr>
        <w:t xml:space="preserve"> pursuant to </w:t>
      </w:r>
      <w:r w:rsidRPr="00B95677" w:rsidR="00CE0A67">
        <w:rPr>
          <w:rFonts w:ascii="Times New Roman" w:hAnsi="Times New Roman" w:eastAsiaTheme="minorEastAsia"/>
          <w:sz w:val="24"/>
          <w:szCs w:val="24"/>
        </w:rPr>
        <w:t>Pub.</w:t>
      </w:r>
      <w:r w:rsidRPr="00B95677" w:rsidR="000667C4">
        <w:rPr>
          <w:rFonts w:ascii="Times New Roman" w:hAnsi="Times New Roman" w:eastAsiaTheme="minorEastAsia"/>
          <w:sz w:val="24"/>
          <w:szCs w:val="24"/>
        </w:rPr>
        <w:t xml:space="preserve"> Util</w:t>
      </w:r>
      <w:r w:rsidRPr="00B95677" w:rsidR="00CE0A67">
        <w:rPr>
          <w:rFonts w:ascii="Times New Roman" w:hAnsi="Times New Roman" w:eastAsiaTheme="minorEastAsia"/>
          <w:sz w:val="24"/>
          <w:szCs w:val="24"/>
        </w:rPr>
        <w:t>.</w:t>
      </w:r>
      <w:r w:rsidRPr="00B95677" w:rsidR="000667C4">
        <w:rPr>
          <w:rFonts w:ascii="Times New Roman" w:hAnsi="Times New Roman" w:eastAsiaTheme="minorEastAsia"/>
          <w:sz w:val="24"/>
          <w:szCs w:val="24"/>
        </w:rPr>
        <w:t xml:space="preserve"> Code § 8389(d)(4)</w:t>
      </w:r>
      <w:r w:rsidRPr="00B95677" w:rsidR="003E08DC">
        <w:rPr>
          <w:rFonts w:ascii="Times New Roman" w:hAnsi="Times New Roman" w:eastAsiaTheme="minorEastAsia"/>
          <w:sz w:val="24"/>
          <w:szCs w:val="24"/>
        </w:rPr>
        <w:t xml:space="preserve"> </w:t>
      </w:r>
      <w:r w:rsidRPr="00B95677" w:rsidR="002F6D82">
        <w:rPr>
          <w:rFonts w:ascii="Times New Roman" w:hAnsi="Times New Roman" w:eastAsiaTheme="minorEastAsia"/>
          <w:sz w:val="24"/>
          <w:szCs w:val="24"/>
        </w:rPr>
        <w:t>to update</w:t>
      </w:r>
      <w:r w:rsidRPr="00B95677" w:rsidR="003E08DC">
        <w:rPr>
          <w:rFonts w:ascii="Times New Roman" w:hAnsi="Times New Roman"/>
          <w:sz w:val="24"/>
          <w:szCs w:val="24"/>
        </w:rPr>
        <w:t xml:space="preserve"> the principal forms of data (otherwise called “inputs”) that inform </w:t>
      </w:r>
      <w:r w:rsidR="005F79E9">
        <w:rPr>
          <w:rFonts w:ascii="Times New Roman" w:hAnsi="Times New Roman"/>
          <w:sz w:val="24"/>
          <w:szCs w:val="24"/>
        </w:rPr>
        <w:t>the</w:t>
      </w:r>
      <w:r w:rsidRPr="00B95677" w:rsidR="003E08DC">
        <w:rPr>
          <w:rFonts w:ascii="Times New Roman" w:hAnsi="Times New Roman"/>
          <w:sz w:val="24"/>
          <w:szCs w:val="24"/>
        </w:rPr>
        <w:t xml:space="preserve"> assessment and </w:t>
      </w:r>
      <w:r w:rsidRPr="00B95677" w:rsidR="002F6D82">
        <w:rPr>
          <w:rFonts w:ascii="Times New Roman" w:hAnsi="Times New Roman"/>
          <w:color w:val="000000" w:themeColor="text1"/>
          <w:sz w:val="24"/>
          <w:szCs w:val="24"/>
        </w:rPr>
        <w:t>remove</w:t>
      </w:r>
      <w:r w:rsidRPr="00B95677" w:rsidR="00165462">
        <w:rPr>
          <w:rFonts w:ascii="Times New Roman" w:hAnsi="Times New Roman"/>
          <w:color w:val="000000" w:themeColor="text1"/>
          <w:sz w:val="24"/>
          <w:szCs w:val="24"/>
        </w:rPr>
        <w:t xml:space="preserve"> the </w:t>
      </w:r>
      <w:r w:rsidRPr="00B95677" w:rsidR="001B33D5">
        <w:rPr>
          <w:rFonts w:ascii="Times New Roman" w:hAnsi="Times New Roman"/>
          <w:color w:val="000000" w:themeColor="text1"/>
          <w:sz w:val="24"/>
          <w:szCs w:val="24"/>
        </w:rPr>
        <w:t xml:space="preserve">verification of the </w:t>
      </w:r>
      <w:r w:rsidR="00AC6341">
        <w:rPr>
          <w:rFonts w:ascii="Times New Roman" w:hAnsi="Times New Roman"/>
          <w:color w:val="000000" w:themeColor="text1"/>
          <w:sz w:val="24"/>
          <w:szCs w:val="24"/>
        </w:rPr>
        <w:t>board’s</w:t>
      </w:r>
      <w:r w:rsidRPr="00B95677" w:rsidR="001B33D5">
        <w:rPr>
          <w:rFonts w:ascii="Times New Roman" w:hAnsi="Times New Roman"/>
          <w:color w:val="000000" w:themeColor="text1"/>
          <w:sz w:val="24"/>
          <w:szCs w:val="24"/>
        </w:rPr>
        <w:t xml:space="preserve"> structure and </w:t>
      </w:r>
      <w:r w:rsidR="00AC6341">
        <w:rPr>
          <w:rFonts w:ascii="Times New Roman" w:hAnsi="Times New Roman"/>
          <w:color w:val="000000" w:themeColor="text1"/>
          <w:sz w:val="24"/>
          <w:szCs w:val="24"/>
        </w:rPr>
        <w:t>board-level safety reporting</w:t>
      </w:r>
      <w:r w:rsidRPr="00B95677" w:rsidR="001B33D5">
        <w:rPr>
          <w:rFonts w:ascii="Times New Roman" w:hAnsi="Times New Roman"/>
          <w:color w:val="000000" w:themeColor="text1"/>
          <w:sz w:val="24"/>
          <w:szCs w:val="24"/>
        </w:rPr>
        <w:t xml:space="preserve"> </w:t>
      </w:r>
      <w:r w:rsidRPr="00B95677" w:rsidR="000F62D2">
        <w:rPr>
          <w:rFonts w:ascii="Times New Roman" w:hAnsi="Times New Roman"/>
          <w:color w:val="000000" w:themeColor="text1"/>
          <w:sz w:val="24"/>
          <w:szCs w:val="24"/>
        </w:rPr>
        <w:t xml:space="preserve">from the process because </w:t>
      </w:r>
      <w:r w:rsidR="00AC6341">
        <w:rPr>
          <w:rFonts w:ascii="Times New Roman" w:hAnsi="Times New Roman"/>
          <w:color w:val="000000" w:themeColor="text1"/>
          <w:sz w:val="24"/>
          <w:szCs w:val="24"/>
        </w:rPr>
        <w:t>these</w:t>
      </w:r>
      <w:r w:rsidRPr="00B95677" w:rsidR="000F62D2">
        <w:rPr>
          <w:rFonts w:ascii="Times New Roman" w:hAnsi="Times New Roman"/>
          <w:color w:val="000000" w:themeColor="text1"/>
          <w:sz w:val="24"/>
          <w:szCs w:val="24"/>
        </w:rPr>
        <w:t xml:space="preserve"> </w:t>
      </w:r>
      <w:r w:rsidR="00AC6341">
        <w:rPr>
          <w:rFonts w:ascii="Times New Roman" w:hAnsi="Times New Roman"/>
          <w:color w:val="000000" w:themeColor="text1"/>
          <w:sz w:val="24"/>
          <w:szCs w:val="24"/>
        </w:rPr>
        <w:t>are</w:t>
      </w:r>
      <w:r w:rsidRPr="00B95677" w:rsidR="001B33D5">
        <w:rPr>
          <w:rFonts w:ascii="Times New Roman" w:hAnsi="Times New Roman"/>
          <w:color w:val="000000" w:themeColor="text1"/>
          <w:sz w:val="24"/>
          <w:szCs w:val="24"/>
        </w:rPr>
        <w:t xml:space="preserve"> verified during Energy Safety’s</w:t>
      </w:r>
      <w:r w:rsidR="00AC6341">
        <w:rPr>
          <w:rFonts w:ascii="Times New Roman" w:hAnsi="Times New Roman"/>
          <w:color w:val="000000" w:themeColor="text1"/>
          <w:sz w:val="24"/>
          <w:szCs w:val="24"/>
        </w:rPr>
        <w:t xml:space="preserve"> review of an electrical corporation’s application for a</w:t>
      </w:r>
      <w:r w:rsidRPr="00B95677" w:rsidR="001B33D5">
        <w:rPr>
          <w:rFonts w:ascii="Times New Roman" w:hAnsi="Times New Roman"/>
          <w:color w:val="000000" w:themeColor="text1"/>
          <w:sz w:val="24"/>
          <w:szCs w:val="24"/>
        </w:rPr>
        <w:t xml:space="preserve"> Safety Certification</w:t>
      </w:r>
      <w:r w:rsidRPr="00B95677" w:rsidR="000667C4">
        <w:rPr>
          <w:rFonts w:ascii="Times New Roman" w:hAnsi="Times New Roman" w:eastAsiaTheme="minorEastAsia"/>
          <w:sz w:val="24"/>
          <w:szCs w:val="24"/>
        </w:rPr>
        <w:t>.</w:t>
      </w:r>
    </w:p>
    <w:p w:rsidR="00161705" w:rsidRDefault="00161705" w14:paraId="7BEE11D7" w14:textId="77777777">
      <w:pPr>
        <w:spacing w:after="160" w:line="259" w:lineRule="auto"/>
        <w:rPr>
          <w:rFonts w:ascii="Times New Roman" w:hAnsi="Times New Roman" w:cs="Times New Roman" w:eastAsiaTheme="minorEastAsia"/>
          <w:sz w:val="24"/>
          <w:szCs w:val="24"/>
        </w:rPr>
      </w:pPr>
      <w:r>
        <w:rPr>
          <w:rFonts w:ascii="Times New Roman" w:hAnsi="Times New Roman" w:eastAsiaTheme="minorEastAsia"/>
          <w:sz w:val="24"/>
          <w:szCs w:val="24"/>
        </w:rPr>
        <w:br w:type="page"/>
      </w:r>
    </w:p>
    <w:p w:rsidRPr="00B95677" w:rsidR="00080840" w:rsidP="00080840" w:rsidRDefault="00080840" w14:paraId="772F71E5" w14:textId="77777777">
      <w:pPr>
        <w:pStyle w:val="Res-Caption"/>
        <w:rPr>
          <w:rFonts w:ascii="Times New Roman" w:hAnsi="Times New Roman" w:eastAsiaTheme="minorEastAsia"/>
          <w:sz w:val="24"/>
          <w:szCs w:val="24"/>
        </w:rPr>
      </w:pPr>
    </w:p>
    <w:p w:rsidRPr="00B95677" w:rsidR="00654C35" w:rsidP="00BA66A0" w:rsidRDefault="001A36E2" w14:paraId="723143B7" w14:textId="77777777">
      <w:pPr>
        <w:pStyle w:val="Res-Caption"/>
        <w:numPr>
          <w:ilvl w:val="0"/>
          <w:numId w:val="16"/>
        </w:numPr>
        <w:spacing w:after="120"/>
        <w:ind w:left="360"/>
        <w:rPr>
          <w:rFonts w:ascii="Times New Roman" w:hAnsi="Times New Roman"/>
          <w:sz w:val="24"/>
          <w:szCs w:val="24"/>
        </w:rPr>
      </w:pPr>
      <w:r w:rsidRPr="00B95677">
        <w:rPr>
          <w:rFonts w:ascii="Times New Roman" w:hAnsi="Times New Roman"/>
          <w:sz w:val="24"/>
          <w:szCs w:val="24"/>
        </w:rPr>
        <w:t xml:space="preserve">PROPOSED OUTCOME: </w:t>
      </w:r>
    </w:p>
    <w:p w:rsidRPr="00B95677" w:rsidR="00BA182A" w:rsidP="00080840" w:rsidRDefault="003872FB" w14:paraId="66FFC87A" w14:textId="77777777">
      <w:pPr>
        <w:pStyle w:val="ListParagraph"/>
        <w:numPr>
          <w:ilvl w:val="0"/>
          <w:numId w:val="10"/>
        </w:numPr>
        <w:autoSpaceDE w:val="0"/>
        <w:autoSpaceDN w:val="0"/>
        <w:adjustRightInd w:val="0"/>
        <w:ind w:left="1080" w:right="1440"/>
        <w:rPr>
          <w:rFonts w:ascii="Times New Roman" w:hAnsi="Times New Roman"/>
          <w:color w:val="000000"/>
          <w:sz w:val="24"/>
          <w:szCs w:val="24"/>
        </w:rPr>
      </w:pPr>
      <w:r w:rsidRPr="00B95677">
        <w:rPr>
          <w:rFonts w:ascii="Times New Roman" w:hAnsi="Times New Roman"/>
          <w:color w:val="000000"/>
          <w:sz w:val="24"/>
          <w:szCs w:val="24"/>
        </w:rPr>
        <w:t>Adopts Energy Safety’s recommendation to m</w:t>
      </w:r>
      <w:r w:rsidRPr="00B95677" w:rsidR="00BA182A">
        <w:rPr>
          <w:rFonts w:ascii="Times New Roman" w:hAnsi="Times New Roman"/>
          <w:color w:val="000000"/>
          <w:sz w:val="24"/>
          <w:szCs w:val="24"/>
        </w:rPr>
        <w:t>aintain existing performance metrics</w:t>
      </w:r>
      <w:r w:rsidRPr="00B95677">
        <w:rPr>
          <w:rFonts w:ascii="Times New Roman" w:hAnsi="Times New Roman"/>
          <w:color w:val="000000"/>
          <w:sz w:val="24"/>
          <w:szCs w:val="24"/>
        </w:rPr>
        <w:t xml:space="preserve"> for 2022</w:t>
      </w:r>
      <w:r w:rsidRPr="00B95677" w:rsidR="003B62C4">
        <w:rPr>
          <w:rFonts w:ascii="Times New Roman" w:hAnsi="Times New Roman"/>
          <w:color w:val="000000"/>
          <w:sz w:val="24"/>
          <w:szCs w:val="24"/>
        </w:rPr>
        <w:t xml:space="preserve"> WMPs</w:t>
      </w:r>
      <w:r w:rsidRPr="00B95677" w:rsidR="00AD3ECE">
        <w:rPr>
          <w:rFonts w:ascii="Times New Roman" w:hAnsi="Times New Roman"/>
          <w:color w:val="000000"/>
          <w:sz w:val="24"/>
          <w:szCs w:val="24"/>
        </w:rPr>
        <w:t>.</w:t>
      </w:r>
    </w:p>
    <w:p w:rsidRPr="00B95677" w:rsidR="00996BF8" w:rsidP="00080840" w:rsidRDefault="00996BF8" w14:paraId="7DBADA0A" w14:textId="77777777">
      <w:pPr>
        <w:pStyle w:val="ListParagraph"/>
        <w:autoSpaceDE w:val="0"/>
        <w:autoSpaceDN w:val="0"/>
        <w:adjustRightInd w:val="0"/>
        <w:ind w:left="1080" w:right="1440"/>
        <w:rPr>
          <w:rFonts w:ascii="Times New Roman" w:hAnsi="Times New Roman"/>
          <w:color w:val="000000"/>
          <w:sz w:val="24"/>
          <w:szCs w:val="24"/>
        </w:rPr>
      </w:pPr>
    </w:p>
    <w:p w:rsidRPr="00B95677" w:rsidR="00420DCD" w:rsidP="00080840" w:rsidRDefault="003872FB" w14:paraId="044BBD27" w14:textId="77777777">
      <w:pPr>
        <w:pStyle w:val="ListParagraph"/>
        <w:numPr>
          <w:ilvl w:val="0"/>
          <w:numId w:val="10"/>
        </w:numPr>
        <w:autoSpaceDE w:val="0"/>
        <w:autoSpaceDN w:val="0"/>
        <w:adjustRightInd w:val="0"/>
        <w:ind w:left="1080" w:right="1440"/>
        <w:rPr>
          <w:rFonts w:ascii="Times New Roman" w:hAnsi="Times New Roman"/>
          <w:color w:val="000000"/>
          <w:sz w:val="24"/>
          <w:szCs w:val="24"/>
        </w:rPr>
      </w:pPr>
      <w:r w:rsidRPr="00B95677">
        <w:rPr>
          <w:rFonts w:ascii="Times New Roman" w:hAnsi="Times New Roman"/>
          <w:color w:val="000000"/>
          <w:sz w:val="24"/>
          <w:szCs w:val="24"/>
        </w:rPr>
        <w:t xml:space="preserve">Adopts Energy Safety’s recommendation </w:t>
      </w:r>
      <w:r w:rsidRPr="00B95677" w:rsidR="00B83DEF">
        <w:rPr>
          <w:rFonts w:ascii="Times New Roman" w:hAnsi="Times New Roman"/>
          <w:color w:val="000000"/>
          <w:sz w:val="24"/>
          <w:szCs w:val="24"/>
        </w:rPr>
        <w:t xml:space="preserve">to maintain existing WMP requirements </w:t>
      </w:r>
      <w:r w:rsidRPr="00B95677" w:rsidR="006831EB">
        <w:rPr>
          <w:rFonts w:ascii="Times New Roman" w:hAnsi="Times New Roman"/>
          <w:color w:val="000000"/>
          <w:sz w:val="24"/>
          <w:szCs w:val="24"/>
        </w:rPr>
        <w:t>for 2</w:t>
      </w:r>
      <w:r w:rsidRPr="00B95677" w:rsidR="00996BF8">
        <w:rPr>
          <w:rFonts w:ascii="Times New Roman" w:hAnsi="Times New Roman"/>
          <w:color w:val="000000"/>
          <w:sz w:val="24"/>
          <w:szCs w:val="24"/>
        </w:rPr>
        <w:t>022</w:t>
      </w:r>
      <w:r w:rsidRPr="00B95677" w:rsidR="00DF43EE">
        <w:rPr>
          <w:rFonts w:ascii="Times New Roman" w:hAnsi="Times New Roman"/>
          <w:color w:val="000000"/>
          <w:sz w:val="24"/>
          <w:szCs w:val="24"/>
        </w:rPr>
        <w:t xml:space="preserve"> WMPs</w:t>
      </w:r>
      <w:r w:rsidRPr="00B95677" w:rsidR="00996BF8">
        <w:rPr>
          <w:rFonts w:ascii="Times New Roman" w:hAnsi="Times New Roman"/>
          <w:color w:val="000000"/>
          <w:sz w:val="24"/>
          <w:szCs w:val="24"/>
        </w:rPr>
        <w:t>.</w:t>
      </w:r>
      <w:r w:rsidRPr="00B95677" w:rsidR="003B62C4">
        <w:rPr>
          <w:rFonts w:ascii="Times New Roman" w:hAnsi="Times New Roman"/>
          <w:color w:val="000000"/>
          <w:sz w:val="24"/>
          <w:szCs w:val="24"/>
        </w:rPr>
        <w:t xml:space="preserve">  </w:t>
      </w:r>
    </w:p>
    <w:p w:rsidRPr="00B95677" w:rsidR="00A03DA9" w:rsidP="00080840" w:rsidRDefault="00A03DA9" w14:paraId="68A43D09" w14:textId="77777777">
      <w:pPr>
        <w:pStyle w:val="Res-Caption"/>
        <w:numPr>
          <w:ilvl w:val="0"/>
          <w:numId w:val="10"/>
        </w:numPr>
        <w:spacing w:after="240"/>
        <w:ind w:left="1080" w:right="1440"/>
        <w:rPr>
          <w:rFonts w:ascii="Times New Roman" w:hAnsi="Times New Roman"/>
          <w:sz w:val="24"/>
          <w:szCs w:val="24"/>
        </w:rPr>
      </w:pPr>
      <w:r w:rsidRPr="00B95677">
        <w:rPr>
          <w:rFonts w:ascii="Times New Roman" w:hAnsi="Times New Roman"/>
          <w:sz w:val="24"/>
          <w:szCs w:val="24"/>
        </w:rPr>
        <w:t>Adopts Energy Safety’s proposals for the WMP compliance process and annual safety culture assessment process.</w:t>
      </w:r>
    </w:p>
    <w:p w:rsidRPr="00B95677" w:rsidR="00E552F3" w:rsidP="00BA66A0" w:rsidRDefault="001A36E2" w14:paraId="7FC66120" w14:textId="77777777">
      <w:pPr>
        <w:pStyle w:val="ListParagraph"/>
        <w:numPr>
          <w:ilvl w:val="0"/>
          <w:numId w:val="10"/>
        </w:numPr>
        <w:autoSpaceDE w:val="0"/>
        <w:autoSpaceDN w:val="0"/>
        <w:adjustRightInd w:val="0"/>
        <w:spacing w:after="120"/>
        <w:ind w:left="360"/>
        <w:contextualSpacing w:val="0"/>
        <w:rPr>
          <w:rFonts w:ascii="Times New Roman" w:hAnsi="Times New Roman"/>
          <w:sz w:val="24"/>
          <w:szCs w:val="24"/>
        </w:rPr>
      </w:pPr>
      <w:r w:rsidRPr="00B95677">
        <w:rPr>
          <w:rFonts w:ascii="Times New Roman" w:hAnsi="Times New Roman"/>
          <w:sz w:val="24"/>
          <w:szCs w:val="24"/>
        </w:rPr>
        <w:t>SAFETY CONSIDERATIONS:</w:t>
      </w:r>
    </w:p>
    <w:p w:rsidRPr="00B95677" w:rsidR="001A36E2" w:rsidP="008F4C9D" w:rsidRDefault="001A36E2" w14:paraId="7889072D" w14:textId="77777777">
      <w:pPr>
        <w:pStyle w:val="Res-Caption"/>
        <w:numPr>
          <w:ilvl w:val="0"/>
          <w:numId w:val="10"/>
        </w:numPr>
        <w:spacing w:after="120"/>
        <w:ind w:left="1080" w:right="1440"/>
        <w:rPr>
          <w:rFonts w:ascii="Times New Roman" w:hAnsi="Times New Roman"/>
          <w:sz w:val="24"/>
          <w:szCs w:val="24"/>
        </w:rPr>
      </w:pPr>
      <w:r w:rsidRPr="00B95677">
        <w:rPr>
          <w:rFonts w:ascii="Times New Roman" w:hAnsi="Times New Roman"/>
          <w:sz w:val="24"/>
          <w:szCs w:val="24"/>
        </w:rPr>
        <w:t xml:space="preserve">Mitigation of catastrophic wildfires in California is among the most important safety challenges the Commission-regulated electrical corporations face. </w:t>
      </w:r>
      <w:r w:rsidRPr="00B95677" w:rsidR="0011367A">
        <w:rPr>
          <w:rFonts w:ascii="Times New Roman" w:hAnsi="Times New Roman"/>
          <w:sz w:val="24"/>
          <w:szCs w:val="24"/>
        </w:rPr>
        <w:t xml:space="preserve"> </w:t>
      </w:r>
      <w:r w:rsidRPr="00B95677">
        <w:rPr>
          <w:rFonts w:ascii="Times New Roman" w:hAnsi="Times New Roman"/>
          <w:sz w:val="24"/>
          <w:szCs w:val="24"/>
        </w:rPr>
        <w:t xml:space="preserve">WMPs </w:t>
      </w:r>
      <w:r w:rsidRPr="00B95677" w:rsidR="0015079F">
        <w:rPr>
          <w:rFonts w:ascii="Times New Roman" w:hAnsi="Times New Roman"/>
          <w:sz w:val="24"/>
          <w:szCs w:val="24"/>
        </w:rPr>
        <w:t>provide</w:t>
      </w:r>
      <w:r w:rsidRPr="00B95677">
        <w:rPr>
          <w:rFonts w:ascii="Times New Roman" w:hAnsi="Times New Roman"/>
          <w:sz w:val="24"/>
          <w:szCs w:val="24"/>
        </w:rPr>
        <w:t xml:space="preserve"> an electrical corporation’s proposed actions to help prevent catastrophic wildfire</w:t>
      </w:r>
      <w:r w:rsidRPr="00B95677" w:rsidR="00941FF6">
        <w:rPr>
          <w:rFonts w:ascii="Times New Roman" w:hAnsi="Times New Roman"/>
          <w:sz w:val="24"/>
          <w:szCs w:val="24"/>
        </w:rPr>
        <w:t>s</w:t>
      </w:r>
      <w:r w:rsidRPr="00B95677">
        <w:rPr>
          <w:rFonts w:ascii="Times New Roman" w:hAnsi="Times New Roman"/>
          <w:sz w:val="24"/>
          <w:szCs w:val="24"/>
        </w:rPr>
        <w:t>, so comprehensive WMPs are essential to safety.</w:t>
      </w:r>
    </w:p>
    <w:p w:rsidRPr="00B95677" w:rsidR="00407241" w:rsidP="008F4C9D" w:rsidRDefault="00473F72" w14:paraId="3BE5419C" w14:textId="77777777">
      <w:pPr>
        <w:pStyle w:val="Res-Caption"/>
        <w:numPr>
          <w:ilvl w:val="0"/>
          <w:numId w:val="10"/>
        </w:numPr>
        <w:spacing w:after="120"/>
        <w:ind w:left="1080" w:right="1440"/>
        <w:rPr>
          <w:rFonts w:ascii="Times New Roman" w:hAnsi="Times New Roman"/>
          <w:sz w:val="24"/>
          <w:szCs w:val="24"/>
        </w:rPr>
      </w:pPr>
      <w:r w:rsidRPr="00B95677">
        <w:rPr>
          <w:rFonts w:ascii="Times New Roman" w:hAnsi="Times New Roman"/>
          <w:sz w:val="24"/>
          <w:szCs w:val="24"/>
        </w:rPr>
        <w:t xml:space="preserve">Any changes to </w:t>
      </w:r>
      <w:r w:rsidRPr="00B95677" w:rsidR="0020347F">
        <w:rPr>
          <w:rFonts w:ascii="Times New Roman" w:hAnsi="Times New Roman"/>
          <w:sz w:val="24"/>
          <w:szCs w:val="24"/>
        </w:rPr>
        <w:t>WMP</w:t>
      </w:r>
      <w:r w:rsidRPr="00B95677">
        <w:rPr>
          <w:rFonts w:ascii="Times New Roman" w:hAnsi="Times New Roman"/>
          <w:sz w:val="24"/>
          <w:szCs w:val="24"/>
        </w:rPr>
        <w:t>s</w:t>
      </w:r>
      <w:r w:rsidRPr="00B95677" w:rsidR="0020347F">
        <w:rPr>
          <w:rFonts w:ascii="Times New Roman" w:hAnsi="Times New Roman"/>
          <w:sz w:val="24"/>
          <w:szCs w:val="24"/>
        </w:rPr>
        <w:t xml:space="preserve"> </w:t>
      </w:r>
      <w:r w:rsidRPr="00B95677" w:rsidR="001A36E2">
        <w:rPr>
          <w:rFonts w:ascii="Times New Roman" w:hAnsi="Times New Roman"/>
          <w:sz w:val="24"/>
          <w:szCs w:val="24"/>
        </w:rPr>
        <w:t xml:space="preserve">should </w:t>
      </w:r>
      <w:r w:rsidRPr="00B95677" w:rsidR="00D70D2A">
        <w:rPr>
          <w:rFonts w:ascii="Times New Roman" w:hAnsi="Times New Roman"/>
          <w:sz w:val="24"/>
          <w:szCs w:val="24"/>
        </w:rPr>
        <w:t>enhance</w:t>
      </w:r>
      <w:r w:rsidRPr="00B95677" w:rsidR="001A36E2">
        <w:rPr>
          <w:rFonts w:ascii="Times New Roman" w:hAnsi="Times New Roman"/>
          <w:sz w:val="24"/>
          <w:szCs w:val="24"/>
        </w:rPr>
        <w:t xml:space="preserve"> California’s ability to</w:t>
      </w:r>
      <w:r w:rsidRPr="00B95677" w:rsidR="001A242B">
        <w:rPr>
          <w:rFonts w:ascii="Times New Roman" w:hAnsi="Times New Roman"/>
          <w:sz w:val="24"/>
          <w:szCs w:val="24"/>
        </w:rPr>
        <w:t xml:space="preserve"> </w:t>
      </w:r>
      <w:r w:rsidRPr="00B95677" w:rsidR="00D70D2A">
        <w:rPr>
          <w:rFonts w:ascii="Times New Roman" w:hAnsi="Times New Roman"/>
          <w:sz w:val="24"/>
          <w:szCs w:val="24"/>
        </w:rPr>
        <w:t xml:space="preserve">review and </w:t>
      </w:r>
      <w:r w:rsidRPr="00B95677" w:rsidR="001A242B">
        <w:rPr>
          <w:rFonts w:ascii="Times New Roman" w:hAnsi="Times New Roman"/>
          <w:sz w:val="24"/>
          <w:szCs w:val="24"/>
        </w:rPr>
        <w:t xml:space="preserve">monitor the electrical corporations’ </w:t>
      </w:r>
      <w:r w:rsidRPr="00B95677" w:rsidR="00D70D2A">
        <w:rPr>
          <w:rFonts w:ascii="Times New Roman" w:hAnsi="Times New Roman"/>
          <w:sz w:val="24"/>
          <w:szCs w:val="24"/>
        </w:rPr>
        <w:t xml:space="preserve">actions in </w:t>
      </w:r>
      <w:r w:rsidRPr="00B95677" w:rsidR="001A36E2">
        <w:rPr>
          <w:rFonts w:ascii="Times New Roman" w:hAnsi="Times New Roman"/>
          <w:sz w:val="24"/>
          <w:szCs w:val="24"/>
        </w:rPr>
        <w:t>mitigat</w:t>
      </w:r>
      <w:r w:rsidRPr="00B95677" w:rsidR="00D70D2A">
        <w:rPr>
          <w:rFonts w:ascii="Times New Roman" w:hAnsi="Times New Roman"/>
          <w:sz w:val="24"/>
          <w:szCs w:val="24"/>
        </w:rPr>
        <w:t>ing</w:t>
      </w:r>
      <w:r w:rsidRPr="00B95677" w:rsidR="001A36E2">
        <w:rPr>
          <w:rFonts w:ascii="Times New Roman" w:hAnsi="Times New Roman"/>
          <w:sz w:val="24"/>
          <w:szCs w:val="24"/>
        </w:rPr>
        <w:t xml:space="preserve"> catastrophic wildfire.  </w:t>
      </w:r>
    </w:p>
    <w:p w:rsidRPr="00B95677" w:rsidR="00A76DCD" w:rsidP="008F4C9D" w:rsidRDefault="00C52CF5" w14:paraId="6512C5AD" w14:textId="77777777">
      <w:pPr>
        <w:pStyle w:val="Res-Caption"/>
        <w:numPr>
          <w:ilvl w:val="0"/>
          <w:numId w:val="10"/>
        </w:numPr>
        <w:spacing w:after="120"/>
        <w:ind w:left="1080" w:right="1440"/>
        <w:rPr>
          <w:rFonts w:ascii="Times New Roman" w:hAnsi="Times New Roman"/>
          <w:sz w:val="24"/>
          <w:szCs w:val="24"/>
        </w:rPr>
      </w:pPr>
      <w:r w:rsidRPr="00B95677">
        <w:rPr>
          <w:rFonts w:ascii="Times New Roman" w:hAnsi="Times New Roman"/>
          <w:sz w:val="24"/>
          <w:szCs w:val="24"/>
        </w:rPr>
        <w:t xml:space="preserve">The process for conducting annual </w:t>
      </w:r>
      <w:r w:rsidRPr="00B95677" w:rsidR="0020347F">
        <w:rPr>
          <w:rFonts w:ascii="Times New Roman" w:hAnsi="Times New Roman"/>
          <w:sz w:val="24"/>
          <w:szCs w:val="24"/>
        </w:rPr>
        <w:t>s</w:t>
      </w:r>
      <w:r w:rsidRPr="00B95677">
        <w:rPr>
          <w:rFonts w:ascii="Times New Roman" w:hAnsi="Times New Roman"/>
          <w:sz w:val="24"/>
          <w:szCs w:val="24"/>
        </w:rPr>
        <w:t xml:space="preserve">afety </w:t>
      </w:r>
      <w:r w:rsidRPr="00B95677" w:rsidR="0020347F">
        <w:rPr>
          <w:rFonts w:ascii="Times New Roman" w:hAnsi="Times New Roman"/>
          <w:sz w:val="24"/>
          <w:szCs w:val="24"/>
        </w:rPr>
        <w:t>c</w:t>
      </w:r>
      <w:r w:rsidRPr="00B95677">
        <w:rPr>
          <w:rFonts w:ascii="Times New Roman" w:hAnsi="Times New Roman"/>
          <w:sz w:val="24"/>
          <w:szCs w:val="24"/>
        </w:rPr>
        <w:t xml:space="preserve">ulture </w:t>
      </w:r>
      <w:r w:rsidRPr="00B95677" w:rsidR="0020347F">
        <w:rPr>
          <w:rFonts w:ascii="Times New Roman" w:hAnsi="Times New Roman"/>
          <w:sz w:val="24"/>
          <w:szCs w:val="24"/>
        </w:rPr>
        <w:t>a</w:t>
      </w:r>
      <w:r w:rsidRPr="00B95677">
        <w:rPr>
          <w:rFonts w:ascii="Times New Roman" w:hAnsi="Times New Roman"/>
          <w:sz w:val="24"/>
          <w:szCs w:val="24"/>
        </w:rPr>
        <w:t xml:space="preserve">ssessments </w:t>
      </w:r>
      <w:r w:rsidRPr="00B95677" w:rsidR="003431AF">
        <w:rPr>
          <w:rFonts w:ascii="Times New Roman" w:hAnsi="Times New Roman"/>
          <w:sz w:val="24"/>
          <w:szCs w:val="24"/>
        </w:rPr>
        <w:t xml:space="preserve">should </w:t>
      </w:r>
      <w:r w:rsidRPr="00B95677" w:rsidR="0020347F">
        <w:rPr>
          <w:rFonts w:ascii="Times New Roman" w:hAnsi="Times New Roman"/>
          <w:sz w:val="24"/>
          <w:szCs w:val="24"/>
        </w:rPr>
        <w:t>help ensure electrical corporations improve their focus on and culture of safety at all levels of the</w:t>
      </w:r>
      <w:r w:rsidRPr="00B95677" w:rsidR="003431AF">
        <w:rPr>
          <w:rFonts w:ascii="Times New Roman" w:hAnsi="Times New Roman"/>
          <w:sz w:val="24"/>
          <w:szCs w:val="24"/>
        </w:rPr>
        <w:t>ir</w:t>
      </w:r>
      <w:r w:rsidRPr="00B95677" w:rsidR="0020347F">
        <w:rPr>
          <w:rFonts w:ascii="Times New Roman" w:hAnsi="Times New Roman"/>
          <w:sz w:val="24"/>
          <w:szCs w:val="24"/>
        </w:rPr>
        <w:t xml:space="preserve"> </w:t>
      </w:r>
      <w:r w:rsidRPr="00B95677" w:rsidR="003431AF">
        <w:rPr>
          <w:rFonts w:ascii="Times New Roman" w:hAnsi="Times New Roman"/>
          <w:sz w:val="24"/>
          <w:szCs w:val="24"/>
        </w:rPr>
        <w:t>businesses.</w:t>
      </w:r>
    </w:p>
    <w:p w:rsidRPr="00B95677" w:rsidR="00E850B6" w:rsidP="002A6F8D" w:rsidRDefault="00E850B6" w14:paraId="1C366D0B" w14:textId="77777777">
      <w:pPr>
        <w:pStyle w:val="Res-Caption"/>
        <w:numPr>
          <w:ilvl w:val="0"/>
          <w:numId w:val="10"/>
        </w:numPr>
        <w:spacing w:after="120"/>
        <w:ind w:left="1080" w:right="1440"/>
        <w:rPr>
          <w:rFonts w:ascii="Times New Roman" w:hAnsi="Times New Roman"/>
          <w:sz w:val="24"/>
          <w:szCs w:val="24"/>
        </w:rPr>
      </w:pPr>
      <w:r w:rsidRPr="00B95677">
        <w:rPr>
          <w:rFonts w:ascii="Times New Roman" w:hAnsi="Times New Roman"/>
          <w:sz w:val="24"/>
          <w:szCs w:val="24"/>
        </w:rPr>
        <w:t>Compliance with WMPs is essential to achieving a reduction in catastrophic wildfires.</w:t>
      </w:r>
    </w:p>
    <w:p w:rsidRPr="00B95677" w:rsidR="00E850B6" w:rsidP="002A6F8D" w:rsidRDefault="00E850B6" w14:paraId="6F0207C0" w14:textId="77777777">
      <w:pPr>
        <w:pStyle w:val="Res-Caption"/>
        <w:spacing w:after="120"/>
        <w:ind w:left="1080" w:right="1440"/>
        <w:rPr>
          <w:rFonts w:ascii="Times New Roman" w:hAnsi="Times New Roman"/>
          <w:sz w:val="24"/>
          <w:szCs w:val="24"/>
        </w:rPr>
      </w:pPr>
    </w:p>
    <w:p w:rsidRPr="00B95677" w:rsidR="001A36E2" w:rsidP="00BA66A0" w:rsidRDefault="001A36E2" w14:paraId="3BF038E7" w14:textId="77777777">
      <w:pPr>
        <w:pStyle w:val="ListParagraph"/>
        <w:numPr>
          <w:ilvl w:val="0"/>
          <w:numId w:val="10"/>
        </w:numPr>
        <w:autoSpaceDE w:val="0"/>
        <w:autoSpaceDN w:val="0"/>
        <w:adjustRightInd w:val="0"/>
        <w:spacing w:after="120"/>
        <w:ind w:left="360"/>
        <w:contextualSpacing w:val="0"/>
        <w:rPr>
          <w:rFonts w:ascii="Times New Roman" w:hAnsi="Times New Roman"/>
          <w:sz w:val="24"/>
          <w:szCs w:val="24"/>
        </w:rPr>
      </w:pPr>
      <w:r w:rsidRPr="00B95677">
        <w:rPr>
          <w:rFonts w:ascii="Times New Roman" w:hAnsi="Times New Roman"/>
          <w:sz w:val="24"/>
          <w:szCs w:val="24"/>
        </w:rPr>
        <w:t xml:space="preserve">ESTIMATED COST:  </w:t>
      </w:r>
    </w:p>
    <w:p w:rsidRPr="00B95677" w:rsidR="009F11A6" w:rsidP="008F4C9D" w:rsidRDefault="009F11A6" w14:paraId="09C3BBFB" w14:textId="77777777">
      <w:pPr>
        <w:pStyle w:val="Res-Caption"/>
        <w:numPr>
          <w:ilvl w:val="0"/>
          <w:numId w:val="9"/>
        </w:numPr>
        <w:spacing w:after="120"/>
        <w:ind w:left="1080" w:right="1440"/>
        <w:rPr>
          <w:rFonts w:ascii="Times New Roman" w:hAnsi="Times New Roman"/>
          <w:sz w:val="24"/>
          <w:szCs w:val="24"/>
        </w:rPr>
      </w:pPr>
      <w:r w:rsidRPr="00B95677">
        <w:rPr>
          <w:rFonts w:ascii="Times New Roman" w:hAnsi="Times New Roman"/>
          <w:sz w:val="24"/>
          <w:szCs w:val="24"/>
        </w:rPr>
        <w:t xml:space="preserve">This </w:t>
      </w:r>
      <w:r w:rsidRPr="00B95677" w:rsidR="001A36E2">
        <w:rPr>
          <w:rFonts w:ascii="Times New Roman" w:hAnsi="Times New Roman"/>
          <w:sz w:val="24"/>
          <w:szCs w:val="24"/>
        </w:rPr>
        <w:t xml:space="preserve">Resolution </w:t>
      </w:r>
      <w:r w:rsidRPr="00B95677">
        <w:rPr>
          <w:rFonts w:ascii="Times New Roman" w:hAnsi="Times New Roman"/>
          <w:sz w:val="24"/>
          <w:szCs w:val="24"/>
        </w:rPr>
        <w:t>does not address or approve costs</w:t>
      </w:r>
      <w:r w:rsidRPr="00B95677" w:rsidR="00AB6494">
        <w:rPr>
          <w:rFonts w:ascii="Times New Roman" w:hAnsi="Times New Roman"/>
          <w:sz w:val="24"/>
          <w:szCs w:val="24"/>
        </w:rPr>
        <w:t>.</w:t>
      </w:r>
    </w:p>
    <w:p w:rsidRPr="00B95677" w:rsidR="00080840" w:rsidP="008F4C9D" w:rsidRDefault="00040B25" w14:paraId="350F394B" w14:textId="77777777">
      <w:pPr>
        <w:pStyle w:val="Res-Caption"/>
        <w:numPr>
          <w:ilvl w:val="0"/>
          <w:numId w:val="9"/>
        </w:numPr>
        <w:spacing w:after="120"/>
        <w:ind w:left="1080" w:right="1440"/>
        <w:rPr>
          <w:rFonts w:ascii="Times New Roman" w:hAnsi="Times New Roman"/>
          <w:sz w:val="24"/>
          <w:szCs w:val="24"/>
        </w:rPr>
      </w:pPr>
      <w:r w:rsidRPr="00B95677">
        <w:rPr>
          <w:rFonts w:ascii="Times New Roman" w:hAnsi="Times New Roman"/>
          <w:sz w:val="24"/>
          <w:szCs w:val="24"/>
        </w:rPr>
        <w:t xml:space="preserve">Costs incurred to comply with </w:t>
      </w:r>
      <w:r w:rsidRPr="00B95677" w:rsidR="009F11A6">
        <w:rPr>
          <w:rFonts w:ascii="Times New Roman" w:hAnsi="Times New Roman"/>
          <w:sz w:val="24"/>
          <w:szCs w:val="24"/>
        </w:rPr>
        <w:t>WMP</w:t>
      </w:r>
      <w:r w:rsidRPr="00B95677">
        <w:rPr>
          <w:rFonts w:ascii="Times New Roman" w:hAnsi="Times New Roman"/>
          <w:sz w:val="24"/>
          <w:szCs w:val="24"/>
        </w:rPr>
        <w:t>s</w:t>
      </w:r>
      <w:r w:rsidRPr="00B95677" w:rsidR="009F11A6">
        <w:rPr>
          <w:rFonts w:ascii="Times New Roman" w:hAnsi="Times New Roman"/>
          <w:sz w:val="24"/>
          <w:szCs w:val="24"/>
        </w:rPr>
        <w:t xml:space="preserve"> are to be addressed in electrical corporation General Rate Cases or other applications, not in WMPs or safety culture assessments. </w:t>
      </w:r>
    </w:p>
    <w:p w:rsidRPr="00B95677" w:rsidR="00080840" w:rsidRDefault="00080840" w14:paraId="2415B310" w14:textId="77777777">
      <w:pPr>
        <w:spacing w:after="160" w:line="259" w:lineRule="auto"/>
        <w:rPr>
          <w:rFonts w:ascii="Times New Roman" w:hAnsi="Times New Roman" w:eastAsia="Times New Roman" w:cs="Times New Roman"/>
          <w:sz w:val="24"/>
          <w:szCs w:val="24"/>
        </w:rPr>
      </w:pPr>
      <w:r w:rsidRPr="00B95677">
        <w:rPr>
          <w:rFonts w:ascii="Times New Roman" w:hAnsi="Times New Roman" w:cs="Times New Roman"/>
          <w:sz w:val="24"/>
          <w:szCs w:val="24"/>
        </w:rPr>
        <w:br w:type="page"/>
      </w:r>
    </w:p>
    <w:p w:rsidRPr="00B95677" w:rsidR="001A242B" w:rsidP="00080840" w:rsidRDefault="001A242B" w14:paraId="6F8324DB" w14:textId="77777777">
      <w:pPr>
        <w:pStyle w:val="Heading1"/>
        <w:spacing w:before="240"/>
        <w:rPr>
          <w:rFonts w:ascii="Times New Roman" w:hAnsi="Times New Roman" w:cs="Times New Roman"/>
          <w:sz w:val="24"/>
          <w:szCs w:val="24"/>
        </w:rPr>
      </w:pPr>
      <w:r w:rsidRPr="00B95677">
        <w:rPr>
          <w:rFonts w:ascii="Times New Roman" w:hAnsi="Times New Roman" w:cs="Times New Roman"/>
          <w:sz w:val="24"/>
          <w:szCs w:val="24"/>
        </w:rPr>
        <w:lastRenderedPageBreak/>
        <w:t>Discussion</w:t>
      </w:r>
    </w:p>
    <w:p w:rsidRPr="00B95677" w:rsidR="00F055E8" w:rsidP="00080840" w:rsidRDefault="00F055E8" w14:paraId="1529E0AB" w14:textId="77777777">
      <w:pPr>
        <w:pStyle w:val="Res-Caption"/>
        <w:numPr>
          <w:ilvl w:val="0"/>
          <w:numId w:val="12"/>
        </w:numPr>
        <w:spacing w:after="120"/>
        <w:ind w:hanging="720"/>
        <w:rPr>
          <w:rFonts w:ascii="Times New Roman" w:hAnsi="Times New Roman"/>
          <w:b/>
          <w:bCs/>
          <w:sz w:val="24"/>
          <w:szCs w:val="24"/>
        </w:rPr>
      </w:pPr>
      <w:r w:rsidRPr="00B95677">
        <w:rPr>
          <w:rFonts w:ascii="Times New Roman" w:hAnsi="Times New Roman"/>
          <w:b/>
          <w:bCs/>
          <w:sz w:val="24"/>
          <w:szCs w:val="24"/>
        </w:rPr>
        <w:t xml:space="preserve">Attachment </w:t>
      </w:r>
      <w:r w:rsidRPr="00B95677" w:rsidR="002852B9">
        <w:rPr>
          <w:rFonts w:ascii="Times New Roman" w:hAnsi="Times New Roman"/>
          <w:b/>
          <w:bCs/>
          <w:sz w:val="24"/>
          <w:szCs w:val="24"/>
        </w:rPr>
        <w:t>1</w:t>
      </w:r>
      <w:r w:rsidRPr="00B95677">
        <w:rPr>
          <w:rFonts w:ascii="Times New Roman" w:hAnsi="Times New Roman"/>
          <w:b/>
          <w:bCs/>
          <w:sz w:val="24"/>
          <w:szCs w:val="24"/>
        </w:rPr>
        <w:t>: Performance Metrics</w:t>
      </w:r>
    </w:p>
    <w:p w:rsidRPr="00B95677" w:rsidR="008C6B3E" w:rsidP="00080840" w:rsidRDefault="002852B9" w14:paraId="029CC463" w14:textId="77777777">
      <w:pPr>
        <w:pStyle w:val="Res-Caption"/>
        <w:spacing w:after="120"/>
        <w:ind w:left="1080" w:hanging="360"/>
        <w:rPr>
          <w:rFonts w:ascii="Times New Roman" w:hAnsi="Times New Roman"/>
          <w:b/>
          <w:bCs/>
          <w:sz w:val="24"/>
          <w:szCs w:val="24"/>
        </w:rPr>
      </w:pPr>
      <w:r w:rsidRPr="00B95677">
        <w:rPr>
          <w:rFonts w:ascii="Times New Roman" w:hAnsi="Times New Roman"/>
          <w:b/>
          <w:bCs/>
          <w:sz w:val="24"/>
          <w:szCs w:val="24"/>
        </w:rPr>
        <w:t>1</w:t>
      </w:r>
      <w:r w:rsidRPr="00B95677" w:rsidR="008C6B3E">
        <w:rPr>
          <w:rFonts w:ascii="Times New Roman" w:hAnsi="Times New Roman"/>
          <w:b/>
          <w:bCs/>
          <w:sz w:val="24"/>
          <w:szCs w:val="24"/>
        </w:rPr>
        <w:t>.1</w:t>
      </w:r>
      <w:r w:rsidRPr="00B95677" w:rsidR="00080840">
        <w:rPr>
          <w:rFonts w:ascii="Times New Roman" w:hAnsi="Times New Roman"/>
          <w:b/>
          <w:bCs/>
          <w:sz w:val="24"/>
          <w:szCs w:val="24"/>
        </w:rPr>
        <w:t>.</w:t>
      </w:r>
      <w:r w:rsidRPr="00B95677" w:rsidR="00080840">
        <w:rPr>
          <w:rFonts w:ascii="Times New Roman" w:hAnsi="Times New Roman"/>
          <w:b/>
          <w:bCs/>
          <w:sz w:val="24"/>
          <w:szCs w:val="24"/>
        </w:rPr>
        <w:tab/>
      </w:r>
      <w:r w:rsidRPr="00B95677" w:rsidR="008C6B3E">
        <w:rPr>
          <w:rFonts w:ascii="Times New Roman" w:hAnsi="Times New Roman"/>
          <w:b/>
          <w:bCs/>
          <w:sz w:val="24"/>
          <w:szCs w:val="24"/>
        </w:rPr>
        <w:t xml:space="preserve">Energy Safety’s Recommendations </w:t>
      </w:r>
    </w:p>
    <w:p w:rsidRPr="00B95677" w:rsidR="00F055E8" w:rsidP="00F96923" w:rsidRDefault="00F055E8" w14:paraId="5326A949" w14:textId="77777777">
      <w:pPr>
        <w:pStyle w:val="Res-Caption"/>
        <w:spacing w:after="120"/>
        <w:ind w:left="0" w:right="0"/>
        <w:rPr>
          <w:rFonts w:ascii="Times New Roman" w:hAnsi="Times New Roman"/>
          <w:sz w:val="24"/>
          <w:szCs w:val="24"/>
        </w:rPr>
      </w:pPr>
      <w:r w:rsidRPr="00B95677">
        <w:rPr>
          <w:rFonts w:ascii="Times New Roman" w:hAnsi="Times New Roman"/>
          <w:sz w:val="24"/>
          <w:szCs w:val="24"/>
        </w:rPr>
        <w:t xml:space="preserve">Energy Safety </w:t>
      </w:r>
      <w:r w:rsidRPr="00B95677" w:rsidR="00B175BF">
        <w:rPr>
          <w:rFonts w:ascii="Times New Roman" w:hAnsi="Times New Roman"/>
          <w:sz w:val="24"/>
          <w:szCs w:val="24"/>
        </w:rPr>
        <w:t>recommended no changes to</w:t>
      </w:r>
      <w:r w:rsidRPr="00B95677" w:rsidR="00B502BA">
        <w:rPr>
          <w:rFonts w:ascii="Times New Roman" w:hAnsi="Times New Roman"/>
          <w:sz w:val="24"/>
          <w:szCs w:val="24"/>
        </w:rPr>
        <w:t xml:space="preserve"> the existing</w:t>
      </w:r>
      <w:r w:rsidRPr="00B95677">
        <w:rPr>
          <w:rFonts w:ascii="Times New Roman" w:hAnsi="Times New Roman"/>
          <w:sz w:val="24"/>
          <w:szCs w:val="24"/>
        </w:rPr>
        <w:t xml:space="preserve"> performance metrics</w:t>
      </w:r>
      <w:r w:rsidRPr="00B95677" w:rsidR="00A071E7">
        <w:rPr>
          <w:rFonts w:ascii="Times New Roman" w:hAnsi="Times New Roman"/>
          <w:sz w:val="24"/>
          <w:szCs w:val="24"/>
        </w:rPr>
        <w:t xml:space="preserve"> as described in Attachment 1 to this resolution</w:t>
      </w:r>
      <w:r w:rsidRPr="00B95677">
        <w:rPr>
          <w:rFonts w:ascii="Times New Roman" w:hAnsi="Times New Roman"/>
          <w:sz w:val="24"/>
          <w:szCs w:val="24"/>
        </w:rPr>
        <w:t xml:space="preserve">.  </w:t>
      </w:r>
      <w:r w:rsidRPr="00B95677" w:rsidR="00850900">
        <w:rPr>
          <w:rFonts w:ascii="Times New Roman" w:hAnsi="Times New Roman"/>
          <w:sz w:val="24"/>
          <w:szCs w:val="24"/>
        </w:rPr>
        <w:t xml:space="preserve">In consideration of </w:t>
      </w:r>
      <w:r w:rsidRPr="00B95677" w:rsidR="00347B82">
        <w:rPr>
          <w:rFonts w:ascii="Times New Roman" w:hAnsi="Times New Roman"/>
          <w:sz w:val="24"/>
          <w:szCs w:val="24"/>
        </w:rPr>
        <w:t xml:space="preserve">whether </w:t>
      </w:r>
      <w:r w:rsidRPr="00B95677" w:rsidR="00D570E1">
        <w:rPr>
          <w:rFonts w:ascii="Times New Roman" w:hAnsi="Times New Roman"/>
          <w:sz w:val="24"/>
          <w:szCs w:val="24"/>
        </w:rPr>
        <w:t xml:space="preserve">changes to performance metrics were needed, </w:t>
      </w:r>
      <w:r w:rsidRPr="00B95677">
        <w:rPr>
          <w:rFonts w:ascii="Times New Roman" w:hAnsi="Times New Roman"/>
          <w:sz w:val="24"/>
          <w:szCs w:val="24"/>
        </w:rPr>
        <w:t xml:space="preserve">Energy Safety </w:t>
      </w:r>
      <w:r w:rsidRPr="00B95677" w:rsidR="00AD2737">
        <w:rPr>
          <w:rFonts w:ascii="Times New Roman" w:hAnsi="Times New Roman"/>
          <w:sz w:val="24"/>
          <w:szCs w:val="24"/>
        </w:rPr>
        <w:t>reviewed</w:t>
      </w:r>
      <w:r w:rsidRPr="00B95677" w:rsidR="00257678">
        <w:rPr>
          <w:rFonts w:ascii="Times New Roman" w:hAnsi="Times New Roman"/>
          <w:sz w:val="24"/>
          <w:szCs w:val="24"/>
        </w:rPr>
        <w:t xml:space="preserve"> </w:t>
      </w:r>
      <w:r w:rsidRPr="00B95677" w:rsidR="00061559">
        <w:rPr>
          <w:rFonts w:ascii="Times New Roman" w:hAnsi="Times New Roman"/>
          <w:sz w:val="24"/>
          <w:szCs w:val="24"/>
        </w:rPr>
        <w:t>the</w:t>
      </w:r>
      <w:r w:rsidRPr="00B95677" w:rsidR="008C6B3E">
        <w:rPr>
          <w:rFonts w:ascii="Times New Roman" w:hAnsi="Times New Roman"/>
          <w:sz w:val="24"/>
          <w:szCs w:val="24"/>
        </w:rPr>
        <w:t xml:space="preserve"> </w:t>
      </w:r>
      <w:r w:rsidRPr="00B95677">
        <w:rPr>
          <w:rFonts w:ascii="Times New Roman" w:hAnsi="Times New Roman"/>
          <w:sz w:val="24"/>
          <w:szCs w:val="24"/>
        </w:rPr>
        <w:t>Wildfire Safety Advisory Board’s</w:t>
      </w:r>
      <w:r w:rsidRPr="00B95677" w:rsidR="0020406D">
        <w:rPr>
          <w:rFonts w:ascii="Times New Roman" w:hAnsi="Times New Roman"/>
          <w:sz w:val="24"/>
          <w:szCs w:val="24"/>
        </w:rPr>
        <w:t xml:space="preserve"> (WSAB)</w:t>
      </w:r>
      <w:r w:rsidR="00654264">
        <w:rPr>
          <w:rFonts w:ascii="Times New Roman" w:hAnsi="Times New Roman"/>
          <w:sz w:val="24"/>
          <w:szCs w:val="24"/>
        </w:rPr>
        <w:t xml:space="preserve"> Recommendations on the 2022 Wildfire Mitigation Plan Guidelines, Performance Metrics, and Safety Culture Assessment</w:t>
      </w:r>
      <w:r w:rsidRPr="00B95677" w:rsidR="000341DF">
        <w:rPr>
          <w:rFonts w:ascii="Times New Roman" w:hAnsi="Times New Roman"/>
          <w:sz w:val="24"/>
          <w:szCs w:val="24"/>
        </w:rPr>
        <w:t>.</w:t>
      </w:r>
      <w:r w:rsidRPr="00B95677" w:rsidR="00DC6791">
        <w:rPr>
          <w:rStyle w:val="FootnoteReference"/>
          <w:rFonts w:ascii="Times New Roman" w:hAnsi="Times New Roman"/>
          <w:b/>
          <w:bCs/>
          <w:sz w:val="24"/>
          <w:szCs w:val="24"/>
          <w:u w:val="single"/>
        </w:rPr>
        <w:footnoteReference w:id="6"/>
      </w:r>
      <w:r w:rsidRPr="00B95677" w:rsidR="000341DF">
        <w:rPr>
          <w:rFonts w:ascii="Times New Roman" w:hAnsi="Times New Roman"/>
          <w:sz w:val="24"/>
          <w:szCs w:val="24"/>
        </w:rPr>
        <w:t xml:space="preserve">  </w:t>
      </w:r>
      <w:r w:rsidRPr="00B95677" w:rsidR="008C6B3E">
        <w:rPr>
          <w:rFonts w:ascii="Times New Roman" w:hAnsi="Times New Roman"/>
          <w:sz w:val="24"/>
          <w:szCs w:val="24"/>
        </w:rPr>
        <w:t xml:space="preserve">The </w:t>
      </w:r>
      <w:r w:rsidRPr="00B95677">
        <w:rPr>
          <w:rFonts w:ascii="Times New Roman" w:hAnsi="Times New Roman"/>
          <w:sz w:val="24"/>
          <w:szCs w:val="24"/>
        </w:rPr>
        <w:t>WSAB</w:t>
      </w:r>
      <w:r w:rsidRPr="00B95677" w:rsidR="008C6B3E">
        <w:rPr>
          <w:rFonts w:ascii="Times New Roman" w:hAnsi="Times New Roman"/>
          <w:sz w:val="24"/>
          <w:szCs w:val="24"/>
        </w:rPr>
        <w:t xml:space="preserve">’s </w:t>
      </w:r>
      <w:r w:rsidRPr="00B95677">
        <w:rPr>
          <w:rFonts w:ascii="Times New Roman" w:hAnsi="Times New Roman"/>
          <w:sz w:val="24"/>
          <w:szCs w:val="24"/>
        </w:rPr>
        <w:t>recommendations pertain</w:t>
      </w:r>
      <w:r w:rsidRPr="00B95677" w:rsidR="008C6B3E">
        <w:rPr>
          <w:rFonts w:ascii="Times New Roman" w:hAnsi="Times New Roman"/>
          <w:sz w:val="24"/>
          <w:szCs w:val="24"/>
        </w:rPr>
        <w:t xml:space="preserve"> to</w:t>
      </w:r>
      <w:r w:rsidRPr="00B95677">
        <w:rPr>
          <w:rFonts w:ascii="Times New Roman" w:hAnsi="Times New Roman"/>
          <w:sz w:val="24"/>
          <w:szCs w:val="24"/>
        </w:rPr>
        <w:t xml:space="preserve"> </w:t>
      </w:r>
      <w:bookmarkStart w:name="_Hlk86046488" w:id="1"/>
      <w:r w:rsidRPr="00B95677">
        <w:rPr>
          <w:rFonts w:ascii="Times New Roman" w:hAnsi="Times New Roman"/>
          <w:sz w:val="24"/>
          <w:szCs w:val="24"/>
        </w:rPr>
        <w:t>communication and community outreach performance metrics</w:t>
      </w:r>
      <w:bookmarkEnd w:id="1"/>
      <w:r w:rsidRPr="00B95677" w:rsidR="00F56D6A">
        <w:rPr>
          <w:rFonts w:ascii="Times New Roman" w:hAnsi="Times New Roman"/>
          <w:sz w:val="24"/>
          <w:szCs w:val="24"/>
        </w:rPr>
        <w:t xml:space="preserve">, and a summary of </w:t>
      </w:r>
      <w:r w:rsidRPr="00B95677">
        <w:rPr>
          <w:rFonts w:ascii="Times New Roman" w:hAnsi="Times New Roman"/>
          <w:sz w:val="24"/>
          <w:szCs w:val="24"/>
        </w:rPr>
        <w:t>WSAB’s recommendation</w:t>
      </w:r>
      <w:r w:rsidRPr="00B95677" w:rsidR="00A00BB7">
        <w:rPr>
          <w:rFonts w:ascii="Times New Roman" w:hAnsi="Times New Roman"/>
          <w:sz w:val="24"/>
          <w:szCs w:val="24"/>
        </w:rPr>
        <w:t>s</w:t>
      </w:r>
      <w:r w:rsidRPr="00B95677">
        <w:rPr>
          <w:rFonts w:ascii="Times New Roman" w:hAnsi="Times New Roman"/>
          <w:sz w:val="24"/>
          <w:szCs w:val="24"/>
        </w:rPr>
        <w:t xml:space="preserve"> and Energy Safety’s response</w:t>
      </w:r>
      <w:r w:rsidRPr="00B95677" w:rsidR="00A00BB7">
        <w:rPr>
          <w:rFonts w:ascii="Times New Roman" w:hAnsi="Times New Roman"/>
          <w:sz w:val="24"/>
          <w:szCs w:val="24"/>
        </w:rPr>
        <w:t>s</w:t>
      </w:r>
      <w:r w:rsidRPr="00B95677">
        <w:rPr>
          <w:rFonts w:ascii="Times New Roman" w:hAnsi="Times New Roman"/>
          <w:sz w:val="24"/>
          <w:szCs w:val="24"/>
        </w:rPr>
        <w:t xml:space="preserve"> </w:t>
      </w:r>
      <w:r w:rsidRPr="00B95677" w:rsidR="00A00BB7">
        <w:rPr>
          <w:rFonts w:ascii="Times New Roman" w:hAnsi="Times New Roman"/>
          <w:sz w:val="24"/>
          <w:szCs w:val="24"/>
        </w:rPr>
        <w:t>are</w:t>
      </w:r>
      <w:r w:rsidRPr="00B95677">
        <w:rPr>
          <w:rFonts w:ascii="Times New Roman" w:hAnsi="Times New Roman"/>
          <w:sz w:val="24"/>
          <w:szCs w:val="24"/>
        </w:rPr>
        <w:t xml:space="preserve"> </w:t>
      </w:r>
      <w:r w:rsidRPr="00B95677" w:rsidR="00D76996">
        <w:rPr>
          <w:rFonts w:ascii="Times New Roman" w:hAnsi="Times New Roman"/>
          <w:sz w:val="24"/>
          <w:szCs w:val="24"/>
        </w:rPr>
        <w:t>summarized</w:t>
      </w:r>
      <w:r w:rsidRPr="00B95677" w:rsidR="0045588D">
        <w:rPr>
          <w:rFonts w:ascii="Times New Roman" w:hAnsi="Times New Roman"/>
          <w:sz w:val="24"/>
          <w:szCs w:val="24"/>
        </w:rPr>
        <w:t xml:space="preserve"> </w:t>
      </w:r>
      <w:r w:rsidRPr="00B95677">
        <w:rPr>
          <w:rFonts w:ascii="Times New Roman" w:hAnsi="Times New Roman"/>
          <w:sz w:val="24"/>
          <w:szCs w:val="24"/>
        </w:rPr>
        <w:t>below</w:t>
      </w:r>
      <w:r w:rsidRPr="00B95677" w:rsidR="0045588D">
        <w:rPr>
          <w:rFonts w:ascii="Times New Roman" w:hAnsi="Times New Roman"/>
          <w:sz w:val="24"/>
          <w:szCs w:val="24"/>
        </w:rPr>
        <w:t>.</w:t>
      </w:r>
    </w:p>
    <w:p w:rsidRPr="00B95677" w:rsidR="00F055E8" w:rsidP="00F055E8" w:rsidRDefault="007261C5" w14:paraId="0D392C84" w14:textId="77777777">
      <w:pPr>
        <w:pStyle w:val="Res-Caption"/>
        <w:numPr>
          <w:ilvl w:val="0"/>
          <w:numId w:val="19"/>
        </w:numPr>
        <w:spacing w:after="120"/>
        <w:rPr>
          <w:rFonts w:ascii="Times New Roman" w:hAnsi="Times New Roman"/>
          <w:sz w:val="24"/>
          <w:szCs w:val="24"/>
        </w:rPr>
      </w:pPr>
      <w:r w:rsidRPr="00B95677">
        <w:rPr>
          <w:rFonts w:ascii="Times New Roman" w:hAnsi="Times New Roman"/>
          <w:sz w:val="24"/>
          <w:szCs w:val="24"/>
        </w:rPr>
        <w:t xml:space="preserve">WSAB Recommendation #1: </w:t>
      </w:r>
      <w:r w:rsidRPr="00B95677" w:rsidR="00F055E8">
        <w:rPr>
          <w:rFonts w:ascii="Times New Roman" w:hAnsi="Times New Roman"/>
          <w:sz w:val="24"/>
          <w:szCs w:val="24"/>
        </w:rPr>
        <w:t>The WSAB recommend</w:t>
      </w:r>
      <w:r w:rsidRPr="00B95677" w:rsidR="004B14E8">
        <w:rPr>
          <w:rFonts w:ascii="Times New Roman" w:hAnsi="Times New Roman"/>
          <w:sz w:val="24"/>
          <w:szCs w:val="24"/>
        </w:rPr>
        <w:t>ed</w:t>
      </w:r>
      <w:r w:rsidRPr="00B95677" w:rsidR="00F055E8">
        <w:rPr>
          <w:rFonts w:ascii="Times New Roman" w:hAnsi="Times New Roman"/>
          <w:sz w:val="24"/>
          <w:szCs w:val="24"/>
        </w:rPr>
        <w:t xml:space="preserve"> the 2022 WMP Guidelines incorporate the outcomes</w:t>
      </w:r>
      <w:r w:rsidRPr="00B95677" w:rsidR="003B44A5">
        <w:rPr>
          <w:rFonts w:ascii="Times New Roman" w:hAnsi="Times New Roman"/>
          <w:sz w:val="24"/>
          <w:szCs w:val="24"/>
        </w:rPr>
        <w:t xml:space="preserve"> from</w:t>
      </w:r>
      <w:r w:rsidRPr="00B95677" w:rsidR="00F055E8">
        <w:rPr>
          <w:rFonts w:ascii="Times New Roman" w:hAnsi="Times New Roman"/>
          <w:sz w:val="24"/>
          <w:szCs w:val="24"/>
        </w:rPr>
        <w:t xml:space="preserve"> Investigation, </w:t>
      </w:r>
      <w:r w:rsidRPr="00B95677" w:rsidR="00B95677">
        <w:rPr>
          <w:rFonts w:ascii="Times New Roman" w:hAnsi="Times New Roman"/>
          <w:sz w:val="24"/>
          <w:szCs w:val="24"/>
        </w:rPr>
        <w:br/>
      </w:r>
      <w:r w:rsidRPr="00B95677" w:rsidR="00F055E8">
        <w:rPr>
          <w:rFonts w:ascii="Times New Roman" w:hAnsi="Times New Roman"/>
          <w:sz w:val="24"/>
          <w:szCs w:val="24"/>
        </w:rPr>
        <w:t>I.19-11-013</w:t>
      </w:r>
      <w:r w:rsidRPr="00B95677" w:rsidR="00F055E8">
        <w:rPr>
          <w:rStyle w:val="FootnoteReference"/>
          <w:rFonts w:ascii="Times New Roman" w:hAnsi="Times New Roman"/>
          <w:b/>
          <w:bCs/>
          <w:sz w:val="24"/>
          <w:szCs w:val="24"/>
          <w:u w:val="single"/>
        </w:rPr>
        <w:footnoteReference w:id="7"/>
      </w:r>
      <w:r w:rsidRPr="00B95677" w:rsidR="00F055E8">
        <w:rPr>
          <w:rFonts w:ascii="Times New Roman" w:hAnsi="Times New Roman"/>
          <w:sz w:val="24"/>
          <w:szCs w:val="24"/>
        </w:rPr>
        <w:t>, and Rulemaking, R.18-12-005.</w:t>
      </w:r>
      <w:r w:rsidRPr="00B95677" w:rsidR="005D222B">
        <w:rPr>
          <w:rStyle w:val="FootnoteReference"/>
          <w:rFonts w:ascii="Times New Roman" w:hAnsi="Times New Roman"/>
          <w:b/>
          <w:bCs/>
          <w:sz w:val="24"/>
          <w:szCs w:val="24"/>
          <w:u w:val="single"/>
        </w:rPr>
        <w:footnoteReference w:id="8"/>
      </w:r>
      <w:r w:rsidRPr="00B95677" w:rsidR="00B95677">
        <w:rPr>
          <w:rFonts w:ascii="Times New Roman" w:hAnsi="Times New Roman"/>
          <w:sz w:val="24"/>
          <w:szCs w:val="24"/>
        </w:rPr>
        <w:t xml:space="preserve"> </w:t>
      </w:r>
      <w:r w:rsidRPr="00B95677" w:rsidR="00F055E8">
        <w:rPr>
          <w:rStyle w:val="FootnoteReference"/>
          <w:rFonts w:ascii="Times New Roman" w:hAnsi="Times New Roman"/>
          <w:b/>
          <w:bCs/>
          <w:sz w:val="24"/>
          <w:szCs w:val="24"/>
          <w:u w:val="single"/>
        </w:rPr>
        <w:footnoteReference w:id="9"/>
      </w:r>
      <w:r w:rsidRPr="00B95677" w:rsidR="00F055E8">
        <w:rPr>
          <w:rFonts w:ascii="Times New Roman" w:hAnsi="Times New Roman"/>
          <w:sz w:val="24"/>
          <w:szCs w:val="24"/>
        </w:rPr>
        <w:t xml:space="preserve">  </w:t>
      </w:r>
      <w:r w:rsidRPr="00B95677" w:rsidR="004B14E8">
        <w:rPr>
          <w:rFonts w:ascii="Times New Roman" w:hAnsi="Times New Roman"/>
          <w:sz w:val="24"/>
          <w:szCs w:val="24"/>
        </w:rPr>
        <w:t xml:space="preserve">Energy Safety </w:t>
      </w:r>
      <w:r w:rsidRPr="00B95677" w:rsidR="000770E4">
        <w:rPr>
          <w:rFonts w:ascii="Times New Roman" w:hAnsi="Times New Roman"/>
          <w:sz w:val="24"/>
          <w:szCs w:val="24"/>
        </w:rPr>
        <w:t>did</w:t>
      </w:r>
      <w:r w:rsidRPr="00B95677" w:rsidR="004B14E8">
        <w:rPr>
          <w:rFonts w:ascii="Times New Roman" w:hAnsi="Times New Roman"/>
          <w:sz w:val="24"/>
          <w:szCs w:val="24"/>
        </w:rPr>
        <w:t xml:space="preserve"> not incorporate these changes into its 2022 WMP Update Guidelines </w:t>
      </w:r>
      <w:r w:rsidRPr="00B95677" w:rsidR="00164D29">
        <w:rPr>
          <w:rFonts w:ascii="Times New Roman" w:hAnsi="Times New Roman"/>
          <w:sz w:val="24"/>
          <w:szCs w:val="24"/>
        </w:rPr>
        <w:t xml:space="preserve">stating </w:t>
      </w:r>
      <w:r w:rsidRPr="00B95677" w:rsidR="004B14E8">
        <w:rPr>
          <w:rFonts w:ascii="Times New Roman" w:hAnsi="Times New Roman"/>
          <w:sz w:val="24"/>
          <w:szCs w:val="24"/>
        </w:rPr>
        <w:t xml:space="preserve">that it needs more time to effectively collaborate with the CPUC to determine whether any outcomes or required actions specified </w:t>
      </w:r>
      <w:r w:rsidR="00654264">
        <w:rPr>
          <w:rFonts w:ascii="Times New Roman" w:hAnsi="Times New Roman"/>
          <w:sz w:val="24"/>
          <w:szCs w:val="24"/>
        </w:rPr>
        <w:t xml:space="preserve">by the Commission </w:t>
      </w:r>
      <w:r w:rsidRPr="00B95677" w:rsidR="004B14E8">
        <w:rPr>
          <w:rFonts w:ascii="Times New Roman" w:hAnsi="Times New Roman"/>
          <w:sz w:val="24"/>
          <w:szCs w:val="24"/>
        </w:rPr>
        <w:t>in D.21-06-014</w:t>
      </w:r>
      <w:r w:rsidR="005A5FBF">
        <w:rPr>
          <w:rStyle w:val="FootnoteReference"/>
          <w:rFonts w:ascii="Times New Roman" w:hAnsi="Times New Roman"/>
          <w:sz w:val="24"/>
          <w:szCs w:val="24"/>
        </w:rPr>
        <w:footnoteReference w:id="10"/>
      </w:r>
      <w:r w:rsidRPr="00B95677" w:rsidR="004B14E8">
        <w:rPr>
          <w:rFonts w:ascii="Times New Roman" w:hAnsi="Times New Roman"/>
          <w:sz w:val="24"/>
          <w:szCs w:val="24"/>
        </w:rPr>
        <w:t xml:space="preserve"> or other </w:t>
      </w:r>
      <w:r w:rsidRPr="00B95677" w:rsidR="00DA2F79">
        <w:rPr>
          <w:rFonts w:ascii="Times New Roman" w:hAnsi="Times New Roman"/>
          <w:sz w:val="24"/>
          <w:szCs w:val="24"/>
        </w:rPr>
        <w:t xml:space="preserve">public safety </w:t>
      </w:r>
      <w:r w:rsidRPr="00B95677" w:rsidR="003F31BA">
        <w:rPr>
          <w:rFonts w:ascii="Times New Roman" w:hAnsi="Times New Roman"/>
          <w:sz w:val="24"/>
          <w:szCs w:val="24"/>
        </w:rPr>
        <w:t>power shutoffs (</w:t>
      </w:r>
      <w:r w:rsidRPr="00B95677" w:rsidR="004B14E8">
        <w:rPr>
          <w:rFonts w:ascii="Times New Roman" w:hAnsi="Times New Roman"/>
          <w:sz w:val="24"/>
          <w:szCs w:val="24"/>
        </w:rPr>
        <w:t>PSPS</w:t>
      </w:r>
      <w:r w:rsidRPr="00B95677" w:rsidR="003F31BA">
        <w:rPr>
          <w:rFonts w:ascii="Times New Roman" w:hAnsi="Times New Roman"/>
          <w:sz w:val="24"/>
          <w:szCs w:val="24"/>
        </w:rPr>
        <w:t xml:space="preserve">) </w:t>
      </w:r>
      <w:r w:rsidRPr="00B95677" w:rsidR="004B14E8">
        <w:rPr>
          <w:rFonts w:ascii="Times New Roman" w:hAnsi="Times New Roman"/>
          <w:sz w:val="24"/>
          <w:szCs w:val="24"/>
        </w:rPr>
        <w:t>related proceedings will be useful performance metrics to include in future WMP Guidelines.</w:t>
      </w:r>
      <w:r w:rsidR="00654264">
        <w:rPr>
          <w:rStyle w:val="FootnoteReference"/>
          <w:rFonts w:ascii="Times New Roman" w:hAnsi="Times New Roman"/>
          <w:sz w:val="24"/>
          <w:szCs w:val="24"/>
        </w:rPr>
        <w:footnoteReference w:id="11"/>
      </w:r>
      <w:r w:rsidRPr="00B95677" w:rsidR="004B14E8">
        <w:rPr>
          <w:rFonts w:ascii="Times New Roman" w:hAnsi="Times New Roman"/>
          <w:sz w:val="24"/>
          <w:szCs w:val="24"/>
        </w:rPr>
        <w:t xml:space="preserve">  </w:t>
      </w:r>
    </w:p>
    <w:p w:rsidRPr="00B95677" w:rsidR="004B14E8" w:rsidP="00F055E8" w:rsidRDefault="007261C5" w14:paraId="656D8A02" w14:textId="77777777">
      <w:pPr>
        <w:pStyle w:val="Res-Caption"/>
        <w:numPr>
          <w:ilvl w:val="0"/>
          <w:numId w:val="19"/>
        </w:numPr>
        <w:spacing w:after="120"/>
        <w:rPr>
          <w:rFonts w:ascii="Times New Roman" w:hAnsi="Times New Roman"/>
          <w:sz w:val="24"/>
          <w:szCs w:val="24"/>
        </w:rPr>
      </w:pPr>
      <w:r w:rsidRPr="00B95677">
        <w:rPr>
          <w:rFonts w:ascii="Times New Roman" w:hAnsi="Times New Roman"/>
          <w:sz w:val="24"/>
          <w:szCs w:val="24"/>
        </w:rPr>
        <w:t>WSAB Recommendation</w:t>
      </w:r>
      <w:r w:rsidR="00654264">
        <w:rPr>
          <w:rFonts w:ascii="Times New Roman" w:hAnsi="Times New Roman"/>
          <w:sz w:val="24"/>
          <w:szCs w:val="24"/>
        </w:rPr>
        <w:t>s</w:t>
      </w:r>
      <w:r w:rsidRPr="00B95677">
        <w:rPr>
          <w:rFonts w:ascii="Times New Roman" w:hAnsi="Times New Roman"/>
          <w:sz w:val="24"/>
          <w:szCs w:val="24"/>
        </w:rPr>
        <w:t xml:space="preserve"> #2 and </w:t>
      </w:r>
      <w:r w:rsidR="00654264">
        <w:rPr>
          <w:rFonts w:ascii="Times New Roman" w:hAnsi="Times New Roman"/>
          <w:sz w:val="24"/>
          <w:szCs w:val="24"/>
        </w:rPr>
        <w:t>#</w:t>
      </w:r>
      <w:r w:rsidRPr="00B95677">
        <w:rPr>
          <w:rFonts w:ascii="Times New Roman" w:hAnsi="Times New Roman"/>
          <w:sz w:val="24"/>
          <w:szCs w:val="24"/>
        </w:rPr>
        <w:t xml:space="preserve">3: </w:t>
      </w:r>
      <w:r w:rsidRPr="00B95677" w:rsidR="004B14E8">
        <w:rPr>
          <w:rFonts w:ascii="Times New Roman" w:hAnsi="Times New Roman"/>
          <w:sz w:val="24"/>
          <w:szCs w:val="24"/>
        </w:rPr>
        <w:t>The WSAB recommend</w:t>
      </w:r>
      <w:r w:rsidRPr="00B95677" w:rsidR="0090519E">
        <w:rPr>
          <w:rFonts w:ascii="Times New Roman" w:hAnsi="Times New Roman"/>
          <w:sz w:val="24"/>
          <w:szCs w:val="24"/>
        </w:rPr>
        <w:t>ed</w:t>
      </w:r>
      <w:r w:rsidRPr="00B95677" w:rsidR="004B14E8">
        <w:rPr>
          <w:rFonts w:ascii="Times New Roman" w:hAnsi="Times New Roman"/>
          <w:sz w:val="24"/>
          <w:szCs w:val="24"/>
        </w:rPr>
        <w:t xml:space="preserve"> that the 2022 WMP Guidelines require utilities to include an analysis of the correlation between the quantity of PSPS contacts and effectiveness of the outreach methods</w:t>
      </w:r>
      <w:r w:rsidRPr="00B95677" w:rsidR="00DF26A6">
        <w:rPr>
          <w:rFonts w:ascii="Times New Roman" w:hAnsi="Times New Roman"/>
          <w:sz w:val="24"/>
          <w:szCs w:val="24"/>
        </w:rPr>
        <w:t xml:space="preserve"> and to include additional performance metrics to measure the success of community outreach efforts</w:t>
      </w:r>
      <w:r w:rsidRPr="00B95677" w:rsidR="004B14E8">
        <w:rPr>
          <w:rFonts w:ascii="Times New Roman" w:hAnsi="Times New Roman"/>
          <w:sz w:val="24"/>
          <w:szCs w:val="24"/>
        </w:rPr>
        <w:t>.</w:t>
      </w:r>
      <w:r w:rsidRPr="00B95677" w:rsidR="004B14E8">
        <w:rPr>
          <w:rStyle w:val="FootnoteReference"/>
          <w:rFonts w:ascii="Times New Roman" w:hAnsi="Times New Roman"/>
          <w:b/>
          <w:bCs/>
          <w:sz w:val="24"/>
          <w:szCs w:val="24"/>
          <w:u w:val="single"/>
        </w:rPr>
        <w:footnoteReference w:id="12"/>
      </w:r>
      <w:r w:rsidRPr="00B95677" w:rsidR="00DF26A6">
        <w:rPr>
          <w:rFonts w:ascii="Times New Roman" w:hAnsi="Times New Roman"/>
          <w:sz w:val="24"/>
          <w:szCs w:val="24"/>
        </w:rPr>
        <w:t xml:space="preserve">  Energy Safety </w:t>
      </w:r>
      <w:r w:rsidRPr="00B95677" w:rsidR="006932C4">
        <w:rPr>
          <w:rFonts w:ascii="Times New Roman" w:hAnsi="Times New Roman"/>
          <w:sz w:val="24"/>
          <w:szCs w:val="24"/>
        </w:rPr>
        <w:t xml:space="preserve">explained it </w:t>
      </w:r>
      <w:r w:rsidRPr="00B95677" w:rsidR="00DF26A6">
        <w:rPr>
          <w:rFonts w:ascii="Times New Roman" w:hAnsi="Times New Roman"/>
          <w:sz w:val="24"/>
          <w:szCs w:val="24"/>
        </w:rPr>
        <w:t>d</w:t>
      </w:r>
      <w:r w:rsidRPr="00B95677" w:rsidR="00BF3C4B">
        <w:rPr>
          <w:rFonts w:ascii="Times New Roman" w:hAnsi="Times New Roman"/>
          <w:sz w:val="24"/>
          <w:szCs w:val="24"/>
        </w:rPr>
        <w:t>id</w:t>
      </w:r>
      <w:r w:rsidRPr="00B95677" w:rsidR="00DF26A6">
        <w:rPr>
          <w:rFonts w:ascii="Times New Roman" w:hAnsi="Times New Roman"/>
          <w:sz w:val="24"/>
          <w:szCs w:val="24"/>
        </w:rPr>
        <w:t xml:space="preserve"> not see </w:t>
      </w:r>
      <w:r w:rsidRPr="00B95677" w:rsidR="00A071E7">
        <w:rPr>
          <w:rFonts w:ascii="Times New Roman" w:hAnsi="Times New Roman"/>
          <w:sz w:val="24"/>
          <w:szCs w:val="24"/>
        </w:rPr>
        <w:t xml:space="preserve">its </w:t>
      </w:r>
      <w:r w:rsidRPr="00B95677" w:rsidR="00DF26A6">
        <w:rPr>
          <w:rFonts w:ascii="Times New Roman" w:hAnsi="Times New Roman"/>
          <w:sz w:val="24"/>
          <w:szCs w:val="24"/>
        </w:rPr>
        <w:t>mission as including PSPS stakeholder outreach and, instead, identifie</w:t>
      </w:r>
      <w:r w:rsidRPr="00B95677" w:rsidR="00F86F90">
        <w:rPr>
          <w:rFonts w:ascii="Times New Roman" w:hAnsi="Times New Roman"/>
          <w:sz w:val="24"/>
          <w:szCs w:val="24"/>
        </w:rPr>
        <w:t>d</w:t>
      </w:r>
      <w:r w:rsidRPr="00B95677" w:rsidR="00DF26A6">
        <w:rPr>
          <w:rFonts w:ascii="Times New Roman" w:hAnsi="Times New Roman"/>
          <w:sz w:val="24"/>
          <w:szCs w:val="24"/>
        </w:rPr>
        <w:t xml:space="preserve"> </w:t>
      </w:r>
      <w:r w:rsidRPr="00B95677" w:rsidR="004F77BB">
        <w:rPr>
          <w:rFonts w:ascii="Times New Roman" w:hAnsi="Times New Roman"/>
          <w:sz w:val="24"/>
          <w:szCs w:val="24"/>
        </w:rPr>
        <w:t xml:space="preserve">the </w:t>
      </w:r>
      <w:r w:rsidRPr="00B95677" w:rsidR="00DF26A6">
        <w:rPr>
          <w:rFonts w:ascii="Times New Roman" w:hAnsi="Times New Roman"/>
          <w:sz w:val="24"/>
          <w:szCs w:val="24"/>
        </w:rPr>
        <w:t>Commission</w:t>
      </w:r>
      <w:r w:rsidRPr="00B95677" w:rsidR="004F77BB">
        <w:rPr>
          <w:rFonts w:ascii="Times New Roman" w:hAnsi="Times New Roman"/>
          <w:sz w:val="24"/>
          <w:szCs w:val="24"/>
        </w:rPr>
        <w:t xml:space="preserve"> as having the appropriate authority</w:t>
      </w:r>
      <w:r w:rsidRPr="00B95677" w:rsidR="00DF26A6">
        <w:rPr>
          <w:rFonts w:ascii="Times New Roman" w:hAnsi="Times New Roman"/>
          <w:sz w:val="24"/>
          <w:szCs w:val="24"/>
        </w:rPr>
        <w:t>.</w:t>
      </w:r>
      <w:r w:rsidRPr="00B95677" w:rsidR="00DF26A6">
        <w:rPr>
          <w:rStyle w:val="FootnoteReference"/>
          <w:rFonts w:ascii="Times New Roman" w:hAnsi="Times New Roman"/>
          <w:b/>
          <w:bCs/>
          <w:sz w:val="24"/>
          <w:szCs w:val="24"/>
          <w:u w:val="single"/>
        </w:rPr>
        <w:footnoteReference w:id="13"/>
      </w:r>
      <w:r w:rsidRPr="00B95677" w:rsidR="00DF26A6">
        <w:rPr>
          <w:rFonts w:ascii="Times New Roman" w:hAnsi="Times New Roman"/>
          <w:sz w:val="24"/>
          <w:szCs w:val="24"/>
        </w:rPr>
        <w:t xml:space="preserve">  </w:t>
      </w:r>
      <w:r w:rsidRPr="00B95677" w:rsidR="000A020E">
        <w:rPr>
          <w:rFonts w:ascii="Times New Roman" w:hAnsi="Times New Roman"/>
          <w:sz w:val="24"/>
          <w:szCs w:val="24"/>
        </w:rPr>
        <w:t xml:space="preserve">Therefore, Energy Safety did not recommend </w:t>
      </w:r>
      <w:r w:rsidRPr="00B95677" w:rsidR="002821F7">
        <w:rPr>
          <w:rFonts w:ascii="Times New Roman" w:hAnsi="Times New Roman"/>
          <w:sz w:val="24"/>
          <w:szCs w:val="24"/>
        </w:rPr>
        <w:t>adopting these recommendations.</w:t>
      </w:r>
    </w:p>
    <w:p w:rsidRPr="00B95677" w:rsidR="0037440E" w:rsidP="0037440E" w:rsidRDefault="0037440E" w14:paraId="36546890" w14:textId="77777777">
      <w:pPr>
        <w:pStyle w:val="Res-Caption"/>
        <w:spacing w:after="120"/>
        <w:rPr>
          <w:rFonts w:ascii="Times New Roman" w:hAnsi="Times New Roman"/>
          <w:sz w:val="24"/>
          <w:szCs w:val="24"/>
        </w:rPr>
      </w:pPr>
    </w:p>
    <w:p w:rsidRPr="00B95677" w:rsidR="008C6B3E" w:rsidP="00B95677" w:rsidRDefault="008A05CF" w14:paraId="5F3C1D20" w14:textId="77777777">
      <w:pPr>
        <w:pStyle w:val="Res-Caption"/>
        <w:spacing w:after="120"/>
        <w:ind w:left="1080" w:hanging="360"/>
        <w:rPr>
          <w:rFonts w:ascii="Times New Roman" w:hAnsi="Times New Roman"/>
          <w:b/>
          <w:bCs/>
          <w:sz w:val="24"/>
          <w:szCs w:val="24"/>
        </w:rPr>
      </w:pPr>
      <w:r w:rsidRPr="00B95677">
        <w:rPr>
          <w:rFonts w:ascii="Times New Roman" w:hAnsi="Times New Roman"/>
          <w:b/>
          <w:bCs/>
          <w:sz w:val="24"/>
          <w:szCs w:val="24"/>
        </w:rPr>
        <w:lastRenderedPageBreak/>
        <w:t>1</w:t>
      </w:r>
      <w:r w:rsidRPr="00B95677" w:rsidR="008C6B3E">
        <w:rPr>
          <w:rFonts w:ascii="Times New Roman" w:hAnsi="Times New Roman"/>
          <w:b/>
          <w:bCs/>
          <w:sz w:val="24"/>
          <w:szCs w:val="24"/>
        </w:rPr>
        <w:t>.2</w:t>
      </w:r>
      <w:r w:rsidR="00B95677">
        <w:rPr>
          <w:rFonts w:ascii="Times New Roman" w:hAnsi="Times New Roman"/>
          <w:b/>
          <w:bCs/>
          <w:sz w:val="24"/>
          <w:szCs w:val="24"/>
        </w:rPr>
        <w:t>.</w:t>
      </w:r>
      <w:r w:rsidR="00B95677">
        <w:rPr>
          <w:rFonts w:ascii="Times New Roman" w:hAnsi="Times New Roman"/>
          <w:b/>
          <w:bCs/>
          <w:sz w:val="24"/>
          <w:szCs w:val="24"/>
        </w:rPr>
        <w:tab/>
      </w:r>
      <w:r w:rsidRPr="00B95677" w:rsidR="00675A45">
        <w:rPr>
          <w:rFonts w:ascii="Times New Roman" w:hAnsi="Times New Roman"/>
          <w:b/>
          <w:bCs/>
          <w:sz w:val="24"/>
          <w:szCs w:val="24"/>
        </w:rPr>
        <w:t>Discussion</w:t>
      </w:r>
    </w:p>
    <w:p w:rsidR="007261C5" w:rsidP="00B95677" w:rsidRDefault="00675A45" w14:paraId="20363309" w14:textId="77777777">
      <w:pPr>
        <w:pStyle w:val="Res-Caption"/>
        <w:ind w:left="0" w:right="0"/>
        <w:rPr>
          <w:rFonts w:ascii="Times New Roman" w:hAnsi="Times New Roman"/>
          <w:sz w:val="24"/>
          <w:szCs w:val="24"/>
        </w:rPr>
      </w:pPr>
      <w:r w:rsidRPr="00B95677">
        <w:rPr>
          <w:rFonts w:ascii="Times New Roman" w:hAnsi="Times New Roman"/>
          <w:sz w:val="24"/>
          <w:szCs w:val="24"/>
        </w:rPr>
        <w:t>The Commission recognizes Energy Safety’s decision to not adopt</w:t>
      </w:r>
      <w:r w:rsidRPr="00B95677" w:rsidR="007261C5">
        <w:rPr>
          <w:rFonts w:ascii="Times New Roman" w:hAnsi="Times New Roman"/>
          <w:sz w:val="24"/>
          <w:szCs w:val="24"/>
        </w:rPr>
        <w:t xml:space="preserve"> WSAB Recommendation </w:t>
      </w:r>
      <w:r w:rsidR="00B95677">
        <w:rPr>
          <w:rFonts w:ascii="Times New Roman" w:hAnsi="Times New Roman"/>
          <w:sz w:val="24"/>
          <w:szCs w:val="24"/>
        </w:rPr>
        <w:br/>
      </w:r>
      <w:r w:rsidRPr="00B95677" w:rsidR="007261C5">
        <w:rPr>
          <w:rFonts w:ascii="Times New Roman" w:hAnsi="Times New Roman"/>
          <w:sz w:val="24"/>
          <w:szCs w:val="24"/>
        </w:rPr>
        <w:t>#1</w:t>
      </w:r>
      <w:r w:rsidRPr="00B95677" w:rsidR="008B03E1">
        <w:rPr>
          <w:rFonts w:ascii="Times New Roman" w:hAnsi="Times New Roman"/>
          <w:sz w:val="24"/>
          <w:szCs w:val="24"/>
        </w:rPr>
        <w:t xml:space="preserve"> and</w:t>
      </w:r>
      <w:r w:rsidRPr="00B95677" w:rsidR="005C11EF">
        <w:rPr>
          <w:rFonts w:ascii="Times New Roman" w:hAnsi="Times New Roman"/>
          <w:sz w:val="24"/>
          <w:szCs w:val="24"/>
        </w:rPr>
        <w:t xml:space="preserve"> supports Energy Safety’s </w:t>
      </w:r>
      <w:r w:rsidRPr="00B95677" w:rsidR="000D1752">
        <w:rPr>
          <w:rFonts w:ascii="Times New Roman" w:hAnsi="Times New Roman"/>
          <w:sz w:val="24"/>
          <w:szCs w:val="24"/>
        </w:rPr>
        <w:t>approach to work collaboratively to determine whether any outcomes or required actions from the Commission’s decision</w:t>
      </w:r>
      <w:r w:rsidRPr="00B95677" w:rsidR="002B5CEE">
        <w:rPr>
          <w:rFonts w:ascii="Times New Roman" w:hAnsi="Times New Roman"/>
          <w:sz w:val="24"/>
          <w:szCs w:val="24"/>
        </w:rPr>
        <w:t>s</w:t>
      </w:r>
      <w:r w:rsidRPr="00B95677" w:rsidR="000D1752">
        <w:rPr>
          <w:rFonts w:ascii="Times New Roman" w:hAnsi="Times New Roman"/>
          <w:sz w:val="24"/>
          <w:szCs w:val="24"/>
        </w:rPr>
        <w:t xml:space="preserve"> in these proceedings will be useful performance metrics to include </w:t>
      </w:r>
      <w:r w:rsidRPr="00B95677" w:rsidR="00EF31E1">
        <w:rPr>
          <w:rFonts w:ascii="Times New Roman" w:hAnsi="Times New Roman"/>
          <w:sz w:val="24"/>
          <w:szCs w:val="24"/>
        </w:rPr>
        <w:t>in</w:t>
      </w:r>
      <w:r w:rsidRPr="00B95677" w:rsidR="000D1752">
        <w:rPr>
          <w:rFonts w:ascii="Times New Roman" w:hAnsi="Times New Roman"/>
          <w:sz w:val="24"/>
          <w:szCs w:val="24"/>
        </w:rPr>
        <w:t xml:space="preserve"> </w:t>
      </w:r>
      <w:r w:rsidRPr="00B95677" w:rsidR="00F80874">
        <w:rPr>
          <w:rFonts w:ascii="Times New Roman" w:hAnsi="Times New Roman"/>
          <w:sz w:val="24"/>
          <w:szCs w:val="24"/>
        </w:rPr>
        <w:t xml:space="preserve">the </w:t>
      </w:r>
      <w:r w:rsidRPr="00B95677" w:rsidR="000D1752">
        <w:rPr>
          <w:rFonts w:ascii="Times New Roman" w:hAnsi="Times New Roman"/>
          <w:sz w:val="24"/>
          <w:szCs w:val="24"/>
        </w:rPr>
        <w:t xml:space="preserve">future.  </w:t>
      </w:r>
      <w:r w:rsidRPr="00B95677">
        <w:rPr>
          <w:rFonts w:ascii="Times New Roman" w:hAnsi="Times New Roman"/>
          <w:sz w:val="24"/>
          <w:szCs w:val="24"/>
        </w:rPr>
        <w:t>The Commission further acknowledges w</w:t>
      </w:r>
      <w:r w:rsidRPr="00B95677" w:rsidR="007261C5">
        <w:rPr>
          <w:rFonts w:ascii="Times New Roman" w:hAnsi="Times New Roman"/>
          <w:sz w:val="24"/>
          <w:szCs w:val="24"/>
        </w:rPr>
        <w:t>ith regard to WSAB</w:t>
      </w:r>
      <w:r w:rsidRPr="00B95677" w:rsidR="00EF31E1">
        <w:rPr>
          <w:rFonts w:ascii="Times New Roman" w:hAnsi="Times New Roman"/>
          <w:sz w:val="24"/>
          <w:szCs w:val="24"/>
        </w:rPr>
        <w:t>’s</w:t>
      </w:r>
      <w:r w:rsidRPr="00B95677" w:rsidR="007261C5">
        <w:rPr>
          <w:rFonts w:ascii="Times New Roman" w:hAnsi="Times New Roman"/>
          <w:sz w:val="24"/>
          <w:szCs w:val="24"/>
        </w:rPr>
        <w:t xml:space="preserve"> Recommendation #2</w:t>
      </w:r>
      <w:r w:rsidRPr="00B95677">
        <w:rPr>
          <w:rFonts w:ascii="Times New Roman" w:hAnsi="Times New Roman"/>
          <w:sz w:val="24"/>
          <w:szCs w:val="24"/>
        </w:rPr>
        <w:t xml:space="preserve"> </w:t>
      </w:r>
      <w:r w:rsidRPr="00B95677" w:rsidR="007261C5">
        <w:rPr>
          <w:rFonts w:ascii="Times New Roman" w:hAnsi="Times New Roman"/>
          <w:sz w:val="24"/>
          <w:szCs w:val="24"/>
        </w:rPr>
        <w:t xml:space="preserve">that public outreach before, during, and after a wildfire </w:t>
      </w:r>
      <w:r w:rsidRPr="00B95677" w:rsidR="002859D8">
        <w:rPr>
          <w:rFonts w:ascii="Times New Roman" w:hAnsi="Times New Roman"/>
          <w:sz w:val="24"/>
          <w:szCs w:val="24"/>
        </w:rPr>
        <w:t xml:space="preserve">is </w:t>
      </w:r>
      <w:r w:rsidRPr="00B95677" w:rsidR="007261C5">
        <w:rPr>
          <w:rFonts w:ascii="Times New Roman" w:hAnsi="Times New Roman"/>
          <w:sz w:val="24"/>
          <w:szCs w:val="24"/>
        </w:rPr>
        <w:t xml:space="preserve">within the Commission’s purview.  The Commission </w:t>
      </w:r>
      <w:r w:rsidRPr="00B95677">
        <w:rPr>
          <w:rFonts w:ascii="Times New Roman" w:hAnsi="Times New Roman"/>
          <w:sz w:val="24"/>
          <w:szCs w:val="24"/>
        </w:rPr>
        <w:t>specifically addressed</w:t>
      </w:r>
      <w:r w:rsidRPr="00B95677" w:rsidR="007261C5">
        <w:rPr>
          <w:rFonts w:ascii="Times New Roman" w:hAnsi="Times New Roman"/>
          <w:sz w:val="24"/>
          <w:szCs w:val="24"/>
        </w:rPr>
        <w:t xml:space="preserve"> </w:t>
      </w:r>
      <w:r w:rsidRPr="00B95677" w:rsidR="00131986">
        <w:rPr>
          <w:rFonts w:ascii="Times New Roman" w:hAnsi="Times New Roman"/>
          <w:sz w:val="24"/>
          <w:szCs w:val="24"/>
        </w:rPr>
        <w:t xml:space="preserve">electrical corporation </w:t>
      </w:r>
      <w:r w:rsidRPr="00B95677" w:rsidR="007261C5">
        <w:rPr>
          <w:rFonts w:ascii="Times New Roman" w:hAnsi="Times New Roman"/>
          <w:sz w:val="24"/>
          <w:szCs w:val="24"/>
        </w:rPr>
        <w:t>outreach efforts in D.20-03-004.</w:t>
      </w:r>
      <w:r w:rsidRPr="00B95677" w:rsidR="007261C5">
        <w:rPr>
          <w:rStyle w:val="FootnoteReference"/>
          <w:rFonts w:ascii="Times New Roman" w:hAnsi="Times New Roman"/>
          <w:b/>
          <w:bCs/>
          <w:sz w:val="24"/>
          <w:szCs w:val="24"/>
          <w:u w:val="single"/>
        </w:rPr>
        <w:footnoteReference w:id="14"/>
      </w:r>
    </w:p>
    <w:p w:rsidRPr="00B95677" w:rsidR="00B95677" w:rsidP="00B95677" w:rsidRDefault="00B95677" w14:paraId="5A50B503" w14:textId="77777777">
      <w:pPr>
        <w:pStyle w:val="Res-Caption"/>
        <w:ind w:left="0" w:right="0"/>
        <w:rPr>
          <w:rFonts w:ascii="Times New Roman" w:hAnsi="Times New Roman"/>
          <w:sz w:val="24"/>
          <w:szCs w:val="24"/>
        </w:rPr>
      </w:pPr>
    </w:p>
    <w:p w:rsidR="00F055E8" w:rsidP="00B95677" w:rsidRDefault="001514E8" w14:paraId="653D1EA3" w14:textId="77777777">
      <w:pPr>
        <w:pStyle w:val="Res-Caption"/>
        <w:ind w:left="0" w:right="0"/>
        <w:rPr>
          <w:rFonts w:ascii="Times New Roman" w:hAnsi="Times New Roman"/>
          <w:sz w:val="24"/>
          <w:szCs w:val="24"/>
        </w:rPr>
      </w:pPr>
      <w:r w:rsidRPr="00B95677">
        <w:rPr>
          <w:rFonts w:ascii="Times New Roman" w:hAnsi="Times New Roman"/>
          <w:sz w:val="24"/>
          <w:szCs w:val="24"/>
        </w:rPr>
        <w:t xml:space="preserve">Additionally, </w:t>
      </w:r>
      <w:r w:rsidRPr="00B95677" w:rsidR="00675A45">
        <w:rPr>
          <w:rFonts w:ascii="Times New Roman" w:hAnsi="Times New Roman"/>
          <w:sz w:val="24"/>
          <w:szCs w:val="24"/>
        </w:rPr>
        <w:t>after</w:t>
      </w:r>
      <w:r w:rsidRPr="00B95677" w:rsidR="00A109DA">
        <w:rPr>
          <w:rFonts w:ascii="Times New Roman" w:hAnsi="Times New Roman"/>
          <w:sz w:val="24"/>
          <w:szCs w:val="24"/>
        </w:rPr>
        <w:t xml:space="preserve"> review</w:t>
      </w:r>
      <w:r w:rsidRPr="00B95677" w:rsidR="00675A45">
        <w:rPr>
          <w:rFonts w:ascii="Times New Roman" w:hAnsi="Times New Roman"/>
          <w:sz w:val="24"/>
          <w:szCs w:val="24"/>
        </w:rPr>
        <w:t xml:space="preserve"> of</w:t>
      </w:r>
      <w:r w:rsidRPr="00B95677" w:rsidR="00A109DA">
        <w:rPr>
          <w:rFonts w:ascii="Times New Roman" w:hAnsi="Times New Roman"/>
          <w:sz w:val="24"/>
          <w:szCs w:val="24"/>
        </w:rPr>
        <w:t xml:space="preserve"> the existing </w:t>
      </w:r>
      <w:r w:rsidRPr="00B95677" w:rsidR="00183321">
        <w:rPr>
          <w:rFonts w:ascii="Times New Roman" w:hAnsi="Times New Roman"/>
          <w:sz w:val="24"/>
          <w:szCs w:val="24"/>
        </w:rPr>
        <w:t xml:space="preserve">WMP </w:t>
      </w:r>
      <w:r w:rsidRPr="00B95677" w:rsidR="00A109DA">
        <w:rPr>
          <w:rFonts w:ascii="Times New Roman" w:hAnsi="Times New Roman"/>
          <w:sz w:val="24"/>
          <w:szCs w:val="24"/>
        </w:rPr>
        <w:t xml:space="preserve">performance metrics set forth in WSD-011 </w:t>
      </w:r>
      <w:r w:rsidRPr="00B95677" w:rsidR="00183321">
        <w:rPr>
          <w:rFonts w:ascii="Times New Roman" w:hAnsi="Times New Roman"/>
          <w:sz w:val="24"/>
          <w:szCs w:val="24"/>
        </w:rPr>
        <w:t>against</w:t>
      </w:r>
      <w:r w:rsidRPr="00B95677" w:rsidR="00A109DA">
        <w:rPr>
          <w:rFonts w:ascii="Times New Roman" w:hAnsi="Times New Roman"/>
          <w:sz w:val="24"/>
          <w:szCs w:val="24"/>
        </w:rPr>
        <w:t xml:space="preserve"> the Safety Performance Metrics</w:t>
      </w:r>
      <w:r w:rsidRPr="00B95677" w:rsidR="00183321">
        <w:rPr>
          <w:rStyle w:val="FootnoteReference"/>
          <w:rFonts w:ascii="Times New Roman" w:hAnsi="Times New Roman"/>
          <w:b/>
          <w:bCs/>
          <w:sz w:val="24"/>
          <w:szCs w:val="24"/>
          <w:u w:val="single"/>
        </w:rPr>
        <w:footnoteReference w:id="15"/>
      </w:r>
      <w:r w:rsidRPr="00B95677" w:rsidR="00A109DA">
        <w:rPr>
          <w:rFonts w:ascii="Times New Roman" w:hAnsi="Times New Roman"/>
          <w:sz w:val="24"/>
          <w:szCs w:val="24"/>
        </w:rPr>
        <w:t xml:space="preserve"> measuring the safety of electric grids</w:t>
      </w:r>
      <w:r w:rsidRPr="00B95677" w:rsidR="00030B54">
        <w:rPr>
          <w:rFonts w:ascii="Times New Roman" w:hAnsi="Times New Roman"/>
          <w:sz w:val="24"/>
          <w:szCs w:val="24"/>
        </w:rPr>
        <w:t xml:space="preserve"> </w:t>
      </w:r>
      <w:r w:rsidRPr="00B95677" w:rsidR="00A109DA">
        <w:rPr>
          <w:rFonts w:ascii="Times New Roman" w:hAnsi="Times New Roman"/>
          <w:sz w:val="24"/>
          <w:szCs w:val="24"/>
        </w:rPr>
        <w:t xml:space="preserve">and the Safety and Operational Metrics </w:t>
      </w:r>
      <w:r w:rsidRPr="00B95677" w:rsidR="00030B54">
        <w:rPr>
          <w:rFonts w:ascii="Times New Roman" w:hAnsi="Times New Roman"/>
          <w:sz w:val="24"/>
          <w:szCs w:val="24"/>
        </w:rPr>
        <w:t xml:space="preserve">under consideration </w:t>
      </w:r>
      <w:r w:rsidRPr="00B95677" w:rsidR="0066124E">
        <w:rPr>
          <w:rFonts w:ascii="Times New Roman" w:hAnsi="Times New Roman"/>
          <w:sz w:val="24"/>
          <w:szCs w:val="24"/>
        </w:rPr>
        <w:t>in CPUC’s rulemaking proceeding, R.20-07-013</w:t>
      </w:r>
      <w:r w:rsidRPr="00B95677" w:rsidR="00675A45">
        <w:rPr>
          <w:rFonts w:ascii="Times New Roman" w:hAnsi="Times New Roman"/>
          <w:sz w:val="24"/>
          <w:szCs w:val="24"/>
        </w:rPr>
        <w:t>,</w:t>
      </w:r>
      <w:r w:rsidRPr="00B95677" w:rsidR="00A84B1D">
        <w:rPr>
          <w:rStyle w:val="FootnoteReference"/>
          <w:rFonts w:ascii="Times New Roman" w:hAnsi="Times New Roman"/>
          <w:b/>
          <w:bCs/>
          <w:sz w:val="24"/>
          <w:szCs w:val="24"/>
          <w:u w:val="single"/>
        </w:rPr>
        <w:footnoteReference w:id="16"/>
      </w:r>
      <w:r w:rsidRPr="00B95677" w:rsidR="00675A45">
        <w:rPr>
          <w:rFonts w:ascii="Times New Roman" w:hAnsi="Times New Roman"/>
          <w:sz w:val="24"/>
          <w:szCs w:val="24"/>
        </w:rPr>
        <w:t xml:space="preserve"> the Commission </w:t>
      </w:r>
      <w:r w:rsidRPr="00B95677" w:rsidR="00232A97">
        <w:rPr>
          <w:rFonts w:ascii="Times New Roman" w:hAnsi="Times New Roman"/>
          <w:sz w:val="24"/>
          <w:szCs w:val="24"/>
        </w:rPr>
        <w:t>notes</w:t>
      </w:r>
      <w:r w:rsidRPr="00B95677" w:rsidR="00183321">
        <w:rPr>
          <w:rFonts w:ascii="Times New Roman" w:hAnsi="Times New Roman"/>
          <w:sz w:val="24"/>
          <w:szCs w:val="24"/>
        </w:rPr>
        <w:t xml:space="preserve"> that the performance metrics </w:t>
      </w:r>
      <w:r w:rsidRPr="00B95677" w:rsidR="00675A45">
        <w:rPr>
          <w:rFonts w:ascii="Times New Roman" w:hAnsi="Times New Roman"/>
          <w:sz w:val="24"/>
          <w:szCs w:val="24"/>
        </w:rPr>
        <w:t>adopted in</w:t>
      </w:r>
      <w:r w:rsidRPr="00B95677" w:rsidR="00183321">
        <w:rPr>
          <w:rFonts w:ascii="Times New Roman" w:hAnsi="Times New Roman"/>
          <w:sz w:val="24"/>
          <w:szCs w:val="24"/>
        </w:rPr>
        <w:t xml:space="preserve"> WSD-011 complement the safety metrics in </w:t>
      </w:r>
      <w:r w:rsidRPr="00B95677" w:rsidR="00E13125">
        <w:rPr>
          <w:rFonts w:ascii="Times New Roman" w:hAnsi="Times New Roman"/>
          <w:sz w:val="24"/>
          <w:szCs w:val="24"/>
        </w:rPr>
        <w:t>the</w:t>
      </w:r>
      <w:r w:rsidRPr="00B95677" w:rsidR="0066513B">
        <w:rPr>
          <w:rFonts w:ascii="Times New Roman" w:hAnsi="Times New Roman"/>
          <w:sz w:val="24"/>
          <w:szCs w:val="24"/>
        </w:rPr>
        <w:t>se</w:t>
      </w:r>
      <w:r w:rsidRPr="00B95677" w:rsidR="00E13125">
        <w:rPr>
          <w:rFonts w:ascii="Times New Roman" w:hAnsi="Times New Roman"/>
          <w:sz w:val="24"/>
          <w:szCs w:val="24"/>
        </w:rPr>
        <w:t xml:space="preserve"> Commission</w:t>
      </w:r>
      <w:r w:rsidRPr="00B95677" w:rsidR="0066513B">
        <w:rPr>
          <w:rFonts w:ascii="Times New Roman" w:hAnsi="Times New Roman"/>
          <w:sz w:val="24"/>
          <w:szCs w:val="24"/>
        </w:rPr>
        <w:t xml:space="preserve"> </w:t>
      </w:r>
      <w:r w:rsidRPr="00B95677" w:rsidR="00183321">
        <w:rPr>
          <w:rFonts w:ascii="Times New Roman" w:hAnsi="Times New Roman"/>
          <w:sz w:val="24"/>
          <w:szCs w:val="24"/>
        </w:rPr>
        <w:t>proceedings.</w:t>
      </w:r>
    </w:p>
    <w:p w:rsidRPr="00B95677" w:rsidR="00B95677" w:rsidP="00B95677" w:rsidRDefault="00B95677" w14:paraId="74CD384A" w14:textId="77777777">
      <w:pPr>
        <w:pStyle w:val="Res-Caption"/>
        <w:ind w:left="0" w:right="0"/>
        <w:rPr>
          <w:rFonts w:ascii="Times New Roman" w:hAnsi="Times New Roman"/>
          <w:sz w:val="24"/>
          <w:szCs w:val="24"/>
        </w:rPr>
      </w:pPr>
    </w:p>
    <w:p w:rsidR="001514E8" w:rsidP="00B95677" w:rsidRDefault="000A2D08" w14:paraId="7FF5705B" w14:textId="77777777">
      <w:pPr>
        <w:pStyle w:val="Res-Caption"/>
        <w:ind w:left="0"/>
        <w:rPr>
          <w:rFonts w:ascii="Times New Roman" w:hAnsi="Times New Roman"/>
          <w:sz w:val="24"/>
          <w:szCs w:val="24"/>
        </w:rPr>
      </w:pPr>
      <w:r w:rsidRPr="00B95677">
        <w:rPr>
          <w:rFonts w:ascii="Times New Roman" w:hAnsi="Times New Roman"/>
          <w:sz w:val="24"/>
          <w:szCs w:val="24"/>
        </w:rPr>
        <w:t xml:space="preserve">The Commission further encourages the </w:t>
      </w:r>
      <w:r w:rsidRPr="00B95677" w:rsidR="0061428B">
        <w:rPr>
          <w:rFonts w:ascii="Times New Roman" w:hAnsi="Times New Roman"/>
          <w:sz w:val="24"/>
          <w:szCs w:val="24"/>
        </w:rPr>
        <w:t>electrical corporation</w:t>
      </w:r>
      <w:r w:rsidRPr="00B95677" w:rsidR="00C76EF9">
        <w:rPr>
          <w:rFonts w:ascii="Times New Roman" w:hAnsi="Times New Roman"/>
          <w:sz w:val="24"/>
          <w:szCs w:val="24"/>
        </w:rPr>
        <w:t>s</w:t>
      </w:r>
      <w:r w:rsidRPr="00B95677" w:rsidR="0061428B">
        <w:rPr>
          <w:rFonts w:ascii="Times New Roman" w:hAnsi="Times New Roman"/>
          <w:sz w:val="24"/>
          <w:szCs w:val="24"/>
        </w:rPr>
        <w:t xml:space="preserve"> </w:t>
      </w:r>
      <w:r w:rsidRPr="00B95677" w:rsidR="00C40C55">
        <w:rPr>
          <w:rFonts w:ascii="Times New Roman" w:hAnsi="Times New Roman"/>
          <w:sz w:val="24"/>
          <w:szCs w:val="24"/>
        </w:rPr>
        <w:t xml:space="preserve">to consult </w:t>
      </w:r>
      <w:r w:rsidRPr="00B95677" w:rsidR="00081DE3">
        <w:rPr>
          <w:rFonts w:ascii="Times New Roman" w:hAnsi="Times New Roman"/>
          <w:sz w:val="24"/>
          <w:szCs w:val="24"/>
        </w:rPr>
        <w:t xml:space="preserve">with Energy Safety and </w:t>
      </w:r>
      <w:r w:rsidRPr="00B95677" w:rsidR="00F8358E">
        <w:rPr>
          <w:rFonts w:ascii="Times New Roman" w:hAnsi="Times New Roman"/>
          <w:sz w:val="24"/>
          <w:szCs w:val="24"/>
        </w:rPr>
        <w:t xml:space="preserve">the Commission’s </w:t>
      </w:r>
      <w:r w:rsidRPr="00B95677" w:rsidR="00081DE3">
        <w:rPr>
          <w:rFonts w:ascii="Times New Roman" w:hAnsi="Times New Roman"/>
          <w:sz w:val="24"/>
          <w:szCs w:val="24"/>
        </w:rPr>
        <w:t>S</w:t>
      </w:r>
      <w:r w:rsidRPr="00B95677" w:rsidR="00F8358E">
        <w:rPr>
          <w:rFonts w:ascii="Times New Roman" w:hAnsi="Times New Roman"/>
          <w:sz w:val="24"/>
          <w:szCs w:val="24"/>
        </w:rPr>
        <w:t xml:space="preserve">afety </w:t>
      </w:r>
      <w:r w:rsidRPr="00B95677" w:rsidR="00081DE3">
        <w:rPr>
          <w:rFonts w:ascii="Times New Roman" w:hAnsi="Times New Roman"/>
          <w:sz w:val="24"/>
          <w:szCs w:val="24"/>
        </w:rPr>
        <w:t>P</w:t>
      </w:r>
      <w:r w:rsidRPr="00B95677" w:rsidR="00F8358E">
        <w:rPr>
          <w:rFonts w:ascii="Times New Roman" w:hAnsi="Times New Roman"/>
          <w:sz w:val="24"/>
          <w:szCs w:val="24"/>
        </w:rPr>
        <w:t xml:space="preserve">olicy </w:t>
      </w:r>
      <w:r w:rsidRPr="00B95677" w:rsidR="00081DE3">
        <w:rPr>
          <w:rFonts w:ascii="Times New Roman" w:hAnsi="Times New Roman"/>
          <w:sz w:val="24"/>
          <w:szCs w:val="24"/>
        </w:rPr>
        <w:t>D</w:t>
      </w:r>
      <w:r w:rsidRPr="00B95677" w:rsidR="00F8358E">
        <w:rPr>
          <w:rFonts w:ascii="Times New Roman" w:hAnsi="Times New Roman"/>
          <w:sz w:val="24"/>
          <w:szCs w:val="24"/>
        </w:rPr>
        <w:t>ivision (SPD)</w:t>
      </w:r>
      <w:r w:rsidRPr="00B95677" w:rsidR="00081DE3">
        <w:rPr>
          <w:rFonts w:ascii="Times New Roman" w:hAnsi="Times New Roman"/>
          <w:sz w:val="24"/>
          <w:szCs w:val="24"/>
        </w:rPr>
        <w:t xml:space="preserve"> </w:t>
      </w:r>
      <w:r w:rsidRPr="00B95677" w:rsidR="00070257">
        <w:rPr>
          <w:rFonts w:ascii="Times New Roman" w:hAnsi="Times New Roman"/>
          <w:sz w:val="24"/>
          <w:szCs w:val="24"/>
        </w:rPr>
        <w:t xml:space="preserve">to </w:t>
      </w:r>
      <w:r w:rsidRPr="00B95677" w:rsidR="17D92200">
        <w:rPr>
          <w:rFonts w:ascii="Times New Roman" w:hAnsi="Times New Roman"/>
          <w:sz w:val="24"/>
          <w:szCs w:val="24"/>
        </w:rPr>
        <w:t xml:space="preserve">ensure performance metric data is subjected to sufficient </w:t>
      </w:r>
      <w:r w:rsidRPr="00B95677" w:rsidR="00081DE3">
        <w:rPr>
          <w:rFonts w:ascii="Times New Roman" w:hAnsi="Times New Roman"/>
          <w:sz w:val="24"/>
          <w:szCs w:val="24"/>
        </w:rPr>
        <w:t>quality assurance and quality control procedures</w:t>
      </w:r>
      <w:r w:rsidRPr="00B95677" w:rsidR="00070257">
        <w:rPr>
          <w:rFonts w:ascii="Times New Roman" w:hAnsi="Times New Roman"/>
          <w:sz w:val="24"/>
          <w:szCs w:val="24"/>
        </w:rPr>
        <w:t xml:space="preserve"> </w:t>
      </w:r>
      <w:r w:rsidRPr="00B95677" w:rsidR="4F988EC6">
        <w:rPr>
          <w:rFonts w:ascii="Times New Roman" w:hAnsi="Times New Roman"/>
          <w:sz w:val="24"/>
          <w:szCs w:val="24"/>
        </w:rPr>
        <w:t xml:space="preserve">to </w:t>
      </w:r>
      <w:r w:rsidRPr="00B95677" w:rsidR="00911973">
        <w:rPr>
          <w:rFonts w:ascii="Times New Roman" w:hAnsi="Times New Roman"/>
          <w:sz w:val="24"/>
          <w:szCs w:val="24"/>
        </w:rPr>
        <w:t xml:space="preserve">effectively </w:t>
      </w:r>
      <w:r w:rsidRPr="00B95677" w:rsidR="4F988EC6">
        <w:rPr>
          <w:rFonts w:ascii="Times New Roman" w:hAnsi="Times New Roman"/>
          <w:sz w:val="24"/>
          <w:szCs w:val="24"/>
        </w:rPr>
        <w:t xml:space="preserve">evaluate </w:t>
      </w:r>
      <w:r w:rsidRPr="00B95677" w:rsidR="00081DE3">
        <w:rPr>
          <w:rFonts w:ascii="Times New Roman" w:hAnsi="Times New Roman"/>
          <w:sz w:val="24"/>
          <w:szCs w:val="24"/>
        </w:rPr>
        <w:t>continued progress o</w:t>
      </w:r>
      <w:r w:rsidRPr="00B95677" w:rsidR="00F37BF9">
        <w:rPr>
          <w:rFonts w:ascii="Times New Roman" w:hAnsi="Times New Roman"/>
          <w:sz w:val="24"/>
          <w:szCs w:val="24"/>
        </w:rPr>
        <w:t>n</w:t>
      </w:r>
      <w:r w:rsidRPr="00B95677" w:rsidR="00081DE3">
        <w:rPr>
          <w:rFonts w:ascii="Times New Roman" w:hAnsi="Times New Roman"/>
          <w:sz w:val="24"/>
          <w:szCs w:val="24"/>
        </w:rPr>
        <w:t xml:space="preserve"> safety performance. </w:t>
      </w:r>
    </w:p>
    <w:p w:rsidR="002A6E33" w:rsidP="00B95677" w:rsidRDefault="002A6E33" w14:paraId="05E44E78" w14:textId="77777777">
      <w:pPr>
        <w:pStyle w:val="Res-Caption"/>
        <w:ind w:left="0"/>
        <w:rPr>
          <w:rFonts w:ascii="Times New Roman" w:hAnsi="Times New Roman"/>
          <w:sz w:val="24"/>
          <w:szCs w:val="24"/>
        </w:rPr>
      </w:pPr>
    </w:p>
    <w:p w:rsidRPr="00B95677" w:rsidR="002A6E33" w:rsidP="00B95677" w:rsidRDefault="002A6E33" w14:paraId="22A30B5E" w14:textId="77777777">
      <w:pPr>
        <w:pStyle w:val="Res-Caption"/>
        <w:ind w:left="0"/>
        <w:rPr>
          <w:rFonts w:ascii="Times New Roman" w:hAnsi="Times New Roman"/>
          <w:sz w:val="24"/>
          <w:szCs w:val="24"/>
        </w:rPr>
      </w:pPr>
      <w:r w:rsidRPr="00B95677">
        <w:rPr>
          <w:rFonts w:ascii="Times New Roman" w:hAnsi="Times New Roman"/>
          <w:sz w:val="24"/>
          <w:szCs w:val="24"/>
        </w:rPr>
        <w:t xml:space="preserve">Consistent with Energy Safety’s recommendation attached herein as Attachment </w:t>
      </w:r>
      <w:r>
        <w:rPr>
          <w:rFonts w:ascii="Times New Roman" w:hAnsi="Times New Roman"/>
          <w:sz w:val="24"/>
          <w:szCs w:val="24"/>
        </w:rPr>
        <w:t>1</w:t>
      </w:r>
      <w:r w:rsidRPr="00B95677">
        <w:rPr>
          <w:rFonts w:ascii="Times New Roman" w:hAnsi="Times New Roman"/>
          <w:sz w:val="24"/>
          <w:szCs w:val="24"/>
        </w:rPr>
        <w:t xml:space="preserve">, the Commission </w:t>
      </w:r>
      <w:r>
        <w:rPr>
          <w:rFonts w:ascii="Times New Roman" w:hAnsi="Times New Roman"/>
          <w:sz w:val="24"/>
          <w:szCs w:val="24"/>
        </w:rPr>
        <w:t>will not adopt changes to the performance metrics</w:t>
      </w:r>
      <w:r w:rsidRPr="00B95677">
        <w:rPr>
          <w:rFonts w:ascii="Times New Roman" w:hAnsi="Times New Roman"/>
          <w:sz w:val="24"/>
          <w:szCs w:val="24"/>
        </w:rPr>
        <w:t xml:space="preserve"> for 2022.  </w:t>
      </w:r>
    </w:p>
    <w:p w:rsidRPr="00B95677" w:rsidR="006D0BFD" w:rsidP="006E075E" w:rsidRDefault="006D0BFD" w14:paraId="63F7CA58" w14:textId="77777777">
      <w:pPr>
        <w:pStyle w:val="Res-Caption"/>
        <w:numPr>
          <w:ilvl w:val="0"/>
          <w:numId w:val="12"/>
        </w:numPr>
        <w:spacing w:before="120" w:after="120"/>
        <w:ind w:hanging="720"/>
        <w:rPr>
          <w:rFonts w:ascii="Times New Roman" w:hAnsi="Times New Roman"/>
          <w:b/>
          <w:bCs/>
          <w:sz w:val="24"/>
          <w:szCs w:val="24"/>
        </w:rPr>
      </w:pPr>
      <w:r w:rsidRPr="00B95677">
        <w:rPr>
          <w:rFonts w:ascii="Times New Roman" w:hAnsi="Times New Roman"/>
          <w:b/>
          <w:bCs/>
          <w:sz w:val="24"/>
          <w:szCs w:val="24"/>
        </w:rPr>
        <w:t xml:space="preserve">Attachment </w:t>
      </w:r>
      <w:r w:rsidRPr="00B95677" w:rsidR="00284BD4">
        <w:rPr>
          <w:rFonts w:ascii="Times New Roman" w:hAnsi="Times New Roman"/>
          <w:b/>
          <w:bCs/>
          <w:sz w:val="24"/>
          <w:szCs w:val="24"/>
        </w:rPr>
        <w:t>2</w:t>
      </w:r>
      <w:r w:rsidRPr="00B95677" w:rsidR="00F05636">
        <w:rPr>
          <w:rFonts w:ascii="Times New Roman" w:hAnsi="Times New Roman"/>
          <w:b/>
          <w:bCs/>
          <w:sz w:val="24"/>
          <w:szCs w:val="24"/>
        </w:rPr>
        <w:t>:</w:t>
      </w:r>
      <w:r w:rsidRPr="00B95677" w:rsidR="009A6042">
        <w:rPr>
          <w:rFonts w:ascii="Times New Roman" w:hAnsi="Times New Roman"/>
          <w:b/>
          <w:bCs/>
          <w:sz w:val="24"/>
          <w:szCs w:val="24"/>
        </w:rPr>
        <w:t xml:space="preserve"> </w:t>
      </w:r>
      <w:r w:rsidR="00B56D72">
        <w:rPr>
          <w:rFonts w:ascii="Times New Roman" w:hAnsi="Times New Roman"/>
          <w:b/>
          <w:bCs/>
          <w:sz w:val="24"/>
          <w:szCs w:val="24"/>
        </w:rPr>
        <w:t>Review of Additional</w:t>
      </w:r>
      <w:r w:rsidRPr="00B95677">
        <w:rPr>
          <w:rFonts w:ascii="Times New Roman" w:hAnsi="Times New Roman"/>
          <w:b/>
          <w:bCs/>
          <w:sz w:val="24"/>
          <w:szCs w:val="24"/>
        </w:rPr>
        <w:t xml:space="preserve"> WMP </w:t>
      </w:r>
      <w:r w:rsidRPr="00B95677" w:rsidR="00766264">
        <w:rPr>
          <w:rFonts w:ascii="Times New Roman" w:hAnsi="Times New Roman"/>
          <w:b/>
          <w:bCs/>
          <w:sz w:val="24"/>
          <w:szCs w:val="24"/>
        </w:rPr>
        <w:t>Requirements</w:t>
      </w:r>
      <w:r w:rsidRPr="00B95677">
        <w:rPr>
          <w:rFonts w:ascii="Times New Roman" w:hAnsi="Times New Roman"/>
          <w:b/>
          <w:bCs/>
          <w:sz w:val="24"/>
          <w:szCs w:val="24"/>
        </w:rPr>
        <w:t xml:space="preserve"> </w:t>
      </w:r>
    </w:p>
    <w:p w:rsidRPr="00B95677" w:rsidR="00DC37C5" w:rsidP="00516014" w:rsidRDefault="00E92220" w14:paraId="341A90D3" w14:textId="77777777">
      <w:pPr>
        <w:pStyle w:val="Standard"/>
        <w:rPr>
          <w:rFonts w:ascii="Times New Roman" w:hAnsi="Times New Roman" w:cs="Times New Roman"/>
          <w:sz w:val="24"/>
          <w:szCs w:val="24"/>
        </w:rPr>
      </w:pPr>
      <w:r w:rsidRPr="00B95677">
        <w:rPr>
          <w:rFonts w:ascii="Times New Roman" w:hAnsi="Times New Roman" w:cs="Times New Roman"/>
          <w:sz w:val="24"/>
          <w:szCs w:val="24"/>
        </w:rPr>
        <w:t>Energy Safety did not recommend additional requirements for 2022 WMP filings.</w:t>
      </w:r>
      <w:r w:rsidRPr="00B95677">
        <w:rPr>
          <w:rStyle w:val="FootnoteReference"/>
          <w:rFonts w:ascii="Times New Roman" w:hAnsi="Times New Roman" w:cs="Times New Roman"/>
          <w:b/>
          <w:bCs/>
          <w:sz w:val="24"/>
          <w:szCs w:val="24"/>
          <w:u w:val="single"/>
        </w:rPr>
        <w:footnoteReference w:id="17"/>
      </w:r>
      <w:r w:rsidRPr="00B95677">
        <w:rPr>
          <w:rFonts w:ascii="Times New Roman" w:hAnsi="Times New Roman" w:cs="Times New Roman"/>
          <w:sz w:val="24"/>
          <w:szCs w:val="24"/>
        </w:rPr>
        <w:t xml:space="preserve">  </w:t>
      </w:r>
      <w:r w:rsidRPr="00B95677" w:rsidR="0062407D">
        <w:rPr>
          <w:rFonts w:ascii="Times New Roman" w:hAnsi="Times New Roman" w:cs="Times New Roman"/>
          <w:sz w:val="24"/>
          <w:szCs w:val="24"/>
        </w:rPr>
        <w:t xml:space="preserve">Consistent with Energy Safety’s </w:t>
      </w:r>
      <w:r w:rsidRPr="00B95677" w:rsidR="004F68FE">
        <w:rPr>
          <w:rFonts w:ascii="Times New Roman" w:hAnsi="Times New Roman" w:cs="Times New Roman"/>
          <w:sz w:val="24"/>
          <w:szCs w:val="24"/>
        </w:rPr>
        <w:t>recommendation</w:t>
      </w:r>
      <w:r w:rsidRPr="00B95677" w:rsidR="00467006">
        <w:rPr>
          <w:rFonts w:ascii="Times New Roman" w:hAnsi="Times New Roman" w:cs="Times New Roman"/>
          <w:sz w:val="24"/>
          <w:szCs w:val="24"/>
        </w:rPr>
        <w:t xml:space="preserve"> attached herein as Attachment 2</w:t>
      </w:r>
      <w:r w:rsidRPr="00B95677" w:rsidR="004F68FE">
        <w:rPr>
          <w:rFonts w:ascii="Times New Roman" w:hAnsi="Times New Roman" w:cs="Times New Roman"/>
          <w:sz w:val="24"/>
          <w:szCs w:val="24"/>
        </w:rPr>
        <w:t>, t</w:t>
      </w:r>
      <w:r w:rsidRPr="00B95677" w:rsidR="001D7FA4">
        <w:rPr>
          <w:rFonts w:ascii="Times New Roman" w:hAnsi="Times New Roman" w:cs="Times New Roman"/>
          <w:sz w:val="24"/>
          <w:szCs w:val="24"/>
        </w:rPr>
        <w:t>he Commission</w:t>
      </w:r>
      <w:r w:rsidRPr="00B95677" w:rsidR="00CC1AF2">
        <w:rPr>
          <w:rFonts w:ascii="Times New Roman" w:hAnsi="Times New Roman" w:cs="Times New Roman"/>
          <w:sz w:val="24"/>
          <w:szCs w:val="24"/>
        </w:rPr>
        <w:t xml:space="preserve"> will not adopt </w:t>
      </w:r>
      <w:r w:rsidRPr="00B95677" w:rsidR="00BE0916">
        <w:rPr>
          <w:rFonts w:ascii="Times New Roman" w:hAnsi="Times New Roman" w:cs="Times New Roman"/>
          <w:sz w:val="24"/>
          <w:szCs w:val="24"/>
        </w:rPr>
        <w:t>additional WMP require</w:t>
      </w:r>
      <w:r w:rsidRPr="00B95677" w:rsidR="00401DB0">
        <w:rPr>
          <w:rFonts w:ascii="Times New Roman" w:hAnsi="Times New Roman" w:cs="Times New Roman"/>
          <w:sz w:val="24"/>
          <w:szCs w:val="24"/>
        </w:rPr>
        <w:t>ments</w:t>
      </w:r>
      <w:r w:rsidRPr="00B95677" w:rsidR="00BE0916">
        <w:rPr>
          <w:rFonts w:ascii="Times New Roman" w:hAnsi="Times New Roman" w:cs="Times New Roman"/>
          <w:sz w:val="24"/>
          <w:szCs w:val="24"/>
        </w:rPr>
        <w:t xml:space="preserve"> for 2022.  </w:t>
      </w:r>
    </w:p>
    <w:p w:rsidRPr="00B95677" w:rsidR="00882D6F" w:rsidP="006E075E" w:rsidRDefault="00882D6F" w14:paraId="7A32B5FB" w14:textId="77777777">
      <w:pPr>
        <w:pStyle w:val="Res-Caption"/>
        <w:numPr>
          <w:ilvl w:val="0"/>
          <w:numId w:val="12"/>
        </w:numPr>
        <w:spacing w:before="120" w:after="120"/>
        <w:ind w:hanging="720"/>
        <w:rPr>
          <w:rFonts w:ascii="Times New Roman" w:hAnsi="Times New Roman"/>
          <w:b/>
          <w:bCs/>
          <w:sz w:val="24"/>
          <w:szCs w:val="24"/>
        </w:rPr>
      </w:pPr>
      <w:r w:rsidRPr="00B95677">
        <w:rPr>
          <w:rFonts w:ascii="Times New Roman" w:hAnsi="Times New Roman"/>
          <w:b/>
          <w:bCs/>
          <w:sz w:val="24"/>
          <w:szCs w:val="24"/>
        </w:rPr>
        <w:t xml:space="preserve">Attachment </w:t>
      </w:r>
      <w:r w:rsidRPr="00B95677" w:rsidR="00FC4301">
        <w:rPr>
          <w:rFonts w:ascii="Times New Roman" w:hAnsi="Times New Roman"/>
          <w:b/>
          <w:bCs/>
          <w:sz w:val="24"/>
          <w:szCs w:val="24"/>
        </w:rPr>
        <w:t>3</w:t>
      </w:r>
      <w:r w:rsidRPr="00B95677">
        <w:rPr>
          <w:rFonts w:ascii="Times New Roman" w:hAnsi="Times New Roman"/>
          <w:b/>
          <w:bCs/>
          <w:sz w:val="24"/>
          <w:szCs w:val="24"/>
        </w:rPr>
        <w:t xml:space="preserve">: </w:t>
      </w:r>
      <w:r w:rsidRPr="00B95677" w:rsidR="005B7A23">
        <w:rPr>
          <w:rFonts w:ascii="Times New Roman" w:hAnsi="Times New Roman"/>
          <w:b/>
          <w:bCs/>
          <w:sz w:val="24"/>
          <w:szCs w:val="24"/>
        </w:rPr>
        <w:t xml:space="preserve">WMP </w:t>
      </w:r>
      <w:r w:rsidRPr="00B95677">
        <w:rPr>
          <w:rFonts w:ascii="Times New Roman" w:hAnsi="Times New Roman"/>
          <w:b/>
          <w:bCs/>
          <w:sz w:val="24"/>
          <w:szCs w:val="24"/>
        </w:rPr>
        <w:t>Compliance Process</w:t>
      </w:r>
    </w:p>
    <w:p w:rsidR="000C54E3" w:rsidP="00B95677" w:rsidRDefault="009A665B" w14:paraId="067C5B65"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O</w:t>
      </w:r>
      <w:r w:rsidRPr="00B95677" w:rsidR="00363B8B">
        <w:rPr>
          <w:rFonts w:ascii="Times New Roman" w:hAnsi="Times New Roman" w:cs="Times New Roman"/>
          <w:sz w:val="24"/>
          <w:szCs w:val="24"/>
        </w:rPr>
        <w:t>n November 19, 2020 in WSD-012</w:t>
      </w:r>
      <w:r w:rsidRPr="00B95677">
        <w:rPr>
          <w:rFonts w:ascii="Times New Roman" w:hAnsi="Times New Roman" w:cs="Times New Roman"/>
          <w:sz w:val="24"/>
          <w:szCs w:val="24"/>
        </w:rPr>
        <w:t>, the Commission</w:t>
      </w:r>
      <w:r w:rsidRPr="00B95677" w:rsidR="00363B8B">
        <w:rPr>
          <w:rFonts w:ascii="Times New Roman" w:hAnsi="Times New Roman" w:cs="Times New Roman"/>
          <w:sz w:val="24"/>
          <w:szCs w:val="24"/>
        </w:rPr>
        <w:t xml:space="preserve"> </w:t>
      </w:r>
      <w:r w:rsidRPr="00B95677" w:rsidR="000C54E3">
        <w:rPr>
          <w:rFonts w:ascii="Times New Roman" w:hAnsi="Times New Roman" w:cs="Times New Roman"/>
          <w:sz w:val="24"/>
          <w:szCs w:val="24"/>
        </w:rPr>
        <w:t>approved the first WMP compliance process</w:t>
      </w:r>
      <w:r w:rsidRPr="00B95677" w:rsidR="00CD3997">
        <w:rPr>
          <w:rFonts w:ascii="Times New Roman" w:hAnsi="Times New Roman" w:cs="Times New Roman"/>
          <w:sz w:val="24"/>
          <w:szCs w:val="24"/>
        </w:rPr>
        <w:t xml:space="preserve"> designed to oversee electrical corporation compliance with wildfire safety pursuant to Pub. Util. Code § 8386.3(c).  </w:t>
      </w:r>
      <w:r w:rsidRPr="00B95677" w:rsidR="000C54E3">
        <w:rPr>
          <w:rFonts w:ascii="Times New Roman" w:hAnsi="Times New Roman" w:cs="Times New Roman"/>
          <w:sz w:val="24"/>
          <w:szCs w:val="24"/>
        </w:rPr>
        <w:t>Th</w:t>
      </w:r>
      <w:r w:rsidRPr="00B95677" w:rsidR="00CD3997">
        <w:rPr>
          <w:rFonts w:ascii="Times New Roman" w:hAnsi="Times New Roman" w:cs="Times New Roman"/>
          <w:sz w:val="24"/>
          <w:szCs w:val="24"/>
        </w:rPr>
        <w:t>at</w:t>
      </w:r>
      <w:r w:rsidRPr="00B95677" w:rsidR="000C54E3">
        <w:rPr>
          <w:rFonts w:ascii="Times New Roman" w:hAnsi="Times New Roman" w:cs="Times New Roman"/>
          <w:sz w:val="24"/>
          <w:szCs w:val="24"/>
        </w:rPr>
        <w:t xml:space="preserve"> process </w:t>
      </w:r>
      <w:r w:rsidRPr="00B95677" w:rsidR="0024033B">
        <w:rPr>
          <w:rFonts w:ascii="Times New Roman" w:hAnsi="Times New Roman" w:cs="Times New Roman"/>
          <w:sz w:val="24"/>
          <w:szCs w:val="24"/>
        </w:rPr>
        <w:t>provided direction</w:t>
      </w:r>
      <w:r w:rsidRPr="00B95677" w:rsidR="000C54E3">
        <w:rPr>
          <w:rFonts w:ascii="Times New Roman" w:hAnsi="Times New Roman" w:cs="Times New Roman"/>
          <w:sz w:val="24"/>
          <w:szCs w:val="24"/>
        </w:rPr>
        <w:t xml:space="preserve"> to electrical corporations on demonstrating compliance with WMP initiatives </w:t>
      </w:r>
      <w:r w:rsidRPr="00B95677" w:rsidR="00EE19C5">
        <w:rPr>
          <w:rFonts w:ascii="Times New Roman" w:hAnsi="Times New Roman" w:cs="Times New Roman"/>
          <w:sz w:val="24"/>
          <w:szCs w:val="24"/>
        </w:rPr>
        <w:t xml:space="preserve">while </w:t>
      </w:r>
      <w:r w:rsidRPr="00B95677" w:rsidR="000C54E3">
        <w:rPr>
          <w:rFonts w:ascii="Times New Roman" w:hAnsi="Times New Roman" w:cs="Times New Roman"/>
          <w:sz w:val="24"/>
          <w:szCs w:val="24"/>
        </w:rPr>
        <w:t>retain</w:t>
      </w:r>
      <w:r w:rsidRPr="00B95677" w:rsidR="00EE19C5">
        <w:rPr>
          <w:rFonts w:ascii="Times New Roman" w:hAnsi="Times New Roman" w:cs="Times New Roman"/>
          <w:sz w:val="24"/>
          <w:szCs w:val="24"/>
        </w:rPr>
        <w:t>ing</w:t>
      </w:r>
      <w:r w:rsidRPr="00B95677" w:rsidR="0024033B">
        <w:rPr>
          <w:rFonts w:ascii="Times New Roman" w:hAnsi="Times New Roman" w:cs="Times New Roman"/>
          <w:sz w:val="24"/>
          <w:szCs w:val="24"/>
        </w:rPr>
        <w:t xml:space="preserve"> </w:t>
      </w:r>
      <w:r w:rsidRPr="00B95677" w:rsidR="00EE19C5">
        <w:rPr>
          <w:rFonts w:ascii="Times New Roman" w:hAnsi="Times New Roman" w:cs="Times New Roman"/>
          <w:sz w:val="24"/>
          <w:szCs w:val="24"/>
        </w:rPr>
        <w:t xml:space="preserve">appropriate </w:t>
      </w:r>
      <w:r w:rsidRPr="00B95677" w:rsidR="0024033B">
        <w:rPr>
          <w:rFonts w:ascii="Times New Roman" w:hAnsi="Times New Roman" w:cs="Times New Roman"/>
          <w:sz w:val="24"/>
          <w:szCs w:val="24"/>
        </w:rPr>
        <w:t xml:space="preserve">operational flexibility to address dynamic field conditions and </w:t>
      </w:r>
      <w:r w:rsidRPr="00B95677" w:rsidR="00556758">
        <w:rPr>
          <w:rFonts w:ascii="Times New Roman" w:hAnsi="Times New Roman" w:cs="Times New Roman"/>
          <w:sz w:val="24"/>
          <w:szCs w:val="24"/>
        </w:rPr>
        <w:t xml:space="preserve">necessary </w:t>
      </w:r>
      <w:r w:rsidRPr="00B95677" w:rsidR="0024033B">
        <w:rPr>
          <w:rFonts w:ascii="Times New Roman" w:hAnsi="Times New Roman" w:cs="Times New Roman"/>
          <w:sz w:val="24"/>
          <w:szCs w:val="24"/>
        </w:rPr>
        <w:t xml:space="preserve">improvements.  </w:t>
      </w:r>
      <w:r w:rsidRPr="00B95677" w:rsidR="000B33D9">
        <w:rPr>
          <w:rFonts w:ascii="Times New Roman" w:hAnsi="Times New Roman" w:cs="Times New Roman"/>
          <w:sz w:val="24"/>
          <w:szCs w:val="24"/>
        </w:rPr>
        <w:t>T</w:t>
      </w:r>
      <w:r w:rsidRPr="00B95677" w:rsidR="007D4689">
        <w:rPr>
          <w:rFonts w:ascii="Times New Roman" w:hAnsi="Times New Roman" w:cs="Times New Roman"/>
          <w:sz w:val="24"/>
          <w:szCs w:val="24"/>
        </w:rPr>
        <w:t xml:space="preserve">he Commission also recognized that </w:t>
      </w:r>
      <w:r w:rsidRPr="00B95677" w:rsidR="0024033B">
        <w:rPr>
          <w:rFonts w:ascii="Times New Roman" w:hAnsi="Times New Roman" w:cs="Times New Roman"/>
          <w:sz w:val="24"/>
          <w:szCs w:val="24"/>
        </w:rPr>
        <w:t>the WMP compliance process would evolve over time</w:t>
      </w:r>
      <w:r w:rsidRPr="00B95677" w:rsidR="007D4689">
        <w:rPr>
          <w:rFonts w:ascii="Times New Roman" w:hAnsi="Times New Roman" w:cs="Times New Roman"/>
          <w:sz w:val="24"/>
          <w:szCs w:val="24"/>
        </w:rPr>
        <w:t xml:space="preserve"> </w:t>
      </w:r>
      <w:r w:rsidRPr="00B95677" w:rsidR="0024033B">
        <w:rPr>
          <w:rFonts w:ascii="Times New Roman" w:hAnsi="Times New Roman" w:cs="Times New Roman"/>
          <w:sz w:val="24"/>
          <w:szCs w:val="24"/>
        </w:rPr>
        <w:t xml:space="preserve">as lessons </w:t>
      </w:r>
      <w:r w:rsidRPr="00B95677" w:rsidR="00CE5A3B">
        <w:rPr>
          <w:rFonts w:ascii="Times New Roman" w:hAnsi="Times New Roman" w:cs="Times New Roman"/>
          <w:sz w:val="24"/>
          <w:szCs w:val="24"/>
        </w:rPr>
        <w:t xml:space="preserve">are </w:t>
      </w:r>
      <w:r w:rsidRPr="00B95677" w:rsidR="0024033B">
        <w:rPr>
          <w:rFonts w:ascii="Times New Roman" w:hAnsi="Times New Roman" w:cs="Times New Roman"/>
          <w:sz w:val="24"/>
          <w:szCs w:val="24"/>
        </w:rPr>
        <w:t xml:space="preserve">learned </w:t>
      </w:r>
      <w:r w:rsidRPr="00B95677" w:rsidR="0024033B">
        <w:rPr>
          <w:rFonts w:ascii="Times New Roman" w:hAnsi="Times New Roman" w:cs="Times New Roman"/>
          <w:sz w:val="24"/>
          <w:szCs w:val="24"/>
        </w:rPr>
        <w:lastRenderedPageBreak/>
        <w:t>in the field and circumstances evolve, subject to Commission adoption and approval annually under Section 8389(d)(3).</w:t>
      </w:r>
      <w:r w:rsidRPr="00B95677" w:rsidR="0024033B">
        <w:rPr>
          <w:rStyle w:val="FootnoteReference"/>
          <w:rFonts w:ascii="Times New Roman" w:hAnsi="Times New Roman" w:cs="Times New Roman"/>
          <w:b/>
          <w:bCs/>
          <w:sz w:val="24"/>
          <w:szCs w:val="24"/>
          <w:u w:val="single"/>
        </w:rPr>
        <w:footnoteReference w:id="18"/>
      </w:r>
      <w:r w:rsidRPr="00B95677" w:rsidR="0024033B">
        <w:rPr>
          <w:rFonts w:ascii="Times New Roman" w:hAnsi="Times New Roman" w:cs="Times New Roman"/>
          <w:sz w:val="24"/>
          <w:szCs w:val="24"/>
        </w:rPr>
        <w:t xml:space="preserve"> </w:t>
      </w:r>
    </w:p>
    <w:p w:rsidR="000058EC" w:rsidP="00B95677" w:rsidRDefault="000058EC" w14:paraId="6BCAD2E2" w14:textId="77777777">
      <w:pPr>
        <w:pStyle w:val="Res-Caption"/>
        <w:ind w:left="0"/>
        <w:rPr>
          <w:rFonts w:ascii="Times New Roman" w:hAnsi="Times New Roman"/>
          <w:sz w:val="24"/>
          <w:szCs w:val="24"/>
        </w:rPr>
      </w:pPr>
    </w:p>
    <w:p w:rsidRPr="00B95677" w:rsidR="00CD3997" w:rsidP="00B95677" w:rsidRDefault="0024033B" w14:paraId="5F0913D9" w14:textId="77777777">
      <w:pPr>
        <w:pStyle w:val="Res-Caption"/>
        <w:ind w:left="0"/>
        <w:rPr>
          <w:rFonts w:ascii="Times New Roman" w:hAnsi="Times New Roman"/>
          <w:sz w:val="24"/>
          <w:szCs w:val="24"/>
        </w:rPr>
      </w:pPr>
      <w:r w:rsidRPr="00B95677">
        <w:rPr>
          <w:rFonts w:ascii="Times New Roman" w:hAnsi="Times New Roman"/>
          <w:sz w:val="24"/>
          <w:szCs w:val="24"/>
        </w:rPr>
        <w:t xml:space="preserve">In </w:t>
      </w:r>
      <w:r w:rsidRPr="00B95677" w:rsidR="00531B97">
        <w:rPr>
          <w:rFonts w:ascii="Times New Roman" w:hAnsi="Times New Roman"/>
          <w:sz w:val="24"/>
          <w:szCs w:val="24"/>
        </w:rPr>
        <w:t xml:space="preserve">considering whether to </w:t>
      </w:r>
      <w:r w:rsidRPr="00B95677" w:rsidR="00FC5AA3">
        <w:rPr>
          <w:rFonts w:ascii="Times New Roman" w:hAnsi="Times New Roman"/>
          <w:sz w:val="24"/>
          <w:szCs w:val="24"/>
        </w:rPr>
        <w:t>approve</w:t>
      </w:r>
      <w:r w:rsidRPr="00B95677" w:rsidR="00531B97">
        <w:rPr>
          <w:rFonts w:ascii="Times New Roman" w:hAnsi="Times New Roman"/>
          <w:sz w:val="24"/>
          <w:szCs w:val="24"/>
        </w:rPr>
        <w:t xml:space="preserve"> refinements</w:t>
      </w:r>
      <w:r w:rsidRPr="00B95677" w:rsidR="00077205">
        <w:rPr>
          <w:rFonts w:ascii="Times New Roman" w:hAnsi="Times New Roman"/>
          <w:sz w:val="24"/>
          <w:szCs w:val="24"/>
        </w:rPr>
        <w:t xml:space="preserve"> to</w:t>
      </w:r>
      <w:r w:rsidRPr="00B95677" w:rsidDel="00077205" w:rsidR="00531B97">
        <w:rPr>
          <w:rFonts w:ascii="Times New Roman" w:hAnsi="Times New Roman"/>
          <w:sz w:val="24"/>
          <w:szCs w:val="24"/>
        </w:rPr>
        <w:t xml:space="preserve"> </w:t>
      </w:r>
      <w:r w:rsidRPr="00B95677">
        <w:rPr>
          <w:rFonts w:ascii="Times New Roman" w:hAnsi="Times New Roman"/>
          <w:sz w:val="24"/>
          <w:szCs w:val="24"/>
        </w:rPr>
        <w:t>the WMP compliance process</w:t>
      </w:r>
      <w:r w:rsidRPr="00B95677" w:rsidR="00FC5AA3">
        <w:rPr>
          <w:rFonts w:ascii="Times New Roman" w:hAnsi="Times New Roman"/>
          <w:sz w:val="24"/>
          <w:szCs w:val="24"/>
        </w:rPr>
        <w:t xml:space="preserve"> </w:t>
      </w:r>
      <w:r w:rsidRPr="00B95677" w:rsidR="007825AA">
        <w:rPr>
          <w:rFonts w:ascii="Times New Roman" w:hAnsi="Times New Roman"/>
          <w:sz w:val="24"/>
          <w:szCs w:val="24"/>
        </w:rPr>
        <w:t>for 2021 WMPs</w:t>
      </w:r>
      <w:r w:rsidRPr="00B95677" w:rsidR="00DF4FEA">
        <w:rPr>
          <w:rFonts w:ascii="Times New Roman" w:hAnsi="Times New Roman"/>
          <w:sz w:val="24"/>
          <w:szCs w:val="24"/>
        </w:rPr>
        <w:t xml:space="preserve"> </w:t>
      </w:r>
      <w:r w:rsidR="00784493">
        <w:rPr>
          <w:rFonts w:ascii="Times New Roman" w:hAnsi="Times New Roman"/>
          <w:sz w:val="24"/>
          <w:szCs w:val="24"/>
        </w:rPr>
        <w:t xml:space="preserve">and </w:t>
      </w:r>
      <w:r w:rsidRPr="00B95677" w:rsidR="00C07160">
        <w:rPr>
          <w:rFonts w:ascii="Times New Roman" w:hAnsi="Times New Roman"/>
          <w:sz w:val="24"/>
          <w:szCs w:val="24"/>
        </w:rPr>
        <w:t>in consultation with Energy Safety</w:t>
      </w:r>
      <w:r w:rsidRPr="00B95677">
        <w:rPr>
          <w:rFonts w:ascii="Times New Roman" w:hAnsi="Times New Roman"/>
          <w:sz w:val="24"/>
          <w:szCs w:val="24"/>
        </w:rPr>
        <w:t xml:space="preserve">, the Commission reviewed Energy Safety’s </w:t>
      </w:r>
      <w:r w:rsidR="00784493">
        <w:rPr>
          <w:rFonts w:ascii="Times New Roman" w:hAnsi="Times New Roman"/>
          <w:sz w:val="24"/>
          <w:szCs w:val="24"/>
        </w:rPr>
        <w:t>updated compliance process</w:t>
      </w:r>
      <w:r w:rsidRPr="00B95677">
        <w:rPr>
          <w:rFonts w:ascii="Times New Roman" w:hAnsi="Times New Roman"/>
          <w:sz w:val="24"/>
          <w:szCs w:val="24"/>
        </w:rPr>
        <w:t xml:space="preserve"> attached herein as Attachment </w:t>
      </w:r>
      <w:r w:rsidRPr="00B95677" w:rsidR="00FC4301">
        <w:rPr>
          <w:rFonts w:ascii="Times New Roman" w:hAnsi="Times New Roman"/>
          <w:sz w:val="24"/>
          <w:szCs w:val="24"/>
        </w:rPr>
        <w:t>3</w:t>
      </w:r>
      <w:r w:rsidRPr="00B95677">
        <w:rPr>
          <w:rFonts w:ascii="Times New Roman" w:hAnsi="Times New Roman"/>
          <w:sz w:val="24"/>
          <w:szCs w:val="24"/>
        </w:rPr>
        <w:t xml:space="preserve"> to this Resolution.  </w:t>
      </w:r>
      <w:r w:rsidRPr="00B95677" w:rsidR="00873EED">
        <w:rPr>
          <w:rFonts w:ascii="Times New Roman" w:hAnsi="Times New Roman"/>
          <w:sz w:val="24"/>
          <w:szCs w:val="24"/>
        </w:rPr>
        <w:t xml:space="preserve">Energy Safety’s </w:t>
      </w:r>
      <w:r w:rsidRPr="00B95677" w:rsidR="00CD3997">
        <w:rPr>
          <w:rFonts w:ascii="Times New Roman" w:hAnsi="Times New Roman"/>
          <w:sz w:val="24"/>
          <w:szCs w:val="24"/>
        </w:rPr>
        <w:t xml:space="preserve">proposed </w:t>
      </w:r>
      <w:r w:rsidRPr="00B95677" w:rsidR="00873EED">
        <w:rPr>
          <w:rFonts w:ascii="Times New Roman" w:hAnsi="Times New Roman"/>
          <w:sz w:val="24"/>
          <w:szCs w:val="24"/>
        </w:rPr>
        <w:t xml:space="preserve">compliance process </w:t>
      </w:r>
      <w:r w:rsidRPr="00B95677" w:rsidR="000F7FCD">
        <w:rPr>
          <w:rFonts w:ascii="Times New Roman" w:hAnsi="Times New Roman"/>
          <w:sz w:val="24"/>
          <w:szCs w:val="24"/>
        </w:rPr>
        <w:t xml:space="preserve">is similarly structured to its </w:t>
      </w:r>
      <w:r w:rsidRPr="00B95677" w:rsidR="001C58F6">
        <w:rPr>
          <w:rFonts w:ascii="Times New Roman" w:hAnsi="Times New Roman"/>
          <w:sz w:val="24"/>
          <w:szCs w:val="24"/>
        </w:rPr>
        <w:t>current</w:t>
      </w:r>
      <w:r w:rsidRPr="00B95677" w:rsidR="000F7FCD">
        <w:rPr>
          <w:rFonts w:ascii="Times New Roman" w:hAnsi="Times New Roman"/>
          <w:sz w:val="24"/>
          <w:szCs w:val="24"/>
        </w:rPr>
        <w:t xml:space="preserve"> process.  </w:t>
      </w:r>
      <w:r w:rsidR="00784493">
        <w:rPr>
          <w:rFonts w:ascii="Times New Roman" w:hAnsi="Times New Roman"/>
          <w:sz w:val="24"/>
          <w:szCs w:val="24"/>
        </w:rPr>
        <w:t>For instance, t</w:t>
      </w:r>
      <w:r w:rsidRPr="00B95677" w:rsidR="000F7FCD">
        <w:rPr>
          <w:rFonts w:ascii="Times New Roman" w:hAnsi="Times New Roman"/>
          <w:sz w:val="24"/>
          <w:szCs w:val="24"/>
        </w:rPr>
        <w:t xml:space="preserve">here </w:t>
      </w:r>
      <w:r w:rsidRPr="00B95677" w:rsidR="00CD3997">
        <w:rPr>
          <w:rFonts w:ascii="Times New Roman" w:hAnsi="Times New Roman"/>
          <w:sz w:val="24"/>
          <w:szCs w:val="24"/>
        </w:rPr>
        <w:t>remain</w:t>
      </w:r>
      <w:r w:rsidRPr="00B95677" w:rsidR="00873EED">
        <w:rPr>
          <w:rFonts w:ascii="Times New Roman" w:hAnsi="Times New Roman"/>
          <w:sz w:val="24"/>
          <w:szCs w:val="24"/>
        </w:rPr>
        <w:t xml:space="preserve"> two major components</w:t>
      </w:r>
      <w:r w:rsidRPr="00B95677" w:rsidR="00CD3997">
        <w:rPr>
          <w:rFonts w:ascii="Times New Roman" w:hAnsi="Times New Roman"/>
          <w:sz w:val="24"/>
          <w:szCs w:val="24"/>
        </w:rPr>
        <w:t xml:space="preserve"> that makeup </w:t>
      </w:r>
      <w:r w:rsidRPr="00B95677" w:rsidR="25C1B577">
        <w:rPr>
          <w:rFonts w:ascii="Times New Roman" w:hAnsi="Times New Roman"/>
          <w:sz w:val="24"/>
          <w:szCs w:val="24"/>
        </w:rPr>
        <w:t>Energy Safety</w:t>
      </w:r>
      <w:r w:rsidRPr="00B95677" w:rsidR="009F31A5">
        <w:rPr>
          <w:rFonts w:ascii="Times New Roman" w:hAnsi="Times New Roman"/>
          <w:sz w:val="24"/>
          <w:szCs w:val="24"/>
        </w:rPr>
        <w:t>’s</w:t>
      </w:r>
      <w:r w:rsidRPr="00B95677" w:rsidR="25C1B577">
        <w:rPr>
          <w:rFonts w:ascii="Times New Roman" w:hAnsi="Times New Roman"/>
          <w:sz w:val="24"/>
          <w:szCs w:val="24"/>
        </w:rPr>
        <w:t xml:space="preserve"> </w:t>
      </w:r>
      <w:r w:rsidRPr="00B95677" w:rsidR="00CD3997">
        <w:rPr>
          <w:rFonts w:ascii="Times New Roman" w:hAnsi="Times New Roman"/>
          <w:sz w:val="24"/>
          <w:szCs w:val="24"/>
        </w:rPr>
        <w:t>compliance process</w:t>
      </w:r>
      <w:r w:rsidRPr="00B95677" w:rsidR="000F7FCD">
        <w:rPr>
          <w:rFonts w:ascii="Times New Roman" w:hAnsi="Times New Roman"/>
          <w:sz w:val="24"/>
          <w:szCs w:val="24"/>
        </w:rPr>
        <w:t>:</w:t>
      </w:r>
      <w:r w:rsidRPr="00B95677" w:rsidR="00873EED">
        <w:rPr>
          <w:rFonts w:ascii="Times New Roman" w:hAnsi="Times New Roman"/>
          <w:sz w:val="24"/>
          <w:szCs w:val="24"/>
        </w:rPr>
        <w:t xml:space="preserve"> </w:t>
      </w:r>
    </w:p>
    <w:p w:rsidRPr="00B95677" w:rsidR="009D72EC" w:rsidP="00CD3997" w:rsidRDefault="009D72EC" w14:paraId="7A4B4D76" w14:textId="77777777">
      <w:pPr>
        <w:pStyle w:val="Res-Caption"/>
        <w:ind w:left="0"/>
        <w:rPr>
          <w:rFonts w:ascii="Times New Roman" w:hAnsi="Times New Roman"/>
          <w:sz w:val="24"/>
          <w:szCs w:val="24"/>
        </w:rPr>
      </w:pPr>
    </w:p>
    <w:p w:rsidRPr="00B95677" w:rsidR="00CD3997" w:rsidP="00B95677" w:rsidRDefault="00CD3997" w14:paraId="35E79BB5" w14:textId="77777777">
      <w:pPr>
        <w:pStyle w:val="Res-Caption"/>
        <w:numPr>
          <w:ilvl w:val="0"/>
          <w:numId w:val="21"/>
        </w:numPr>
        <w:spacing w:after="120"/>
        <w:ind w:left="1080"/>
        <w:rPr>
          <w:rFonts w:ascii="Times New Roman" w:hAnsi="Times New Roman"/>
          <w:sz w:val="24"/>
          <w:szCs w:val="24"/>
        </w:rPr>
      </w:pPr>
      <w:r w:rsidRPr="00B95677">
        <w:rPr>
          <w:rFonts w:ascii="Times New Roman" w:hAnsi="Times New Roman"/>
          <w:sz w:val="24"/>
          <w:szCs w:val="24"/>
          <w:u w:val="single"/>
        </w:rPr>
        <w:t>C</w:t>
      </w:r>
      <w:r w:rsidRPr="00B95677" w:rsidR="00873EED">
        <w:rPr>
          <w:rFonts w:ascii="Times New Roman" w:hAnsi="Times New Roman"/>
          <w:sz w:val="24"/>
          <w:szCs w:val="24"/>
          <w:u w:val="single"/>
        </w:rPr>
        <w:t>ompliance assessments</w:t>
      </w:r>
      <w:r w:rsidRPr="00B95677">
        <w:rPr>
          <w:rFonts w:ascii="Times New Roman" w:hAnsi="Times New Roman"/>
          <w:sz w:val="24"/>
          <w:szCs w:val="24"/>
        </w:rPr>
        <w:t>:</w:t>
      </w:r>
      <w:r w:rsidRPr="00B95677" w:rsidR="00873EED">
        <w:rPr>
          <w:rFonts w:ascii="Times New Roman" w:hAnsi="Times New Roman"/>
          <w:sz w:val="24"/>
          <w:szCs w:val="24"/>
        </w:rPr>
        <w:t xml:space="preserve">  </w:t>
      </w:r>
      <w:r w:rsidRPr="00B95677" w:rsidR="00296066">
        <w:rPr>
          <w:rFonts w:ascii="Times New Roman" w:hAnsi="Times New Roman"/>
          <w:sz w:val="24"/>
          <w:szCs w:val="24"/>
        </w:rPr>
        <w:t xml:space="preserve">Energy Safety </w:t>
      </w:r>
      <w:r w:rsidRPr="00B95677" w:rsidR="003D6D6A">
        <w:rPr>
          <w:rFonts w:ascii="Times New Roman" w:hAnsi="Times New Roman"/>
          <w:sz w:val="24"/>
          <w:szCs w:val="24"/>
        </w:rPr>
        <w:t>verifies actions committed to by electrical corporations in their currently approve</w:t>
      </w:r>
      <w:r w:rsidRPr="00B95677" w:rsidR="001171F5">
        <w:rPr>
          <w:rFonts w:ascii="Times New Roman" w:hAnsi="Times New Roman"/>
          <w:sz w:val="24"/>
          <w:szCs w:val="24"/>
        </w:rPr>
        <w:t>d</w:t>
      </w:r>
      <w:r w:rsidRPr="00B95677" w:rsidR="003D6D6A">
        <w:rPr>
          <w:rFonts w:ascii="Times New Roman" w:hAnsi="Times New Roman"/>
          <w:sz w:val="24"/>
          <w:szCs w:val="24"/>
        </w:rPr>
        <w:t xml:space="preserve"> WMPs through </w:t>
      </w:r>
      <w:r w:rsidRPr="00B95677" w:rsidR="00296066">
        <w:rPr>
          <w:rFonts w:ascii="Times New Roman" w:hAnsi="Times New Roman"/>
          <w:sz w:val="24"/>
          <w:szCs w:val="24"/>
        </w:rPr>
        <w:t xml:space="preserve">ongoing </w:t>
      </w:r>
      <w:r w:rsidRPr="00B95677" w:rsidR="000F7FCD">
        <w:rPr>
          <w:rFonts w:ascii="Times New Roman" w:hAnsi="Times New Roman"/>
          <w:sz w:val="24"/>
          <w:szCs w:val="24"/>
        </w:rPr>
        <w:t xml:space="preserve">assessments which includes field inspections, audits, Independent Evaluator reports, </w:t>
      </w:r>
      <w:r w:rsidRPr="00B95677" w:rsidR="00D75F02">
        <w:rPr>
          <w:rFonts w:ascii="Times New Roman" w:hAnsi="Times New Roman"/>
          <w:sz w:val="24"/>
          <w:szCs w:val="24"/>
        </w:rPr>
        <w:t xml:space="preserve">and </w:t>
      </w:r>
      <w:r w:rsidRPr="00B95677" w:rsidR="000F7FCD">
        <w:rPr>
          <w:rFonts w:ascii="Times New Roman" w:hAnsi="Times New Roman"/>
          <w:sz w:val="24"/>
          <w:szCs w:val="24"/>
        </w:rPr>
        <w:t>customer safety concerns</w:t>
      </w:r>
      <w:r w:rsidRPr="00B95677" w:rsidR="001171F5">
        <w:rPr>
          <w:rFonts w:ascii="Times New Roman" w:hAnsi="Times New Roman"/>
          <w:sz w:val="24"/>
          <w:szCs w:val="24"/>
        </w:rPr>
        <w:t xml:space="preserve">. </w:t>
      </w:r>
      <w:r w:rsidR="00784493">
        <w:rPr>
          <w:rFonts w:ascii="Times New Roman" w:hAnsi="Times New Roman"/>
          <w:sz w:val="24"/>
          <w:szCs w:val="24"/>
        </w:rPr>
        <w:t xml:space="preserve"> </w:t>
      </w:r>
      <w:r w:rsidRPr="00B95677" w:rsidR="00082834">
        <w:rPr>
          <w:rFonts w:ascii="Times New Roman" w:hAnsi="Times New Roman"/>
          <w:sz w:val="24"/>
          <w:szCs w:val="24"/>
        </w:rPr>
        <w:t>Energy Safety</w:t>
      </w:r>
      <w:r w:rsidRPr="00B95677" w:rsidR="000F7FCD">
        <w:rPr>
          <w:rFonts w:ascii="Times New Roman" w:hAnsi="Times New Roman"/>
          <w:sz w:val="24"/>
          <w:szCs w:val="24"/>
        </w:rPr>
        <w:t xml:space="preserve"> determine</w:t>
      </w:r>
      <w:r w:rsidRPr="00B95677" w:rsidR="001617C3">
        <w:rPr>
          <w:rFonts w:ascii="Times New Roman" w:hAnsi="Times New Roman"/>
          <w:sz w:val="24"/>
          <w:szCs w:val="24"/>
        </w:rPr>
        <w:t>s</w:t>
      </w:r>
      <w:r w:rsidRPr="00B95677" w:rsidR="000F7FCD">
        <w:rPr>
          <w:rFonts w:ascii="Times New Roman" w:hAnsi="Times New Roman"/>
          <w:sz w:val="24"/>
          <w:szCs w:val="24"/>
        </w:rPr>
        <w:t xml:space="preserve"> </w:t>
      </w:r>
      <w:r w:rsidRPr="00B95677" w:rsidR="00082834">
        <w:rPr>
          <w:rFonts w:ascii="Times New Roman" w:hAnsi="Times New Roman"/>
          <w:sz w:val="24"/>
          <w:szCs w:val="24"/>
        </w:rPr>
        <w:t>ongoing compliance</w:t>
      </w:r>
      <w:r w:rsidRPr="00B95677" w:rsidR="000F7FCD">
        <w:rPr>
          <w:rFonts w:ascii="Times New Roman" w:hAnsi="Times New Roman"/>
          <w:sz w:val="24"/>
          <w:szCs w:val="24"/>
        </w:rPr>
        <w:t xml:space="preserve"> based on the outcomes of its inspections and audits </w:t>
      </w:r>
      <w:r w:rsidRPr="00B95677" w:rsidR="00082834">
        <w:rPr>
          <w:rFonts w:ascii="Times New Roman" w:hAnsi="Times New Roman"/>
          <w:sz w:val="24"/>
          <w:szCs w:val="24"/>
        </w:rPr>
        <w:t xml:space="preserve">and </w:t>
      </w:r>
      <w:r w:rsidRPr="00B95677" w:rsidR="000F7FCD">
        <w:rPr>
          <w:rFonts w:ascii="Times New Roman" w:hAnsi="Times New Roman"/>
          <w:sz w:val="24"/>
          <w:szCs w:val="24"/>
        </w:rPr>
        <w:t xml:space="preserve">whether the electrical corporation has timely corrected </w:t>
      </w:r>
      <w:r w:rsidRPr="00B95677" w:rsidR="00DF0039">
        <w:rPr>
          <w:rFonts w:ascii="Times New Roman" w:hAnsi="Times New Roman"/>
          <w:sz w:val="24"/>
          <w:szCs w:val="24"/>
        </w:rPr>
        <w:t xml:space="preserve">any </w:t>
      </w:r>
      <w:r w:rsidRPr="00B95677" w:rsidR="000F7FCD">
        <w:rPr>
          <w:rFonts w:ascii="Times New Roman" w:hAnsi="Times New Roman"/>
          <w:sz w:val="24"/>
          <w:szCs w:val="24"/>
        </w:rPr>
        <w:t>identified violations and defects.</w:t>
      </w:r>
      <w:r w:rsidRPr="00B95677" w:rsidR="000F7FCD">
        <w:rPr>
          <w:rStyle w:val="FootnoteReference"/>
          <w:rFonts w:ascii="Times New Roman" w:hAnsi="Times New Roman"/>
          <w:b/>
          <w:bCs/>
          <w:sz w:val="24"/>
          <w:szCs w:val="24"/>
          <w:u w:val="single"/>
        </w:rPr>
        <w:footnoteReference w:id="19"/>
      </w:r>
      <w:r w:rsidRPr="00B95677" w:rsidR="000F7FCD">
        <w:rPr>
          <w:rFonts w:ascii="Times New Roman" w:hAnsi="Times New Roman"/>
          <w:sz w:val="24"/>
          <w:szCs w:val="24"/>
        </w:rPr>
        <w:t xml:space="preserve">  Electrical corporations </w:t>
      </w:r>
      <w:r w:rsidRPr="00B95677">
        <w:rPr>
          <w:rFonts w:ascii="Times New Roman" w:hAnsi="Times New Roman"/>
          <w:sz w:val="24"/>
          <w:szCs w:val="24"/>
        </w:rPr>
        <w:t xml:space="preserve">are </w:t>
      </w:r>
      <w:r w:rsidRPr="00B95677" w:rsidR="00A17AF0">
        <w:rPr>
          <w:rFonts w:ascii="Times New Roman" w:hAnsi="Times New Roman"/>
          <w:sz w:val="24"/>
          <w:szCs w:val="24"/>
        </w:rPr>
        <w:t xml:space="preserve">required </w:t>
      </w:r>
      <w:r w:rsidRPr="00B95677">
        <w:rPr>
          <w:rFonts w:ascii="Times New Roman" w:hAnsi="Times New Roman"/>
          <w:sz w:val="24"/>
          <w:szCs w:val="24"/>
        </w:rPr>
        <w:t>to</w:t>
      </w:r>
      <w:r w:rsidRPr="00B95677" w:rsidR="000F7FCD">
        <w:rPr>
          <w:rFonts w:ascii="Times New Roman" w:hAnsi="Times New Roman"/>
          <w:sz w:val="24"/>
          <w:szCs w:val="24"/>
        </w:rPr>
        <w:t xml:space="preserve"> correct violations and defect</w:t>
      </w:r>
      <w:r w:rsidRPr="00B95677" w:rsidR="00C85E72">
        <w:rPr>
          <w:rFonts w:ascii="Times New Roman" w:hAnsi="Times New Roman"/>
          <w:sz w:val="24"/>
          <w:szCs w:val="24"/>
        </w:rPr>
        <w:t>s</w:t>
      </w:r>
      <w:r w:rsidRPr="00B95677" w:rsidR="000F7FCD">
        <w:rPr>
          <w:rFonts w:ascii="Times New Roman" w:hAnsi="Times New Roman"/>
          <w:sz w:val="24"/>
          <w:szCs w:val="24"/>
        </w:rPr>
        <w:t xml:space="preserve"> identified by Energy Safety staff in accordance with </w:t>
      </w:r>
      <w:r w:rsidRPr="00B95677">
        <w:rPr>
          <w:rFonts w:ascii="Times New Roman" w:hAnsi="Times New Roman"/>
          <w:sz w:val="24"/>
          <w:szCs w:val="24"/>
        </w:rPr>
        <w:t>specified</w:t>
      </w:r>
      <w:r w:rsidRPr="00B95677" w:rsidR="000F7FCD">
        <w:rPr>
          <w:rFonts w:ascii="Times New Roman" w:hAnsi="Times New Roman"/>
          <w:sz w:val="24"/>
          <w:szCs w:val="24"/>
        </w:rPr>
        <w:t xml:space="preserve"> timelines.</w:t>
      </w:r>
      <w:r w:rsidRPr="00B95677" w:rsidR="000F7FCD">
        <w:rPr>
          <w:rStyle w:val="FootnoteReference"/>
          <w:rFonts w:ascii="Times New Roman" w:hAnsi="Times New Roman"/>
          <w:b/>
          <w:bCs/>
          <w:sz w:val="24"/>
          <w:szCs w:val="24"/>
          <w:u w:val="single"/>
        </w:rPr>
        <w:footnoteReference w:id="20"/>
      </w:r>
      <w:r w:rsidRPr="00B95677" w:rsidR="000F7FCD">
        <w:rPr>
          <w:rFonts w:ascii="Times New Roman" w:hAnsi="Times New Roman"/>
          <w:sz w:val="24"/>
          <w:szCs w:val="24"/>
        </w:rPr>
        <w:t xml:space="preserve"> </w:t>
      </w:r>
    </w:p>
    <w:p w:rsidRPr="00B95677" w:rsidR="00FD1516" w:rsidP="00B95677" w:rsidRDefault="00CD3997" w14:paraId="114D41B4" w14:textId="77777777">
      <w:pPr>
        <w:pStyle w:val="Res-Caption"/>
        <w:numPr>
          <w:ilvl w:val="0"/>
          <w:numId w:val="21"/>
        </w:numPr>
        <w:spacing w:after="120"/>
        <w:ind w:left="1080"/>
        <w:rPr>
          <w:rFonts w:ascii="Times New Roman" w:hAnsi="Times New Roman"/>
          <w:sz w:val="24"/>
          <w:szCs w:val="24"/>
        </w:rPr>
      </w:pPr>
      <w:r w:rsidRPr="00B95677">
        <w:rPr>
          <w:rFonts w:ascii="Times New Roman" w:hAnsi="Times New Roman"/>
          <w:sz w:val="24"/>
          <w:szCs w:val="24"/>
          <w:u w:val="single"/>
        </w:rPr>
        <w:t>C</w:t>
      </w:r>
      <w:r w:rsidRPr="00B95677" w:rsidR="00FD1516">
        <w:rPr>
          <w:rFonts w:ascii="Times New Roman" w:hAnsi="Times New Roman"/>
          <w:sz w:val="24"/>
          <w:szCs w:val="24"/>
          <w:u w:val="single"/>
        </w:rPr>
        <w:t>onsequences of compliance assessments</w:t>
      </w:r>
      <w:r w:rsidRPr="00B95677">
        <w:rPr>
          <w:rFonts w:ascii="Times New Roman" w:hAnsi="Times New Roman"/>
          <w:sz w:val="24"/>
          <w:szCs w:val="24"/>
        </w:rPr>
        <w:t xml:space="preserve">: </w:t>
      </w:r>
      <w:r w:rsidRPr="00B95677" w:rsidR="009F35B9">
        <w:rPr>
          <w:rFonts w:ascii="Times New Roman" w:hAnsi="Times New Roman"/>
          <w:sz w:val="24"/>
          <w:szCs w:val="24"/>
        </w:rPr>
        <w:t>E</w:t>
      </w:r>
      <w:r w:rsidRPr="00B95677" w:rsidR="00FD1516">
        <w:rPr>
          <w:rFonts w:ascii="Times New Roman" w:hAnsi="Times New Roman"/>
          <w:sz w:val="24"/>
          <w:szCs w:val="24"/>
        </w:rPr>
        <w:t>nergy Safety notifi</w:t>
      </w:r>
      <w:r w:rsidRPr="00B95677" w:rsidR="009F35B9">
        <w:rPr>
          <w:rFonts w:ascii="Times New Roman" w:hAnsi="Times New Roman"/>
          <w:sz w:val="24"/>
          <w:szCs w:val="24"/>
        </w:rPr>
        <w:t>es</w:t>
      </w:r>
      <w:r w:rsidRPr="00B95677" w:rsidR="00FD1516">
        <w:rPr>
          <w:rFonts w:ascii="Times New Roman" w:hAnsi="Times New Roman"/>
          <w:sz w:val="24"/>
          <w:szCs w:val="24"/>
        </w:rPr>
        <w:t xml:space="preserve"> electrical corporations of compliance assessment findings, including severity levels and remediation timelines</w:t>
      </w:r>
      <w:r w:rsidRPr="00B95677" w:rsidR="004622FD">
        <w:rPr>
          <w:rFonts w:ascii="Times New Roman" w:hAnsi="Times New Roman"/>
          <w:sz w:val="24"/>
          <w:szCs w:val="24"/>
        </w:rPr>
        <w:t>.</w:t>
      </w:r>
      <w:r w:rsidRPr="00B95677" w:rsidR="004622FD">
        <w:rPr>
          <w:rStyle w:val="FootnoteReference"/>
          <w:rFonts w:ascii="Times New Roman" w:hAnsi="Times New Roman"/>
          <w:b/>
          <w:bCs/>
          <w:sz w:val="24"/>
          <w:szCs w:val="24"/>
          <w:u w:val="single"/>
        </w:rPr>
        <w:footnoteReference w:id="21"/>
      </w:r>
    </w:p>
    <w:p w:rsidRPr="00B95677" w:rsidR="00E22341" w:rsidP="006E075E" w:rsidRDefault="00E22341" w14:paraId="5BDE4CCA" w14:textId="77777777">
      <w:pPr>
        <w:pStyle w:val="Standard"/>
        <w:numPr>
          <w:ilvl w:val="1"/>
          <w:numId w:val="26"/>
        </w:numPr>
        <w:spacing w:before="120" w:after="120"/>
        <w:rPr>
          <w:rFonts w:ascii="Times New Roman" w:hAnsi="Times New Roman" w:cs="Times New Roman"/>
          <w:b/>
          <w:bCs/>
          <w:sz w:val="24"/>
          <w:szCs w:val="24"/>
        </w:rPr>
      </w:pPr>
      <w:r w:rsidRPr="00B95677">
        <w:rPr>
          <w:rFonts w:ascii="Times New Roman" w:hAnsi="Times New Roman" w:cs="Times New Roman"/>
          <w:b/>
          <w:bCs/>
          <w:sz w:val="24"/>
          <w:szCs w:val="24"/>
        </w:rPr>
        <w:t>Energy Safety’s Recommendations</w:t>
      </w:r>
    </w:p>
    <w:p w:rsidR="00F31A26" w:rsidP="00B95677" w:rsidRDefault="005B7A23" w14:paraId="7A34B646"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Energy Safety</w:t>
      </w:r>
      <w:r w:rsidRPr="00B95677" w:rsidR="005C6C3D">
        <w:rPr>
          <w:rFonts w:ascii="Times New Roman" w:hAnsi="Times New Roman" w:cs="Times New Roman"/>
          <w:sz w:val="24"/>
          <w:szCs w:val="24"/>
        </w:rPr>
        <w:t xml:space="preserve"> recommend</w:t>
      </w:r>
      <w:r w:rsidRPr="00B95677" w:rsidR="009E2208">
        <w:rPr>
          <w:rFonts w:ascii="Times New Roman" w:hAnsi="Times New Roman" w:cs="Times New Roman"/>
          <w:sz w:val="24"/>
          <w:szCs w:val="24"/>
        </w:rPr>
        <w:t>ed</w:t>
      </w:r>
      <w:r w:rsidRPr="00B95677">
        <w:rPr>
          <w:rFonts w:ascii="Times New Roman" w:hAnsi="Times New Roman" w:cs="Times New Roman"/>
          <w:sz w:val="24"/>
          <w:szCs w:val="24"/>
        </w:rPr>
        <w:t xml:space="preserve"> </w:t>
      </w:r>
      <w:r w:rsidRPr="00B95677" w:rsidR="005C6C3D">
        <w:rPr>
          <w:rFonts w:ascii="Times New Roman" w:hAnsi="Times New Roman" w:cs="Times New Roman"/>
          <w:sz w:val="24"/>
          <w:szCs w:val="24"/>
        </w:rPr>
        <w:t>updat</w:t>
      </w:r>
      <w:r w:rsidRPr="00B95677" w:rsidR="00902E6E">
        <w:rPr>
          <w:rFonts w:ascii="Times New Roman" w:hAnsi="Times New Roman" w:cs="Times New Roman"/>
          <w:sz w:val="24"/>
          <w:szCs w:val="24"/>
        </w:rPr>
        <w:t>es to</w:t>
      </w:r>
      <w:r w:rsidRPr="00B95677">
        <w:rPr>
          <w:rFonts w:ascii="Times New Roman" w:hAnsi="Times New Roman" w:cs="Times New Roman"/>
          <w:sz w:val="24"/>
          <w:szCs w:val="24"/>
        </w:rPr>
        <w:t xml:space="preserve"> the</w:t>
      </w:r>
      <w:r w:rsidRPr="00B95677" w:rsidR="002827A5">
        <w:rPr>
          <w:rFonts w:ascii="Times New Roman" w:hAnsi="Times New Roman" w:cs="Times New Roman"/>
          <w:sz w:val="24"/>
          <w:szCs w:val="24"/>
        </w:rPr>
        <w:t xml:space="preserve"> existing</w:t>
      </w:r>
      <w:r w:rsidRPr="00B95677">
        <w:rPr>
          <w:rFonts w:ascii="Times New Roman" w:hAnsi="Times New Roman" w:cs="Times New Roman"/>
          <w:sz w:val="24"/>
          <w:szCs w:val="24"/>
        </w:rPr>
        <w:t xml:space="preserve"> compliance process </w:t>
      </w:r>
      <w:r w:rsidR="0018677D">
        <w:rPr>
          <w:rFonts w:ascii="Times New Roman" w:hAnsi="Times New Roman" w:cs="Times New Roman"/>
          <w:sz w:val="24"/>
          <w:szCs w:val="24"/>
        </w:rPr>
        <w:t xml:space="preserve">for WMPs </w:t>
      </w:r>
      <w:r w:rsidRPr="00B95677">
        <w:rPr>
          <w:rFonts w:ascii="Times New Roman" w:hAnsi="Times New Roman" w:cs="Times New Roman"/>
          <w:sz w:val="24"/>
          <w:szCs w:val="24"/>
        </w:rPr>
        <w:t>set forth in WSD-012 based o</w:t>
      </w:r>
      <w:r w:rsidRPr="00B95677" w:rsidR="00CB2DB0">
        <w:rPr>
          <w:rFonts w:ascii="Times New Roman" w:hAnsi="Times New Roman" w:cs="Times New Roman"/>
          <w:sz w:val="24"/>
          <w:szCs w:val="24"/>
        </w:rPr>
        <w:t>n</w:t>
      </w:r>
      <w:r w:rsidRPr="00B95677">
        <w:rPr>
          <w:rFonts w:ascii="Times New Roman" w:hAnsi="Times New Roman" w:cs="Times New Roman"/>
          <w:sz w:val="24"/>
          <w:szCs w:val="24"/>
        </w:rPr>
        <w:t xml:space="preserve"> </w:t>
      </w:r>
      <w:r w:rsidRPr="00B95677" w:rsidR="005C6C3D">
        <w:rPr>
          <w:rFonts w:ascii="Times New Roman" w:hAnsi="Times New Roman" w:cs="Times New Roman"/>
          <w:sz w:val="24"/>
          <w:szCs w:val="24"/>
        </w:rPr>
        <w:t xml:space="preserve">the </w:t>
      </w:r>
      <w:r w:rsidRPr="00B95677">
        <w:rPr>
          <w:rFonts w:ascii="Times New Roman" w:hAnsi="Times New Roman" w:cs="Times New Roman"/>
          <w:sz w:val="24"/>
          <w:szCs w:val="24"/>
        </w:rPr>
        <w:t>lessons learned in 2020 and 2021</w:t>
      </w:r>
      <w:r w:rsidRPr="00B95677" w:rsidR="00CB2DB0">
        <w:rPr>
          <w:rFonts w:ascii="Times New Roman" w:hAnsi="Times New Roman" w:cs="Times New Roman"/>
          <w:sz w:val="24"/>
          <w:szCs w:val="24"/>
        </w:rPr>
        <w:t xml:space="preserve"> </w:t>
      </w:r>
      <w:r w:rsidRPr="00B95677">
        <w:rPr>
          <w:rFonts w:ascii="Times New Roman" w:hAnsi="Times New Roman" w:cs="Times New Roman"/>
          <w:sz w:val="24"/>
          <w:szCs w:val="24"/>
        </w:rPr>
        <w:t xml:space="preserve">and updates to electrical corporation reporting </w:t>
      </w:r>
      <w:r w:rsidRPr="00B95677" w:rsidR="00553091">
        <w:rPr>
          <w:rFonts w:ascii="Times New Roman" w:hAnsi="Times New Roman" w:cs="Times New Roman"/>
          <w:sz w:val="24"/>
          <w:szCs w:val="24"/>
        </w:rPr>
        <w:t xml:space="preserve">and </w:t>
      </w:r>
      <w:r w:rsidRPr="00B95677">
        <w:rPr>
          <w:rFonts w:ascii="Times New Roman" w:hAnsi="Times New Roman" w:cs="Times New Roman"/>
          <w:sz w:val="24"/>
          <w:szCs w:val="24"/>
        </w:rPr>
        <w:t>compliance operations.</w:t>
      </w:r>
      <w:r w:rsidRPr="00B95677" w:rsidR="002003D9">
        <w:rPr>
          <w:rStyle w:val="FootnoteReference"/>
          <w:rFonts w:ascii="Times New Roman" w:hAnsi="Times New Roman" w:cs="Times New Roman"/>
          <w:b/>
          <w:bCs/>
          <w:sz w:val="24"/>
          <w:szCs w:val="24"/>
          <w:u w:val="single"/>
        </w:rPr>
        <w:footnoteReference w:id="22"/>
      </w:r>
      <w:r w:rsidRPr="00B95677" w:rsidDel="002003D9" w:rsidR="002003D9">
        <w:rPr>
          <w:rStyle w:val="FootnoteReference"/>
          <w:rFonts w:ascii="Times New Roman" w:hAnsi="Times New Roman" w:cs="Times New Roman"/>
          <w:sz w:val="24"/>
          <w:szCs w:val="24"/>
        </w:rPr>
        <w:t xml:space="preserve"> </w:t>
      </w:r>
      <w:r w:rsidRPr="00B95677">
        <w:rPr>
          <w:rFonts w:ascii="Times New Roman" w:hAnsi="Times New Roman" w:cs="Times New Roman"/>
          <w:sz w:val="24"/>
          <w:szCs w:val="24"/>
        </w:rPr>
        <w:t xml:space="preserve"> </w:t>
      </w:r>
      <w:r w:rsidRPr="00B95677" w:rsidR="00CD3997">
        <w:rPr>
          <w:rFonts w:ascii="Times New Roman" w:hAnsi="Times New Roman" w:cs="Times New Roman"/>
          <w:sz w:val="24"/>
          <w:szCs w:val="24"/>
        </w:rPr>
        <w:t xml:space="preserve"> </w:t>
      </w:r>
      <w:r w:rsidRPr="00B95677" w:rsidR="00CA02BF">
        <w:rPr>
          <w:rFonts w:ascii="Times New Roman" w:hAnsi="Times New Roman" w:cs="Times New Roman"/>
          <w:sz w:val="24"/>
          <w:szCs w:val="24"/>
        </w:rPr>
        <w:t xml:space="preserve">Most of the revisions made to the compliance process </w:t>
      </w:r>
      <w:r w:rsidRPr="00B95677" w:rsidR="00FD4C5F">
        <w:rPr>
          <w:rFonts w:ascii="Times New Roman" w:hAnsi="Times New Roman" w:cs="Times New Roman"/>
          <w:sz w:val="24"/>
          <w:szCs w:val="24"/>
        </w:rPr>
        <w:t xml:space="preserve">for </w:t>
      </w:r>
      <w:r w:rsidRPr="00B95677" w:rsidR="00CA02BF">
        <w:rPr>
          <w:rFonts w:ascii="Times New Roman" w:hAnsi="Times New Roman" w:cs="Times New Roman"/>
          <w:sz w:val="24"/>
          <w:szCs w:val="24"/>
        </w:rPr>
        <w:t>202</w:t>
      </w:r>
      <w:r w:rsidR="00845079">
        <w:rPr>
          <w:rFonts w:ascii="Times New Roman" w:hAnsi="Times New Roman" w:cs="Times New Roman"/>
          <w:sz w:val="24"/>
          <w:szCs w:val="24"/>
        </w:rPr>
        <w:t>1</w:t>
      </w:r>
      <w:r w:rsidRPr="00B95677" w:rsidR="00B63643">
        <w:rPr>
          <w:rFonts w:ascii="Times New Roman" w:hAnsi="Times New Roman" w:cs="Times New Roman"/>
          <w:sz w:val="24"/>
          <w:szCs w:val="24"/>
        </w:rPr>
        <w:t xml:space="preserve"> WMPs</w:t>
      </w:r>
      <w:r w:rsidRPr="00B95677" w:rsidR="00A955EC">
        <w:rPr>
          <w:rFonts w:ascii="Times New Roman" w:hAnsi="Times New Roman" w:cs="Times New Roman"/>
          <w:sz w:val="24"/>
          <w:szCs w:val="24"/>
        </w:rPr>
        <w:t>, however,</w:t>
      </w:r>
      <w:r w:rsidRPr="00B95677" w:rsidR="00CA02BF">
        <w:rPr>
          <w:rFonts w:ascii="Times New Roman" w:hAnsi="Times New Roman" w:cs="Times New Roman"/>
          <w:sz w:val="24"/>
          <w:szCs w:val="24"/>
        </w:rPr>
        <w:t xml:space="preserve"> are</w:t>
      </w:r>
      <w:r w:rsidRPr="00B95677" w:rsidR="003A32A6">
        <w:rPr>
          <w:rFonts w:ascii="Times New Roman" w:hAnsi="Times New Roman" w:cs="Times New Roman"/>
          <w:sz w:val="24"/>
          <w:szCs w:val="24"/>
        </w:rPr>
        <w:t xml:space="preserve"> necessary </w:t>
      </w:r>
      <w:r w:rsidRPr="00B95677" w:rsidR="00CA2A50">
        <w:rPr>
          <w:rFonts w:ascii="Times New Roman" w:hAnsi="Times New Roman" w:cs="Times New Roman"/>
          <w:sz w:val="24"/>
          <w:szCs w:val="24"/>
        </w:rPr>
        <w:t xml:space="preserve">in light of the </w:t>
      </w:r>
      <w:r w:rsidRPr="00B95677">
        <w:rPr>
          <w:rFonts w:ascii="Times New Roman" w:hAnsi="Times New Roman" w:cs="Times New Roman"/>
          <w:sz w:val="24"/>
          <w:szCs w:val="24"/>
        </w:rPr>
        <w:t xml:space="preserve">transition </w:t>
      </w:r>
      <w:r w:rsidRPr="00B95677" w:rsidR="00A955EC">
        <w:rPr>
          <w:rFonts w:ascii="Times New Roman" w:hAnsi="Times New Roman" w:cs="Times New Roman"/>
          <w:sz w:val="24"/>
          <w:szCs w:val="24"/>
        </w:rPr>
        <w:t xml:space="preserve">of the Commission’s former Wildfire Safety Division </w:t>
      </w:r>
      <w:r w:rsidRPr="00B95677">
        <w:rPr>
          <w:rFonts w:ascii="Times New Roman" w:hAnsi="Times New Roman" w:cs="Times New Roman"/>
          <w:sz w:val="24"/>
          <w:szCs w:val="24"/>
        </w:rPr>
        <w:t>to a new department under the California Natural Resources Agency</w:t>
      </w:r>
      <w:r w:rsidRPr="00B95677" w:rsidR="00C25CCF">
        <w:rPr>
          <w:rFonts w:ascii="Times New Roman" w:hAnsi="Times New Roman" w:cs="Times New Roman"/>
          <w:sz w:val="24"/>
          <w:szCs w:val="24"/>
        </w:rPr>
        <w:t xml:space="preserve"> as of July 2021</w:t>
      </w:r>
      <w:r w:rsidRPr="00B95677">
        <w:rPr>
          <w:rFonts w:ascii="Times New Roman" w:hAnsi="Times New Roman" w:cs="Times New Roman"/>
          <w:sz w:val="24"/>
          <w:szCs w:val="24"/>
        </w:rPr>
        <w:t>.</w:t>
      </w:r>
      <w:r w:rsidRPr="00B95677" w:rsidR="004170CE">
        <w:rPr>
          <w:rStyle w:val="FootnoteReference"/>
          <w:rFonts w:ascii="Times New Roman" w:hAnsi="Times New Roman" w:cs="Times New Roman"/>
          <w:b/>
          <w:bCs/>
          <w:sz w:val="24"/>
          <w:szCs w:val="24"/>
          <w:u w:val="single"/>
        </w:rPr>
        <w:footnoteReference w:id="23"/>
      </w:r>
      <w:r w:rsidRPr="00B95677" w:rsidR="00234EF7">
        <w:rPr>
          <w:rFonts w:ascii="Times New Roman" w:hAnsi="Times New Roman" w:cs="Times New Roman"/>
          <w:sz w:val="24"/>
          <w:szCs w:val="24"/>
        </w:rPr>
        <w:t xml:space="preserve">  </w:t>
      </w:r>
      <w:r w:rsidRPr="00B95677" w:rsidR="00CA2A50">
        <w:rPr>
          <w:rFonts w:ascii="Times New Roman" w:hAnsi="Times New Roman" w:cs="Times New Roman"/>
          <w:sz w:val="24"/>
          <w:szCs w:val="24"/>
        </w:rPr>
        <w:t>Further, in 2021</w:t>
      </w:r>
      <w:r w:rsidRPr="00B95677" w:rsidR="00EA16A7">
        <w:rPr>
          <w:rFonts w:ascii="Times New Roman" w:hAnsi="Times New Roman" w:cs="Times New Roman"/>
          <w:sz w:val="24"/>
          <w:szCs w:val="24"/>
        </w:rPr>
        <w:t xml:space="preserve"> </w:t>
      </w:r>
      <w:r w:rsidRPr="00B95677" w:rsidR="007264DF">
        <w:rPr>
          <w:rFonts w:ascii="Times New Roman" w:hAnsi="Times New Roman" w:cs="Times New Roman"/>
          <w:sz w:val="24"/>
          <w:szCs w:val="24"/>
        </w:rPr>
        <w:t xml:space="preserve">the California </w:t>
      </w:r>
      <w:r w:rsidRPr="00B95677" w:rsidR="00B40F7C">
        <w:rPr>
          <w:rFonts w:ascii="Times New Roman" w:hAnsi="Times New Roman" w:cs="Times New Roman"/>
          <w:sz w:val="24"/>
          <w:szCs w:val="24"/>
        </w:rPr>
        <w:t xml:space="preserve">Legislature </w:t>
      </w:r>
      <w:r w:rsidRPr="00B95677" w:rsidR="002C4ECB">
        <w:rPr>
          <w:rFonts w:ascii="Times New Roman" w:hAnsi="Times New Roman" w:cs="Times New Roman"/>
          <w:sz w:val="24"/>
          <w:szCs w:val="24"/>
        </w:rPr>
        <w:t xml:space="preserve">authorized </w:t>
      </w:r>
      <w:r w:rsidRPr="00B95677" w:rsidR="00593AC5">
        <w:rPr>
          <w:rFonts w:ascii="Times New Roman" w:hAnsi="Times New Roman" w:cs="Times New Roman"/>
          <w:sz w:val="24"/>
          <w:szCs w:val="24"/>
        </w:rPr>
        <w:t xml:space="preserve">Energy Safety to issue notices of defect </w:t>
      </w:r>
      <w:r w:rsidRPr="00B95677" w:rsidR="00234EF7">
        <w:rPr>
          <w:rFonts w:ascii="Times New Roman" w:hAnsi="Times New Roman" w:cs="Times New Roman"/>
          <w:sz w:val="24"/>
          <w:szCs w:val="24"/>
        </w:rPr>
        <w:t xml:space="preserve">(NOD) </w:t>
      </w:r>
      <w:r w:rsidRPr="00B95677" w:rsidR="00593AC5">
        <w:rPr>
          <w:rFonts w:ascii="Times New Roman" w:hAnsi="Times New Roman" w:cs="Times New Roman"/>
          <w:sz w:val="24"/>
          <w:szCs w:val="24"/>
        </w:rPr>
        <w:t xml:space="preserve">and notices of violation </w:t>
      </w:r>
      <w:r w:rsidRPr="00B95677" w:rsidR="00234EF7">
        <w:rPr>
          <w:rFonts w:ascii="Times New Roman" w:hAnsi="Times New Roman" w:cs="Times New Roman"/>
          <w:sz w:val="24"/>
          <w:szCs w:val="24"/>
        </w:rPr>
        <w:t xml:space="preserve">(NOV) </w:t>
      </w:r>
      <w:r w:rsidRPr="00B95677" w:rsidR="00593AC5">
        <w:rPr>
          <w:rFonts w:ascii="Times New Roman" w:hAnsi="Times New Roman" w:cs="Times New Roman"/>
          <w:sz w:val="24"/>
          <w:szCs w:val="24"/>
        </w:rPr>
        <w:t xml:space="preserve">for noncompliance with an approved WMP or </w:t>
      </w:r>
      <w:r w:rsidR="0018677D">
        <w:rPr>
          <w:rFonts w:ascii="Times New Roman" w:hAnsi="Times New Roman" w:cs="Times New Roman"/>
          <w:sz w:val="24"/>
          <w:szCs w:val="24"/>
        </w:rPr>
        <w:t xml:space="preserve">for </w:t>
      </w:r>
      <w:r w:rsidRPr="00B95677" w:rsidR="00593AC5">
        <w:rPr>
          <w:rFonts w:ascii="Times New Roman" w:hAnsi="Times New Roman" w:cs="Times New Roman"/>
          <w:sz w:val="24"/>
          <w:szCs w:val="24"/>
        </w:rPr>
        <w:t>failure to comply with laws, regulations, or guidelines.</w:t>
      </w:r>
      <w:r w:rsidRPr="00B95677" w:rsidR="002C4ECB">
        <w:rPr>
          <w:rStyle w:val="FootnoteReference"/>
          <w:rFonts w:ascii="Times New Roman" w:hAnsi="Times New Roman" w:cs="Times New Roman"/>
          <w:b/>
          <w:bCs/>
          <w:sz w:val="24"/>
          <w:szCs w:val="24"/>
          <w:u w:val="single"/>
        </w:rPr>
        <w:footnoteReference w:id="24"/>
      </w:r>
      <w:r w:rsidRPr="00B95677" w:rsidR="00593AC5">
        <w:rPr>
          <w:rFonts w:ascii="Times New Roman" w:hAnsi="Times New Roman" w:cs="Times New Roman"/>
          <w:sz w:val="24"/>
          <w:szCs w:val="24"/>
        </w:rPr>
        <w:t xml:space="preserve">  </w:t>
      </w:r>
      <w:r w:rsidRPr="00B95677" w:rsidR="00E22341">
        <w:rPr>
          <w:rFonts w:ascii="Times New Roman" w:hAnsi="Times New Roman" w:cs="Times New Roman"/>
          <w:sz w:val="24"/>
          <w:szCs w:val="24"/>
        </w:rPr>
        <w:t xml:space="preserve">The WMP compliance process in Attachment </w:t>
      </w:r>
      <w:r w:rsidRPr="00B95677" w:rsidR="005521E9">
        <w:rPr>
          <w:rFonts w:ascii="Times New Roman" w:hAnsi="Times New Roman" w:cs="Times New Roman"/>
          <w:sz w:val="24"/>
          <w:szCs w:val="24"/>
        </w:rPr>
        <w:t>3 of this Resolution</w:t>
      </w:r>
      <w:r w:rsidRPr="00B95677" w:rsidR="00E22341">
        <w:rPr>
          <w:rFonts w:ascii="Times New Roman" w:hAnsi="Times New Roman" w:cs="Times New Roman"/>
          <w:sz w:val="24"/>
          <w:szCs w:val="24"/>
        </w:rPr>
        <w:t xml:space="preserve"> reflects Energy Safety’s new authorities.  </w:t>
      </w:r>
    </w:p>
    <w:p w:rsidRPr="00B95677" w:rsidR="00B95677" w:rsidP="00B95677" w:rsidRDefault="00B95677" w14:paraId="534193EA" w14:textId="77777777">
      <w:pPr>
        <w:pStyle w:val="Standard"/>
        <w:spacing w:after="0"/>
        <w:rPr>
          <w:rFonts w:ascii="Times New Roman" w:hAnsi="Times New Roman" w:cs="Times New Roman"/>
          <w:sz w:val="24"/>
          <w:szCs w:val="24"/>
        </w:rPr>
      </w:pPr>
    </w:p>
    <w:p w:rsidR="00297C48" w:rsidP="00B95677" w:rsidRDefault="00297C48" w14:paraId="15D454D9" w14:textId="77777777">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 xml:space="preserve">A summary of </w:t>
      </w:r>
      <w:r w:rsidRPr="00B95677" w:rsidR="00E159FB">
        <w:rPr>
          <w:rFonts w:ascii="Times New Roman" w:hAnsi="Times New Roman" w:cs="Times New Roman"/>
          <w:sz w:val="24"/>
          <w:szCs w:val="24"/>
        </w:rPr>
        <w:t>Energy Safety</w:t>
      </w:r>
      <w:r w:rsidRPr="00B95677">
        <w:rPr>
          <w:rFonts w:ascii="Times New Roman" w:hAnsi="Times New Roman" w:cs="Times New Roman"/>
          <w:sz w:val="24"/>
          <w:szCs w:val="24"/>
        </w:rPr>
        <w:t xml:space="preserve">’s </w:t>
      </w:r>
      <w:r w:rsidRPr="00B95677" w:rsidR="00692953">
        <w:rPr>
          <w:rFonts w:ascii="Times New Roman" w:hAnsi="Times New Roman" w:cs="Times New Roman"/>
          <w:sz w:val="24"/>
          <w:szCs w:val="24"/>
        </w:rPr>
        <w:t xml:space="preserve">proposed </w:t>
      </w:r>
      <w:r w:rsidRPr="00B95677">
        <w:rPr>
          <w:rFonts w:ascii="Times New Roman" w:hAnsi="Times New Roman" w:cs="Times New Roman"/>
          <w:sz w:val="24"/>
          <w:szCs w:val="24"/>
        </w:rPr>
        <w:t xml:space="preserve">updates </w:t>
      </w:r>
      <w:r w:rsidRPr="00B95677" w:rsidR="00B47E09">
        <w:rPr>
          <w:rFonts w:ascii="Times New Roman" w:hAnsi="Times New Roman" w:cs="Times New Roman"/>
          <w:sz w:val="24"/>
          <w:szCs w:val="24"/>
        </w:rPr>
        <w:t xml:space="preserve">and changes </w:t>
      </w:r>
      <w:r w:rsidRPr="00B95677">
        <w:rPr>
          <w:rFonts w:ascii="Times New Roman" w:hAnsi="Times New Roman" w:cs="Times New Roman"/>
          <w:sz w:val="24"/>
          <w:szCs w:val="24"/>
        </w:rPr>
        <w:t>is</w:t>
      </w:r>
      <w:r w:rsidRPr="00B95677" w:rsidR="00E159FB">
        <w:rPr>
          <w:rFonts w:ascii="Times New Roman" w:hAnsi="Times New Roman" w:cs="Times New Roman"/>
          <w:sz w:val="24"/>
          <w:szCs w:val="24"/>
        </w:rPr>
        <w:t xml:space="preserve"> </w:t>
      </w:r>
      <w:r w:rsidRPr="00B95677">
        <w:rPr>
          <w:rFonts w:ascii="Times New Roman" w:hAnsi="Times New Roman" w:cs="Times New Roman"/>
          <w:sz w:val="24"/>
          <w:szCs w:val="24"/>
        </w:rPr>
        <w:t>below.</w:t>
      </w:r>
    </w:p>
    <w:p w:rsidRPr="00B95677" w:rsidR="00B95677" w:rsidP="00B95677" w:rsidRDefault="00B95677" w14:paraId="0DC7BE56" w14:textId="77777777">
      <w:pPr>
        <w:pStyle w:val="Standard"/>
        <w:spacing w:after="0"/>
        <w:rPr>
          <w:rFonts w:ascii="Times New Roman" w:hAnsi="Times New Roman" w:cs="Times New Roman"/>
          <w:sz w:val="24"/>
          <w:szCs w:val="24"/>
        </w:rPr>
      </w:pPr>
    </w:p>
    <w:p w:rsidRPr="00B95677" w:rsidR="00DE7E5E" w:rsidP="006E075E" w:rsidRDefault="00DE7E5E" w14:paraId="42DD90E1" w14:textId="25A888A2">
      <w:pPr>
        <w:pStyle w:val="Standard"/>
        <w:numPr>
          <w:ilvl w:val="0"/>
          <w:numId w:val="18"/>
        </w:numPr>
        <w:ind w:right="1440"/>
        <w:rPr>
          <w:rFonts w:ascii="Times New Roman" w:hAnsi="Times New Roman" w:cs="Times New Roman"/>
          <w:sz w:val="24"/>
          <w:szCs w:val="24"/>
        </w:rPr>
      </w:pPr>
      <w:bookmarkStart w:name="_Hlk85705112" w:id="2"/>
      <w:r w:rsidRPr="00B95677">
        <w:rPr>
          <w:rFonts w:ascii="Times New Roman" w:hAnsi="Times New Roman" w:cs="Times New Roman"/>
          <w:sz w:val="24"/>
          <w:szCs w:val="24"/>
        </w:rPr>
        <w:t>With regard to the correction timeline of violations and defects, Energy Safety recommend</w:t>
      </w:r>
      <w:r w:rsidRPr="00B95677" w:rsidR="00F403E9">
        <w:rPr>
          <w:rFonts w:ascii="Times New Roman" w:hAnsi="Times New Roman" w:cs="Times New Roman"/>
          <w:sz w:val="24"/>
          <w:szCs w:val="24"/>
        </w:rPr>
        <w:t>ed</w:t>
      </w:r>
      <w:r w:rsidRPr="00B95677">
        <w:rPr>
          <w:rFonts w:ascii="Times New Roman" w:hAnsi="Times New Roman" w:cs="Times New Roman"/>
          <w:sz w:val="24"/>
          <w:szCs w:val="24"/>
        </w:rPr>
        <w:t xml:space="preserve"> keeping the correction of violations rated as “Moderate” to no more than a six</w:t>
      </w:r>
      <w:r w:rsidR="00AD3C6E">
        <w:rPr>
          <w:rFonts w:ascii="Times New Roman" w:hAnsi="Times New Roman" w:cs="Times New Roman"/>
          <w:sz w:val="24"/>
          <w:szCs w:val="24"/>
        </w:rPr>
        <w:t>-</w:t>
      </w:r>
      <w:r w:rsidRPr="00B95677">
        <w:rPr>
          <w:rFonts w:ascii="Times New Roman" w:hAnsi="Times New Roman" w:cs="Times New Roman"/>
          <w:sz w:val="24"/>
          <w:szCs w:val="24"/>
        </w:rPr>
        <w:t>month period</w:t>
      </w:r>
      <w:bookmarkEnd w:id="2"/>
      <w:r w:rsidRPr="00B95677">
        <w:rPr>
          <w:rFonts w:ascii="Times New Roman" w:hAnsi="Times New Roman" w:cs="Times New Roman"/>
          <w:sz w:val="24"/>
          <w:szCs w:val="24"/>
        </w:rPr>
        <w:t>.</w:t>
      </w:r>
      <w:r w:rsidRPr="00B26DAE">
        <w:rPr>
          <w:rStyle w:val="FootnoteReference"/>
          <w:rFonts w:ascii="Times New Roman" w:hAnsi="Times New Roman" w:cs="Times New Roman"/>
          <w:b/>
          <w:bCs/>
          <w:sz w:val="24"/>
          <w:szCs w:val="24"/>
          <w:u w:val="single"/>
        </w:rPr>
        <w:footnoteReference w:id="25"/>
      </w:r>
      <w:r w:rsidRPr="00B95677">
        <w:rPr>
          <w:rFonts w:ascii="Times New Roman" w:hAnsi="Times New Roman" w:cs="Times New Roman"/>
          <w:sz w:val="24"/>
          <w:szCs w:val="24"/>
        </w:rPr>
        <w:t xml:space="preserve"> </w:t>
      </w:r>
      <w:r w:rsidRPr="00B95677" w:rsidR="00CD3997">
        <w:rPr>
          <w:rFonts w:ascii="Times New Roman" w:hAnsi="Times New Roman" w:cs="Times New Roman"/>
          <w:sz w:val="24"/>
          <w:szCs w:val="24"/>
        </w:rPr>
        <w:t xml:space="preserve"> </w:t>
      </w:r>
      <w:r w:rsidRPr="00B95677" w:rsidR="005C6553">
        <w:rPr>
          <w:rFonts w:ascii="Times New Roman" w:hAnsi="Times New Roman" w:cs="Times New Roman"/>
          <w:sz w:val="24"/>
          <w:szCs w:val="24"/>
        </w:rPr>
        <w:t>The 12</w:t>
      </w:r>
      <w:r w:rsidR="00BD0AE8">
        <w:rPr>
          <w:rFonts w:ascii="Times New Roman" w:hAnsi="Times New Roman" w:cs="Times New Roman"/>
          <w:sz w:val="24"/>
          <w:szCs w:val="24"/>
        </w:rPr>
        <w:t>-</w:t>
      </w:r>
      <w:r w:rsidRPr="00B95677" w:rsidR="005C6553">
        <w:rPr>
          <w:rFonts w:ascii="Times New Roman" w:hAnsi="Times New Roman" w:cs="Times New Roman"/>
          <w:sz w:val="24"/>
          <w:szCs w:val="24"/>
        </w:rPr>
        <w:t xml:space="preserve">month correction timeframe was removed from the “Moderate” category because it was duplicative of the timeframe for the “Minor” category. </w:t>
      </w:r>
      <w:r w:rsidRPr="00B95677" w:rsidR="008C6B3E">
        <w:rPr>
          <w:rFonts w:ascii="Times New Roman" w:hAnsi="Times New Roman" w:cs="Times New Roman"/>
          <w:sz w:val="24"/>
          <w:szCs w:val="24"/>
        </w:rPr>
        <w:t xml:space="preserve"> Energy Safety explained that this change will formalize how the correction timeline is presently operationalized in practice.</w:t>
      </w:r>
    </w:p>
    <w:p w:rsidRPr="00B95677" w:rsidR="00297C48" w:rsidP="006E075E" w:rsidRDefault="00297C48" w14:paraId="490BE4F3"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U</w:t>
      </w:r>
      <w:r w:rsidRPr="00B95677" w:rsidR="000D310B">
        <w:rPr>
          <w:rFonts w:ascii="Times New Roman" w:hAnsi="Times New Roman" w:cs="Times New Roman"/>
          <w:sz w:val="24"/>
          <w:szCs w:val="24"/>
        </w:rPr>
        <w:t>pon receipt of an NOV or NOD, Energy Safety will provide electrical corporations 30 calendar days to respond.</w:t>
      </w:r>
      <w:r w:rsidRPr="00383EDB" w:rsidR="00AD3C6E">
        <w:rPr>
          <w:rStyle w:val="FootnoteReference"/>
          <w:rFonts w:ascii="Times New Roman" w:hAnsi="Times New Roman" w:cs="Times New Roman"/>
          <w:b/>
          <w:bCs/>
          <w:sz w:val="24"/>
          <w:szCs w:val="24"/>
          <w:u w:val="single"/>
        </w:rPr>
        <w:footnoteReference w:id="26"/>
      </w:r>
    </w:p>
    <w:p w:rsidRPr="00B95677" w:rsidR="00297C48" w:rsidP="006E075E" w:rsidRDefault="00E159FB" w14:paraId="685B169E"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 xml:space="preserve">In </w:t>
      </w:r>
      <w:r w:rsidRPr="00B95677" w:rsidR="00297C48">
        <w:rPr>
          <w:rFonts w:ascii="Times New Roman" w:hAnsi="Times New Roman" w:cs="Times New Roman"/>
          <w:sz w:val="24"/>
          <w:szCs w:val="24"/>
        </w:rPr>
        <w:t>the electrical corporation’s</w:t>
      </w:r>
      <w:r w:rsidRPr="00B95677">
        <w:rPr>
          <w:rFonts w:ascii="Times New Roman" w:hAnsi="Times New Roman" w:cs="Times New Roman"/>
          <w:sz w:val="24"/>
          <w:szCs w:val="24"/>
        </w:rPr>
        <w:t xml:space="preserve"> response</w:t>
      </w:r>
      <w:r w:rsidRPr="00B95677" w:rsidR="00297C48">
        <w:rPr>
          <w:rFonts w:ascii="Times New Roman" w:hAnsi="Times New Roman" w:cs="Times New Roman"/>
          <w:sz w:val="24"/>
          <w:szCs w:val="24"/>
        </w:rPr>
        <w:t xml:space="preserve"> to the NOV or NOD</w:t>
      </w:r>
      <w:r w:rsidRPr="00B95677">
        <w:rPr>
          <w:rFonts w:ascii="Times New Roman" w:hAnsi="Times New Roman" w:cs="Times New Roman"/>
          <w:sz w:val="24"/>
          <w:szCs w:val="24"/>
        </w:rPr>
        <w:t xml:space="preserve">, </w:t>
      </w:r>
      <w:r w:rsidRPr="00B95677" w:rsidR="00297C48">
        <w:rPr>
          <w:rFonts w:ascii="Times New Roman" w:hAnsi="Times New Roman" w:cs="Times New Roman"/>
          <w:sz w:val="24"/>
          <w:szCs w:val="24"/>
        </w:rPr>
        <w:t>it must</w:t>
      </w:r>
      <w:r w:rsidRPr="00B95677">
        <w:rPr>
          <w:rFonts w:ascii="Times New Roman" w:hAnsi="Times New Roman" w:cs="Times New Roman"/>
          <w:sz w:val="24"/>
          <w:szCs w:val="24"/>
        </w:rPr>
        <w:t xml:space="preserve"> </w:t>
      </w:r>
      <w:r w:rsidRPr="00B95677" w:rsidR="000D310B">
        <w:rPr>
          <w:rFonts w:ascii="Times New Roman" w:hAnsi="Times New Roman" w:cs="Times New Roman"/>
          <w:sz w:val="24"/>
          <w:szCs w:val="24"/>
        </w:rPr>
        <w:t xml:space="preserve">include a plan of action or actions </w:t>
      </w:r>
      <w:r w:rsidRPr="00B95677" w:rsidR="0075341B">
        <w:rPr>
          <w:rFonts w:ascii="Times New Roman" w:hAnsi="Times New Roman" w:cs="Times New Roman"/>
          <w:sz w:val="24"/>
          <w:szCs w:val="24"/>
        </w:rPr>
        <w:t xml:space="preserve">that will be </w:t>
      </w:r>
      <w:r w:rsidRPr="00B95677" w:rsidR="000D310B">
        <w:rPr>
          <w:rFonts w:ascii="Times New Roman" w:hAnsi="Times New Roman" w:cs="Times New Roman"/>
          <w:sz w:val="24"/>
          <w:szCs w:val="24"/>
        </w:rPr>
        <w:t>taken to remediate the violation or defect, and a timeline for completing those actions.</w:t>
      </w:r>
      <w:r w:rsidRPr="00383EDB" w:rsidR="00AD3C6E">
        <w:rPr>
          <w:rStyle w:val="FootnoteReference"/>
          <w:rFonts w:ascii="Times New Roman" w:hAnsi="Times New Roman" w:cs="Times New Roman"/>
          <w:b/>
          <w:bCs/>
          <w:sz w:val="24"/>
          <w:szCs w:val="24"/>
          <w:u w:val="single"/>
        </w:rPr>
        <w:footnoteReference w:id="27"/>
      </w:r>
    </w:p>
    <w:p w:rsidRPr="00B95677" w:rsidR="00297C48" w:rsidP="006E075E" w:rsidRDefault="003C78D5" w14:paraId="097F8B29"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A</w:t>
      </w:r>
      <w:r w:rsidRPr="00B95677" w:rsidR="000D310B">
        <w:rPr>
          <w:rFonts w:ascii="Times New Roman" w:hAnsi="Times New Roman" w:cs="Times New Roman"/>
          <w:sz w:val="24"/>
          <w:szCs w:val="24"/>
        </w:rPr>
        <w:t xml:space="preserve">n electrical corporation will have the option </w:t>
      </w:r>
      <w:r w:rsidRPr="00B95677" w:rsidR="00297C48">
        <w:rPr>
          <w:rFonts w:ascii="Times New Roman" w:hAnsi="Times New Roman" w:cs="Times New Roman"/>
          <w:sz w:val="24"/>
          <w:szCs w:val="24"/>
        </w:rPr>
        <w:t>to include in its response a</w:t>
      </w:r>
      <w:r w:rsidRPr="00B95677" w:rsidR="000D310B">
        <w:rPr>
          <w:rFonts w:ascii="Times New Roman" w:hAnsi="Times New Roman" w:cs="Times New Roman"/>
          <w:sz w:val="24"/>
          <w:szCs w:val="24"/>
        </w:rPr>
        <w:t xml:space="preserve"> request </w:t>
      </w:r>
      <w:r w:rsidRPr="00B95677" w:rsidR="00297C48">
        <w:rPr>
          <w:rFonts w:ascii="Times New Roman" w:hAnsi="Times New Roman" w:cs="Times New Roman"/>
          <w:sz w:val="24"/>
          <w:szCs w:val="24"/>
        </w:rPr>
        <w:t xml:space="preserve">for </w:t>
      </w:r>
      <w:r w:rsidRPr="00B95677" w:rsidR="000D310B">
        <w:rPr>
          <w:rFonts w:ascii="Times New Roman" w:hAnsi="Times New Roman" w:cs="Times New Roman"/>
          <w:sz w:val="24"/>
          <w:szCs w:val="24"/>
        </w:rPr>
        <w:t>a hearing to take public comment</w:t>
      </w:r>
      <w:r w:rsidRPr="00B95677" w:rsidR="00297C48">
        <w:rPr>
          <w:rFonts w:ascii="Times New Roman" w:hAnsi="Times New Roman" w:cs="Times New Roman"/>
          <w:sz w:val="24"/>
          <w:szCs w:val="24"/>
        </w:rPr>
        <w:t xml:space="preserve"> or </w:t>
      </w:r>
      <w:r w:rsidRPr="00B95677" w:rsidR="000D310B">
        <w:rPr>
          <w:rFonts w:ascii="Times New Roman" w:hAnsi="Times New Roman" w:cs="Times New Roman"/>
          <w:sz w:val="24"/>
          <w:szCs w:val="24"/>
        </w:rPr>
        <w:t>present additional information.</w:t>
      </w:r>
      <w:r w:rsidRPr="00383EDB" w:rsidR="00AD3C6E">
        <w:rPr>
          <w:rStyle w:val="FootnoteReference"/>
          <w:rFonts w:ascii="Times New Roman" w:hAnsi="Times New Roman" w:cs="Times New Roman"/>
          <w:b/>
          <w:bCs/>
          <w:sz w:val="24"/>
          <w:szCs w:val="24"/>
          <w:u w:val="single"/>
        </w:rPr>
        <w:footnoteReference w:id="28"/>
      </w:r>
    </w:p>
    <w:p w:rsidRPr="00B95677" w:rsidR="00297C48" w:rsidP="006E075E" w:rsidRDefault="000D310B" w14:paraId="7D0A5C9D"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Should a hearing be requested, it will be presided over by a designated hearing examiner</w:t>
      </w:r>
      <w:r w:rsidRPr="00B95677" w:rsidR="00F5096C">
        <w:rPr>
          <w:rFonts w:ascii="Times New Roman" w:hAnsi="Times New Roman" w:cs="Times New Roman"/>
          <w:sz w:val="24"/>
          <w:szCs w:val="24"/>
        </w:rPr>
        <w:t xml:space="preserve"> at </w:t>
      </w:r>
      <w:r w:rsidRPr="00B95677" w:rsidR="00BE4FED">
        <w:rPr>
          <w:rFonts w:ascii="Times New Roman" w:hAnsi="Times New Roman" w:cs="Times New Roman"/>
          <w:sz w:val="24"/>
          <w:szCs w:val="24"/>
        </w:rPr>
        <w:t>Energy Safety</w:t>
      </w:r>
      <w:r w:rsidRPr="00B95677">
        <w:rPr>
          <w:rFonts w:ascii="Times New Roman" w:hAnsi="Times New Roman" w:cs="Times New Roman"/>
          <w:sz w:val="24"/>
          <w:szCs w:val="24"/>
        </w:rPr>
        <w:t>.</w:t>
      </w:r>
      <w:r w:rsidRPr="00383EDB" w:rsidR="00AD3C6E">
        <w:rPr>
          <w:rStyle w:val="FootnoteReference"/>
          <w:rFonts w:ascii="Times New Roman" w:hAnsi="Times New Roman" w:cs="Times New Roman"/>
          <w:b/>
          <w:bCs/>
          <w:sz w:val="24"/>
          <w:szCs w:val="24"/>
          <w:u w:val="single"/>
        </w:rPr>
        <w:footnoteReference w:id="29"/>
      </w:r>
    </w:p>
    <w:p w:rsidRPr="00B95677" w:rsidR="00297C48" w:rsidP="006E075E" w:rsidRDefault="000D310B" w14:paraId="118FE022"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If an electrical corporation does not request a hearing with its NOV or NOD response, the determinations and conditions set forth in the NOV or NOD become final at the expiration of the 30-day period.</w:t>
      </w:r>
      <w:r w:rsidRPr="00383EDB" w:rsidR="00AD3C6E">
        <w:rPr>
          <w:rStyle w:val="FootnoteReference"/>
          <w:rFonts w:ascii="Times New Roman" w:hAnsi="Times New Roman" w:cs="Times New Roman"/>
          <w:b/>
          <w:bCs/>
          <w:sz w:val="24"/>
          <w:szCs w:val="24"/>
          <w:u w:val="single"/>
        </w:rPr>
        <w:footnoteReference w:id="30"/>
      </w:r>
    </w:p>
    <w:p w:rsidRPr="00B95677" w:rsidR="00297C48" w:rsidP="006E075E" w:rsidRDefault="000D310B" w14:paraId="57963DCF"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t>Following completion of the corrective actions outlined in its NOV or NOD response, the electrical corporation must provide Energy Safety with documentation validating the resolution or correction of the identified violation or defect.</w:t>
      </w:r>
      <w:r w:rsidRPr="00383EDB" w:rsidR="00AD3C6E">
        <w:rPr>
          <w:rStyle w:val="FootnoteReference"/>
          <w:rFonts w:ascii="Times New Roman" w:hAnsi="Times New Roman" w:cs="Times New Roman"/>
          <w:b/>
          <w:bCs/>
          <w:sz w:val="24"/>
          <w:szCs w:val="24"/>
          <w:u w:val="single"/>
        </w:rPr>
        <w:footnoteReference w:id="31"/>
      </w:r>
    </w:p>
    <w:p w:rsidRPr="00B95677" w:rsidR="000D310B" w:rsidP="006E075E" w:rsidRDefault="000D310B" w14:paraId="39CE16A6" w14:textId="77777777">
      <w:pPr>
        <w:pStyle w:val="Standard"/>
        <w:numPr>
          <w:ilvl w:val="0"/>
          <w:numId w:val="18"/>
        </w:numPr>
        <w:ind w:right="1440"/>
        <w:rPr>
          <w:rFonts w:ascii="Times New Roman" w:hAnsi="Times New Roman" w:cs="Times New Roman"/>
          <w:sz w:val="24"/>
          <w:szCs w:val="24"/>
        </w:rPr>
      </w:pPr>
      <w:r w:rsidRPr="00B95677">
        <w:rPr>
          <w:rFonts w:ascii="Times New Roman" w:hAnsi="Times New Roman" w:cs="Times New Roman"/>
          <w:sz w:val="24"/>
          <w:szCs w:val="24"/>
        </w:rPr>
        <w:lastRenderedPageBreak/>
        <w:t>Energy Safety will include the electrical corporation’s response and the resolution status of any violations or defects in the summaries it provides to the Commission.</w:t>
      </w:r>
      <w:r w:rsidRPr="00383EDB" w:rsidR="00AD3C6E">
        <w:rPr>
          <w:rStyle w:val="FootnoteReference"/>
          <w:rFonts w:ascii="Times New Roman" w:hAnsi="Times New Roman" w:cs="Times New Roman"/>
          <w:b/>
          <w:bCs/>
          <w:sz w:val="24"/>
          <w:szCs w:val="24"/>
          <w:u w:val="single"/>
        </w:rPr>
        <w:footnoteReference w:id="32"/>
      </w:r>
    </w:p>
    <w:p w:rsidRPr="00B95677" w:rsidR="00E22341" w:rsidP="00607742" w:rsidRDefault="00E22341" w14:paraId="3247C016" w14:textId="77777777">
      <w:pPr>
        <w:pStyle w:val="Standard"/>
        <w:rPr>
          <w:rFonts w:ascii="Times New Roman" w:hAnsi="Times New Roman" w:cs="Times New Roman"/>
          <w:sz w:val="24"/>
          <w:szCs w:val="24"/>
        </w:rPr>
      </w:pPr>
      <w:r w:rsidRPr="00B95677">
        <w:rPr>
          <w:rFonts w:ascii="Times New Roman" w:hAnsi="Times New Roman" w:cs="Times New Roman"/>
          <w:sz w:val="24"/>
          <w:szCs w:val="24"/>
        </w:rPr>
        <w:t>Finally, Energy Safety clarifie</w:t>
      </w:r>
      <w:r w:rsidRPr="00B95677" w:rsidR="00D24E1D">
        <w:rPr>
          <w:rFonts w:ascii="Times New Roman" w:hAnsi="Times New Roman" w:cs="Times New Roman"/>
          <w:sz w:val="24"/>
          <w:szCs w:val="24"/>
        </w:rPr>
        <w:t>d</w:t>
      </w:r>
      <w:r w:rsidRPr="00B95677">
        <w:rPr>
          <w:rFonts w:ascii="Times New Roman" w:hAnsi="Times New Roman" w:cs="Times New Roman"/>
          <w:sz w:val="24"/>
          <w:szCs w:val="24"/>
        </w:rPr>
        <w:t xml:space="preserve"> that its annual safety compliance process period for 2020-2022 WMPs runs from January 1 to December 31 for each calendar year of the three-year WMP.</w:t>
      </w:r>
      <w:r w:rsidRPr="00B26DAE">
        <w:rPr>
          <w:rStyle w:val="FootnoteReference"/>
          <w:rFonts w:ascii="Times New Roman" w:hAnsi="Times New Roman" w:cs="Times New Roman"/>
          <w:b/>
          <w:bCs/>
          <w:sz w:val="24"/>
          <w:szCs w:val="24"/>
          <w:u w:val="single"/>
        </w:rPr>
        <w:footnoteReference w:id="33"/>
      </w:r>
    </w:p>
    <w:p w:rsidRPr="00B95677" w:rsidR="005C6C3D" w:rsidP="006E075E" w:rsidRDefault="003E3CDF" w14:paraId="05A0E769" w14:textId="77777777">
      <w:pPr>
        <w:pStyle w:val="Standard"/>
        <w:numPr>
          <w:ilvl w:val="1"/>
          <w:numId w:val="26"/>
        </w:numPr>
        <w:spacing w:before="120" w:after="120"/>
        <w:rPr>
          <w:rFonts w:ascii="Times New Roman" w:hAnsi="Times New Roman" w:cs="Times New Roman"/>
          <w:b/>
          <w:bCs/>
          <w:sz w:val="24"/>
          <w:szCs w:val="24"/>
        </w:rPr>
      </w:pPr>
      <w:r w:rsidRPr="00B95677">
        <w:rPr>
          <w:rFonts w:ascii="Times New Roman" w:hAnsi="Times New Roman" w:cs="Times New Roman"/>
          <w:b/>
          <w:bCs/>
          <w:sz w:val="24"/>
          <w:szCs w:val="24"/>
        </w:rPr>
        <w:t>Discussion</w:t>
      </w:r>
    </w:p>
    <w:p w:rsidRPr="00B95677" w:rsidR="008D12D5" w:rsidP="005F79E9" w:rsidRDefault="003E3CDF" w14:paraId="08DA4B57" w14:textId="0F2ADC5A">
      <w:pPr>
        <w:pStyle w:val="Standard"/>
        <w:ind w:firstLine="720"/>
        <w:rPr>
          <w:rFonts w:ascii="Times New Roman" w:hAnsi="Times New Roman" w:cs="Times New Roman"/>
          <w:sz w:val="24"/>
          <w:szCs w:val="24"/>
        </w:rPr>
      </w:pPr>
      <w:r w:rsidRPr="00B95677">
        <w:rPr>
          <w:rFonts w:ascii="Times New Roman" w:hAnsi="Times New Roman" w:cs="Times New Roman"/>
          <w:sz w:val="24"/>
          <w:szCs w:val="24"/>
        </w:rPr>
        <w:t xml:space="preserve">The Commission </w:t>
      </w:r>
      <w:r w:rsidR="00513F92">
        <w:rPr>
          <w:rFonts w:ascii="Times New Roman" w:hAnsi="Times New Roman" w:cs="Times New Roman"/>
          <w:sz w:val="24"/>
          <w:szCs w:val="24"/>
        </w:rPr>
        <w:t xml:space="preserve">reviewed Energy Safety’s recommendations </w:t>
      </w:r>
      <w:r w:rsidR="00C546B3">
        <w:rPr>
          <w:rFonts w:ascii="Times New Roman" w:hAnsi="Times New Roman" w:cs="Times New Roman"/>
          <w:sz w:val="24"/>
          <w:szCs w:val="24"/>
        </w:rPr>
        <w:t>and is satisfied with</w:t>
      </w:r>
      <w:r w:rsidRPr="00B95677">
        <w:rPr>
          <w:rFonts w:ascii="Times New Roman" w:hAnsi="Times New Roman" w:cs="Times New Roman"/>
          <w:sz w:val="24"/>
          <w:szCs w:val="24"/>
        </w:rPr>
        <w:t xml:space="preserve"> </w:t>
      </w:r>
      <w:r w:rsidRPr="00B95677" w:rsidR="00335B37">
        <w:rPr>
          <w:rFonts w:ascii="Times New Roman" w:hAnsi="Times New Roman" w:cs="Times New Roman"/>
          <w:sz w:val="24"/>
          <w:szCs w:val="24"/>
        </w:rPr>
        <w:t>Energy Safety’s updates and revisions to the compliance process</w:t>
      </w:r>
      <w:r w:rsidR="00513F92">
        <w:rPr>
          <w:rFonts w:ascii="Times New Roman" w:hAnsi="Times New Roman" w:cs="Times New Roman"/>
          <w:sz w:val="24"/>
          <w:szCs w:val="24"/>
        </w:rPr>
        <w:t xml:space="preserve"> for 2021 WMPs</w:t>
      </w:r>
      <w:r w:rsidR="009231E7">
        <w:rPr>
          <w:rFonts w:ascii="Times New Roman" w:hAnsi="Times New Roman" w:cs="Times New Roman"/>
          <w:sz w:val="24"/>
          <w:szCs w:val="24"/>
        </w:rPr>
        <w:t xml:space="preserve"> with one clarification</w:t>
      </w:r>
      <w:r w:rsidR="009D2761">
        <w:rPr>
          <w:rFonts w:ascii="Times New Roman" w:hAnsi="Times New Roman" w:cs="Times New Roman"/>
          <w:sz w:val="24"/>
          <w:szCs w:val="24"/>
        </w:rPr>
        <w:t>.</w:t>
      </w:r>
      <w:r w:rsidRPr="00B95677" w:rsidR="00335B37">
        <w:rPr>
          <w:rFonts w:ascii="Times New Roman" w:hAnsi="Times New Roman" w:cs="Times New Roman"/>
          <w:sz w:val="24"/>
          <w:szCs w:val="24"/>
        </w:rPr>
        <w:t xml:space="preserve"> </w:t>
      </w:r>
      <w:r w:rsidR="00765F42">
        <w:rPr>
          <w:rFonts w:ascii="Times New Roman" w:hAnsi="Times New Roman" w:cs="Times New Roman"/>
          <w:sz w:val="24"/>
          <w:szCs w:val="24"/>
        </w:rPr>
        <w:t xml:space="preserve"> </w:t>
      </w:r>
      <w:r w:rsidRPr="00B95677" w:rsidR="00EF2607">
        <w:rPr>
          <w:rFonts w:ascii="Times New Roman" w:hAnsi="Times New Roman" w:cs="Times New Roman"/>
          <w:sz w:val="24"/>
          <w:szCs w:val="24"/>
        </w:rPr>
        <w:t xml:space="preserve">The </w:t>
      </w:r>
      <w:r w:rsidRPr="00B95677" w:rsidR="006011D5">
        <w:rPr>
          <w:rFonts w:ascii="Times New Roman" w:hAnsi="Times New Roman" w:cs="Times New Roman"/>
          <w:sz w:val="24"/>
          <w:szCs w:val="24"/>
        </w:rPr>
        <w:t>Commission’s Safety Enforcement Division staff</w:t>
      </w:r>
      <w:r w:rsidR="002B6340">
        <w:rPr>
          <w:rStyle w:val="FootnoteReference"/>
          <w:rFonts w:ascii="Times New Roman" w:hAnsi="Times New Roman" w:cs="Times New Roman"/>
          <w:sz w:val="24"/>
          <w:szCs w:val="24"/>
        </w:rPr>
        <w:footnoteReference w:id="34"/>
      </w:r>
      <w:r w:rsidRPr="00B95677" w:rsidR="006011D5">
        <w:rPr>
          <w:rFonts w:ascii="Times New Roman" w:hAnsi="Times New Roman" w:cs="Times New Roman"/>
          <w:sz w:val="24"/>
          <w:szCs w:val="24"/>
        </w:rPr>
        <w:t xml:space="preserve"> may issue </w:t>
      </w:r>
      <w:r w:rsidRPr="00B95677" w:rsidR="005966AA">
        <w:rPr>
          <w:rFonts w:ascii="Times New Roman" w:hAnsi="Times New Roman" w:cs="Times New Roman"/>
          <w:sz w:val="24"/>
          <w:szCs w:val="24"/>
        </w:rPr>
        <w:t>a</w:t>
      </w:r>
      <w:r w:rsidRPr="00B95677" w:rsidR="006011D5">
        <w:rPr>
          <w:rFonts w:ascii="Times New Roman" w:hAnsi="Times New Roman" w:cs="Times New Roman"/>
          <w:sz w:val="24"/>
          <w:szCs w:val="24"/>
        </w:rPr>
        <w:t xml:space="preserve"> citation</w:t>
      </w:r>
      <w:r w:rsidRPr="00B95677" w:rsidR="003E78BD">
        <w:rPr>
          <w:rFonts w:ascii="Times New Roman" w:hAnsi="Times New Roman" w:cs="Times New Roman"/>
          <w:sz w:val="24"/>
          <w:szCs w:val="24"/>
        </w:rPr>
        <w:t>,</w:t>
      </w:r>
      <w:r w:rsidRPr="00B95677" w:rsidR="006011D5">
        <w:rPr>
          <w:rFonts w:ascii="Times New Roman" w:hAnsi="Times New Roman" w:cs="Times New Roman"/>
          <w:sz w:val="24"/>
          <w:szCs w:val="24"/>
        </w:rPr>
        <w:t xml:space="preserve"> if appropriate, or determine whether to recommend the Commission initiate an enforcement proceeding </w:t>
      </w:r>
      <w:r w:rsidR="00CB7F96">
        <w:rPr>
          <w:rFonts w:ascii="Times New Roman" w:hAnsi="Times New Roman" w:cs="Times New Roman"/>
          <w:sz w:val="24"/>
          <w:szCs w:val="24"/>
        </w:rPr>
        <w:t xml:space="preserve">or approve an administrative consent order </w:t>
      </w:r>
      <w:r w:rsidRPr="00B95677" w:rsidR="006011D5">
        <w:rPr>
          <w:rFonts w:ascii="Times New Roman" w:hAnsi="Times New Roman" w:cs="Times New Roman"/>
          <w:sz w:val="24"/>
          <w:szCs w:val="24"/>
        </w:rPr>
        <w:t xml:space="preserve">in light of </w:t>
      </w:r>
      <w:r w:rsidR="009E5EB1">
        <w:rPr>
          <w:rFonts w:ascii="Times New Roman" w:hAnsi="Times New Roman" w:cs="Times New Roman"/>
          <w:sz w:val="24"/>
          <w:szCs w:val="24"/>
        </w:rPr>
        <w:t xml:space="preserve">information provided by </w:t>
      </w:r>
      <w:r w:rsidRPr="00B95677" w:rsidR="006011D5">
        <w:rPr>
          <w:rFonts w:ascii="Times New Roman" w:hAnsi="Times New Roman" w:cs="Times New Roman"/>
          <w:sz w:val="24"/>
          <w:szCs w:val="24"/>
        </w:rPr>
        <w:t>Energy Safety</w:t>
      </w:r>
      <w:r w:rsidR="009E5EB1">
        <w:rPr>
          <w:rFonts w:ascii="Times New Roman" w:hAnsi="Times New Roman" w:cs="Times New Roman"/>
          <w:sz w:val="24"/>
          <w:szCs w:val="24"/>
        </w:rPr>
        <w:t xml:space="preserve"> as a result of its ongoing or annual compliance assessments, including but not limited to </w:t>
      </w:r>
      <w:r w:rsidRPr="00B95677" w:rsidR="006011D5">
        <w:rPr>
          <w:rFonts w:ascii="Times New Roman" w:hAnsi="Times New Roman" w:cs="Times New Roman"/>
          <w:sz w:val="24"/>
          <w:szCs w:val="24"/>
        </w:rPr>
        <w:t xml:space="preserve">Energy Safety’s </w:t>
      </w:r>
      <w:r w:rsidR="00B529FA">
        <w:rPr>
          <w:rFonts w:ascii="Times New Roman" w:hAnsi="Times New Roman" w:cs="Times New Roman"/>
          <w:sz w:val="24"/>
          <w:szCs w:val="24"/>
        </w:rPr>
        <w:t>issuance of an</w:t>
      </w:r>
      <w:r w:rsidRPr="00B95677" w:rsidR="006011D5">
        <w:rPr>
          <w:rFonts w:ascii="Times New Roman" w:hAnsi="Times New Roman" w:cs="Times New Roman"/>
          <w:sz w:val="24"/>
          <w:szCs w:val="24"/>
        </w:rPr>
        <w:t xml:space="preserve"> NOV or NOD and </w:t>
      </w:r>
      <w:r w:rsidRPr="00B95677" w:rsidR="005966AA">
        <w:rPr>
          <w:rFonts w:ascii="Times New Roman" w:hAnsi="Times New Roman" w:cs="Times New Roman"/>
          <w:sz w:val="24"/>
          <w:szCs w:val="24"/>
        </w:rPr>
        <w:t xml:space="preserve">the </w:t>
      </w:r>
      <w:r w:rsidRPr="00B95677" w:rsidR="006011D5">
        <w:rPr>
          <w:rFonts w:ascii="Times New Roman" w:hAnsi="Times New Roman" w:cs="Times New Roman"/>
          <w:sz w:val="24"/>
          <w:szCs w:val="24"/>
        </w:rPr>
        <w:t xml:space="preserve">electrical corporation’s </w:t>
      </w:r>
      <w:r w:rsidR="004A7E58">
        <w:rPr>
          <w:rFonts w:ascii="Times New Roman" w:hAnsi="Times New Roman" w:cs="Times New Roman"/>
          <w:sz w:val="24"/>
          <w:szCs w:val="24"/>
        </w:rPr>
        <w:t xml:space="preserve">subsequent </w:t>
      </w:r>
      <w:r w:rsidRPr="00B95677" w:rsidR="006011D5">
        <w:rPr>
          <w:rFonts w:ascii="Times New Roman" w:hAnsi="Times New Roman" w:cs="Times New Roman"/>
          <w:sz w:val="24"/>
          <w:szCs w:val="24"/>
        </w:rPr>
        <w:t>response</w:t>
      </w:r>
      <w:r w:rsidR="00DD16D5">
        <w:rPr>
          <w:rFonts w:ascii="Times New Roman" w:hAnsi="Times New Roman" w:cs="Times New Roman"/>
          <w:sz w:val="24"/>
          <w:szCs w:val="24"/>
        </w:rPr>
        <w:t xml:space="preserve"> or other action</w:t>
      </w:r>
      <w:r w:rsidRPr="00B95677" w:rsidR="007571C6">
        <w:rPr>
          <w:rFonts w:ascii="Times New Roman" w:hAnsi="Times New Roman" w:cs="Times New Roman"/>
          <w:sz w:val="24"/>
          <w:szCs w:val="24"/>
        </w:rPr>
        <w:t xml:space="preserve">. </w:t>
      </w:r>
      <w:r w:rsidRPr="00B95677" w:rsidR="006011D5">
        <w:rPr>
          <w:rFonts w:ascii="Times New Roman" w:hAnsi="Times New Roman" w:cs="Times New Roman"/>
          <w:sz w:val="24"/>
          <w:szCs w:val="24"/>
        </w:rPr>
        <w:t xml:space="preserve"> </w:t>
      </w:r>
      <w:r w:rsidR="00513F92">
        <w:rPr>
          <w:rFonts w:ascii="Times New Roman" w:hAnsi="Times New Roman" w:cs="Times New Roman"/>
          <w:sz w:val="24"/>
          <w:szCs w:val="24"/>
        </w:rPr>
        <w:t xml:space="preserve">Consistent with its authority </w:t>
      </w:r>
      <w:r w:rsidRPr="00B95677" w:rsidR="00513F92">
        <w:rPr>
          <w:rFonts w:ascii="Times New Roman" w:hAnsi="Times New Roman" w:cs="Times New Roman"/>
          <w:sz w:val="24"/>
          <w:szCs w:val="24"/>
        </w:rPr>
        <w:t>pursuant to Pub. Util. Code</w:t>
      </w:r>
      <w:r w:rsidR="00513F92">
        <w:rPr>
          <w:rFonts w:ascii="Times New Roman" w:hAnsi="Times New Roman" w:cs="Times New Roman"/>
          <w:sz w:val="24"/>
          <w:szCs w:val="24"/>
        </w:rPr>
        <w:t xml:space="preserve"> </w:t>
      </w:r>
      <w:r w:rsidRPr="00B95677" w:rsidR="00513F92">
        <w:rPr>
          <w:rFonts w:ascii="Times New Roman" w:hAnsi="Times New Roman" w:cs="Times New Roman"/>
          <w:sz w:val="24"/>
          <w:szCs w:val="24"/>
        </w:rPr>
        <w:t>§ 8386.1</w:t>
      </w:r>
      <w:r w:rsidR="00513F92">
        <w:rPr>
          <w:rFonts w:ascii="Times New Roman" w:hAnsi="Times New Roman" w:cs="Times New Roman"/>
          <w:sz w:val="24"/>
          <w:szCs w:val="24"/>
        </w:rPr>
        <w:t>, t</w:t>
      </w:r>
      <w:r w:rsidRPr="00B95677" w:rsidR="006B4FB0">
        <w:rPr>
          <w:rFonts w:ascii="Times New Roman" w:hAnsi="Times New Roman" w:cs="Times New Roman"/>
          <w:sz w:val="24"/>
          <w:szCs w:val="24"/>
        </w:rPr>
        <w:t xml:space="preserve">he Commission may </w:t>
      </w:r>
      <w:r w:rsidRPr="00B95677" w:rsidR="00E52258">
        <w:rPr>
          <w:rFonts w:ascii="Times New Roman" w:hAnsi="Times New Roman" w:cs="Times New Roman"/>
          <w:sz w:val="24"/>
          <w:szCs w:val="24"/>
        </w:rPr>
        <w:t xml:space="preserve">assess penalties </w:t>
      </w:r>
      <w:r w:rsidRPr="00B95677" w:rsidR="00EA58A3">
        <w:rPr>
          <w:rFonts w:ascii="Times New Roman" w:hAnsi="Times New Roman" w:cs="Times New Roman"/>
          <w:sz w:val="24"/>
          <w:szCs w:val="24"/>
        </w:rPr>
        <w:t>on</w:t>
      </w:r>
      <w:r w:rsidRPr="00B95677" w:rsidR="006B4FB0">
        <w:rPr>
          <w:rFonts w:ascii="Times New Roman" w:hAnsi="Times New Roman" w:cs="Times New Roman"/>
          <w:sz w:val="24"/>
          <w:szCs w:val="24"/>
        </w:rPr>
        <w:t xml:space="preserve"> an electrical corporatio</w:t>
      </w:r>
      <w:r w:rsidRPr="00B95677" w:rsidR="00EA58A3">
        <w:rPr>
          <w:rFonts w:ascii="Times New Roman" w:hAnsi="Times New Roman" w:cs="Times New Roman"/>
          <w:sz w:val="24"/>
          <w:szCs w:val="24"/>
        </w:rPr>
        <w:t xml:space="preserve">n </w:t>
      </w:r>
      <w:r w:rsidRPr="00B95677" w:rsidR="00F50326">
        <w:rPr>
          <w:rFonts w:ascii="Times New Roman" w:hAnsi="Times New Roman" w:cs="Times New Roman"/>
          <w:sz w:val="24"/>
          <w:szCs w:val="24"/>
        </w:rPr>
        <w:t xml:space="preserve">that fails to substantially comply </w:t>
      </w:r>
      <w:r w:rsidRPr="00B95677" w:rsidR="006B4FB0">
        <w:rPr>
          <w:rFonts w:ascii="Times New Roman" w:hAnsi="Times New Roman" w:cs="Times New Roman"/>
          <w:sz w:val="24"/>
          <w:szCs w:val="24"/>
        </w:rPr>
        <w:t>with its wildfire mitigation plan</w:t>
      </w:r>
      <w:r w:rsidRPr="00B95677" w:rsidR="00C47FFB">
        <w:rPr>
          <w:rFonts w:ascii="Times New Roman" w:hAnsi="Times New Roman" w:cs="Times New Roman"/>
          <w:sz w:val="24"/>
          <w:szCs w:val="24"/>
        </w:rPr>
        <w:t xml:space="preserve">.  </w:t>
      </w:r>
      <w:r w:rsidR="00A27850">
        <w:rPr>
          <w:rFonts w:ascii="Times New Roman" w:hAnsi="Times New Roman" w:cs="Times New Roman"/>
          <w:sz w:val="24"/>
          <w:szCs w:val="24"/>
        </w:rPr>
        <w:t>N</w:t>
      </w:r>
      <w:r w:rsidRPr="00B95677" w:rsidR="00246A0D">
        <w:rPr>
          <w:rFonts w:ascii="Times New Roman" w:hAnsi="Times New Roman" w:cs="Times New Roman"/>
          <w:sz w:val="24"/>
          <w:szCs w:val="24"/>
        </w:rPr>
        <w:t>othing restricts or reduces the Commission</w:t>
      </w:r>
      <w:r w:rsidRPr="00B95677" w:rsidR="000608AD">
        <w:rPr>
          <w:rFonts w:ascii="Times New Roman" w:hAnsi="Times New Roman" w:cs="Times New Roman"/>
          <w:sz w:val="24"/>
          <w:szCs w:val="24"/>
        </w:rPr>
        <w:t xml:space="preserve"> from pursuing</w:t>
      </w:r>
      <w:r w:rsidRPr="00B95677" w:rsidR="00EA58A3">
        <w:rPr>
          <w:rFonts w:ascii="Times New Roman" w:hAnsi="Times New Roman" w:cs="Times New Roman"/>
          <w:sz w:val="24"/>
          <w:szCs w:val="24"/>
        </w:rPr>
        <w:t xml:space="preserve"> </w:t>
      </w:r>
      <w:r w:rsidR="00A05D6F">
        <w:rPr>
          <w:rFonts w:ascii="Times New Roman" w:hAnsi="Times New Roman" w:cs="Times New Roman"/>
          <w:sz w:val="24"/>
          <w:szCs w:val="24"/>
        </w:rPr>
        <w:t>appropriate</w:t>
      </w:r>
      <w:r w:rsidRPr="00B95677" w:rsidR="00A05D6F">
        <w:rPr>
          <w:rFonts w:ascii="Times New Roman" w:hAnsi="Times New Roman" w:cs="Times New Roman"/>
          <w:sz w:val="24"/>
          <w:szCs w:val="24"/>
        </w:rPr>
        <w:t xml:space="preserve"> </w:t>
      </w:r>
      <w:r w:rsidRPr="00B95677" w:rsidR="000608AD">
        <w:rPr>
          <w:rFonts w:ascii="Times New Roman" w:hAnsi="Times New Roman" w:cs="Times New Roman"/>
          <w:sz w:val="24"/>
          <w:szCs w:val="24"/>
        </w:rPr>
        <w:t xml:space="preserve">enforcement </w:t>
      </w:r>
      <w:r w:rsidRPr="00B95677" w:rsidR="00E90DB8">
        <w:rPr>
          <w:rFonts w:ascii="Times New Roman" w:hAnsi="Times New Roman" w:cs="Times New Roman"/>
          <w:sz w:val="24"/>
          <w:szCs w:val="24"/>
        </w:rPr>
        <w:t xml:space="preserve">through </w:t>
      </w:r>
      <w:r w:rsidRPr="00B95677" w:rsidR="000608AD">
        <w:rPr>
          <w:rFonts w:ascii="Times New Roman" w:hAnsi="Times New Roman" w:cs="Times New Roman"/>
          <w:sz w:val="24"/>
          <w:szCs w:val="24"/>
        </w:rPr>
        <w:t>other</w:t>
      </w:r>
      <w:r w:rsidRPr="00B95677" w:rsidR="00E90DB8">
        <w:rPr>
          <w:rFonts w:ascii="Times New Roman" w:hAnsi="Times New Roman" w:cs="Times New Roman"/>
          <w:sz w:val="24"/>
          <w:szCs w:val="24"/>
        </w:rPr>
        <w:t xml:space="preserve"> enforcement tools and procedures.</w:t>
      </w:r>
    </w:p>
    <w:p w:rsidRPr="00B95677" w:rsidR="00E1689C" w:rsidP="00BC7065" w:rsidRDefault="00E1689C" w14:paraId="3988F1D1" w14:textId="77777777">
      <w:pPr>
        <w:pStyle w:val="Res-Caption"/>
        <w:keepNext/>
        <w:keepLines/>
        <w:numPr>
          <w:ilvl w:val="0"/>
          <w:numId w:val="12"/>
        </w:numPr>
        <w:spacing w:before="120" w:after="120"/>
        <w:ind w:hanging="720"/>
        <w:rPr>
          <w:rFonts w:ascii="Times New Roman" w:hAnsi="Times New Roman"/>
          <w:b/>
          <w:bCs/>
          <w:sz w:val="24"/>
          <w:szCs w:val="24"/>
        </w:rPr>
      </w:pPr>
      <w:r w:rsidRPr="00B95677">
        <w:rPr>
          <w:rFonts w:ascii="Times New Roman" w:hAnsi="Times New Roman"/>
          <w:b/>
          <w:bCs/>
          <w:sz w:val="24"/>
          <w:szCs w:val="24"/>
        </w:rPr>
        <w:t xml:space="preserve">Attachment </w:t>
      </w:r>
      <w:r w:rsidRPr="00B95677" w:rsidR="00FC4301">
        <w:rPr>
          <w:rFonts w:ascii="Times New Roman" w:hAnsi="Times New Roman"/>
          <w:b/>
          <w:bCs/>
          <w:sz w:val="24"/>
          <w:szCs w:val="24"/>
        </w:rPr>
        <w:t>4</w:t>
      </w:r>
      <w:r w:rsidRPr="00B95677" w:rsidR="00541678">
        <w:rPr>
          <w:rFonts w:ascii="Times New Roman" w:hAnsi="Times New Roman"/>
          <w:b/>
          <w:bCs/>
          <w:sz w:val="24"/>
          <w:szCs w:val="24"/>
        </w:rPr>
        <w:t>:</w:t>
      </w:r>
      <w:r w:rsidRPr="00B95677">
        <w:rPr>
          <w:rFonts w:ascii="Times New Roman" w:hAnsi="Times New Roman"/>
          <w:b/>
          <w:bCs/>
          <w:sz w:val="24"/>
          <w:szCs w:val="24"/>
        </w:rPr>
        <w:t xml:space="preserve"> Annual Safety Culture Assessment Process </w:t>
      </w:r>
    </w:p>
    <w:p w:rsidRPr="00B95677" w:rsidR="004D6831" w:rsidP="003923D6" w:rsidRDefault="00E1689C" w14:paraId="1D7A4F58" w14:textId="5179AEB8">
      <w:pPr>
        <w:pStyle w:val="Standard"/>
        <w:rPr>
          <w:rFonts w:ascii="Times New Roman" w:hAnsi="Times New Roman" w:cs="Times New Roman"/>
          <w:sz w:val="24"/>
          <w:szCs w:val="24"/>
        </w:rPr>
      </w:pPr>
      <w:r w:rsidRPr="00B95677">
        <w:rPr>
          <w:rFonts w:ascii="Times New Roman" w:hAnsi="Times New Roman" w:cs="Times New Roman"/>
          <w:sz w:val="24"/>
          <w:szCs w:val="24"/>
        </w:rPr>
        <w:t>Pursuant to §</w:t>
      </w:r>
      <w:r w:rsidRPr="00B95677" w:rsidR="00C74010">
        <w:rPr>
          <w:rFonts w:ascii="Times New Roman" w:hAnsi="Times New Roman" w:cs="Times New Roman"/>
          <w:sz w:val="24"/>
          <w:szCs w:val="24"/>
        </w:rPr>
        <w:t xml:space="preserve"> </w:t>
      </w:r>
      <w:r w:rsidRPr="00B95677">
        <w:rPr>
          <w:rFonts w:ascii="Times New Roman" w:hAnsi="Times New Roman" w:cs="Times New Roman"/>
          <w:sz w:val="24"/>
          <w:szCs w:val="24"/>
        </w:rPr>
        <w:t>8389</w:t>
      </w:r>
      <w:r w:rsidR="002E5C74">
        <w:rPr>
          <w:rFonts w:ascii="Times New Roman" w:hAnsi="Times New Roman" w:cs="Times New Roman"/>
          <w:sz w:val="24"/>
          <w:szCs w:val="24"/>
        </w:rPr>
        <w:t>(d)</w:t>
      </w:r>
      <w:r w:rsidRPr="00B95677">
        <w:rPr>
          <w:rFonts w:ascii="Times New Roman" w:hAnsi="Times New Roman" w:cs="Times New Roman"/>
          <w:sz w:val="24"/>
          <w:szCs w:val="24"/>
        </w:rPr>
        <w:t xml:space="preserve">, by December 1, 2020, and annually thereafter, the Commission, after consultation with </w:t>
      </w:r>
      <w:r w:rsidRPr="00B95677" w:rsidR="00DE5456">
        <w:rPr>
          <w:rFonts w:ascii="Times New Roman" w:hAnsi="Times New Roman" w:cs="Times New Roman"/>
          <w:sz w:val="24"/>
          <w:szCs w:val="24"/>
        </w:rPr>
        <w:t>Energy Safety</w:t>
      </w:r>
      <w:r w:rsidRPr="00B95677">
        <w:rPr>
          <w:rFonts w:ascii="Times New Roman" w:hAnsi="Times New Roman" w:cs="Times New Roman"/>
          <w:sz w:val="24"/>
          <w:szCs w:val="24"/>
        </w:rPr>
        <w:t xml:space="preserve">, must adopt and approve a process for </w:t>
      </w:r>
      <w:r w:rsidRPr="00B95677" w:rsidR="00DE5456">
        <w:rPr>
          <w:rFonts w:ascii="Times New Roman" w:hAnsi="Times New Roman" w:cs="Times New Roman"/>
          <w:sz w:val="24"/>
          <w:szCs w:val="24"/>
        </w:rPr>
        <w:t>Energy Safety</w:t>
      </w:r>
      <w:r w:rsidRPr="00B95677">
        <w:rPr>
          <w:rFonts w:ascii="Times New Roman" w:hAnsi="Times New Roman" w:cs="Times New Roman"/>
          <w:sz w:val="24"/>
          <w:szCs w:val="24"/>
        </w:rPr>
        <w:t xml:space="preserve"> to conduct annual safety culture assessments for each electrical corporation. </w:t>
      </w:r>
    </w:p>
    <w:p w:rsidRPr="00B95677" w:rsidR="00E1689C" w:rsidP="003923D6" w:rsidRDefault="00DE5456" w14:paraId="7842A43A" w14:textId="77777777">
      <w:pPr>
        <w:pStyle w:val="Standard"/>
        <w:rPr>
          <w:rFonts w:ascii="Times New Roman" w:hAnsi="Times New Roman" w:cs="Times New Roman"/>
          <w:sz w:val="24"/>
          <w:szCs w:val="24"/>
        </w:rPr>
      </w:pPr>
      <w:r w:rsidRPr="00B95677">
        <w:rPr>
          <w:rFonts w:ascii="Times New Roman" w:hAnsi="Times New Roman" w:cs="Times New Roman"/>
          <w:sz w:val="24"/>
          <w:szCs w:val="24"/>
        </w:rPr>
        <w:t>Energy Safety’s</w:t>
      </w:r>
      <w:r w:rsidRPr="00B95677" w:rsidR="00E1689C">
        <w:rPr>
          <w:rFonts w:ascii="Times New Roman" w:hAnsi="Times New Roman" w:cs="Times New Roman"/>
          <w:sz w:val="24"/>
          <w:szCs w:val="24"/>
        </w:rPr>
        <w:t xml:space="preserve"> annual </w:t>
      </w:r>
      <w:r w:rsidRPr="00B95677" w:rsidR="00E84C5E">
        <w:rPr>
          <w:rFonts w:ascii="Times New Roman" w:hAnsi="Times New Roman" w:cs="Times New Roman"/>
          <w:sz w:val="24"/>
          <w:szCs w:val="24"/>
        </w:rPr>
        <w:t>s</w:t>
      </w:r>
      <w:r w:rsidRPr="00B95677" w:rsidR="00E1689C">
        <w:rPr>
          <w:rFonts w:ascii="Times New Roman" w:hAnsi="Times New Roman" w:cs="Times New Roman"/>
          <w:sz w:val="24"/>
          <w:szCs w:val="24"/>
        </w:rPr>
        <w:t xml:space="preserve">afety </w:t>
      </w:r>
      <w:r w:rsidRPr="00B95677" w:rsidR="00E84C5E">
        <w:rPr>
          <w:rFonts w:ascii="Times New Roman" w:hAnsi="Times New Roman" w:cs="Times New Roman"/>
          <w:sz w:val="24"/>
          <w:szCs w:val="24"/>
        </w:rPr>
        <w:t>c</w:t>
      </w:r>
      <w:r w:rsidRPr="00B95677" w:rsidR="00E1689C">
        <w:rPr>
          <w:rFonts w:ascii="Times New Roman" w:hAnsi="Times New Roman" w:cs="Times New Roman"/>
          <w:sz w:val="24"/>
          <w:szCs w:val="24"/>
        </w:rPr>
        <w:t xml:space="preserve">ulture </w:t>
      </w:r>
      <w:r w:rsidRPr="00B95677" w:rsidR="00E84C5E">
        <w:rPr>
          <w:rFonts w:ascii="Times New Roman" w:hAnsi="Times New Roman" w:cs="Times New Roman"/>
          <w:sz w:val="24"/>
          <w:szCs w:val="24"/>
        </w:rPr>
        <w:t>a</w:t>
      </w:r>
      <w:r w:rsidRPr="00B95677" w:rsidR="00E1689C">
        <w:rPr>
          <w:rFonts w:ascii="Times New Roman" w:hAnsi="Times New Roman" w:cs="Times New Roman"/>
          <w:sz w:val="24"/>
          <w:szCs w:val="24"/>
        </w:rPr>
        <w:t>ssessment is distinct from the broader safety culture assessment required of the C</w:t>
      </w:r>
      <w:r w:rsidRPr="00B95677" w:rsidR="00E73F7F">
        <w:rPr>
          <w:rFonts w:ascii="Times New Roman" w:hAnsi="Times New Roman" w:cs="Times New Roman"/>
          <w:sz w:val="24"/>
          <w:szCs w:val="24"/>
        </w:rPr>
        <w:t xml:space="preserve">ommission </w:t>
      </w:r>
      <w:r w:rsidRPr="00B95677" w:rsidR="00E1689C">
        <w:rPr>
          <w:rFonts w:ascii="Times New Roman" w:hAnsi="Times New Roman" w:cs="Times New Roman"/>
          <w:sz w:val="24"/>
          <w:szCs w:val="24"/>
        </w:rPr>
        <w:t xml:space="preserve">by </w:t>
      </w:r>
      <w:r w:rsidRPr="00B95677" w:rsidR="008E18FE">
        <w:rPr>
          <w:rFonts w:ascii="Times New Roman" w:hAnsi="Times New Roman" w:cs="Times New Roman"/>
          <w:sz w:val="24"/>
          <w:szCs w:val="24"/>
        </w:rPr>
        <w:t xml:space="preserve">Pub. Util Code </w:t>
      </w:r>
      <w:r w:rsidRPr="00B95677" w:rsidR="00E1689C">
        <w:rPr>
          <w:rFonts w:ascii="Times New Roman" w:hAnsi="Times New Roman" w:cs="Times New Roman"/>
          <w:sz w:val="24"/>
          <w:szCs w:val="24"/>
        </w:rPr>
        <w:t>§</w:t>
      </w:r>
      <w:r w:rsidRPr="00B95677" w:rsidR="00C74010">
        <w:rPr>
          <w:rFonts w:ascii="Times New Roman" w:hAnsi="Times New Roman" w:cs="Times New Roman"/>
          <w:sz w:val="24"/>
          <w:szCs w:val="24"/>
        </w:rPr>
        <w:t xml:space="preserve"> </w:t>
      </w:r>
      <w:r w:rsidRPr="00B95677" w:rsidR="00E1689C">
        <w:rPr>
          <w:rFonts w:ascii="Times New Roman" w:hAnsi="Times New Roman" w:cs="Times New Roman"/>
          <w:sz w:val="24"/>
          <w:szCs w:val="24"/>
        </w:rPr>
        <w:t>8386</w:t>
      </w:r>
      <w:r w:rsidRPr="00B95677" w:rsidR="00ED351C">
        <w:rPr>
          <w:rFonts w:ascii="Times New Roman" w:hAnsi="Times New Roman" w:cs="Times New Roman"/>
          <w:sz w:val="24"/>
          <w:szCs w:val="24"/>
        </w:rPr>
        <w:t>.</w:t>
      </w:r>
      <w:r w:rsidRPr="00B95677" w:rsidR="00E1689C">
        <w:rPr>
          <w:rFonts w:ascii="Times New Roman" w:hAnsi="Times New Roman" w:cs="Times New Roman"/>
          <w:sz w:val="24"/>
          <w:szCs w:val="24"/>
        </w:rPr>
        <w:t>2</w:t>
      </w:r>
      <w:r w:rsidRPr="00B95677" w:rsidR="004A4BA7">
        <w:rPr>
          <w:rFonts w:ascii="Times New Roman" w:hAnsi="Times New Roman" w:cs="Times New Roman"/>
          <w:sz w:val="24"/>
          <w:szCs w:val="24"/>
        </w:rPr>
        <w:t xml:space="preserve"> and </w:t>
      </w:r>
      <w:r w:rsidRPr="00B95677" w:rsidR="00E1689C">
        <w:rPr>
          <w:rFonts w:ascii="Times New Roman" w:hAnsi="Times New Roman" w:cs="Times New Roman"/>
          <w:sz w:val="24"/>
          <w:szCs w:val="24"/>
        </w:rPr>
        <w:t>focus</w:t>
      </w:r>
      <w:r w:rsidRPr="00B95677">
        <w:rPr>
          <w:rFonts w:ascii="Times New Roman" w:hAnsi="Times New Roman" w:cs="Times New Roman"/>
          <w:sz w:val="24"/>
          <w:szCs w:val="24"/>
        </w:rPr>
        <w:t>es</w:t>
      </w:r>
      <w:r w:rsidRPr="00B95677" w:rsidR="00E1689C">
        <w:rPr>
          <w:rFonts w:ascii="Times New Roman" w:hAnsi="Times New Roman" w:cs="Times New Roman"/>
          <w:sz w:val="24"/>
          <w:szCs w:val="24"/>
        </w:rPr>
        <w:t xml:space="preserve"> on </w:t>
      </w:r>
      <w:r w:rsidRPr="00B95677" w:rsidR="0066799A">
        <w:rPr>
          <w:rFonts w:ascii="Times New Roman" w:hAnsi="Times New Roman" w:cs="Times New Roman"/>
          <w:sz w:val="24"/>
          <w:szCs w:val="24"/>
        </w:rPr>
        <w:t xml:space="preserve">foundational components of safety culture and components specific to </w:t>
      </w:r>
      <w:r w:rsidRPr="00B95677" w:rsidR="00E1689C">
        <w:rPr>
          <w:rFonts w:ascii="Times New Roman" w:hAnsi="Times New Roman" w:cs="Times New Roman"/>
          <w:sz w:val="24"/>
          <w:szCs w:val="24"/>
        </w:rPr>
        <w:t>wildfire risk</w:t>
      </w:r>
      <w:r w:rsidRPr="00B95677" w:rsidR="00267117">
        <w:rPr>
          <w:rFonts w:ascii="Times New Roman" w:hAnsi="Times New Roman" w:cs="Times New Roman"/>
          <w:sz w:val="24"/>
          <w:szCs w:val="24"/>
        </w:rPr>
        <w:t xml:space="preserve">.  </w:t>
      </w:r>
      <w:r w:rsidRPr="00B95677" w:rsidR="00E1689C">
        <w:rPr>
          <w:rFonts w:ascii="Times New Roman" w:hAnsi="Times New Roman" w:cs="Times New Roman"/>
          <w:sz w:val="24"/>
          <w:szCs w:val="24"/>
        </w:rPr>
        <w:t xml:space="preserve"> </w:t>
      </w:r>
    </w:p>
    <w:p w:rsidRPr="00B26DAE" w:rsidR="00ED351C" w:rsidP="00BC7065" w:rsidRDefault="00FC4301" w14:paraId="2FA34D4B" w14:textId="77777777">
      <w:pPr>
        <w:pStyle w:val="Standard"/>
        <w:ind w:left="1440" w:hanging="720"/>
        <w:rPr>
          <w:rFonts w:ascii="Times New Roman" w:hAnsi="Times New Roman" w:cs="Times New Roman"/>
          <w:b/>
          <w:bCs/>
          <w:sz w:val="24"/>
          <w:szCs w:val="24"/>
        </w:rPr>
      </w:pPr>
      <w:r w:rsidRPr="00B26DAE">
        <w:rPr>
          <w:rFonts w:ascii="Times New Roman" w:hAnsi="Times New Roman" w:cs="Times New Roman"/>
          <w:b/>
          <w:bCs/>
          <w:sz w:val="24"/>
          <w:szCs w:val="24"/>
        </w:rPr>
        <w:t>4.1</w:t>
      </w:r>
      <w:r w:rsidR="00B26DAE">
        <w:rPr>
          <w:rFonts w:ascii="Times New Roman" w:hAnsi="Times New Roman" w:cs="Times New Roman"/>
          <w:b/>
          <w:bCs/>
          <w:sz w:val="24"/>
          <w:szCs w:val="24"/>
        </w:rPr>
        <w:t>.</w:t>
      </w:r>
      <w:r w:rsidR="00B26DAE">
        <w:rPr>
          <w:rFonts w:ascii="Times New Roman" w:hAnsi="Times New Roman" w:cs="Times New Roman"/>
          <w:b/>
          <w:bCs/>
          <w:sz w:val="24"/>
          <w:szCs w:val="24"/>
        </w:rPr>
        <w:tab/>
      </w:r>
      <w:r w:rsidRPr="00B26DAE" w:rsidR="00ED351C">
        <w:rPr>
          <w:rFonts w:ascii="Times New Roman" w:hAnsi="Times New Roman" w:cs="Times New Roman"/>
          <w:b/>
          <w:bCs/>
          <w:sz w:val="24"/>
          <w:szCs w:val="24"/>
        </w:rPr>
        <w:t>Energy Safety’s Recommendations</w:t>
      </w:r>
    </w:p>
    <w:p w:rsidRPr="00B95677" w:rsidR="00373884" w:rsidP="003923D6" w:rsidRDefault="00ED351C" w14:paraId="26D8F26A" w14:textId="77777777">
      <w:pPr>
        <w:pStyle w:val="Standard"/>
        <w:rPr>
          <w:rFonts w:ascii="Times New Roman" w:hAnsi="Times New Roman" w:cs="Times New Roman"/>
          <w:sz w:val="24"/>
          <w:szCs w:val="24"/>
        </w:rPr>
      </w:pPr>
      <w:r w:rsidRPr="00B95677">
        <w:rPr>
          <w:rFonts w:ascii="Times New Roman" w:hAnsi="Times New Roman" w:cs="Times New Roman"/>
          <w:sz w:val="24"/>
          <w:szCs w:val="24"/>
        </w:rPr>
        <w:t>In 2021, Energy Safety conducted a baseline safety culture assessment.</w:t>
      </w:r>
      <w:r w:rsidRPr="00383EDB">
        <w:rPr>
          <w:rStyle w:val="FootnoteReference"/>
          <w:rFonts w:ascii="Times New Roman" w:hAnsi="Times New Roman" w:cs="Times New Roman"/>
          <w:b/>
          <w:bCs/>
          <w:sz w:val="24"/>
          <w:szCs w:val="24"/>
          <w:u w:val="single"/>
        </w:rPr>
        <w:footnoteReference w:id="35"/>
      </w:r>
      <w:r w:rsidRPr="00B95677">
        <w:rPr>
          <w:rFonts w:ascii="Times New Roman" w:hAnsi="Times New Roman" w:cs="Times New Roman"/>
          <w:sz w:val="24"/>
          <w:szCs w:val="24"/>
        </w:rPr>
        <w:t xml:space="preserve"> </w:t>
      </w:r>
      <w:r w:rsidRPr="00B95677" w:rsidR="004A4BA7">
        <w:rPr>
          <w:rFonts w:ascii="Times New Roman" w:hAnsi="Times New Roman" w:cs="Times New Roman"/>
          <w:sz w:val="24"/>
          <w:szCs w:val="24"/>
        </w:rPr>
        <w:t xml:space="preserve"> </w:t>
      </w:r>
      <w:r w:rsidRPr="00B95677" w:rsidR="006E4D30">
        <w:rPr>
          <w:rFonts w:ascii="Times New Roman" w:hAnsi="Times New Roman" w:cs="Times New Roman"/>
          <w:sz w:val="24"/>
          <w:szCs w:val="24"/>
        </w:rPr>
        <w:t>For</w:t>
      </w:r>
      <w:r w:rsidRPr="00B95677">
        <w:rPr>
          <w:rFonts w:ascii="Times New Roman" w:hAnsi="Times New Roman" w:cs="Times New Roman"/>
          <w:sz w:val="24"/>
          <w:szCs w:val="24"/>
        </w:rPr>
        <w:t xml:space="preserve"> 2022, Energy Safety</w:t>
      </w:r>
      <w:r w:rsidR="00C546B3">
        <w:rPr>
          <w:rFonts w:ascii="Times New Roman" w:hAnsi="Times New Roman" w:cs="Times New Roman"/>
          <w:sz w:val="24"/>
          <w:szCs w:val="24"/>
        </w:rPr>
        <w:t>’s</w:t>
      </w:r>
      <w:r w:rsidRPr="00B95677">
        <w:rPr>
          <w:rFonts w:ascii="Times New Roman" w:hAnsi="Times New Roman" w:cs="Times New Roman"/>
          <w:sz w:val="24"/>
          <w:szCs w:val="24"/>
        </w:rPr>
        <w:t xml:space="preserve"> </w:t>
      </w:r>
      <w:r w:rsidRPr="00B95677" w:rsidR="004A2E58">
        <w:rPr>
          <w:rFonts w:ascii="Times New Roman" w:hAnsi="Times New Roman" w:cs="Times New Roman"/>
          <w:sz w:val="24"/>
          <w:szCs w:val="24"/>
        </w:rPr>
        <w:t>propose</w:t>
      </w:r>
      <w:r w:rsidR="002E5C74">
        <w:rPr>
          <w:rFonts w:ascii="Times New Roman" w:hAnsi="Times New Roman" w:cs="Times New Roman"/>
          <w:sz w:val="24"/>
          <w:szCs w:val="24"/>
        </w:rPr>
        <w:t>d</w:t>
      </w:r>
      <w:r w:rsidR="00C546B3">
        <w:rPr>
          <w:rFonts w:ascii="Times New Roman" w:hAnsi="Times New Roman" w:cs="Times New Roman"/>
          <w:sz w:val="24"/>
          <w:szCs w:val="24"/>
        </w:rPr>
        <w:t xml:space="preserve"> safety culture assessment process, detailed in Attachment 4 herein,</w:t>
      </w:r>
      <w:r w:rsidRPr="00B95677">
        <w:rPr>
          <w:rFonts w:ascii="Times New Roman" w:hAnsi="Times New Roman" w:cs="Times New Roman"/>
          <w:sz w:val="24"/>
          <w:szCs w:val="24"/>
        </w:rPr>
        <w:t xml:space="preserve"> assess</w:t>
      </w:r>
      <w:r w:rsidR="00C546B3">
        <w:rPr>
          <w:rFonts w:ascii="Times New Roman" w:hAnsi="Times New Roman" w:cs="Times New Roman"/>
          <w:sz w:val="24"/>
          <w:szCs w:val="24"/>
        </w:rPr>
        <w:t>es</w:t>
      </w:r>
      <w:r w:rsidRPr="00B95677">
        <w:rPr>
          <w:rFonts w:ascii="Times New Roman" w:hAnsi="Times New Roman" w:cs="Times New Roman"/>
          <w:sz w:val="24"/>
          <w:szCs w:val="24"/>
        </w:rPr>
        <w:t xml:space="preserve"> each electrical corporation’s progress as measured against the inaugural year’s baseline </w:t>
      </w:r>
      <w:r w:rsidRPr="00B95677">
        <w:rPr>
          <w:rFonts w:ascii="Times New Roman" w:hAnsi="Times New Roman" w:cs="Times New Roman"/>
          <w:sz w:val="24"/>
          <w:szCs w:val="24"/>
        </w:rPr>
        <w:lastRenderedPageBreak/>
        <w:t>assessment.</w:t>
      </w:r>
      <w:r w:rsidRPr="00383EDB" w:rsidR="00FE37EF">
        <w:rPr>
          <w:rStyle w:val="FootnoteReference"/>
          <w:rFonts w:ascii="Times New Roman" w:hAnsi="Times New Roman" w:cs="Times New Roman"/>
          <w:b/>
          <w:bCs/>
          <w:sz w:val="24"/>
          <w:szCs w:val="24"/>
          <w:u w:val="single"/>
        </w:rPr>
        <w:footnoteReference w:id="36"/>
      </w:r>
      <w:r w:rsidRPr="00B95677">
        <w:rPr>
          <w:rFonts w:ascii="Times New Roman" w:hAnsi="Times New Roman" w:cs="Times New Roman"/>
          <w:sz w:val="24"/>
          <w:szCs w:val="24"/>
        </w:rPr>
        <w:t xml:space="preserve"> </w:t>
      </w:r>
      <w:r w:rsidRPr="00B95677" w:rsidR="004A4BA7">
        <w:rPr>
          <w:rFonts w:ascii="Times New Roman" w:hAnsi="Times New Roman" w:cs="Times New Roman"/>
          <w:sz w:val="24"/>
          <w:szCs w:val="24"/>
        </w:rPr>
        <w:t xml:space="preserve"> </w:t>
      </w:r>
      <w:r w:rsidRPr="00B95677">
        <w:rPr>
          <w:rFonts w:ascii="Times New Roman" w:hAnsi="Times New Roman" w:cs="Times New Roman"/>
          <w:sz w:val="24"/>
          <w:szCs w:val="24"/>
        </w:rPr>
        <w:t xml:space="preserve">Energy Safety </w:t>
      </w:r>
      <w:r w:rsidRPr="00B95677" w:rsidR="00AB4C19">
        <w:rPr>
          <w:rFonts w:ascii="Times New Roman" w:hAnsi="Times New Roman" w:cs="Times New Roman"/>
          <w:sz w:val="24"/>
          <w:szCs w:val="24"/>
        </w:rPr>
        <w:t>state</w:t>
      </w:r>
      <w:r w:rsidR="002E5C74">
        <w:rPr>
          <w:rFonts w:ascii="Times New Roman" w:hAnsi="Times New Roman" w:cs="Times New Roman"/>
          <w:sz w:val="24"/>
          <w:szCs w:val="24"/>
        </w:rPr>
        <w:t>d</w:t>
      </w:r>
      <w:r w:rsidRPr="00B95677" w:rsidR="00AB4C19">
        <w:rPr>
          <w:rFonts w:ascii="Times New Roman" w:hAnsi="Times New Roman" w:cs="Times New Roman"/>
          <w:sz w:val="24"/>
          <w:szCs w:val="24"/>
        </w:rPr>
        <w:t xml:space="preserve"> that its </w:t>
      </w:r>
      <w:r w:rsidRPr="00B95677">
        <w:rPr>
          <w:rFonts w:ascii="Times New Roman" w:hAnsi="Times New Roman" w:cs="Times New Roman"/>
          <w:sz w:val="24"/>
          <w:szCs w:val="24"/>
        </w:rPr>
        <w:t xml:space="preserve">assessment </w:t>
      </w:r>
      <w:r w:rsidR="00C546B3">
        <w:rPr>
          <w:rFonts w:ascii="Times New Roman" w:hAnsi="Times New Roman" w:cs="Times New Roman"/>
          <w:sz w:val="24"/>
          <w:szCs w:val="24"/>
        </w:rPr>
        <w:t xml:space="preserve">for 2022 </w:t>
      </w:r>
      <w:r w:rsidRPr="00B95677">
        <w:rPr>
          <w:rFonts w:ascii="Times New Roman" w:hAnsi="Times New Roman" w:cs="Times New Roman"/>
          <w:sz w:val="24"/>
          <w:szCs w:val="24"/>
        </w:rPr>
        <w:t>evaluate</w:t>
      </w:r>
      <w:r w:rsidRPr="00B95677" w:rsidR="00530C7F">
        <w:rPr>
          <w:rFonts w:ascii="Times New Roman" w:hAnsi="Times New Roman" w:cs="Times New Roman"/>
          <w:sz w:val="24"/>
          <w:szCs w:val="24"/>
        </w:rPr>
        <w:t>s</w:t>
      </w:r>
      <w:r w:rsidRPr="00B95677">
        <w:rPr>
          <w:rFonts w:ascii="Times New Roman" w:hAnsi="Times New Roman" w:cs="Times New Roman"/>
          <w:sz w:val="24"/>
          <w:szCs w:val="24"/>
        </w:rPr>
        <w:t xml:space="preserve"> how each electrical corporation’s organizational foundation may be influencing safety culture and how safety culture may be influencing outcomes.</w:t>
      </w:r>
      <w:r w:rsidRPr="00383EDB" w:rsidR="00FE37EF">
        <w:rPr>
          <w:rStyle w:val="FootnoteReference"/>
          <w:rFonts w:ascii="Times New Roman" w:hAnsi="Times New Roman" w:cs="Times New Roman"/>
          <w:b/>
          <w:bCs/>
          <w:sz w:val="24"/>
          <w:szCs w:val="24"/>
          <w:u w:val="single"/>
        </w:rPr>
        <w:footnoteReference w:id="37"/>
      </w:r>
      <w:r w:rsidRPr="00B95677" w:rsidR="00FE37EF">
        <w:rPr>
          <w:rFonts w:ascii="Times New Roman" w:hAnsi="Times New Roman" w:cs="Times New Roman"/>
          <w:sz w:val="24"/>
          <w:szCs w:val="24"/>
        </w:rPr>
        <w:t xml:space="preserve"> </w:t>
      </w:r>
      <w:r w:rsidRPr="00B95677" w:rsidR="00373884">
        <w:rPr>
          <w:rFonts w:ascii="Times New Roman" w:hAnsi="Times New Roman" w:cs="Times New Roman"/>
          <w:sz w:val="24"/>
          <w:szCs w:val="24"/>
        </w:rPr>
        <w:t xml:space="preserve"> </w:t>
      </w:r>
      <w:r w:rsidRPr="00B95677" w:rsidR="00733278">
        <w:rPr>
          <w:rFonts w:ascii="Times New Roman" w:hAnsi="Times New Roman" w:cs="Times New Roman"/>
          <w:sz w:val="24"/>
          <w:szCs w:val="24"/>
        </w:rPr>
        <w:t>Energy Safety</w:t>
      </w:r>
      <w:r w:rsidRPr="00B95677" w:rsidR="00313E21">
        <w:rPr>
          <w:rFonts w:ascii="Times New Roman" w:hAnsi="Times New Roman" w:cs="Times New Roman"/>
          <w:sz w:val="24"/>
          <w:szCs w:val="24"/>
        </w:rPr>
        <w:t>’s</w:t>
      </w:r>
      <w:r w:rsidRPr="00B95677" w:rsidR="00733278">
        <w:rPr>
          <w:rFonts w:ascii="Times New Roman" w:hAnsi="Times New Roman" w:cs="Times New Roman"/>
          <w:sz w:val="24"/>
          <w:szCs w:val="24"/>
        </w:rPr>
        <w:t xml:space="preserve"> </w:t>
      </w:r>
      <w:r w:rsidRPr="00B95677" w:rsidR="00CE75BE">
        <w:rPr>
          <w:rFonts w:ascii="Times New Roman" w:hAnsi="Times New Roman" w:cs="Times New Roman"/>
          <w:sz w:val="24"/>
          <w:szCs w:val="24"/>
        </w:rPr>
        <w:t>recommended c</w:t>
      </w:r>
      <w:r w:rsidRPr="00B95677" w:rsidR="00EF7A45">
        <w:rPr>
          <w:rFonts w:ascii="Times New Roman" w:hAnsi="Times New Roman" w:cs="Times New Roman"/>
          <w:sz w:val="24"/>
          <w:szCs w:val="24"/>
        </w:rPr>
        <w:t xml:space="preserve">hanges from the </w:t>
      </w:r>
      <w:r w:rsidRPr="00B95677" w:rsidR="00560157">
        <w:rPr>
          <w:rFonts w:ascii="Times New Roman" w:hAnsi="Times New Roman" w:cs="Times New Roman"/>
          <w:sz w:val="24"/>
          <w:szCs w:val="24"/>
        </w:rPr>
        <w:t xml:space="preserve">2021 </w:t>
      </w:r>
      <w:r w:rsidRPr="00B95677" w:rsidR="00EF7A45">
        <w:rPr>
          <w:rFonts w:ascii="Times New Roman" w:hAnsi="Times New Roman" w:cs="Times New Roman"/>
          <w:sz w:val="24"/>
          <w:szCs w:val="24"/>
        </w:rPr>
        <w:t xml:space="preserve">to the </w:t>
      </w:r>
      <w:r w:rsidRPr="00B95677" w:rsidR="00560157">
        <w:rPr>
          <w:rFonts w:ascii="Times New Roman" w:hAnsi="Times New Roman" w:cs="Times New Roman"/>
          <w:sz w:val="24"/>
          <w:szCs w:val="24"/>
        </w:rPr>
        <w:t>2022</w:t>
      </w:r>
      <w:r w:rsidRPr="00B95677" w:rsidR="00EF7A45">
        <w:rPr>
          <w:rFonts w:ascii="Times New Roman" w:hAnsi="Times New Roman" w:cs="Times New Roman"/>
          <w:sz w:val="24"/>
          <w:szCs w:val="24"/>
        </w:rPr>
        <w:t xml:space="preserve"> safety culture assessment process </w:t>
      </w:r>
      <w:r w:rsidRPr="00B95677" w:rsidR="00313E21">
        <w:rPr>
          <w:rFonts w:ascii="Times New Roman" w:hAnsi="Times New Roman" w:cs="Times New Roman"/>
          <w:sz w:val="24"/>
          <w:szCs w:val="24"/>
        </w:rPr>
        <w:t xml:space="preserve">are intended to </w:t>
      </w:r>
      <w:r w:rsidRPr="00B95677" w:rsidR="00373884">
        <w:rPr>
          <w:rFonts w:ascii="Times New Roman" w:hAnsi="Times New Roman" w:cs="Times New Roman"/>
          <w:sz w:val="24"/>
          <w:szCs w:val="24"/>
        </w:rPr>
        <w:t xml:space="preserve">improve readability, use consistent language, and </w:t>
      </w:r>
      <w:r w:rsidRPr="00B95677" w:rsidR="00CE75BE">
        <w:rPr>
          <w:rFonts w:ascii="Times New Roman" w:hAnsi="Times New Roman" w:cs="Times New Roman"/>
          <w:sz w:val="24"/>
          <w:szCs w:val="24"/>
        </w:rPr>
        <w:t>include the</w:t>
      </w:r>
      <w:r w:rsidRPr="00B95677" w:rsidR="00F03125">
        <w:rPr>
          <w:rFonts w:ascii="Times New Roman" w:hAnsi="Times New Roman" w:cs="Times New Roman"/>
          <w:sz w:val="24"/>
          <w:szCs w:val="24"/>
        </w:rPr>
        <w:t xml:space="preserve"> following </w:t>
      </w:r>
      <w:r w:rsidRPr="00B95677" w:rsidR="00373884">
        <w:rPr>
          <w:rFonts w:ascii="Times New Roman" w:hAnsi="Times New Roman" w:cs="Times New Roman"/>
          <w:sz w:val="24"/>
          <w:szCs w:val="24"/>
        </w:rPr>
        <w:t xml:space="preserve">substantive </w:t>
      </w:r>
      <w:r w:rsidRPr="00B95677" w:rsidR="00CE75BE">
        <w:rPr>
          <w:rFonts w:ascii="Times New Roman" w:hAnsi="Times New Roman" w:cs="Times New Roman"/>
          <w:sz w:val="24"/>
          <w:szCs w:val="24"/>
        </w:rPr>
        <w:t>updates</w:t>
      </w:r>
      <w:r w:rsidRPr="00B95677" w:rsidR="00373884">
        <w:rPr>
          <w:rFonts w:ascii="Times New Roman" w:hAnsi="Times New Roman" w:cs="Times New Roman"/>
          <w:sz w:val="24"/>
          <w:szCs w:val="24"/>
        </w:rPr>
        <w:t>:</w:t>
      </w:r>
    </w:p>
    <w:p w:rsidRPr="00B95677" w:rsidR="009D7D58" w:rsidP="00B26DAE" w:rsidRDefault="004C54F0" w14:paraId="6BD8A0E0" w14:textId="77777777">
      <w:pPr>
        <w:pStyle w:val="Standard"/>
        <w:numPr>
          <w:ilvl w:val="0"/>
          <w:numId w:val="19"/>
        </w:numPr>
        <w:ind w:right="1440"/>
        <w:rPr>
          <w:rFonts w:ascii="Times New Roman" w:hAnsi="Times New Roman" w:cs="Times New Roman"/>
          <w:sz w:val="24"/>
          <w:szCs w:val="24"/>
        </w:rPr>
      </w:pPr>
      <w:bookmarkStart w:name="_Hlk85748733" w:id="3"/>
      <w:r w:rsidRPr="00B95677">
        <w:rPr>
          <w:rFonts w:ascii="Times New Roman" w:hAnsi="Times New Roman" w:cs="Times New Roman"/>
          <w:b/>
          <w:bCs/>
          <w:sz w:val="24"/>
          <w:szCs w:val="24"/>
        </w:rPr>
        <w:t xml:space="preserve">Clarified Inputs: </w:t>
      </w:r>
      <w:r w:rsidRPr="00B95677" w:rsidR="00276189">
        <w:rPr>
          <w:rFonts w:ascii="Times New Roman" w:hAnsi="Times New Roman" w:cs="Times New Roman"/>
          <w:sz w:val="24"/>
          <w:szCs w:val="24"/>
        </w:rPr>
        <w:t xml:space="preserve">Energy Safety clarified the principal forms of data (now called “inputs”) informing its safety culture assessment. </w:t>
      </w:r>
      <w:r w:rsidRPr="00B95677" w:rsidR="00140767">
        <w:rPr>
          <w:rFonts w:ascii="Times New Roman" w:hAnsi="Times New Roman" w:cs="Times New Roman"/>
          <w:sz w:val="24"/>
          <w:szCs w:val="24"/>
        </w:rPr>
        <w:t xml:space="preserve"> </w:t>
      </w:r>
      <w:r w:rsidRPr="00B95677" w:rsidR="00276189">
        <w:rPr>
          <w:rFonts w:ascii="Times New Roman" w:hAnsi="Times New Roman" w:cs="Times New Roman"/>
          <w:sz w:val="24"/>
          <w:szCs w:val="24"/>
        </w:rPr>
        <w:t>In 202</w:t>
      </w:r>
      <w:r w:rsidRPr="00B95677" w:rsidR="00E56350">
        <w:rPr>
          <w:rFonts w:ascii="Times New Roman" w:hAnsi="Times New Roman" w:cs="Times New Roman"/>
          <w:sz w:val="24"/>
          <w:szCs w:val="24"/>
        </w:rPr>
        <w:t>1</w:t>
      </w:r>
      <w:r w:rsidRPr="00B95677" w:rsidR="00276189">
        <w:rPr>
          <w:rFonts w:ascii="Times New Roman" w:hAnsi="Times New Roman" w:cs="Times New Roman"/>
          <w:sz w:val="24"/>
          <w:szCs w:val="24"/>
        </w:rPr>
        <w:t xml:space="preserve">, Energy Safety </w:t>
      </w:r>
      <w:r w:rsidRPr="00B95677" w:rsidR="00786D29">
        <w:rPr>
          <w:rFonts w:ascii="Times New Roman" w:hAnsi="Times New Roman" w:cs="Times New Roman"/>
          <w:sz w:val="24"/>
          <w:szCs w:val="24"/>
        </w:rPr>
        <w:t xml:space="preserve">created </w:t>
      </w:r>
      <w:r w:rsidRPr="00B95677" w:rsidR="00276189">
        <w:rPr>
          <w:rFonts w:ascii="Times New Roman" w:hAnsi="Times New Roman" w:cs="Times New Roman"/>
          <w:sz w:val="24"/>
          <w:szCs w:val="24"/>
        </w:rPr>
        <w:t xml:space="preserve">four primary inputs to inform the assessment </w:t>
      </w:r>
      <w:r w:rsidRPr="00B95677" w:rsidR="00313E21">
        <w:rPr>
          <w:rFonts w:ascii="Times New Roman" w:hAnsi="Times New Roman" w:cs="Times New Roman"/>
          <w:sz w:val="24"/>
          <w:szCs w:val="24"/>
        </w:rPr>
        <w:t xml:space="preserve">but did not identify </w:t>
      </w:r>
      <w:r w:rsidRPr="00B95677" w:rsidR="00276189">
        <w:rPr>
          <w:rFonts w:ascii="Times New Roman" w:hAnsi="Times New Roman" w:cs="Times New Roman"/>
          <w:sz w:val="24"/>
          <w:szCs w:val="24"/>
        </w:rPr>
        <w:t xml:space="preserve">which were required and which were discretionary. </w:t>
      </w:r>
      <w:r w:rsidRPr="00B95677" w:rsidR="00140767">
        <w:rPr>
          <w:rFonts w:ascii="Times New Roman" w:hAnsi="Times New Roman" w:cs="Times New Roman"/>
          <w:sz w:val="24"/>
          <w:szCs w:val="24"/>
        </w:rPr>
        <w:t xml:space="preserve"> </w:t>
      </w:r>
      <w:r w:rsidRPr="00B95677" w:rsidR="00BC3FC2">
        <w:rPr>
          <w:rFonts w:ascii="Times New Roman" w:hAnsi="Times New Roman" w:cs="Times New Roman"/>
          <w:sz w:val="24"/>
          <w:szCs w:val="24"/>
        </w:rPr>
        <w:t xml:space="preserve">For 2022 WMPs, </w:t>
      </w:r>
      <w:r w:rsidRPr="00B95677" w:rsidR="00276189">
        <w:rPr>
          <w:rFonts w:ascii="Times New Roman" w:hAnsi="Times New Roman" w:cs="Times New Roman"/>
          <w:sz w:val="24"/>
          <w:szCs w:val="24"/>
        </w:rPr>
        <w:t xml:space="preserve">Energy Safety </w:t>
      </w:r>
      <w:r w:rsidR="00C546B3">
        <w:rPr>
          <w:rFonts w:ascii="Times New Roman" w:hAnsi="Times New Roman" w:cs="Times New Roman"/>
          <w:sz w:val="24"/>
          <w:szCs w:val="24"/>
        </w:rPr>
        <w:t>relied</w:t>
      </w:r>
      <w:r w:rsidRPr="00B95677" w:rsidR="00276189">
        <w:rPr>
          <w:rFonts w:ascii="Times New Roman" w:hAnsi="Times New Roman" w:cs="Times New Roman"/>
          <w:sz w:val="24"/>
          <w:szCs w:val="24"/>
        </w:rPr>
        <w:t xml:space="preserve"> on the same four inputs but clarifie</w:t>
      </w:r>
      <w:r w:rsidRPr="00B95677" w:rsidR="00D75E0F">
        <w:rPr>
          <w:rFonts w:ascii="Times New Roman" w:hAnsi="Times New Roman" w:cs="Times New Roman"/>
          <w:sz w:val="24"/>
          <w:szCs w:val="24"/>
        </w:rPr>
        <w:t>d</w:t>
      </w:r>
      <w:r w:rsidRPr="00B95677" w:rsidR="00276189">
        <w:rPr>
          <w:rFonts w:ascii="Times New Roman" w:hAnsi="Times New Roman" w:cs="Times New Roman"/>
          <w:sz w:val="24"/>
          <w:szCs w:val="24"/>
        </w:rPr>
        <w:t xml:space="preserve"> that three are required and one is discretionary. </w:t>
      </w:r>
      <w:r w:rsidRPr="00B95677" w:rsidR="00140767">
        <w:rPr>
          <w:rFonts w:ascii="Times New Roman" w:hAnsi="Times New Roman" w:cs="Times New Roman"/>
          <w:sz w:val="24"/>
          <w:szCs w:val="24"/>
        </w:rPr>
        <w:t xml:space="preserve"> </w:t>
      </w:r>
    </w:p>
    <w:p w:rsidRPr="00B95677" w:rsidR="00DD2FCA" w:rsidP="003B6DFA" w:rsidRDefault="00276189" w14:paraId="70A09F71" w14:textId="77777777">
      <w:pPr>
        <w:pStyle w:val="Standard"/>
        <w:ind w:left="720" w:right="1440"/>
        <w:rPr>
          <w:rFonts w:ascii="Times New Roman" w:hAnsi="Times New Roman" w:cs="Times New Roman"/>
          <w:sz w:val="24"/>
          <w:szCs w:val="24"/>
        </w:rPr>
      </w:pPr>
      <w:r w:rsidRPr="00B95677">
        <w:rPr>
          <w:rFonts w:ascii="Times New Roman" w:hAnsi="Times New Roman" w:cs="Times New Roman"/>
          <w:sz w:val="24"/>
          <w:szCs w:val="24"/>
        </w:rPr>
        <w:t xml:space="preserve">The three required inputs collected from the electrical corporations in the 2022 safety culture assessment process </w:t>
      </w:r>
      <w:r w:rsidRPr="00B95677" w:rsidR="00A75230">
        <w:rPr>
          <w:rFonts w:ascii="Times New Roman" w:hAnsi="Times New Roman" w:cs="Times New Roman"/>
          <w:sz w:val="24"/>
          <w:szCs w:val="24"/>
        </w:rPr>
        <w:t>are</w:t>
      </w:r>
      <w:r w:rsidRPr="00B95677">
        <w:rPr>
          <w:rFonts w:ascii="Times New Roman" w:hAnsi="Times New Roman" w:cs="Times New Roman"/>
          <w:sz w:val="24"/>
          <w:szCs w:val="24"/>
        </w:rPr>
        <w:t>: (1) a targeted workforce survey; (2) a management self-assessment and summary plan for the coming year; and (3) objectives and lessons learned.</w:t>
      </w:r>
      <w:r w:rsidRPr="00B26DAE" w:rsidR="003776FD">
        <w:rPr>
          <w:rStyle w:val="FootnoteReference"/>
          <w:rFonts w:ascii="Times New Roman" w:hAnsi="Times New Roman" w:cs="Times New Roman"/>
          <w:b/>
          <w:bCs/>
          <w:sz w:val="24"/>
          <w:szCs w:val="24"/>
          <w:u w:val="single"/>
        </w:rPr>
        <w:footnoteReference w:id="38"/>
      </w:r>
      <w:r w:rsidRPr="00B95677">
        <w:rPr>
          <w:rFonts w:ascii="Times New Roman" w:hAnsi="Times New Roman" w:cs="Times New Roman"/>
          <w:sz w:val="24"/>
          <w:szCs w:val="24"/>
        </w:rPr>
        <w:t xml:space="preserve">  These are the same three required inputs used in the 2021 assessment, with clarifying changes made to the names of </w:t>
      </w:r>
      <w:r w:rsidRPr="00B95677" w:rsidR="00BC3FC2">
        <w:rPr>
          <w:rFonts w:ascii="Times New Roman" w:hAnsi="Times New Roman" w:cs="Times New Roman"/>
          <w:sz w:val="24"/>
          <w:szCs w:val="24"/>
        </w:rPr>
        <w:t xml:space="preserve">the </w:t>
      </w:r>
      <w:r w:rsidRPr="00B95677">
        <w:rPr>
          <w:rFonts w:ascii="Times New Roman" w:hAnsi="Times New Roman" w:cs="Times New Roman"/>
          <w:sz w:val="24"/>
          <w:szCs w:val="24"/>
        </w:rPr>
        <w:t xml:space="preserve">latter two inputs. </w:t>
      </w:r>
      <w:r w:rsidRPr="00B95677" w:rsidR="00140767">
        <w:rPr>
          <w:rFonts w:ascii="Times New Roman" w:hAnsi="Times New Roman" w:cs="Times New Roman"/>
          <w:sz w:val="24"/>
          <w:szCs w:val="24"/>
        </w:rPr>
        <w:t xml:space="preserve"> </w:t>
      </w:r>
      <w:r w:rsidRPr="00B95677" w:rsidR="001763DF">
        <w:rPr>
          <w:rFonts w:ascii="Times New Roman" w:hAnsi="Times New Roman" w:cs="Times New Roman"/>
          <w:sz w:val="24"/>
          <w:szCs w:val="24"/>
        </w:rPr>
        <w:t>The input,</w:t>
      </w:r>
      <w:r w:rsidRPr="00B95677" w:rsidR="00AB4E51">
        <w:rPr>
          <w:rFonts w:ascii="Times New Roman" w:hAnsi="Times New Roman" w:cs="Times New Roman"/>
          <w:sz w:val="24"/>
          <w:szCs w:val="24"/>
        </w:rPr>
        <w:t xml:space="preserve"> </w:t>
      </w:r>
      <w:r w:rsidRPr="00B95677" w:rsidR="004538DD">
        <w:rPr>
          <w:rFonts w:ascii="Times New Roman" w:hAnsi="Times New Roman" w:cs="Times New Roman"/>
          <w:sz w:val="24"/>
          <w:szCs w:val="24"/>
        </w:rPr>
        <w:t>“</w:t>
      </w:r>
      <w:r w:rsidRPr="00B95677" w:rsidR="00AB4E51">
        <w:rPr>
          <w:rFonts w:ascii="Times New Roman" w:hAnsi="Times New Roman" w:cs="Times New Roman"/>
          <w:sz w:val="24"/>
          <w:szCs w:val="24"/>
        </w:rPr>
        <w:t>interviews and observational visits,</w:t>
      </w:r>
      <w:r w:rsidRPr="00B95677" w:rsidR="004538DD">
        <w:rPr>
          <w:rFonts w:ascii="Times New Roman" w:hAnsi="Times New Roman" w:cs="Times New Roman"/>
          <w:sz w:val="24"/>
          <w:szCs w:val="24"/>
        </w:rPr>
        <w:t>”</w:t>
      </w:r>
      <w:r w:rsidRPr="00B95677" w:rsidR="00AB4E51">
        <w:rPr>
          <w:rFonts w:ascii="Times New Roman" w:hAnsi="Times New Roman" w:cs="Times New Roman"/>
          <w:sz w:val="24"/>
          <w:szCs w:val="24"/>
        </w:rPr>
        <w:t xml:space="preserve"> </w:t>
      </w:r>
      <w:r w:rsidRPr="00B95677">
        <w:rPr>
          <w:rFonts w:ascii="Times New Roman" w:hAnsi="Times New Roman" w:cs="Times New Roman"/>
          <w:sz w:val="24"/>
          <w:szCs w:val="24"/>
        </w:rPr>
        <w:t xml:space="preserve">was included as a primary input in 2021 </w:t>
      </w:r>
      <w:r w:rsidRPr="00B95677" w:rsidR="004538DD">
        <w:rPr>
          <w:rFonts w:ascii="Times New Roman" w:hAnsi="Times New Roman" w:cs="Times New Roman"/>
          <w:sz w:val="24"/>
          <w:szCs w:val="24"/>
        </w:rPr>
        <w:t xml:space="preserve">but </w:t>
      </w:r>
      <w:r w:rsidRPr="00B95677">
        <w:rPr>
          <w:rFonts w:ascii="Times New Roman" w:hAnsi="Times New Roman" w:cs="Times New Roman"/>
          <w:sz w:val="24"/>
          <w:szCs w:val="24"/>
        </w:rPr>
        <w:t xml:space="preserve">was in fact a discretionary input. </w:t>
      </w:r>
      <w:r w:rsidRPr="00B95677" w:rsidR="00140767">
        <w:rPr>
          <w:rFonts w:ascii="Times New Roman" w:hAnsi="Times New Roman" w:cs="Times New Roman"/>
          <w:sz w:val="24"/>
          <w:szCs w:val="24"/>
        </w:rPr>
        <w:t xml:space="preserve"> </w:t>
      </w:r>
    </w:p>
    <w:p w:rsidRPr="00B95677" w:rsidR="00897923" w:rsidP="003B6DFA" w:rsidRDefault="004C54F0" w14:paraId="5D11ABCF" w14:textId="77777777">
      <w:pPr>
        <w:pStyle w:val="Standard"/>
        <w:numPr>
          <w:ilvl w:val="0"/>
          <w:numId w:val="19"/>
        </w:numPr>
        <w:ind w:right="1440"/>
        <w:rPr>
          <w:rFonts w:ascii="Times New Roman" w:hAnsi="Times New Roman" w:cs="Times New Roman"/>
          <w:sz w:val="24"/>
          <w:szCs w:val="24"/>
        </w:rPr>
      </w:pPr>
      <w:bookmarkStart w:name="_Hlk86133058" w:id="4"/>
      <w:bookmarkEnd w:id="3"/>
      <w:r w:rsidRPr="00B95677">
        <w:rPr>
          <w:rFonts w:ascii="Times New Roman" w:hAnsi="Times New Roman" w:cs="Times New Roman"/>
          <w:b/>
          <w:bCs/>
          <w:sz w:val="24"/>
          <w:szCs w:val="24"/>
        </w:rPr>
        <w:t xml:space="preserve">Removed </w:t>
      </w:r>
      <w:r w:rsidRPr="00B95677" w:rsidR="003A63F9">
        <w:rPr>
          <w:rFonts w:ascii="Times New Roman" w:hAnsi="Times New Roman" w:cs="Times New Roman"/>
          <w:b/>
          <w:bCs/>
          <w:sz w:val="24"/>
          <w:szCs w:val="24"/>
        </w:rPr>
        <w:t xml:space="preserve">Safety Culture Assessment Process: </w:t>
      </w:r>
      <w:r w:rsidRPr="00B95677" w:rsidR="00321412">
        <w:rPr>
          <w:rFonts w:ascii="Times New Roman" w:hAnsi="Times New Roman" w:cs="Times New Roman"/>
          <w:sz w:val="24"/>
          <w:szCs w:val="24"/>
        </w:rPr>
        <w:t>Energy Safety r</w:t>
      </w:r>
      <w:r w:rsidRPr="00B95677" w:rsidR="00897923">
        <w:rPr>
          <w:rFonts w:ascii="Times New Roman" w:hAnsi="Times New Roman" w:cs="Times New Roman"/>
          <w:sz w:val="24"/>
          <w:szCs w:val="24"/>
        </w:rPr>
        <w:t xml:space="preserve">emoved from the safety culture assessment process verification of the </w:t>
      </w:r>
      <w:r w:rsidR="00661D60">
        <w:rPr>
          <w:rFonts w:ascii="Times New Roman" w:hAnsi="Times New Roman" w:cs="Times New Roman"/>
          <w:sz w:val="24"/>
          <w:szCs w:val="24"/>
        </w:rPr>
        <w:t>Board’s</w:t>
      </w:r>
      <w:r w:rsidRPr="00B95677" w:rsidR="00897923">
        <w:rPr>
          <w:rFonts w:ascii="Times New Roman" w:hAnsi="Times New Roman" w:cs="Times New Roman"/>
          <w:sz w:val="24"/>
          <w:szCs w:val="24"/>
        </w:rPr>
        <w:t xml:space="preserve"> structure and reporting requirements.  Board structure and board-level safety reporting to the Commission is </w:t>
      </w:r>
      <w:r w:rsidRPr="00B95677" w:rsidR="008A0D0F">
        <w:rPr>
          <w:rFonts w:ascii="Times New Roman" w:hAnsi="Times New Roman" w:cs="Times New Roman"/>
          <w:sz w:val="24"/>
          <w:szCs w:val="24"/>
        </w:rPr>
        <w:t xml:space="preserve">required by and verified during </w:t>
      </w:r>
      <w:r w:rsidRPr="00B95677" w:rsidR="00897923">
        <w:rPr>
          <w:rFonts w:ascii="Times New Roman" w:hAnsi="Times New Roman" w:cs="Times New Roman"/>
          <w:sz w:val="24"/>
          <w:szCs w:val="24"/>
        </w:rPr>
        <w:t xml:space="preserve">Energy Safety’s Safety Certification review </w:t>
      </w:r>
      <w:bookmarkEnd w:id="4"/>
      <w:r w:rsidRPr="00B95677" w:rsidR="008A0D0F">
        <w:rPr>
          <w:rFonts w:ascii="Times New Roman" w:hAnsi="Times New Roman" w:cs="Times New Roman"/>
          <w:sz w:val="24"/>
          <w:szCs w:val="24"/>
        </w:rPr>
        <w:t xml:space="preserve">in </w:t>
      </w:r>
      <w:r w:rsidRPr="00B95677" w:rsidR="00897923">
        <w:rPr>
          <w:rFonts w:ascii="Times New Roman" w:hAnsi="Times New Roman" w:cs="Times New Roman"/>
          <w:sz w:val="24"/>
          <w:szCs w:val="24"/>
        </w:rPr>
        <w:t xml:space="preserve">which </w:t>
      </w:r>
      <w:r w:rsidRPr="00B95677" w:rsidR="008A0D0F">
        <w:rPr>
          <w:rFonts w:ascii="Times New Roman" w:hAnsi="Times New Roman" w:cs="Times New Roman"/>
          <w:sz w:val="24"/>
          <w:szCs w:val="24"/>
        </w:rPr>
        <w:t xml:space="preserve">an </w:t>
      </w:r>
      <w:r w:rsidRPr="00B95677" w:rsidR="00897923">
        <w:rPr>
          <w:rFonts w:ascii="Times New Roman" w:hAnsi="Times New Roman" w:cs="Times New Roman"/>
          <w:sz w:val="24"/>
          <w:szCs w:val="24"/>
        </w:rPr>
        <w:t>electrical corporation must demonstrate satisfaction of the requirements in P</w:t>
      </w:r>
      <w:r w:rsidRPr="00B95677" w:rsidR="00870820">
        <w:rPr>
          <w:rFonts w:ascii="Times New Roman" w:hAnsi="Times New Roman" w:cs="Times New Roman"/>
          <w:sz w:val="24"/>
          <w:szCs w:val="24"/>
        </w:rPr>
        <w:t xml:space="preserve">ub. </w:t>
      </w:r>
      <w:r w:rsidRPr="00B95677" w:rsidR="00897923">
        <w:rPr>
          <w:rFonts w:ascii="Times New Roman" w:hAnsi="Times New Roman" w:cs="Times New Roman"/>
          <w:sz w:val="24"/>
          <w:szCs w:val="24"/>
        </w:rPr>
        <w:t>U</w:t>
      </w:r>
      <w:r w:rsidRPr="00B95677" w:rsidR="00870820">
        <w:rPr>
          <w:rFonts w:ascii="Times New Roman" w:hAnsi="Times New Roman" w:cs="Times New Roman"/>
          <w:sz w:val="24"/>
          <w:szCs w:val="24"/>
        </w:rPr>
        <w:t>til.</w:t>
      </w:r>
      <w:r w:rsidRPr="00B95677" w:rsidR="00897923">
        <w:rPr>
          <w:rFonts w:ascii="Times New Roman" w:hAnsi="Times New Roman" w:cs="Times New Roman"/>
          <w:sz w:val="24"/>
          <w:szCs w:val="24"/>
        </w:rPr>
        <w:t xml:space="preserve"> Code </w:t>
      </w:r>
      <w:r w:rsidR="00C546B3">
        <w:rPr>
          <w:rFonts w:ascii="Times New Roman" w:hAnsi="Times New Roman" w:cs="Times New Roman"/>
          <w:sz w:val="24"/>
          <w:szCs w:val="24"/>
        </w:rPr>
        <w:t>§§</w:t>
      </w:r>
      <w:r w:rsidRPr="00B95677" w:rsidR="00897923">
        <w:rPr>
          <w:rFonts w:ascii="Times New Roman" w:hAnsi="Times New Roman" w:cs="Times New Roman"/>
          <w:sz w:val="24"/>
          <w:szCs w:val="24"/>
        </w:rPr>
        <w:t>8389(e)(3) and (e)(5).</w:t>
      </w:r>
      <w:r w:rsidRPr="003B6DFA" w:rsidR="00897923">
        <w:rPr>
          <w:rStyle w:val="FootnoteReference"/>
          <w:rFonts w:ascii="Times New Roman" w:hAnsi="Times New Roman" w:cs="Times New Roman"/>
          <w:b/>
          <w:bCs/>
          <w:sz w:val="24"/>
          <w:szCs w:val="24"/>
          <w:u w:val="single"/>
        </w:rPr>
        <w:footnoteReference w:id="39"/>
      </w:r>
    </w:p>
    <w:p w:rsidRPr="003B6DFA" w:rsidR="00897923" w:rsidP="003B6DFA" w:rsidRDefault="00FC4301" w14:paraId="09F9047C" w14:textId="77777777">
      <w:pPr>
        <w:pStyle w:val="Standard"/>
        <w:spacing w:after="120"/>
        <w:ind w:left="720"/>
        <w:rPr>
          <w:rFonts w:ascii="Times New Roman" w:hAnsi="Times New Roman" w:cs="Times New Roman"/>
          <w:b/>
          <w:bCs/>
          <w:sz w:val="24"/>
          <w:szCs w:val="24"/>
        </w:rPr>
      </w:pPr>
      <w:r w:rsidRPr="003B6DFA">
        <w:rPr>
          <w:rFonts w:ascii="Times New Roman" w:hAnsi="Times New Roman" w:cs="Times New Roman"/>
          <w:b/>
          <w:bCs/>
          <w:sz w:val="24"/>
          <w:szCs w:val="24"/>
        </w:rPr>
        <w:t>4.2</w:t>
      </w:r>
      <w:r w:rsidRPr="003B6DFA" w:rsidR="003B6DFA">
        <w:rPr>
          <w:rFonts w:ascii="Times New Roman" w:hAnsi="Times New Roman" w:cs="Times New Roman"/>
          <w:b/>
          <w:bCs/>
          <w:sz w:val="24"/>
          <w:szCs w:val="24"/>
        </w:rPr>
        <w:t>.</w:t>
      </w:r>
      <w:r w:rsidRPr="003B6DFA" w:rsidR="003B6DFA">
        <w:rPr>
          <w:rFonts w:ascii="Times New Roman" w:hAnsi="Times New Roman" w:cs="Times New Roman"/>
          <w:b/>
          <w:bCs/>
          <w:sz w:val="24"/>
          <w:szCs w:val="24"/>
        </w:rPr>
        <w:tab/>
      </w:r>
      <w:r w:rsidRPr="003B6DFA" w:rsidR="00FF155D">
        <w:rPr>
          <w:rFonts w:ascii="Times New Roman" w:hAnsi="Times New Roman" w:cs="Times New Roman"/>
          <w:b/>
          <w:bCs/>
          <w:sz w:val="24"/>
          <w:szCs w:val="24"/>
        </w:rPr>
        <w:t xml:space="preserve">Discussion </w:t>
      </w:r>
    </w:p>
    <w:p w:rsidRPr="00B95677" w:rsidR="009D0E08" w:rsidP="003923D6" w:rsidRDefault="0078369D" w14:paraId="312DCC2F" w14:textId="77777777">
      <w:pPr>
        <w:pStyle w:val="Standard"/>
        <w:rPr>
          <w:rFonts w:ascii="Times New Roman" w:hAnsi="Times New Roman" w:cs="Times New Roman"/>
          <w:sz w:val="24"/>
          <w:szCs w:val="24"/>
        </w:rPr>
      </w:pPr>
      <w:r w:rsidRPr="00B95677">
        <w:rPr>
          <w:rFonts w:ascii="Times New Roman" w:hAnsi="Times New Roman" w:cs="Times New Roman"/>
          <w:sz w:val="24"/>
          <w:szCs w:val="24"/>
        </w:rPr>
        <w:t xml:space="preserve">The Commission reviewed </w:t>
      </w:r>
      <w:r w:rsidRPr="00B95677" w:rsidR="00ED351C">
        <w:rPr>
          <w:rFonts w:ascii="Times New Roman" w:hAnsi="Times New Roman" w:cs="Times New Roman"/>
          <w:sz w:val="24"/>
          <w:szCs w:val="24"/>
        </w:rPr>
        <w:t xml:space="preserve">Energy Safety’s </w:t>
      </w:r>
      <w:r w:rsidRPr="00B95677" w:rsidR="00870820">
        <w:rPr>
          <w:rFonts w:ascii="Times New Roman" w:hAnsi="Times New Roman" w:cs="Times New Roman"/>
          <w:sz w:val="24"/>
          <w:szCs w:val="24"/>
        </w:rPr>
        <w:t>recommended safety culture assessment process</w:t>
      </w:r>
      <w:r w:rsidRPr="00B95677">
        <w:rPr>
          <w:rFonts w:ascii="Times New Roman" w:hAnsi="Times New Roman" w:cs="Times New Roman"/>
          <w:sz w:val="24"/>
          <w:szCs w:val="24"/>
        </w:rPr>
        <w:t xml:space="preserve"> </w:t>
      </w:r>
      <w:r w:rsidRPr="00B95677" w:rsidR="004F4A8C">
        <w:rPr>
          <w:rFonts w:ascii="Times New Roman" w:hAnsi="Times New Roman" w:cs="Times New Roman"/>
          <w:sz w:val="24"/>
          <w:szCs w:val="24"/>
        </w:rPr>
        <w:t>attached herein as</w:t>
      </w:r>
      <w:r w:rsidRPr="00B95677" w:rsidR="00FF155D">
        <w:rPr>
          <w:rFonts w:ascii="Times New Roman" w:hAnsi="Times New Roman" w:cs="Times New Roman"/>
          <w:sz w:val="24"/>
          <w:szCs w:val="24"/>
        </w:rPr>
        <w:t xml:space="preserve"> </w:t>
      </w:r>
      <w:r w:rsidRPr="00B95677">
        <w:rPr>
          <w:rFonts w:ascii="Times New Roman" w:hAnsi="Times New Roman" w:cs="Times New Roman"/>
          <w:sz w:val="24"/>
          <w:szCs w:val="24"/>
        </w:rPr>
        <w:t xml:space="preserve">Attachment </w:t>
      </w:r>
      <w:r w:rsidRPr="00B95677" w:rsidR="00F33F7F">
        <w:rPr>
          <w:rFonts w:ascii="Times New Roman" w:hAnsi="Times New Roman" w:cs="Times New Roman"/>
          <w:sz w:val="24"/>
          <w:szCs w:val="24"/>
        </w:rPr>
        <w:t>4</w:t>
      </w:r>
      <w:r w:rsidRPr="00B95677">
        <w:rPr>
          <w:rFonts w:ascii="Times New Roman" w:hAnsi="Times New Roman" w:cs="Times New Roman"/>
          <w:sz w:val="24"/>
          <w:szCs w:val="24"/>
        </w:rPr>
        <w:t xml:space="preserve"> and is satisfied </w:t>
      </w:r>
      <w:r w:rsidRPr="00B95677" w:rsidR="005C2D0F">
        <w:rPr>
          <w:rFonts w:ascii="Times New Roman" w:hAnsi="Times New Roman" w:cs="Times New Roman"/>
          <w:sz w:val="24"/>
          <w:szCs w:val="24"/>
        </w:rPr>
        <w:t xml:space="preserve">with the updates and </w:t>
      </w:r>
      <w:r w:rsidRPr="00B95677" w:rsidR="00442FFC">
        <w:rPr>
          <w:rFonts w:ascii="Times New Roman" w:hAnsi="Times New Roman" w:cs="Times New Roman"/>
          <w:sz w:val="24"/>
          <w:szCs w:val="24"/>
        </w:rPr>
        <w:t>changes</w:t>
      </w:r>
      <w:r w:rsidRPr="00B95677">
        <w:rPr>
          <w:rFonts w:ascii="Times New Roman" w:hAnsi="Times New Roman" w:cs="Times New Roman"/>
          <w:sz w:val="24"/>
          <w:szCs w:val="24"/>
        </w:rPr>
        <w:t>.</w:t>
      </w:r>
      <w:r w:rsidRPr="00B95677" w:rsidR="00FF155D">
        <w:rPr>
          <w:rFonts w:ascii="Times New Roman" w:hAnsi="Times New Roman" w:cs="Times New Roman"/>
          <w:sz w:val="24"/>
          <w:szCs w:val="24"/>
        </w:rPr>
        <w:t xml:space="preserve">  </w:t>
      </w:r>
      <w:r w:rsidRPr="00B95677" w:rsidR="00370278">
        <w:rPr>
          <w:rFonts w:ascii="Times New Roman" w:hAnsi="Times New Roman" w:cs="Times New Roman"/>
          <w:sz w:val="24"/>
          <w:szCs w:val="24"/>
        </w:rPr>
        <w:t xml:space="preserve">As the CPUC builds </w:t>
      </w:r>
      <w:r w:rsidRPr="00B95677" w:rsidR="00850563">
        <w:rPr>
          <w:rFonts w:ascii="Times New Roman" w:hAnsi="Times New Roman" w:cs="Times New Roman"/>
          <w:sz w:val="24"/>
          <w:szCs w:val="24"/>
        </w:rPr>
        <w:t>the</w:t>
      </w:r>
      <w:r w:rsidRPr="00B95677" w:rsidR="00BC1A4A">
        <w:rPr>
          <w:rFonts w:ascii="Times New Roman" w:hAnsi="Times New Roman" w:cs="Times New Roman"/>
          <w:sz w:val="24"/>
          <w:szCs w:val="24"/>
        </w:rPr>
        <w:t xml:space="preserve"> </w:t>
      </w:r>
      <w:r w:rsidRPr="00B95677" w:rsidR="00370278">
        <w:rPr>
          <w:rFonts w:ascii="Times New Roman" w:hAnsi="Times New Roman" w:cs="Times New Roman"/>
          <w:sz w:val="24"/>
          <w:szCs w:val="24"/>
        </w:rPr>
        <w:t>safety culture assessment framework</w:t>
      </w:r>
      <w:r w:rsidRPr="00B95677" w:rsidR="00D21860">
        <w:rPr>
          <w:rFonts w:ascii="Times New Roman" w:hAnsi="Times New Roman" w:cs="Times New Roman"/>
          <w:sz w:val="24"/>
          <w:szCs w:val="24"/>
        </w:rPr>
        <w:t xml:space="preserve"> in </w:t>
      </w:r>
      <w:r w:rsidRPr="00B95677" w:rsidR="00DA4DCE">
        <w:rPr>
          <w:rFonts w:ascii="Times New Roman" w:hAnsi="Times New Roman" w:cs="Times New Roman"/>
          <w:sz w:val="24"/>
          <w:szCs w:val="24"/>
        </w:rPr>
        <w:t>R.21-10-001</w:t>
      </w:r>
      <w:r w:rsidRPr="00B95677" w:rsidR="00370278">
        <w:rPr>
          <w:rFonts w:ascii="Times New Roman" w:hAnsi="Times New Roman" w:cs="Times New Roman"/>
          <w:sz w:val="24"/>
          <w:szCs w:val="24"/>
        </w:rPr>
        <w:t>,</w:t>
      </w:r>
      <w:r w:rsidRPr="00BC7065" w:rsidR="00DA4DCE">
        <w:rPr>
          <w:rStyle w:val="FootnoteReference"/>
          <w:rFonts w:ascii="Times New Roman" w:hAnsi="Times New Roman" w:cs="Times New Roman"/>
          <w:b/>
          <w:bCs/>
          <w:sz w:val="24"/>
          <w:szCs w:val="24"/>
          <w:u w:val="single"/>
        </w:rPr>
        <w:footnoteReference w:id="40"/>
      </w:r>
      <w:r w:rsidRPr="00B95677" w:rsidR="00370278">
        <w:rPr>
          <w:rFonts w:ascii="Times New Roman" w:hAnsi="Times New Roman" w:cs="Times New Roman"/>
          <w:sz w:val="24"/>
          <w:szCs w:val="24"/>
        </w:rPr>
        <w:t xml:space="preserve"> the Commission recognizes that collaboration </w:t>
      </w:r>
      <w:r w:rsidRPr="00B95677" w:rsidR="00A47792">
        <w:rPr>
          <w:rFonts w:ascii="Times New Roman" w:hAnsi="Times New Roman" w:cs="Times New Roman"/>
          <w:sz w:val="24"/>
          <w:szCs w:val="24"/>
        </w:rPr>
        <w:t>with</w:t>
      </w:r>
      <w:r w:rsidRPr="00B95677" w:rsidR="00370278">
        <w:rPr>
          <w:rFonts w:ascii="Times New Roman" w:hAnsi="Times New Roman" w:cs="Times New Roman"/>
          <w:sz w:val="24"/>
          <w:szCs w:val="24"/>
        </w:rPr>
        <w:t xml:space="preserve"> Energy Safety </w:t>
      </w:r>
      <w:r w:rsidRPr="00B95677" w:rsidR="003D2C03">
        <w:rPr>
          <w:rFonts w:ascii="Times New Roman" w:hAnsi="Times New Roman" w:cs="Times New Roman"/>
          <w:sz w:val="24"/>
          <w:szCs w:val="24"/>
        </w:rPr>
        <w:t>will help</w:t>
      </w:r>
      <w:r w:rsidRPr="00B95677" w:rsidR="00370278">
        <w:rPr>
          <w:rFonts w:ascii="Times New Roman" w:hAnsi="Times New Roman" w:cs="Times New Roman"/>
          <w:sz w:val="24"/>
          <w:szCs w:val="24"/>
        </w:rPr>
        <w:t xml:space="preserve"> ensure </w:t>
      </w:r>
      <w:r w:rsidRPr="00B95677" w:rsidR="00431DD5">
        <w:rPr>
          <w:rFonts w:ascii="Times New Roman" w:hAnsi="Times New Roman" w:cs="Times New Roman"/>
          <w:sz w:val="24"/>
          <w:szCs w:val="24"/>
        </w:rPr>
        <w:t>that the annual and periodic assessments align</w:t>
      </w:r>
      <w:r w:rsidRPr="00B95677" w:rsidR="00362E72">
        <w:rPr>
          <w:rFonts w:ascii="Times New Roman" w:hAnsi="Times New Roman" w:cs="Times New Roman"/>
          <w:sz w:val="24"/>
          <w:szCs w:val="24"/>
        </w:rPr>
        <w:t xml:space="preserve"> and are complementary</w:t>
      </w:r>
      <w:r w:rsidRPr="00B95677" w:rsidR="0050563B">
        <w:rPr>
          <w:rFonts w:ascii="Times New Roman" w:hAnsi="Times New Roman" w:cs="Times New Roman"/>
          <w:sz w:val="24"/>
          <w:szCs w:val="24"/>
        </w:rPr>
        <w:t xml:space="preserve"> of one another</w:t>
      </w:r>
      <w:r w:rsidRPr="00B95677" w:rsidR="00431DD5">
        <w:rPr>
          <w:rFonts w:ascii="Times New Roman" w:hAnsi="Times New Roman" w:cs="Times New Roman"/>
          <w:sz w:val="24"/>
          <w:szCs w:val="24"/>
        </w:rPr>
        <w:t>.</w:t>
      </w:r>
    </w:p>
    <w:p w:rsidRPr="003B6DFA" w:rsidR="00705C88" w:rsidP="003B6DFA" w:rsidRDefault="00705C88" w14:paraId="44FEF753" w14:textId="77777777">
      <w:pPr>
        <w:pStyle w:val="Heading1"/>
        <w:numPr>
          <w:ilvl w:val="0"/>
          <w:numId w:val="12"/>
        </w:numPr>
        <w:spacing w:after="120"/>
        <w:ind w:hanging="720"/>
        <w:rPr>
          <w:rFonts w:ascii="Times New Roman" w:hAnsi="Times New Roman" w:cs="Times New Roman"/>
          <w:sz w:val="24"/>
          <w:szCs w:val="24"/>
          <w:u w:val="none"/>
        </w:rPr>
      </w:pPr>
      <w:r w:rsidRPr="003B6DFA">
        <w:rPr>
          <w:rFonts w:ascii="Times New Roman" w:hAnsi="Times New Roman" w:cs="Times New Roman"/>
          <w:sz w:val="24"/>
          <w:szCs w:val="24"/>
          <w:u w:val="none"/>
        </w:rPr>
        <w:lastRenderedPageBreak/>
        <w:t>Comments</w:t>
      </w:r>
    </w:p>
    <w:p w:rsidR="00F97A04" w:rsidP="00BC7065" w:rsidRDefault="00F97A04" w14:paraId="0462F33D" w14:textId="680C1F49">
      <w:pPr>
        <w:pStyle w:val="Standard"/>
        <w:spacing w:after="0"/>
        <w:rPr>
          <w:rFonts w:ascii="Times New Roman" w:hAnsi="Times New Roman" w:cs="Times New Roman"/>
          <w:sz w:val="24"/>
          <w:szCs w:val="24"/>
        </w:rPr>
      </w:pPr>
      <w:r w:rsidRPr="00B95677">
        <w:rPr>
          <w:rFonts w:ascii="Times New Roman" w:hAnsi="Times New Roman" w:cs="Times New Roman"/>
          <w:sz w:val="24"/>
          <w:szCs w:val="24"/>
        </w:rPr>
        <w:t xml:space="preserve">A draft of this Resolution was served on the service list of R.18-10-007, noticed on the Commission’s Daily Calendar, and posted on the </w:t>
      </w:r>
      <w:r w:rsidRPr="00B95677" w:rsidR="006674BC">
        <w:rPr>
          <w:rFonts w:ascii="Times New Roman" w:hAnsi="Times New Roman" w:cs="Times New Roman"/>
          <w:sz w:val="24"/>
          <w:szCs w:val="24"/>
        </w:rPr>
        <w:t>CPUC</w:t>
      </w:r>
      <w:r w:rsidRPr="00B95677">
        <w:rPr>
          <w:rFonts w:ascii="Times New Roman" w:hAnsi="Times New Roman" w:cs="Times New Roman"/>
          <w:sz w:val="24"/>
          <w:szCs w:val="24"/>
        </w:rPr>
        <w:t xml:space="preserve"> website (www.cpuc.ca.gov) on </w:t>
      </w:r>
      <w:r w:rsidRPr="00B95677" w:rsidR="006674BC">
        <w:rPr>
          <w:rFonts w:ascii="Times New Roman" w:hAnsi="Times New Roman" w:cs="Times New Roman"/>
          <w:sz w:val="24"/>
          <w:szCs w:val="24"/>
        </w:rPr>
        <w:t xml:space="preserve">November </w:t>
      </w:r>
      <w:r w:rsidRPr="00B95677" w:rsidR="009E2A3F">
        <w:rPr>
          <w:rFonts w:ascii="Times New Roman" w:hAnsi="Times New Roman" w:cs="Times New Roman"/>
          <w:sz w:val="24"/>
          <w:szCs w:val="24"/>
        </w:rPr>
        <w:t>1</w:t>
      </w:r>
      <w:r w:rsidRPr="00B95677" w:rsidR="006674BC">
        <w:rPr>
          <w:rFonts w:ascii="Times New Roman" w:hAnsi="Times New Roman" w:cs="Times New Roman"/>
          <w:sz w:val="24"/>
          <w:szCs w:val="24"/>
        </w:rPr>
        <w:t>, 2021</w:t>
      </w:r>
      <w:r w:rsidRPr="00B95677">
        <w:rPr>
          <w:rFonts w:ascii="Times New Roman" w:hAnsi="Times New Roman" w:cs="Times New Roman"/>
          <w:sz w:val="24"/>
          <w:szCs w:val="24"/>
        </w:rPr>
        <w:t xml:space="preserve">. </w:t>
      </w:r>
      <w:r w:rsidR="005F79E9">
        <w:rPr>
          <w:rFonts w:ascii="Times New Roman" w:hAnsi="Times New Roman" w:cs="Times New Roman"/>
          <w:sz w:val="24"/>
          <w:szCs w:val="24"/>
        </w:rPr>
        <w:t xml:space="preserve"> </w:t>
      </w:r>
    </w:p>
    <w:p w:rsidR="00BC7065" w:rsidP="00BC7065" w:rsidRDefault="00BC7065" w14:paraId="341922CA" w14:textId="77777777">
      <w:pPr>
        <w:pStyle w:val="Standard"/>
        <w:spacing w:after="0"/>
        <w:rPr>
          <w:rFonts w:ascii="Times New Roman" w:hAnsi="Times New Roman" w:cs="Times New Roman"/>
          <w:sz w:val="24"/>
          <w:szCs w:val="24"/>
        </w:rPr>
      </w:pPr>
    </w:p>
    <w:p w:rsidR="00EB2873" w:rsidP="00BC7065" w:rsidRDefault="00EB2873" w14:paraId="14ACAC47" w14:textId="43586F1B">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On November 22, 2021, timely comments </w:t>
      </w:r>
      <w:r w:rsidR="0019130F">
        <w:rPr>
          <w:rFonts w:ascii="Times New Roman" w:hAnsi="Times New Roman" w:cs="Times New Roman"/>
          <w:sz w:val="24"/>
          <w:szCs w:val="24"/>
        </w:rPr>
        <w:t>were submitted by</w:t>
      </w:r>
      <w:r>
        <w:rPr>
          <w:rFonts w:ascii="Times New Roman" w:hAnsi="Times New Roman" w:cs="Times New Roman"/>
          <w:sz w:val="24"/>
          <w:szCs w:val="24"/>
        </w:rPr>
        <w:t xml:space="preserve"> Southern California Edison (SCE), San Diego Gas &amp; Electric (SDG&amp;E), Pacific Gas and Electric (PG&amp;E), and Green Power Institute (GPI).  No stakeholders submitted comments regarding the performance metrics or the proposed process for conducting annual safety culture assessments</w:t>
      </w:r>
      <w:r w:rsidR="006A03C2">
        <w:rPr>
          <w:rFonts w:ascii="Times New Roman" w:hAnsi="Times New Roman" w:cs="Times New Roman"/>
          <w:sz w:val="24"/>
          <w:szCs w:val="24"/>
        </w:rPr>
        <w:t xml:space="preserve"> for 2022</w:t>
      </w:r>
      <w:r>
        <w:rPr>
          <w:rFonts w:ascii="Times New Roman" w:hAnsi="Times New Roman" w:cs="Times New Roman"/>
          <w:sz w:val="24"/>
          <w:szCs w:val="24"/>
        </w:rPr>
        <w:t>.</w:t>
      </w:r>
      <w:r w:rsidR="0019476B">
        <w:rPr>
          <w:rFonts w:ascii="Times New Roman" w:hAnsi="Times New Roman" w:cs="Times New Roman"/>
          <w:sz w:val="24"/>
          <w:szCs w:val="24"/>
        </w:rPr>
        <w:t xml:space="preserve">  GPI affirmatively supported</w:t>
      </w:r>
      <w:r w:rsidRPr="009E44D3" w:rsidR="0019476B">
        <w:rPr>
          <w:rFonts w:ascii="Times New Roman" w:hAnsi="Times New Roman" w:cs="Times New Roman"/>
          <w:sz w:val="24"/>
          <w:szCs w:val="24"/>
        </w:rPr>
        <w:t xml:space="preserve"> the draft resolution </w:t>
      </w:r>
      <w:r w:rsidR="0019476B">
        <w:rPr>
          <w:rFonts w:ascii="Times New Roman" w:hAnsi="Times New Roman" w:cs="Times New Roman"/>
          <w:sz w:val="24"/>
          <w:szCs w:val="24"/>
        </w:rPr>
        <w:t xml:space="preserve">and made </w:t>
      </w:r>
      <w:r w:rsidRPr="009E44D3" w:rsidR="0019476B">
        <w:rPr>
          <w:rFonts w:ascii="Times New Roman" w:hAnsi="Times New Roman" w:cs="Times New Roman"/>
          <w:sz w:val="24"/>
          <w:szCs w:val="24"/>
        </w:rPr>
        <w:t xml:space="preserve">recommendations for the next </w:t>
      </w:r>
      <w:r w:rsidR="0019476B">
        <w:rPr>
          <w:rFonts w:ascii="Times New Roman" w:hAnsi="Times New Roman" w:cs="Times New Roman"/>
          <w:sz w:val="24"/>
          <w:szCs w:val="24"/>
        </w:rPr>
        <w:t>three</w:t>
      </w:r>
      <w:r w:rsidR="00983B4B">
        <w:rPr>
          <w:rFonts w:ascii="Times New Roman" w:hAnsi="Times New Roman" w:cs="Times New Roman"/>
          <w:sz w:val="24"/>
          <w:szCs w:val="24"/>
        </w:rPr>
        <w:t>-</w:t>
      </w:r>
      <w:r w:rsidRPr="009E44D3" w:rsidR="0019476B">
        <w:rPr>
          <w:rFonts w:ascii="Times New Roman" w:hAnsi="Times New Roman" w:cs="Times New Roman"/>
          <w:sz w:val="24"/>
          <w:szCs w:val="24"/>
        </w:rPr>
        <w:t>year cycle.</w:t>
      </w:r>
      <w:r w:rsidRPr="00BC7065" w:rsidR="0019476B">
        <w:rPr>
          <w:rStyle w:val="FootnoteReference"/>
          <w:rFonts w:ascii="Times New Roman" w:hAnsi="Times New Roman" w:cs="Times New Roman"/>
          <w:b/>
          <w:bCs/>
          <w:sz w:val="24"/>
          <w:szCs w:val="24"/>
          <w:u w:val="single"/>
        </w:rPr>
        <w:footnoteReference w:id="41"/>
      </w:r>
      <w:r w:rsidR="0019476B">
        <w:rPr>
          <w:rFonts w:ascii="Times New Roman" w:hAnsi="Times New Roman" w:cs="Times New Roman"/>
          <w:sz w:val="24"/>
          <w:szCs w:val="24"/>
        </w:rPr>
        <w:t xml:space="preserve">  GPI’s comments can and should be addressed in Energy Safety’s </w:t>
      </w:r>
      <w:r w:rsidR="00914F0C">
        <w:rPr>
          <w:rFonts w:ascii="Times New Roman" w:hAnsi="Times New Roman" w:cs="Times New Roman"/>
          <w:sz w:val="24"/>
          <w:szCs w:val="24"/>
        </w:rPr>
        <w:t xml:space="preserve">WMP </w:t>
      </w:r>
      <w:r w:rsidR="0019476B">
        <w:rPr>
          <w:rFonts w:ascii="Times New Roman" w:hAnsi="Times New Roman" w:cs="Times New Roman"/>
          <w:sz w:val="24"/>
          <w:szCs w:val="24"/>
        </w:rPr>
        <w:t xml:space="preserve">guidelines or proposals </w:t>
      </w:r>
      <w:r w:rsidR="00914F0C">
        <w:rPr>
          <w:rFonts w:ascii="Times New Roman" w:hAnsi="Times New Roman" w:cs="Times New Roman"/>
          <w:sz w:val="24"/>
          <w:szCs w:val="24"/>
        </w:rPr>
        <w:t xml:space="preserve">to the Commission </w:t>
      </w:r>
      <w:r w:rsidR="0019476B">
        <w:rPr>
          <w:rFonts w:ascii="Times New Roman" w:hAnsi="Times New Roman" w:cs="Times New Roman"/>
          <w:sz w:val="24"/>
          <w:szCs w:val="24"/>
        </w:rPr>
        <w:t xml:space="preserve">under Section 8389(d) for 2023.  </w:t>
      </w:r>
    </w:p>
    <w:p w:rsidR="00BC7065" w:rsidP="00BC7065" w:rsidRDefault="00BC7065" w14:paraId="32AB42D7" w14:textId="77777777">
      <w:pPr>
        <w:pStyle w:val="Standard"/>
        <w:spacing w:after="0"/>
        <w:rPr>
          <w:rFonts w:ascii="Times New Roman" w:hAnsi="Times New Roman" w:cs="Times New Roman"/>
          <w:sz w:val="24"/>
          <w:szCs w:val="24"/>
        </w:rPr>
      </w:pPr>
    </w:p>
    <w:p w:rsidR="005154CC" w:rsidP="00BC7065" w:rsidRDefault="005154CC" w14:paraId="44F3832F" w14:textId="6F2FF863">
      <w:pPr>
        <w:pStyle w:val="Standard"/>
        <w:spacing w:after="0"/>
        <w:rPr>
          <w:rFonts w:ascii="Times New Roman" w:hAnsi="Times New Roman" w:cs="Times New Roman"/>
          <w:sz w:val="24"/>
          <w:szCs w:val="24"/>
        </w:rPr>
      </w:pPr>
      <w:r w:rsidRPr="00EB2873">
        <w:rPr>
          <w:rFonts w:ascii="Times New Roman" w:hAnsi="Times New Roman" w:cs="Times New Roman"/>
          <w:sz w:val="24"/>
          <w:szCs w:val="24"/>
        </w:rPr>
        <w:t xml:space="preserve">SCE and SDG&amp;E </w:t>
      </w:r>
      <w:r>
        <w:rPr>
          <w:rFonts w:ascii="Times New Roman" w:hAnsi="Times New Roman" w:cs="Times New Roman"/>
          <w:sz w:val="24"/>
          <w:szCs w:val="24"/>
        </w:rPr>
        <w:t xml:space="preserve">commented on the need for Commission authorization of additional WMP requirements pursuant to Section 8389(d)(2).  While Energy Safety did not propose any new WMP requirements for the Commission’s approval in 2022 in this </w:t>
      </w:r>
      <w:r w:rsidR="000D4245">
        <w:rPr>
          <w:rFonts w:ascii="Times New Roman" w:hAnsi="Times New Roman" w:cs="Times New Roman"/>
          <w:sz w:val="24"/>
          <w:szCs w:val="24"/>
        </w:rPr>
        <w:t>R</w:t>
      </w:r>
      <w:r>
        <w:rPr>
          <w:rFonts w:ascii="Times New Roman" w:hAnsi="Times New Roman" w:cs="Times New Roman"/>
          <w:sz w:val="24"/>
          <w:szCs w:val="24"/>
        </w:rPr>
        <w:t xml:space="preserve">esolution, </w:t>
      </w:r>
      <w:r w:rsidRPr="00EB2873">
        <w:rPr>
          <w:rFonts w:ascii="Times New Roman" w:hAnsi="Times New Roman" w:cs="Times New Roman"/>
          <w:sz w:val="24"/>
          <w:szCs w:val="24"/>
        </w:rPr>
        <w:t xml:space="preserve">both </w:t>
      </w:r>
      <w:r>
        <w:rPr>
          <w:rFonts w:ascii="Times New Roman" w:hAnsi="Times New Roman" w:cs="Times New Roman"/>
          <w:sz w:val="24"/>
          <w:szCs w:val="24"/>
        </w:rPr>
        <w:t xml:space="preserve">SCE and SDG&amp;E </w:t>
      </w:r>
      <w:r w:rsidRPr="00EB2873">
        <w:rPr>
          <w:rFonts w:ascii="Times New Roman" w:hAnsi="Times New Roman" w:cs="Times New Roman"/>
          <w:sz w:val="24"/>
          <w:szCs w:val="24"/>
        </w:rPr>
        <w:t xml:space="preserve">assert that </w:t>
      </w:r>
      <w:r>
        <w:rPr>
          <w:rFonts w:ascii="Times New Roman" w:hAnsi="Times New Roman" w:cs="Times New Roman"/>
          <w:sz w:val="24"/>
          <w:szCs w:val="24"/>
        </w:rPr>
        <w:t xml:space="preserve">the </w:t>
      </w:r>
      <w:r w:rsidRPr="00EB2873">
        <w:rPr>
          <w:rFonts w:ascii="Times New Roman" w:hAnsi="Times New Roman" w:cs="Times New Roman"/>
          <w:sz w:val="24"/>
          <w:szCs w:val="24"/>
        </w:rPr>
        <w:t xml:space="preserve">Draft 2022 WMP Update Guidelines </w:t>
      </w:r>
      <w:r>
        <w:rPr>
          <w:rFonts w:ascii="Times New Roman" w:hAnsi="Times New Roman" w:cs="Times New Roman"/>
          <w:sz w:val="24"/>
          <w:szCs w:val="24"/>
        </w:rPr>
        <w:t xml:space="preserve">Energy Safety </w:t>
      </w:r>
      <w:r w:rsidRPr="00EB2873">
        <w:rPr>
          <w:rFonts w:ascii="Times New Roman" w:hAnsi="Times New Roman" w:cs="Times New Roman"/>
          <w:sz w:val="24"/>
          <w:szCs w:val="24"/>
        </w:rPr>
        <w:t>issued on November 9, 2021</w:t>
      </w:r>
      <w:r>
        <w:rPr>
          <w:rFonts w:ascii="Times New Roman" w:hAnsi="Times New Roman" w:cs="Times New Roman"/>
          <w:sz w:val="24"/>
          <w:szCs w:val="24"/>
        </w:rPr>
        <w:t xml:space="preserve"> </w:t>
      </w:r>
      <w:r w:rsidRPr="00EB2873">
        <w:rPr>
          <w:rFonts w:ascii="Times New Roman" w:hAnsi="Times New Roman" w:cs="Times New Roman"/>
          <w:sz w:val="24"/>
          <w:szCs w:val="24"/>
        </w:rPr>
        <w:t xml:space="preserve">impose significant new requirements that are </w:t>
      </w:r>
      <w:r w:rsidRPr="00EB2873" w:rsidR="00AC6839">
        <w:rPr>
          <w:rFonts w:ascii="Times New Roman" w:hAnsi="Times New Roman" w:cs="Times New Roman"/>
          <w:sz w:val="24"/>
          <w:szCs w:val="24"/>
        </w:rPr>
        <w:t xml:space="preserve">more appropriately considered </w:t>
      </w:r>
      <w:r w:rsidRPr="00EB2873">
        <w:rPr>
          <w:rFonts w:ascii="Times New Roman" w:hAnsi="Times New Roman" w:cs="Times New Roman"/>
          <w:sz w:val="24"/>
          <w:szCs w:val="24"/>
        </w:rPr>
        <w:t xml:space="preserve">“additional requirements” </w:t>
      </w:r>
      <w:r w:rsidR="00F4254C">
        <w:rPr>
          <w:rFonts w:ascii="Times New Roman" w:hAnsi="Times New Roman" w:cs="Times New Roman"/>
          <w:sz w:val="24"/>
          <w:szCs w:val="24"/>
        </w:rPr>
        <w:t xml:space="preserve">and thus </w:t>
      </w:r>
      <w:r w:rsidR="00827349">
        <w:rPr>
          <w:rFonts w:ascii="Times New Roman" w:hAnsi="Times New Roman" w:cs="Times New Roman"/>
          <w:sz w:val="24"/>
          <w:szCs w:val="24"/>
        </w:rPr>
        <w:t xml:space="preserve">are </w:t>
      </w:r>
      <w:r>
        <w:rPr>
          <w:rFonts w:ascii="Times New Roman" w:hAnsi="Times New Roman" w:cs="Times New Roman"/>
          <w:sz w:val="24"/>
          <w:szCs w:val="24"/>
        </w:rPr>
        <w:t xml:space="preserve">subject to Commission approval.  Both assert that Energy Safety’s proposed guidelines will </w:t>
      </w:r>
      <w:r w:rsidRPr="00EB2873">
        <w:rPr>
          <w:rFonts w:ascii="Times New Roman" w:hAnsi="Times New Roman" w:cs="Times New Roman"/>
          <w:sz w:val="24"/>
          <w:szCs w:val="24"/>
        </w:rPr>
        <w:t>require utilities to provide</w:t>
      </w:r>
      <w:r>
        <w:rPr>
          <w:rFonts w:ascii="Times New Roman" w:hAnsi="Times New Roman" w:cs="Times New Roman"/>
          <w:sz w:val="24"/>
          <w:szCs w:val="24"/>
        </w:rPr>
        <w:t xml:space="preserve"> additional mapping and granularity of risk and mitigation data </w:t>
      </w:r>
      <w:r w:rsidRPr="00EB2873">
        <w:rPr>
          <w:rFonts w:ascii="Times New Roman" w:hAnsi="Times New Roman" w:cs="Times New Roman"/>
          <w:sz w:val="24"/>
          <w:szCs w:val="24"/>
        </w:rPr>
        <w:t>that was not previously necessary</w:t>
      </w:r>
      <w:r>
        <w:rPr>
          <w:rFonts w:ascii="Times New Roman" w:hAnsi="Times New Roman" w:cs="Times New Roman"/>
          <w:sz w:val="24"/>
          <w:szCs w:val="24"/>
        </w:rPr>
        <w:t xml:space="preserve"> and that </w:t>
      </w:r>
      <w:r w:rsidRPr="00A54770">
        <w:rPr>
          <w:rFonts w:ascii="Times New Roman" w:hAnsi="Times New Roman" w:cs="Times New Roman"/>
          <w:sz w:val="24"/>
          <w:szCs w:val="24"/>
        </w:rPr>
        <w:t xml:space="preserve">may be difficult </w:t>
      </w:r>
      <w:r>
        <w:rPr>
          <w:rFonts w:ascii="Times New Roman" w:hAnsi="Times New Roman" w:cs="Times New Roman"/>
          <w:sz w:val="24"/>
          <w:szCs w:val="24"/>
        </w:rPr>
        <w:t xml:space="preserve">to comply with </w:t>
      </w:r>
      <w:r w:rsidRPr="00A54770">
        <w:rPr>
          <w:rFonts w:ascii="Times New Roman" w:hAnsi="Times New Roman" w:cs="Times New Roman"/>
          <w:sz w:val="24"/>
          <w:szCs w:val="24"/>
        </w:rPr>
        <w:t>due to data availability and/or required development time</w:t>
      </w:r>
      <w:r w:rsidRPr="00EB2873">
        <w:rPr>
          <w:rFonts w:ascii="Times New Roman" w:hAnsi="Times New Roman" w:cs="Times New Roman"/>
          <w:sz w:val="24"/>
          <w:szCs w:val="24"/>
        </w:rPr>
        <w:t>.</w:t>
      </w:r>
      <w:r w:rsidRPr="00BC7065">
        <w:rPr>
          <w:rStyle w:val="FootnoteReference"/>
          <w:rFonts w:ascii="Times New Roman" w:hAnsi="Times New Roman" w:cs="Times New Roman"/>
          <w:b/>
          <w:bCs/>
          <w:sz w:val="24"/>
          <w:szCs w:val="24"/>
          <w:u w:val="single"/>
        </w:rPr>
        <w:footnoteReference w:id="42"/>
      </w:r>
      <w:r w:rsidRPr="00EB2873">
        <w:rPr>
          <w:rFonts w:ascii="Times New Roman" w:hAnsi="Times New Roman" w:cs="Times New Roman"/>
          <w:sz w:val="24"/>
          <w:szCs w:val="24"/>
        </w:rPr>
        <w:t xml:space="preserve">  </w:t>
      </w:r>
      <w:r w:rsidR="00EC6089">
        <w:rPr>
          <w:rFonts w:ascii="Times New Roman" w:hAnsi="Times New Roman" w:cs="Times New Roman"/>
          <w:sz w:val="24"/>
          <w:szCs w:val="24"/>
        </w:rPr>
        <w:t>We acknowledge and agree that new WMP requirements must be authorized by the Commission pursuant to Pub. Util. Code Section 8389(d)(2).  We also observe that Energy Safety may require electrical corporations to include “[a]</w:t>
      </w:r>
      <w:proofErr w:type="spellStart"/>
      <w:r w:rsidR="00EC6089">
        <w:rPr>
          <w:rFonts w:ascii="Times New Roman" w:hAnsi="Times New Roman" w:cs="Times New Roman"/>
          <w:sz w:val="24"/>
          <w:szCs w:val="24"/>
        </w:rPr>
        <w:t>ny</w:t>
      </w:r>
      <w:proofErr w:type="spellEnd"/>
      <w:r w:rsidR="00EC6089">
        <w:rPr>
          <w:rFonts w:ascii="Times New Roman" w:hAnsi="Times New Roman" w:cs="Times New Roman"/>
          <w:sz w:val="24"/>
          <w:szCs w:val="24"/>
        </w:rPr>
        <w:t xml:space="preserve"> other information that the Wildfire Safety Division [Energy Safety] may require”</w:t>
      </w:r>
      <w:r w:rsidR="00B608EC">
        <w:rPr>
          <w:rFonts w:ascii="Times New Roman" w:hAnsi="Times New Roman" w:cs="Times New Roman"/>
          <w:sz w:val="24"/>
          <w:szCs w:val="24"/>
        </w:rPr>
        <w:t xml:space="preserve"> in the WMPs.</w:t>
      </w:r>
      <w:r w:rsidRPr="00BC7065" w:rsidR="00EC6089">
        <w:rPr>
          <w:rStyle w:val="FootnoteReference"/>
          <w:rFonts w:ascii="Times New Roman" w:hAnsi="Times New Roman" w:cs="Times New Roman"/>
          <w:b/>
          <w:bCs/>
          <w:sz w:val="24"/>
          <w:szCs w:val="24"/>
          <w:u w:val="single"/>
        </w:rPr>
        <w:footnoteReference w:id="43"/>
      </w:r>
      <w:r w:rsidR="00EC6089">
        <w:rPr>
          <w:rFonts w:ascii="Times New Roman" w:hAnsi="Times New Roman" w:cs="Times New Roman"/>
          <w:sz w:val="24"/>
          <w:szCs w:val="24"/>
        </w:rPr>
        <w:t xml:space="preserve">  </w:t>
      </w:r>
      <w:r>
        <w:rPr>
          <w:rFonts w:ascii="Times New Roman" w:hAnsi="Times New Roman" w:cs="Times New Roman"/>
          <w:sz w:val="24"/>
          <w:szCs w:val="24"/>
        </w:rPr>
        <w:t xml:space="preserve">We believe Energy Safety, with input from the </w:t>
      </w:r>
      <w:r w:rsidR="00CC2173">
        <w:rPr>
          <w:rFonts w:ascii="Times New Roman" w:hAnsi="Times New Roman" w:cs="Times New Roman"/>
          <w:sz w:val="24"/>
          <w:szCs w:val="24"/>
        </w:rPr>
        <w:t>e</w:t>
      </w:r>
      <w:r>
        <w:rPr>
          <w:rFonts w:ascii="Times New Roman" w:hAnsi="Times New Roman" w:cs="Times New Roman"/>
          <w:sz w:val="24"/>
          <w:szCs w:val="24"/>
        </w:rPr>
        <w:t xml:space="preserve">lectrical </w:t>
      </w:r>
      <w:r w:rsidR="00CC2173">
        <w:rPr>
          <w:rFonts w:ascii="Times New Roman" w:hAnsi="Times New Roman" w:cs="Times New Roman"/>
          <w:sz w:val="24"/>
          <w:szCs w:val="24"/>
        </w:rPr>
        <w:t>c</w:t>
      </w:r>
      <w:r>
        <w:rPr>
          <w:rFonts w:ascii="Times New Roman" w:hAnsi="Times New Roman" w:cs="Times New Roman"/>
          <w:sz w:val="24"/>
          <w:szCs w:val="24"/>
        </w:rPr>
        <w:t xml:space="preserve">orporations and other stakeholders, </w:t>
      </w:r>
      <w:r w:rsidR="00AE0AB0">
        <w:rPr>
          <w:rFonts w:ascii="Times New Roman" w:hAnsi="Times New Roman" w:cs="Times New Roman"/>
          <w:sz w:val="24"/>
          <w:szCs w:val="24"/>
        </w:rPr>
        <w:t xml:space="preserve">will </w:t>
      </w:r>
      <w:r>
        <w:rPr>
          <w:rFonts w:ascii="Times New Roman" w:hAnsi="Times New Roman" w:cs="Times New Roman"/>
          <w:sz w:val="24"/>
          <w:szCs w:val="24"/>
        </w:rPr>
        <w:t xml:space="preserve">appropriately distinguish </w:t>
      </w:r>
      <w:r w:rsidR="00AE0AB0">
        <w:rPr>
          <w:rFonts w:ascii="Times New Roman" w:hAnsi="Times New Roman" w:cs="Times New Roman"/>
          <w:sz w:val="24"/>
          <w:szCs w:val="24"/>
        </w:rPr>
        <w:t>“</w:t>
      </w:r>
      <w:r>
        <w:rPr>
          <w:rFonts w:ascii="Times New Roman" w:hAnsi="Times New Roman" w:cs="Times New Roman"/>
          <w:sz w:val="24"/>
          <w:szCs w:val="24"/>
        </w:rPr>
        <w:t>additional requirements</w:t>
      </w:r>
      <w:r w:rsidR="00AE0AB0">
        <w:rPr>
          <w:rFonts w:ascii="Times New Roman" w:hAnsi="Times New Roman" w:cs="Times New Roman"/>
          <w:sz w:val="24"/>
          <w:szCs w:val="24"/>
        </w:rPr>
        <w:t xml:space="preserve">” </w:t>
      </w:r>
      <w:r w:rsidR="00FF26D9">
        <w:rPr>
          <w:rFonts w:ascii="Times New Roman" w:hAnsi="Times New Roman" w:cs="Times New Roman"/>
          <w:sz w:val="24"/>
          <w:szCs w:val="24"/>
        </w:rPr>
        <w:t xml:space="preserve">from </w:t>
      </w:r>
      <w:r w:rsidR="00272267">
        <w:rPr>
          <w:rFonts w:ascii="Times New Roman" w:hAnsi="Times New Roman" w:cs="Times New Roman"/>
          <w:sz w:val="24"/>
          <w:szCs w:val="24"/>
        </w:rPr>
        <w:t xml:space="preserve">additional information </w:t>
      </w:r>
      <w:r w:rsidR="00386296">
        <w:rPr>
          <w:rFonts w:ascii="Times New Roman" w:hAnsi="Times New Roman" w:cs="Times New Roman"/>
          <w:sz w:val="24"/>
          <w:szCs w:val="24"/>
        </w:rPr>
        <w:t xml:space="preserve">as it finalizes the </w:t>
      </w:r>
      <w:r w:rsidR="00031989">
        <w:rPr>
          <w:rFonts w:ascii="Times New Roman" w:hAnsi="Times New Roman" w:cs="Times New Roman"/>
          <w:sz w:val="24"/>
          <w:szCs w:val="24"/>
        </w:rPr>
        <w:t xml:space="preserve">2022 </w:t>
      </w:r>
      <w:r w:rsidR="00CC2173">
        <w:rPr>
          <w:rFonts w:ascii="Times New Roman" w:hAnsi="Times New Roman" w:cs="Times New Roman"/>
          <w:sz w:val="24"/>
          <w:szCs w:val="24"/>
        </w:rPr>
        <w:t xml:space="preserve">WMP </w:t>
      </w:r>
      <w:r>
        <w:rPr>
          <w:rFonts w:ascii="Times New Roman" w:hAnsi="Times New Roman" w:cs="Times New Roman"/>
          <w:sz w:val="24"/>
          <w:szCs w:val="24"/>
        </w:rPr>
        <w:t>guidelines.  We look forward to collaborating with Energy Safety to consider any additional WMP requirements that may be appropriate to adopt for the next three</w:t>
      </w:r>
      <w:r w:rsidR="00432DC1">
        <w:rPr>
          <w:rFonts w:ascii="Times New Roman" w:hAnsi="Times New Roman" w:cs="Times New Roman"/>
          <w:sz w:val="24"/>
          <w:szCs w:val="24"/>
        </w:rPr>
        <w:t>-</w:t>
      </w:r>
      <w:r>
        <w:rPr>
          <w:rFonts w:ascii="Times New Roman" w:hAnsi="Times New Roman" w:cs="Times New Roman"/>
          <w:sz w:val="24"/>
          <w:szCs w:val="24"/>
        </w:rPr>
        <w:t>year cycle beginning in 2023.</w:t>
      </w:r>
    </w:p>
    <w:p w:rsidR="00BC7065" w:rsidP="00BC7065" w:rsidRDefault="00BC7065" w14:paraId="1E58D658" w14:textId="77777777">
      <w:pPr>
        <w:pStyle w:val="Standard"/>
        <w:spacing w:after="0"/>
        <w:rPr>
          <w:rFonts w:ascii="Times New Roman" w:hAnsi="Times New Roman" w:cs="Times New Roman"/>
          <w:sz w:val="24"/>
          <w:szCs w:val="24"/>
        </w:rPr>
      </w:pPr>
    </w:p>
    <w:p w:rsidR="006E4FC2" w:rsidP="00BC7065" w:rsidRDefault="005154CC" w14:paraId="568ABD9E" w14:textId="5123A27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PG&amp;E, SCE, and SDG&amp;E raised concerns with proposed revisions to the compliance process.  </w:t>
      </w:r>
      <w:r w:rsidRPr="00EA1534">
        <w:rPr>
          <w:rFonts w:ascii="Times New Roman" w:hAnsi="Times New Roman" w:cs="Times New Roman"/>
          <w:sz w:val="24"/>
          <w:szCs w:val="24"/>
        </w:rPr>
        <w:t>PG&amp;E urge</w:t>
      </w:r>
      <w:r>
        <w:rPr>
          <w:rFonts w:ascii="Times New Roman" w:hAnsi="Times New Roman" w:cs="Times New Roman"/>
          <w:sz w:val="24"/>
          <w:szCs w:val="24"/>
        </w:rPr>
        <w:t>d</w:t>
      </w:r>
      <w:r w:rsidRPr="00EA1534">
        <w:rPr>
          <w:rFonts w:ascii="Times New Roman" w:hAnsi="Times New Roman" w:cs="Times New Roman"/>
          <w:sz w:val="24"/>
          <w:szCs w:val="24"/>
        </w:rPr>
        <w:t xml:space="preserve"> Energy Safety to establish criteria to standardize the method by which</w:t>
      </w:r>
      <w:r>
        <w:rPr>
          <w:rFonts w:ascii="Times New Roman" w:hAnsi="Times New Roman" w:cs="Times New Roman"/>
          <w:sz w:val="24"/>
          <w:szCs w:val="24"/>
        </w:rPr>
        <w:t xml:space="preserve"> the</w:t>
      </w:r>
      <w:r w:rsidRPr="00EA1534">
        <w:rPr>
          <w:rFonts w:ascii="Times New Roman" w:hAnsi="Times New Roman" w:cs="Times New Roman"/>
          <w:sz w:val="24"/>
          <w:szCs w:val="24"/>
        </w:rPr>
        <w:t xml:space="preserve"> severity of the violation/defect is determined so that similar violations/defects would be accorded similar risk categorization</w:t>
      </w:r>
      <w:r>
        <w:rPr>
          <w:rFonts w:ascii="Times New Roman" w:hAnsi="Times New Roman" w:cs="Times New Roman"/>
          <w:sz w:val="24"/>
          <w:szCs w:val="24"/>
        </w:rPr>
        <w:t>s</w:t>
      </w:r>
      <w:r w:rsidRPr="00EA1534">
        <w:rPr>
          <w:rFonts w:ascii="Times New Roman" w:hAnsi="Times New Roman" w:cs="Times New Roman"/>
          <w:sz w:val="24"/>
          <w:szCs w:val="24"/>
        </w:rPr>
        <w:t>.</w:t>
      </w:r>
      <w:r w:rsidRPr="00BC7065">
        <w:rPr>
          <w:rFonts w:ascii="Times New Roman" w:hAnsi="Times New Roman" w:cs="Times New Roman"/>
          <w:b/>
          <w:bCs/>
          <w:sz w:val="24"/>
          <w:szCs w:val="24"/>
          <w:u w:val="single"/>
          <w:vertAlign w:val="superscript"/>
        </w:rPr>
        <w:footnoteReference w:id="44"/>
      </w:r>
      <w:r>
        <w:rPr>
          <w:rFonts w:ascii="Times New Roman" w:hAnsi="Times New Roman" w:cs="Times New Roman"/>
          <w:sz w:val="24"/>
          <w:szCs w:val="24"/>
        </w:rPr>
        <w:t xml:space="preserve">  </w:t>
      </w:r>
      <w:r w:rsidRPr="00EB2873">
        <w:rPr>
          <w:rFonts w:ascii="Times New Roman" w:hAnsi="Times New Roman" w:cs="Times New Roman"/>
          <w:sz w:val="24"/>
          <w:szCs w:val="24"/>
        </w:rPr>
        <w:t xml:space="preserve">SDG&amp;E requested that Energy Safety clarify the definitions of NOD and </w:t>
      </w:r>
      <w:r w:rsidRPr="00EB2873">
        <w:rPr>
          <w:rFonts w:ascii="Times New Roman" w:hAnsi="Times New Roman" w:cs="Times New Roman"/>
          <w:sz w:val="24"/>
          <w:szCs w:val="24"/>
        </w:rPr>
        <w:lastRenderedPageBreak/>
        <w:t xml:space="preserve">NOV and </w:t>
      </w:r>
      <w:r>
        <w:rPr>
          <w:rFonts w:ascii="Times New Roman" w:hAnsi="Times New Roman" w:cs="Times New Roman"/>
          <w:sz w:val="24"/>
          <w:szCs w:val="24"/>
        </w:rPr>
        <w:t xml:space="preserve">provide </w:t>
      </w:r>
      <w:r w:rsidRPr="00EB2873">
        <w:rPr>
          <w:rFonts w:ascii="Times New Roman" w:hAnsi="Times New Roman" w:cs="Times New Roman"/>
          <w:sz w:val="24"/>
          <w:szCs w:val="24"/>
        </w:rPr>
        <w:t>further specificity regarding the risk categories within its correction timeline.</w:t>
      </w:r>
      <w:r w:rsidRPr="00BC7065">
        <w:rPr>
          <w:rStyle w:val="FootnoteReference"/>
          <w:rFonts w:ascii="Times New Roman" w:hAnsi="Times New Roman" w:cs="Times New Roman"/>
          <w:b/>
          <w:bCs/>
          <w:sz w:val="24"/>
          <w:szCs w:val="24"/>
          <w:u w:val="single"/>
        </w:rPr>
        <w:footnoteReference w:id="45"/>
      </w:r>
      <w:r w:rsidRPr="00EB2873">
        <w:rPr>
          <w:rFonts w:ascii="Times New Roman" w:hAnsi="Times New Roman" w:cs="Times New Roman"/>
          <w:sz w:val="24"/>
          <w:szCs w:val="24"/>
        </w:rPr>
        <w:t xml:space="preserve">  </w:t>
      </w:r>
      <w:r>
        <w:rPr>
          <w:rFonts w:ascii="Times New Roman" w:hAnsi="Times New Roman" w:cs="Times New Roman"/>
          <w:sz w:val="24"/>
          <w:szCs w:val="24"/>
        </w:rPr>
        <w:t>PG&amp;E supports creating a process by which Energy Safety can issue NODs and NOVs and a requirement to identify the specific violation or failure that requires correction.</w:t>
      </w:r>
      <w:r w:rsidRPr="00BC7065">
        <w:rPr>
          <w:rStyle w:val="FootnoteReference"/>
          <w:rFonts w:ascii="Times New Roman" w:hAnsi="Times New Roman" w:cs="Times New Roman"/>
          <w:b/>
          <w:bCs/>
          <w:sz w:val="24"/>
          <w:szCs w:val="24"/>
          <w:u w:val="single"/>
        </w:rPr>
        <w:footnoteReference w:id="46"/>
      </w:r>
      <w:r>
        <w:rPr>
          <w:rFonts w:ascii="Times New Roman" w:hAnsi="Times New Roman" w:cs="Times New Roman"/>
          <w:sz w:val="24"/>
          <w:szCs w:val="24"/>
        </w:rPr>
        <w:t xml:space="preserve">  </w:t>
      </w:r>
      <w:r w:rsidRPr="00EB2873">
        <w:rPr>
          <w:rFonts w:ascii="Times New Roman" w:hAnsi="Times New Roman" w:cs="Times New Roman"/>
          <w:sz w:val="24"/>
          <w:szCs w:val="24"/>
        </w:rPr>
        <w:t xml:space="preserve">SCE and SDG&amp;E </w:t>
      </w:r>
      <w:r>
        <w:rPr>
          <w:rFonts w:ascii="Times New Roman" w:hAnsi="Times New Roman" w:cs="Times New Roman"/>
          <w:sz w:val="24"/>
          <w:szCs w:val="24"/>
        </w:rPr>
        <w:t xml:space="preserve">also </w:t>
      </w:r>
      <w:r w:rsidRPr="00EB2873">
        <w:rPr>
          <w:rFonts w:ascii="Times New Roman" w:hAnsi="Times New Roman" w:cs="Times New Roman"/>
          <w:sz w:val="24"/>
          <w:szCs w:val="24"/>
        </w:rPr>
        <w:t xml:space="preserve">both urge the Commission to clarify that </w:t>
      </w:r>
      <w:r>
        <w:rPr>
          <w:rFonts w:ascii="Times New Roman" w:hAnsi="Times New Roman" w:cs="Times New Roman"/>
          <w:sz w:val="24"/>
          <w:szCs w:val="24"/>
        </w:rPr>
        <w:t xml:space="preserve">our approval </w:t>
      </w:r>
      <w:r w:rsidR="003D19F0">
        <w:rPr>
          <w:rFonts w:ascii="Times New Roman" w:hAnsi="Times New Roman" w:cs="Times New Roman"/>
          <w:sz w:val="24"/>
          <w:szCs w:val="24"/>
        </w:rPr>
        <w:t xml:space="preserve">of </w:t>
      </w:r>
      <w:r w:rsidRPr="00EB2873">
        <w:rPr>
          <w:rFonts w:ascii="Times New Roman" w:hAnsi="Times New Roman" w:cs="Times New Roman"/>
          <w:sz w:val="24"/>
          <w:szCs w:val="24"/>
        </w:rPr>
        <w:t>Energy Safety’s proposed compliance process is limited to WMP compliance.</w:t>
      </w:r>
      <w:r w:rsidRPr="00BC7065">
        <w:rPr>
          <w:rStyle w:val="FootnoteReference"/>
          <w:rFonts w:ascii="Times New Roman" w:hAnsi="Times New Roman" w:cs="Times New Roman"/>
          <w:b/>
          <w:bCs/>
          <w:sz w:val="24"/>
          <w:szCs w:val="24"/>
          <w:u w:val="single"/>
        </w:rPr>
        <w:footnoteReference w:id="47"/>
      </w:r>
      <w:r>
        <w:rPr>
          <w:rFonts w:ascii="Times New Roman" w:hAnsi="Times New Roman" w:cs="Times New Roman"/>
          <w:sz w:val="24"/>
          <w:szCs w:val="24"/>
        </w:rPr>
        <w:t xml:space="preserve">  SCE also raised concerns that the compliance process places an undue focus on outcome-based metrics </w:t>
      </w:r>
      <w:r w:rsidR="00E60B45">
        <w:rPr>
          <w:rFonts w:ascii="Times New Roman" w:hAnsi="Times New Roman" w:cs="Times New Roman"/>
          <w:sz w:val="24"/>
          <w:szCs w:val="24"/>
        </w:rPr>
        <w:t xml:space="preserve">that are </w:t>
      </w:r>
      <w:r w:rsidR="00ED420F">
        <w:rPr>
          <w:rFonts w:ascii="Times New Roman" w:hAnsi="Times New Roman" w:cs="Times New Roman"/>
          <w:sz w:val="24"/>
          <w:szCs w:val="24"/>
        </w:rPr>
        <w:t>outside of the electrical corporation’s control</w:t>
      </w:r>
      <w:r w:rsidR="007B18B2">
        <w:rPr>
          <w:rFonts w:ascii="Times New Roman" w:hAnsi="Times New Roman" w:cs="Times New Roman"/>
          <w:sz w:val="24"/>
          <w:szCs w:val="24"/>
        </w:rPr>
        <w:t xml:space="preserve">, based on </w:t>
      </w:r>
      <w:r w:rsidR="00731F5E">
        <w:rPr>
          <w:rFonts w:ascii="Times New Roman" w:hAnsi="Times New Roman" w:cs="Times New Roman"/>
          <w:sz w:val="24"/>
          <w:szCs w:val="24"/>
        </w:rPr>
        <w:t xml:space="preserve">language in Energy Safety’s </w:t>
      </w:r>
      <w:r w:rsidR="00B52BCD">
        <w:rPr>
          <w:rFonts w:ascii="Times New Roman" w:hAnsi="Times New Roman" w:cs="Times New Roman"/>
          <w:sz w:val="24"/>
          <w:szCs w:val="24"/>
        </w:rPr>
        <w:t>proposed compliance process</w:t>
      </w:r>
      <w:r w:rsidR="007B18B2">
        <w:rPr>
          <w:rFonts w:ascii="Times New Roman" w:hAnsi="Times New Roman" w:cs="Times New Roman"/>
          <w:sz w:val="24"/>
          <w:szCs w:val="24"/>
        </w:rPr>
        <w:t xml:space="preserve"> stating</w:t>
      </w:r>
      <w:r w:rsidR="00F209AA">
        <w:rPr>
          <w:rFonts w:ascii="Times New Roman" w:hAnsi="Times New Roman" w:cs="Times New Roman"/>
          <w:sz w:val="24"/>
          <w:szCs w:val="24"/>
        </w:rPr>
        <w:t>,</w:t>
      </w:r>
      <w:r w:rsidRPr="00C55082">
        <w:rPr>
          <w:rFonts w:ascii="Times New Roman" w:hAnsi="Times New Roman" w:cs="Times New Roman"/>
          <w:sz w:val="24"/>
          <w:szCs w:val="24"/>
        </w:rPr>
        <w:t xml:space="preserve"> “</w:t>
      </w:r>
      <w:r w:rsidR="00B52BCD">
        <w:rPr>
          <w:rFonts w:ascii="Times New Roman" w:hAnsi="Times New Roman" w:cs="Times New Roman"/>
          <w:sz w:val="24"/>
          <w:szCs w:val="24"/>
        </w:rPr>
        <w:t>A</w:t>
      </w:r>
      <w:r w:rsidRPr="00C55082">
        <w:rPr>
          <w:rFonts w:ascii="Times New Roman" w:hAnsi="Times New Roman" w:cs="Times New Roman"/>
          <w:sz w:val="24"/>
          <w:szCs w:val="24"/>
        </w:rPr>
        <w:t>dditionally, through linking outcomes to WMP activities, Energy Safety can focus compliance tracking on electrical corporations’ improvement of outcomes and reduction of risk over time</w:t>
      </w:r>
      <w:r w:rsidRPr="00EB2873">
        <w:rPr>
          <w:rFonts w:ascii="Times New Roman" w:hAnsi="Times New Roman" w:cs="Times New Roman"/>
          <w:sz w:val="24"/>
          <w:szCs w:val="24"/>
        </w:rPr>
        <w:t>.”</w:t>
      </w:r>
      <w:r w:rsidRPr="00BC7065">
        <w:rPr>
          <w:rStyle w:val="FootnoteReference"/>
          <w:rFonts w:ascii="Times New Roman" w:hAnsi="Times New Roman" w:cs="Times New Roman"/>
          <w:b/>
          <w:bCs/>
          <w:sz w:val="24"/>
          <w:szCs w:val="24"/>
          <w:u w:val="single"/>
        </w:rPr>
        <w:footnoteReference w:id="48"/>
      </w:r>
      <w:r w:rsidRPr="00EB2873">
        <w:rPr>
          <w:rFonts w:ascii="Times New Roman" w:hAnsi="Times New Roman" w:cs="Times New Roman"/>
          <w:sz w:val="24"/>
          <w:szCs w:val="24"/>
        </w:rPr>
        <w:t xml:space="preserve">  </w:t>
      </w:r>
      <w:r w:rsidRPr="00EB2873" w:rsidR="006E4FC2">
        <w:rPr>
          <w:rFonts w:ascii="Times New Roman" w:hAnsi="Times New Roman" w:cs="Times New Roman"/>
          <w:sz w:val="24"/>
          <w:szCs w:val="24"/>
        </w:rPr>
        <w:t xml:space="preserve">SCE commented that without clarification, the Draft Resolution could implicate due process’ basic requirement to put the utilities on adequate notice of what results could lead to a </w:t>
      </w:r>
      <w:r w:rsidR="008B0721">
        <w:rPr>
          <w:rFonts w:ascii="Times New Roman" w:hAnsi="Times New Roman" w:cs="Times New Roman"/>
          <w:sz w:val="24"/>
          <w:szCs w:val="24"/>
        </w:rPr>
        <w:t>sanction</w:t>
      </w:r>
      <w:r w:rsidRPr="00EB2873" w:rsidR="006E4FC2">
        <w:rPr>
          <w:rFonts w:ascii="Times New Roman" w:hAnsi="Times New Roman" w:cs="Times New Roman"/>
          <w:sz w:val="24"/>
          <w:szCs w:val="24"/>
        </w:rPr>
        <w:t>.</w:t>
      </w:r>
      <w:r w:rsidRPr="00BC7065" w:rsidR="006E4FC2">
        <w:rPr>
          <w:rStyle w:val="FootnoteReference"/>
          <w:rFonts w:ascii="Times New Roman" w:hAnsi="Times New Roman" w:cs="Times New Roman"/>
          <w:b/>
          <w:bCs/>
          <w:sz w:val="24"/>
          <w:szCs w:val="24"/>
          <w:u w:val="single"/>
        </w:rPr>
        <w:footnoteReference w:id="49"/>
      </w:r>
      <w:r w:rsidRPr="00EB2873" w:rsidR="006E4FC2">
        <w:rPr>
          <w:rFonts w:ascii="Times New Roman" w:hAnsi="Times New Roman" w:cs="Times New Roman"/>
          <w:sz w:val="24"/>
          <w:szCs w:val="24"/>
        </w:rPr>
        <w:t xml:space="preserve">  </w:t>
      </w:r>
    </w:p>
    <w:p w:rsidR="00BC7065" w:rsidP="00BC7065" w:rsidRDefault="00BC7065" w14:paraId="5F1DA246" w14:textId="77777777">
      <w:pPr>
        <w:pStyle w:val="Standard"/>
        <w:spacing w:after="0"/>
        <w:rPr>
          <w:rFonts w:ascii="Times New Roman" w:hAnsi="Times New Roman" w:cs="Times New Roman"/>
          <w:sz w:val="24"/>
          <w:szCs w:val="24"/>
        </w:rPr>
      </w:pPr>
    </w:p>
    <w:p w:rsidR="005154CC" w:rsidP="00BC7065" w:rsidRDefault="005154CC" w14:paraId="0BFF9F22" w14:textId="0EE743DB">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First, regarding comments </w:t>
      </w:r>
      <w:r w:rsidRPr="00EB2873">
        <w:rPr>
          <w:rFonts w:ascii="Times New Roman" w:hAnsi="Times New Roman" w:cs="Times New Roman"/>
          <w:sz w:val="24"/>
          <w:szCs w:val="24"/>
        </w:rPr>
        <w:t>request</w:t>
      </w:r>
      <w:r>
        <w:rPr>
          <w:rFonts w:ascii="Times New Roman" w:hAnsi="Times New Roman" w:cs="Times New Roman"/>
          <w:sz w:val="24"/>
          <w:szCs w:val="24"/>
        </w:rPr>
        <w:t xml:space="preserve">ing that </w:t>
      </w:r>
      <w:r w:rsidRPr="00EB2873">
        <w:rPr>
          <w:rFonts w:ascii="Times New Roman" w:hAnsi="Times New Roman" w:cs="Times New Roman"/>
          <w:sz w:val="24"/>
          <w:szCs w:val="24"/>
        </w:rPr>
        <w:t xml:space="preserve">Energy Safety </w:t>
      </w:r>
      <w:r>
        <w:rPr>
          <w:rFonts w:ascii="Times New Roman" w:hAnsi="Times New Roman" w:cs="Times New Roman"/>
          <w:sz w:val="24"/>
          <w:szCs w:val="24"/>
        </w:rPr>
        <w:t xml:space="preserve">specify </w:t>
      </w:r>
      <w:r w:rsidRPr="00EB2873">
        <w:rPr>
          <w:rFonts w:ascii="Times New Roman" w:hAnsi="Times New Roman" w:cs="Times New Roman"/>
          <w:sz w:val="24"/>
          <w:szCs w:val="24"/>
        </w:rPr>
        <w:t>definitions</w:t>
      </w:r>
      <w:r>
        <w:rPr>
          <w:rFonts w:ascii="Times New Roman" w:hAnsi="Times New Roman" w:cs="Times New Roman"/>
          <w:sz w:val="24"/>
          <w:szCs w:val="24"/>
        </w:rPr>
        <w:t>, establish processes for issuing, and standardiz</w:t>
      </w:r>
      <w:r w:rsidR="00F55C36">
        <w:rPr>
          <w:rFonts w:ascii="Times New Roman" w:hAnsi="Times New Roman" w:cs="Times New Roman"/>
          <w:sz w:val="24"/>
          <w:szCs w:val="24"/>
        </w:rPr>
        <w:t>ing</w:t>
      </w:r>
      <w:r>
        <w:rPr>
          <w:rFonts w:ascii="Times New Roman" w:hAnsi="Times New Roman" w:cs="Times New Roman"/>
          <w:sz w:val="24"/>
          <w:szCs w:val="24"/>
        </w:rPr>
        <w:t xml:space="preserve"> methods for determining the severity of NODs and NOVs, we</w:t>
      </w:r>
      <w:r w:rsidRPr="00EB2873">
        <w:rPr>
          <w:rFonts w:ascii="Times New Roman" w:hAnsi="Times New Roman" w:cs="Times New Roman"/>
          <w:sz w:val="24"/>
          <w:szCs w:val="24"/>
        </w:rPr>
        <w:t xml:space="preserve"> agree </w:t>
      </w:r>
      <w:r>
        <w:rPr>
          <w:rFonts w:ascii="Times New Roman" w:hAnsi="Times New Roman" w:cs="Times New Roman"/>
          <w:sz w:val="24"/>
          <w:szCs w:val="24"/>
        </w:rPr>
        <w:t xml:space="preserve">these kinds of improvements could be valuable as Energy Safety continues to implement </w:t>
      </w:r>
      <w:r w:rsidR="00772ED1">
        <w:rPr>
          <w:rFonts w:ascii="Times New Roman" w:hAnsi="Times New Roman" w:cs="Times New Roman"/>
          <w:sz w:val="24"/>
          <w:szCs w:val="24"/>
        </w:rPr>
        <w:t xml:space="preserve">and refine </w:t>
      </w:r>
      <w:r>
        <w:rPr>
          <w:rFonts w:ascii="Times New Roman" w:hAnsi="Times New Roman" w:cs="Times New Roman"/>
          <w:sz w:val="24"/>
          <w:szCs w:val="24"/>
        </w:rPr>
        <w:t xml:space="preserve">its enforcement authority pursuant to Government Code Sections 15475.2 and 15475.4.  We also agree with SDG&amp;E and SCE, however, that this Resolution constitutes the Commission’s approval of the </w:t>
      </w:r>
      <w:r w:rsidRPr="00044114">
        <w:rPr>
          <w:rFonts w:ascii="Times New Roman" w:hAnsi="Times New Roman" w:cs="Times New Roman"/>
          <w:sz w:val="24"/>
          <w:szCs w:val="24"/>
        </w:rPr>
        <w:t>WMP</w:t>
      </w:r>
      <w:r>
        <w:rPr>
          <w:rFonts w:ascii="Times New Roman" w:hAnsi="Times New Roman" w:cs="Times New Roman"/>
          <w:sz w:val="24"/>
          <w:szCs w:val="24"/>
        </w:rPr>
        <w:t xml:space="preserve"> compliance process required by Section 8389(d)(3).  We do not approve Energy Safety’s duly adopted regulations.</w:t>
      </w:r>
      <w:r w:rsidRPr="00BC7065">
        <w:rPr>
          <w:rStyle w:val="FootnoteReference"/>
          <w:rFonts w:ascii="Times New Roman" w:hAnsi="Times New Roman" w:cs="Times New Roman"/>
          <w:b/>
          <w:bCs/>
          <w:sz w:val="24"/>
          <w:szCs w:val="24"/>
          <w:u w:val="single"/>
        </w:rPr>
        <w:footnoteReference w:id="50"/>
      </w:r>
      <w:r>
        <w:rPr>
          <w:rFonts w:ascii="Times New Roman" w:hAnsi="Times New Roman" w:cs="Times New Roman"/>
          <w:sz w:val="24"/>
          <w:szCs w:val="24"/>
        </w:rPr>
        <w:t xml:space="preserve">  Nor </w:t>
      </w:r>
      <w:r w:rsidR="00526C6B">
        <w:rPr>
          <w:rFonts w:ascii="Times New Roman" w:hAnsi="Times New Roman" w:cs="Times New Roman"/>
          <w:sz w:val="24"/>
          <w:szCs w:val="24"/>
        </w:rPr>
        <w:t xml:space="preserve">will </w:t>
      </w:r>
      <w:r>
        <w:rPr>
          <w:rFonts w:ascii="Times New Roman" w:hAnsi="Times New Roman" w:cs="Times New Roman"/>
          <w:sz w:val="24"/>
          <w:szCs w:val="24"/>
        </w:rPr>
        <w:t xml:space="preserve">the Commission determine </w:t>
      </w:r>
      <w:r w:rsidR="00526C6B">
        <w:rPr>
          <w:rFonts w:ascii="Times New Roman" w:hAnsi="Times New Roman" w:cs="Times New Roman"/>
          <w:sz w:val="24"/>
          <w:szCs w:val="24"/>
        </w:rPr>
        <w:t xml:space="preserve">in the normal course </w:t>
      </w:r>
      <w:r>
        <w:rPr>
          <w:rFonts w:ascii="Times New Roman" w:hAnsi="Times New Roman" w:cs="Times New Roman"/>
          <w:sz w:val="24"/>
          <w:szCs w:val="24"/>
        </w:rPr>
        <w:t xml:space="preserve">if </w:t>
      </w:r>
      <w:r w:rsidR="00526C6B">
        <w:rPr>
          <w:rFonts w:ascii="Times New Roman" w:hAnsi="Times New Roman" w:cs="Times New Roman"/>
          <w:sz w:val="24"/>
          <w:szCs w:val="24"/>
        </w:rPr>
        <w:t xml:space="preserve">an </w:t>
      </w:r>
      <w:r>
        <w:rPr>
          <w:rFonts w:ascii="Times New Roman" w:hAnsi="Times New Roman" w:cs="Times New Roman"/>
          <w:sz w:val="24"/>
          <w:szCs w:val="24"/>
        </w:rPr>
        <w:t>electrical corporation has corrected an alleged violation or defect</w:t>
      </w:r>
      <w:r w:rsidR="008A673A">
        <w:rPr>
          <w:rFonts w:ascii="Times New Roman" w:hAnsi="Times New Roman" w:cs="Times New Roman"/>
          <w:sz w:val="24"/>
          <w:szCs w:val="24"/>
        </w:rPr>
        <w:t xml:space="preserve"> of its WMP</w:t>
      </w:r>
      <w:r>
        <w:rPr>
          <w:rFonts w:ascii="Times New Roman" w:hAnsi="Times New Roman" w:cs="Times New Roman"/>
          <w:sz w:val="24"/>
          <w:szCs w:val="24"/>
        </w:rPr>
        <w:t xml:space="preserve">.  Rather, the Commission’s role is to approve the WMP compliance process and to </w:t>
      </w:r>
      <w:r w:rsidRPr="00813298">
        <w:rPr>
          <w:rFonts w:ascii="Times New Roman" w:hAnsi="Times New Roman" w:cs="Times New Roman"/>
          <w:sz w:val="24"/>
          <w:szCs w:val="24"/>
        </w:rPr>
        <w:t xml:space="preserve">assess penalties on an electrical corporation that fails to substantially comply with its </w:t>
      </w:r>
      <w:r>
        <w:rPr>
          <w:rFonts w:ascii="Times New Roman" w:hAnsi="Times New Roman" w:cs="Times New Roman"/>
          <w:sz w:val="24"/>
          <w:szCs w:val="24"/>
        </w:rPr>
        <w:t>WMP.</w:t>
      </w:r>
      <w:r w:rsidRPr="00BC7065" w:rsidR="00F31C0D">
        <w:rPr>
          <w:rStyle w:val="FootnoteReference"/>
          <w:rFonts w:ascii="Times New Roman" w:hAnsi="Times New Roman" w:cs="Times New Roman"/>
          <w:b/>
          <w:bCs/>
          <w:sz w:val="24"/>
          <w:szCs w:val="24"/>
          <w:u w:val="single"/>
        </w:rPr>
        <w:footnoteReference w:id="51"/>
      </w:r>
      <w:r>
        <w:rPr>
          <w:rFonts w:ascii="Times New Roman" w:hAnsi="Times New Roman" w:cs="Times New Roman"/>
          <w:sz w:val="24"/>
          <w:szCs w:val="24"/>
        </w:rPr>
        <w:t xml:space="preserve">  Accordingly, we modify the </w:t>
      </w:r>
      <w:r w:rsidR="00F42FA8">
        <w:rPr>
          <w:rFonts w:ascii="Times New Roman" w:hAnsi="Times New Roman" w:cs="Times New Roman"/>
          <w:sz w:val="24"/>
          <w:szCs w:val="24"/>
        </w:rPr>
        <w:t>R</w:t>
      </w:r>
      <w:r>
        <w:rPr>
          <w:rFonts w:ascii="Times New Roman" w:hAnsi="Times New Roman" w:cs="Times New Roman"/>
          <w:sz w:val="24"/>
          <w:szCs w:val="24"/>
        </w:rPr>
        <w:t>esolution to clarify that the Commission’s Safety Enforcement Division staff may consider the relevance and significance of NOVs or NODs that Energy Safety has issued to an electrical corporation</w:t>
      </w:r>
      <w:r w:rsidR="00432568">
        <w:rPr>
          <w:rFonts w:ascii="Times New Roman" w:hAnsi="Times New Roman" w:cs="Times New Roman"/>
          <w:sz w:val="24"/>
          <w:szCs w:val="24"/>
        </w:rPr>
        <w:t>,</w:t>
      </w:r>
      <w:r>
        <w:rPr>
          <w:rFonts w:ascii="Times New Roman" w:hAnsi="Times New Roman" w:cs="Times New Roman"/>
          <w:sz w:val="24"/>
          <w:szCs w:val="24"/>
        </w:rPr>
        <w:t xml:space="preserve"> and any subsequent responses or other developments, to inform </w:t>
      </w:r>
      <w:r w:rsidR="005800CB">
        <w:rPr>
          <w:rFonts w:ascii="Times New Roman" w:hAnsi="Times New Roman" w:cs="Times New Roman"/>
          <w:sz w:val="24"/>
          <w:szCs w:val="24"/>
        </w:rPr>
        <w:t>C</w:t>
      </w:r>
      <w:r w:rsidR="00670CD5">
        <w:rPr>
          <w:rFonts w:ascii="Times New Roman" w:hAnsi="Times New Roman" w:cs="Times New Roman"/>
          <w:sz w:val="24"/>
          <w:szCs w:val="24"/>
        </w:rPr>
        <w:t xml:space="preserve">PUC </w:t>
      </w:r>
      <w:r>
        <w:rPr>
          <w:rFonts w:ascii="Times New Roman" w:hAnsi="Times New Roman" w:cs="Times New Roman"/>
          <w:sz w:val="24"/>
          <w:szCs w:val="24"/>
        </w:rPr>
        <w:t xml:space="preserve">staff’s decision whether to </w:t>
      </w:r>
      <w:r w:rsidR="00247CA2">
        <w:rPr>
          <w:rFonts w:ascii="Times New Roman" w:hAnsi="Times New Roman" w:cs="Times New Roman"/>
          <w:sz w:val="24"/>
          <w:szCs w:val="24"/>
        </w:rPr>
        <w:t>pursue</w:t>
      </w:r>
      <w:r>
        <w:rPr>
          <w:rFonts w:ascii="Times New Roman" w:hAnsi="Times New Roman" w:cs="Times New Roman"/>
          <w:sz w:val="24"/>
          <w:szCs w:val="24"/>
        </w:rPr>
        <w:t xml:space="preserve"> further enforcement.  Similarly, the Commission may weigh such information insofar as it is appropriate within the enumerated </w:t>
      </w:r>
      <w:r>
        <w:rPr>
          <w:rFonts w:ascii="Times New Roman" w:hAnsi="Times New Roman" w:cs="Times New Roman"/>
          <w:sz w:val="24"/>
          <w:szCs w:val="24"/>
        </w:rPr>
        <w:lastRenderedPageBreak/>
        <w:t xml:space="preserve">statutory factors </w:t>
      </w:r>
      <w:r w:rsidR="00670CD5">
        <w:rPr>
          <w:rFonts w:ascii="Times New Roman" w:hAnsi="Times New Roman" w:cs="Times New Roman"/>
          <w:sz w:val="24"/>
          <w:szCs w:val="24"/>
        </w:rPr>
        <w:t>it</w:t>
      </w:r>
      <w:r>
        <w:rPr>
          <w:rFonts w:ascii="Times New Roman" w:hAnsi="Times New Roman" w:cs="Times New Roman"/>
          <w:sz w:val="24"/>
          <w:szCs w:val="24"/>
        </w:rPr>
        <w:t xml:space="preserve"> shall consider in determining an appropriate penalty for substantial non-compliance.</w:t>
      </w:r>
      <w:r w:rsidRPr="00BC7065">
        <w:rPr>
          <w:rStyle w:val="FootnoteReference"/>
          <w:rFonts w:ascii="Times New Roman" w:hAnsi="Times New Roman" w:cs="Times New Roman"/>
          <w:b/>
          <w:bCs/>
          <w:sz w:val="24"/>
          <w:szCs w:val="24"/>
          <w:u w:val="single"/>
        </w:rPr>
        <w:footnoteReference w:id="52"/>
      </w:r>
      <w:r>
        <w:rPr>
          <w:rFonts w:ascii="Times New Roman" w:hAnsi="Times New Roman" w:cs="Times New Roman"/>
          <w:sz w:val="24"/>
          <w:szCs w:val="24"/>
        </w:rPr>
        <w:t xml:space="preserve"> </w:t>
      </w:r>
    </w:p>
    <w:p w:rsidR="00BC7065" w:rsidP="00BC7065" w:rsidRDefault="00BC7065" w14:paraId="5922D5AA" w14:textId="77777777">
      <w:pPr>
        <w:pStyle w:val="Standard"/>
        <w:spacing w:after="0"/>
        <w:rPr>
          <w:rFonts w:ascii="Times New Roman" w:hAnsi="Times New Roman" w:cs="Times New Roman"/>
          <w:sz w:val="24"/>
          <w:szCs w:val="24"/>
        </w:rPr>
      </w:pPr>
    </w:p>
    <w:p w:rsidR="005154CC" w:rsidP="00BC7065" w:rsidRDefault="005154CC" w14:paraId="688894F8" w14:textId="286BC1F0">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Second, the </w:t>
      </w:r>
      <w:r w:rsidRPr="00EB2873">
        <w:rPr>
          <w:rFonts w:ascii="Times New Roman" w:hAnsi="Times New Roman" w:cs="Times New Roman"/>
          <w:sz w:val="24"/>
          <w:szCs w:val="24"/>
        </w:rPr>
        <w:t>language SCE cite</w:t>
      </w:r>
      <w:r>
        <w:rPr>
          <w:rFonts w:ascii="Times New Roman" w:hAnsi="Times New Roman" w:cs="Times New Roman"/>
          <w:sz w:val="24"/>
          <w:szCs w:val="24"/>
        </w:rPr>
        <w:t xml:space="preserve">s </w:t>
      </w:r>
      <w:r w:rsidRPr="00EB2873">
        <w:rPr>
          <w:rFonts w:ascii="Times New Roman" w:hAnsi="Times New Roman" w:cs="Times New Roman"/>
          <w:sz w:val="24"/>
          <w:szCs w:val="24"/>
        </w:rPr>
        <w:t xml:space="preserve">as placing an undue focus on outcome-based metrics </w:t>
      </w:r>
      <w:r>
        <w:rPr>
          <w:rFonts w:ascii="Times New Roman" w:hAnsi="Times New Roman" w:cs="Times New Roman"/>
          <w:sz w:val="24"/>
          <w:szCs w:val="24"/>
        </w:rPr>
        <w:t xml:space="preserve">for compliance appears in the compliance process approved in 2021; there is no </w:t>
      </w:r>
      <w:r w:rsidRPr="00EB2873">
        <w:rPr>
          <w:rFonts w:ascii="Times New Roman" w:hAnsi="Times New Roman" w:cs="Times New Roman"/>
          <w:sz w:val="24"/>
          <w:szCs w:val="24"/>
        </w:rPr>
        <w:t xml:space="preserve">change </w:t>
      </w:r>
      <w:r>
        <w:rPr>
          <w:rFonts w:ascii="Times New Roman" w:hAnsi="Times New Roman" w:cs="Times New Roman"/>
          <w:sz w:val="24"/>
          <w:szCs w:val="24"/>
        </w:rPr>
        <w:t>to that language proposed in 2022</w:t>
      </w:r>
      <w:r w:rsidRPr="00EB2873">
        <w:rPr>
          <w:rFonts w:ascii="Times New Roman" w:hAnsi="Times New Roman" w:cs="Times New Roman"/>
          <w:sz w:val="24"/>
          <w:szCs w:val="24"/>
        </w:rPr>
        <w:t>.</w:t>
      </w:r>
      <w:r w:rsidRPr="00BC7065">
        <w:rPr>
          <w:rStyle w:val="FootnoteReference"/>
          <w:rFonts w:ascii="Times New Roman" w:hAnsi="Times New Roman" w:cs="Times New Roman"/>
          <w:b/>
          <w:bCs/>
          <w:sz w:val="24"/>
          <w:szCs w:val="24"/>
          <w:u w:val="single"/>
        </w:rPr>
        <w:footnoteReference w:id="53"/>
      </w:r>
      <w:r>
        <w:rPr>
          <w:rFonts w:ascii="Times New Roman" w:hAnsi="Times New Roman" w:cs="Times New Roman"/>
          <w:sz w:val="24"/>
          <w:szCs w:val="24"/>
        </w:rPr>
        <w:t xml:space="preserve">  Energy Safety’s ongoing compliance process will verify that electrical corporations implement the actions they have committed to taking in their approved WMPs.</w:t>
      </w:r>
      <w:r w:rsidRPr="00BC7065">
        <w:rPr>
          <w:rStyle w:val="FootnoteReference"/>
          <w:rFonts w:ascii="Times New Roman" w:hAnsi="Times New Roman" w:cs="Times New Roman"/>
          <w:b/>
          <w:bCs/>
          <w:sz w:val="24"/>
          <w:szCs w:val="24"/>
          <w:u w:val="single"/>
        </w:rPr>
        <w:footnoteReference w:id="54"/>
      </w:r>
      <w:r>
        <w:rPr>
          <w:rFonts w:ascii="Times New Roman" w:hAnsi="Times New Roman" w:cs="Times New Roman"/>
          <w:sz w:val="24"/>
          <w:szCs w:val="24"/>
        </w:rPr>
        <w:t xml:space="preserve">  Energy Safety has also </w:t>
      </w:r>
      <w:r w:rsidR="00E45F1C">
        <w:rPr>
          <w:rFonts w:ascii="Times New Roman" w:hAnsi="Times New Roman" w:cs="Times New Roman"/>
          <w:sz w:val="24"/>
          <w:szCs w:val="24"/>
        </w:rPr>
        <w:t xml:space="preserve">said it intends </w:t>
      </w:r>
      <w:r>
        <w:rPr>
          <w:rFonts w:ascii="Times New Roman" w:hAnsi="Times New Roman" w:cs="Times New Roman"/>
          <w:sz w:val="24"/>
          <w:szCs w:val="24"/>
        </w:rPr>
        <w:t>to incorporate risks and data collected in outcome metrics into its compliance assessments.</w:t>
      </w:r>
      <w:r w:rsidRPr="00BC7065">
        <w:rPr>
          <w:rStyle w:val="FootnoteReference"/>
          <w:rFonts w:ascii="Times New Roman" w:hAnsi="Times New Roman" w:cs="Times New Roman"/>
          <w:b/>
          <w:bCs/>
          <w:sz w:val="24"/>
          <w:szCs w:val="24"/>
          <w:u w:val="single"/>
        </w:rPr>
        <w:footnoteReference w:id="55"/>
      </w:r>
      <w:r>
        <w:rPr>
          <w:rFonts w:ascii="Times New Roman" w:hAnsi="Times New Roman" w:cs="Times New Roman"/>
          <w:sz w:val="24"/>
          <w:szCs w:val="24"/>
        </w:rPr>
        <w:t xml:space="preserve">  Finally, as we noted previously, the Commission considers a number of statutorily defined factors when determining an appropriate penalty.  In this context, we find that Energy Safety’s use of outcome-based metrics to inform and </w:t>
      </w:r>
      <w:r w:rsidRPr="00C779BA">
        <w:rPr>
          <w:rFonts w:ascii="Times New Roman" w:hAnsi="Times New Roman" w:cs="Times New Roman"/>
          <w:sz w:val="24"/>
          <w:szCs w:val="24"/>
        </w:rPr>
        <w:t xml:space="preserve">focus compliance tracking on electrical corporations’ improvement of outcomes and reduction of </w:t>
      </w:r>
      <w:r>
        <w:rPr>
          <w:rFonts w:ascii="Times New Roman" w:hAnsi="Times New Roman" w:cs="Times New Roman"/>
          <w:sz w:val="24"/>
          <w:szCs w:val="24"/>
        </w:rPr>
        <w:t xml:space="preserve">wildfire </w:t>
      </w:r>
      <w:r w:rsidRPr="00C779BA">
        <w:rPr>
          <w:rFonts w:ascii="Times New Roman" w:hAnsi="Times New Roman" w:cs="Times New Roman"/>
          <w:sz w:val="24"/>
          <w:szCs w:val="24"/>
        </w:rPr>
        <w:t>risk</w:t>
      </w:r>
      <w:r>
        <w:rPr>
          <w:rFonts w:ascii="Times New Roman" w:hAnsi="Times New Roman" w:cs="Times New Roman"/>
          <w:sz w:val="24"/>
          <w:szCs w:val="24"/>
        </w:rPr>
        <w:t xml:space="preserve"> does not raise any due process concerns</w:t>
      </w:r>
      <w:r w:rsidRPr="00C779BA">
        <w:rPr>
          <w:rFonts w:ascii="Times New Roman" w:hAnsi="Times New Roman" w:cs="Times New Roman"/>
          <w:sz w:val="24"/>
          <w:szCs w:val="24"/>
        </w:rPr>
        <w:t>.</w:t>
      </w:r>
    </w:p>
    <w:p w:rsidR="00BC7065" w:rsidP="00BC7065" w:rsidRDefault="00BC7065" w14:paraId="48FBCC3C" w14:textId="77777777">
      <w:pPr>
        <w:pStyle w:val="Standard"/>
        <w:spacing w:after="0"/>
        <w:rPr>
          <w:rFonts w:ascii="Times New Roman" w:hAnsi="Times New Roman" w:cs="Times New Roman"/>
          <w:sz w:val="24"/>
          <w:szCs w:val="24"/>
        </w:rPr>
      </w:pPr>
    </w:p>
    <w:p w:rsidRPr="00B95677" w:rsidR="00705C88" w:rsidP="00705C88" w:rsidRDefault="00705C88" w14:paraId="631A1498" w14:textId="77777777">
      <w:pPr>
        <w:pStyle w:val="Heading1"/>
        <w:rPr>
          <w:rFonts w:ascii="Times New Roman" w:hAnsi="Times New Roman" w:cs="Times New Roman"/>
          <w:sz w:val="24"/>
          <w:szCs w:val="24"/>
        </w:rPr>
      </w:pPr>
      <w:r w:rsidRPr="00B95677">
        <w:rPr>
          <w:rFonts w:ascii="Times New Roman" w:hAnsi="Times New Roman" w:cs="Times New Roman"/>
          <w:sz w:val="24"/>
          <w:szCs w:val="24"/>
        </w:rPr>
        <w:t>Findings</w:t>
      </w:r>
    </w:p>
    <w:p w:rsidRPr="00B95677" w:rsidR="00143FA0" w:rsidP="008F4C9D" w:rsidRDefault="008D5DE7" w14:paraId="7A94F637" w14:textId="77777777">
      <w:pPr>
        <w:pStyle w:val="ListParagraph"/>
        <w:numPr>
          <w:ilvl w:val="0"/>
          <w:numId w:val="8"/>
        </w:numPr>
        <w:spacing w:after="120"/>
        <w:ind w:left="360"/>
        <w:contextualSpacing w:val="0"/>
        <w:rPr>
          <w:rFonts w:ascii="Times New Roman" w:hAnsi="Times New Roman"/>
          <w:sz w:val="24"/>
          <w:szCs w:val="24"/>
        </w:rPr>
      </w:pPr>
      <w:r w:rsidRPr="00B95677">
        <w:rPr>
          <w:rFonts w:ascii="Times New Roman" w:hAnsi="Times New Roman"/>
          <w:sz w:val="24"/>
          <w:szCs w:val="24"/>
        </w:rPr>
        <w:t xml:space="preserve">Pub. Util. Code </w:t>
      </w:r>
      <w:r w:rsidRPr="00B95677" w:rsidR="00C74010">
        <w:rPr>
          <w:rFonts w:ascii="Times New Roman" w:hAnsi="Times New Roman"/>
          <w:sz w:val="24"/>
          <w:szCs w:val="24"/>
        </w:rPr>
        <w:t>§</w:t>
      </w:r>
      <w:r w:rsidRPr="00B95677" w:rsidR="00143FA0">
        <w:rPr>
          <w:rFonts w:ascii="Times New Roman" w:hAnsi="Times New Roman"/>
          <w:sz w:val="24"/>
          <w:szCs w:val="24"/>
        </w:rPr>
        <w:t>§</w:t>
      </w:r>
      <w:r w:rsidRPr="00B95677">
        <w:rPr>
          <w:rFonts w:ascii="Times New Roman" w:hAnsi="Times New Roman"/>
          <w:sz w:val="24"/>
          <w:szCs w:val="24"/>
        </w:rPr>
        <w:t xml:space="preserve"> 838</w:t>
      </w:r>
      <w:r w:rsidRPr="00B95677" w:rsidR="0066062A">
        <w:rPr>
          <w:rFonts w:ascii="Times New Roman" w:hAnsi="Times New Roman"/>
          <w:sz w:val="24"/>
          <w:szCs w:val="24"/>
        </w:rPr>
        <w:t>9</w:t>
      </w:r>
      <w:r w:rsidRPr="00B95677">
        <w:rPr>
          <w:rFonts w:ascii="Times New Roman" w:hAnsi="Times New Roman"/>
          <w:sz w:val="24"/>
          <w:szCs w:val="24"/>
        </w:rPr>
        <w:t>(d)</w:t>
      </w:r>
      <w:r w:rsidRPr="00B95677" w:rsidR="00143FA0">
        <w:rPr>
          <w:rFonts w:ascii="Times New Roman" w:hAnsi="Times New Roman"/>
          <w:sz w:val="24"/>
          <w:szCs w:val="24"/>
        </w:rPr>
        <w:t>(1), (2)</w:t>
      </w:r>
      <w:r w:rsidRPr="00B95677" w:rsidR="00FF11C2">
        <w:rPr>
          <w:rFonts w:ascii="Times New Roman" w:hAnsi="Times New Roman"/>
          <w:sz w:val="24"/>
          <w:szCs w:val="24"/>
        </w:rPr>
        <w:t xml:space="preserve">, (3) </w:t>
      </w:r>
      <w:r w:rsidRPr="00B95677" w:rsidR="00143FA0">
        <w:rPr>
          <w:rFonts w:ascii="Times New Roman" w:hAnsi="Times New Roman"/>
          <w:sz w:val="24"/>
          <w:szCs w:val="24"/>
        </w:rPr>
        <w:t xml:space="preserve">and </w:t>
      </w:r>
      <w:r w:rsidRPr="00B95677">
        <w:rPr>
          <w:rFonts w:ascii="Times New Roman" w:hAnsi="Times New Roman"/>
          <w:sz w:val="24"/>
          <w:szCs w:val="24"/>
        </w:rPr>
        <w:t>(4) require</w:t>
      </w:r>
      <w:r w:rsidRPr="00B95677" w:rsidR="00143FA0">
        <w:rPr>
          <w:rFonts w:ascii="Times New Roman" w:hAnsi="Times New Roman"/>
          <w:sz w:val="24"/>
          <w:szCs w:val="24"/>
        </w:rPr>
        <w:t xml:space="preserve"> the Commission to adopt, after consultation with </w:t>
      </w:r>
      <w:r w:rsidRPr="00B95677" w:rsidR="00FF11C2">
        <w:rPr>
          <w:rFonts w:ascii="Times New Roman" w:hAnsi="Times New Roman"/>
          <w:sz w:val="24"/>
          <w:szCs w:val="24"/>
        </w:rPr>
        <w:t>Energy Safety</w:t>
      </w:r>
      <w:r w:rsidRPr="00B95677" w:rsidR="00143FA0">
        <w:rPr>
          <w:rFonts w:ascii="Times New Roman" w:hAnsi="Times New Roman"/>
          <w:sz w:val="24"/>
          <w:szCs w:val="24"/>
        </w:rPr>
        <w:t xml:space="preserve">, the following: (1) performance metrics for electrical corporations, (2) additional requirements for wildfire mitigation plans, </w:t>
      </w:r>
      <w:r w:rsidRPr="00B95677" w:rsidR="00FF11C2">
        <w:rPr>
          <w:rFonts w:ascii="Times New Roman" w:hAnsi="Times New Roman"/>
          <w:sz w:val="24"/>
          <w:szCs w:val="24"/>
        </w:rPr>
        <w:t xml:space="preserve">(3) wildfire mitigation plan compliance process, </w:t>
      </w:r>
      <w:r w:rsidRPr="00B95677" w:rsidR="00143FA0">
        <w:rPr>
          <w:rFonts w:ascii="Times New Roman" w:hAnsi="Times New Roman"/>
          <w:sz w:val="24"/>
          <w:szCs w:val="24"/>
        </w:rPr>
        <w:t>and (4) a process for the division to conduct annual safety culture assessments for each electrical corporation.  This Resolution with its Attachments meet</w:t>
      </w:r>
      <w:r w:rsidRPr="00B95677" w:rsidR="0078369D">
        <w:rPr>
          <w:rFonts w:ascii="Times New Roman" w:hAnsi="Times New Roman"/>
          <w:sz w:val="24"/>
          <w:szCs w:val="24"/>
        </w:rPr>
        <w:t>s</w:t>
      </w:r>
      <w:r w:rsidRPr="00B95677" w:rsidR="00143FA0">
        <w:rPr>
          <w:rFonts w:ascii="Times New Roman" w:hAnsi="Times New Roman"/>
          <w:sz w:val="24"/>
          <w:szCs w:val="24"/>
        </w:rPr>
        <w:t xml:space="preserve"> each of the foregoing requirements.</w:t>
      </w:r>
    </w:p>
    <w:p w:rsidRPr="00B95677" w:rsidR="00AB5B28" w:rsidP="008F4C9D" w:rsidRDefault="00AB5B28" w14:paraId="3FB68481" w14:textId="77777777">
      <w:pPr>
        <w:pStyle w:val="ListParagraph"/>
        <w:numPr>
          <w:ilvl w:val="0"/>
          <w:numId w:val="8"/>
        </w:numPr>
        <w:spacing w:after="120"/>
        <w:ind w:left="360"/>
        <w:contextualSpacing w:val="0"/>
        <w:rPr>
          <w:rFonts w:ascii="Times New Roman" w:hAnsi="Times New Roman"/>
          <w:sz w:val="24"/>
          <w:szCs w:val="24"/>
        </w:rPr>
      </w:pPr>
      <w:r w:rsidRPr="00B95677">
        <w:rPr>
          <w:rFonts w:ascii="Times New Roman" w:hAnsi="Times New Roman"/>
          <w:sz w:val="24"/>
          <w:szCs w:val="24"/>
        </w:rPr>
        <w:t xml:space="preserve">Pub. Util. Code § 326(a)(1) requires Energy Safety to oversee and enforce electrical corporations’ compliance with wildfire safety pursuant to Chapter 6 (commencing with </w:t>
      </w:r>
      <w:r w:rsidR="003B6DFA">
        <w:rPr>
          <w:rFonts w:ascii="Times New Roman" w:hAnsi="Times New Roman"/>
          <w:sz w:val="24"/>
          <w:szCs w:val="24"/>
        </w:rPr>
        <w:br/>
      </w:r>
      <w:r w:rsidRPr="00B95677">
        <w:rPr>
          <w:rFonts w:ascii="Times New Roman" w:hAnsi="Times New Roman"/>
          <w:sz w:val="24"/>
          <w:szCs w:val="24"/>
        </w:rPr>
        <w:t>§ 8385) of Division 4 and § 8386.3(c) requires Energy Safety to oversee compliance with the WMPs.</w:t>
      </w:r>
    </w:p>
    <w:p w:rsidR="00712CFB" w:rsidP="00712CFB" w:rsidRDefault="00712CFB" w14:paraId="580631B0" w14:textId="77777777">
      <w:pPr>
        <w:pStyle w:val="ListParagraph"/>
        <w:numPr>
          <w:ilvl w:val="0"/>
          <w:numId w:val="8"/>
        </w:numPr>
        <w:spacing w:after="120"/>
        <w:ind w:left="360"/>
        <w:rPr>
          <w:rFonts w:ascii="Times New Roman" w:hAnsi="Times New Roman"/>
          <w:sz w:val="24"/>
          <w:szCs w:val="24"/>
        </w:rPr>
      </w:pPr>
      <w:r w:rsidRPr="00B95677">
        <w:rPr>
          <w:rFonts w:ascii="Times New Roman" w:hAnsi="Times New Roman"/>
          <w:sz w:val="24"/>
          <w:szCs w:val="24"/>
        </w:rPr>
        <w:t xml:space="preserve">Pub. Util. Code </w:t>
      </w:r>
      <w:r w:rsidRPr="00B95677" w:rsidR="00AF7CC0">
        <w:rPr>
          <w:rFonts w:ascii="Times New Roman" w:hAnsi="Times New Roman"/>
          <w:sz w:val="24"/>
          <w:szCs w:val="24"/>
        </w:rPr>
        <w:t>§</w:t>
      </w:r>
      <w:r w:rsidRPr="00B95677">
        <w:rPr>
          <w:rFonts w:ascii="Times New Roman" w:hAnsi="Times New Roman"/>
          <w:sz w:val="24"/>
          <w:szCs w:val="24"/>
        </w:rPr>
        <w:t xml:space="preserve"> 8386.1 allows the Commission to assess penalties on an electrical corporation that fails to substantially comply with its WMP.</w:t>
      </w:r>
    </w:p>
    <w:p w:rsidRPr="00B95677" w:rsidR="005F79E9" w:rsidP="005F79E9" w:rsidRDefault="005F79E9" w14:paraId="00AD0B34" w14:textId="77777777">
      <w:pPr>
        <w:pStyle w:val="ListParagraph"/>
        <w:spacing w:after="120"/>
        <w:ind w:left="360"/>
        <w:rPr>
          <w:rFonts w:ascii="Times New Roman" w:hAnsi="Times New Roman"/>
          <w:sz w:val="24"/>
          <w:szCs w:val="24"/>
        </w:rPr>
      </w:pPr>
    </w:p>
    <w:p w:rsidR="000863DF" w:rsidP="003B6DFA" w:rsidRDefault="00A40FDD" w14:paraId="09936A57" w14:textId="77777777">
      <w:pPr>
        <w:pStyle w:val="ListParagraph"/>
        <w:numPr>
          <w:ilvl w:val="0"/>
          <w:numId w:val="8"/>
        </w:numPr>
        <w:spacing w:after="120"/>
        <w:ind w:left="360"/>
        <w:rPr>
          <w:rFonts w:ascii="Times New Roman" w:hAnsi="Times New Roman"/>
          <w:sz w:val="24"/>
          <w:szCs w:val="24"/>
        </w:rPr>
      </w:pPr>
      <w:r w:rsidRPr="00B95677">
        <w:rPr>
          <w:rFonts w:ascii="Times New Roman" w:hAnsi="Times New Roman"/>
          <w:sz w:val="24"/>
          <w:szCs w:val="24"/>
        </w:rPr>
        <w:t xml:space="preserve">Energy Safety’s </w:t>
      </w:r>
      <w:r w:rsidRPr="00B95677" w:rsidR="00D10C80">
        <w:rPr>
          <w:rFonts w:ascii="Times New Roman" w:hAnsi="Times New Roman"/>
          <w:sz w:val="24"/>
          <w:szCs w:val="24"/>
        </w:rPr>
        <w:t>proposal to</w:t>
      </w:r>
      <w:r w:rsidRPr="00B95677" w:rsidR="009B3150">
        <w:rPr>
          <w:rFonts w:ascii="Times New Roman" w:hAnsi="Times New Roman"/>
          <w:sz w:val="24"/>
          <w:szCs w:val="24"/>
        </w:rPr>
        <w:t xml:space="preserve"> </w:t>
      </w:r>
      <w:r w:rsidRPr="00B95677" w:rsidR="0035781D">
        <w:rPr>
          <w:rFonts w:ascii="Times New Roman" w:hAnsi="Times New Roman"/>
          <w:sz w:val="24"/>
          <w:szCs w:val="24"/>
        </w:rPr>
        <w:t xml:space="preserve">maintain </w:t>
      </w:r>
      <w:r w:rsidRPr="00B95677" w:rsidR="009B3150">
        <w:rPr>
          <w:rFonts w:ascii="Times New Roman" w:hAnsi="Times New Roman"/>
          <w:sz w:val="24"/>
          <w:szCs w:val="24"/>
        </w:rPr>
        <w:t>the existing performance metrics is reasonable.</w:t>
      </w:r>
    </w:p>
    <w:p w:rsidRPr="00B95677" w:rsidR="003B6DFA" w:rsidP="003B6DFA" w:rsidRDefault="003B6DFA" w14:paraId="776331AB" w14:textId="77777777">
      <w:pPr>
        <w:pStyle w:val="ListParagraph"/>
        <w:spacing w:after="120"/>
        <w:ind w:left="360"/>
        <w:rPr>
          <w:rFonts w:ascii="Times New Roman" w:hAnsi="Times New Roman"/>
          <w:sz w:val="24"/>
          <w:szCs w:val="24"/>
        </w:rPr>
      </w:pPr>
    </w:p>
    <w:p w:rsidR="001A42A2" w:rsidP="003B6DFA" w:rsidRDefault="00F22328" w14:paraId="33755CF4" w14:textId="77777777">
      <w:pPr>
        <w:pStyle w:val="ListParagraph"/>
        <w:numPr>
          <w:ilvl w:val="0"/>
          <w:numId w:val="8"/>
        </w:numPr>
        <w:spacing w:after="120"/>
        <w:ind w:left="360"/>
        <w:rPr>
          <w:rFonts w:ascii="Times New Roman" w:hAnsi="Times New Roman"/>
          <w:sz w:val="24"/>
          <w:szCs w:val="24"/>
        </w:rPr>
      </w:pPr>
      <w:r w:rsidRPr="00B95677">
        <w:rPr>
          <w:rFonts w:ascii="Times New Roman" w:hAnsi="Times New Roman"/>
          <w:sz w:val="24"/>
          <w:szCs w:val="24"/>
        </w:rPr>
        <w:t xml:space="preserve">Energy Safety’s </w:t>
      </w:r>
      <w:r w:rsidRPr="00B95677" w:rsidR="00247551">
        <w:rPr>
          <w:rFonts w:ascii="Times New Roman" w:hAnsi="Times New Roman"/>
          <w:sz w:val="24"/>
          <w:szCs w:val="24"/>
        </w:rPr>
        <w:t>proposal</w:t>
      </w:r>
      <w:r w:rsidRPr="00B95677">
        <w:rPr>
          <w:rFonts w:ascii="Times New Roman" w:hAnsi="Times New Roman"/>
          <w:sz w:val="24"/>
          <w:szCs w:val="24"/>
        </w:rPr>
        <w:t xml:space="preserve"> to </w:t>
      </w:r>
      <w:r w:rsidRPr="00B95677" w:rsidR="002C53BD">
        <w:rPr>
          <w:rFonts w:ascii="Times New Roman" w:hAnsi="Times New Roman"/>
          <w:sz w:val="24"/>
          <w:szCs w:val="24"/>
        </w:rPr>
        <w:t>maintain the existing</w:t>
      </w:r>
      <w:r w:rsidRPr="00B95677">
        <w:rPr>
          <w:rFonts w:ascii="Times New Roman" w:hAnsi="Times New Roman"/>
          <w:sz w:val="24"/>
          <w:szCs w:val="24"/>
        </w:rPr>
        <w:t xml:space="preserve"> </w:t>
      </w:r>
      <w:r w:rsidRPr="00B95677" w:rsidR="00DF240E">
        <w:rPr>
          <w:rFonts w:ascii="Times New Roman" w:hAnsi="Times New Roman"/>
          <w:sz w:val="24"/>
          <w:szCs w:val="24"/>
        </w:rPr>
        <w:t>WMP requirements</w:t>
      </w:r>
      <w:r w:rsidRPr="00B95677" w:rsidR="002C53BD">
        <w:rPr>
          <w:rFonts w:ascii="Times New Roman" w:hAnsi="Times New Roman"/>
          <w:sz w:val="24"/>
          <w:szCs w:val="24"/>
        </w:rPr>
        <w:t xml:space="preserve"> </w:t>
      </w:r>
      <w:r w:rsidRPr="00B95677" w:rsidR="000863DF">
        <w:rPr>
          <w:rFonts w:ascii="Times New Roman" w:hAnsi="Times New Roman"/>
          <w:sz w:val="24"/>
          <w:szCs w:val="24"/>
        </w:rPr>
        <w:t>i</w:t>
      </w:r>
      <w:r w:rsidRPr="00B95677" w:rsidR="001A42A2">
        <w:rPr>
          <w:rFonts w:ascii="Times New Roman" w:hAnsi="Times New Roman"/>
          <w:sz w:val="24"/>
          <w:szCs w:val="24"/>
        </w:rPr>
        <w:t>s reasonable.</w:t>
      </w:r>
    </w:p>
    <w:p w:rsidRPr="00B95677" w:rsidR="003B6DFA" w:rsidP="003B6DFA" w:rsidRDefault="003B6DFA" w14:paraId="387BC732" w14:textId="77777777">
      <w:pPr>
        <w:pStyle w:val="ListParagraph"/>
        <w:spacing w:after="120"/>
        <w:ind w:left="360"/>
        <w:rPr>
          <w:rFonts w:ascii="Times New Roman" w:hAnsi="Times New Roman"/>
          <w:sz w:val="24"/>
          <w:szCs w:val="24"/>
        </w:rPr>
      </w:pPr>
    </w:p>
    <w:p w:rsidR="00712CFB" w:rsidP="003B6DFA" w:rsidRDefault="00712CFB" w14:paraId="7F9598BC" w14:textId="77777777">
      <w:pPr>
        <w:pStyle w:val="ListParagraph"/>
        <w:numPr>
          <w:ilvl w:val="0"/>
          <w:numId w:val="8"/>
        </w:numPr>
        <w:spacing w:after="120"/>
        <w:ind w:left="360"/>
        <w:rPr>
          <w:rFonts w:ascii="Times New Roman" w:hAnsi="Times New Roman"/>
          <w:sz w:val="24"/>
          <w:szCs w:val="24"/>
        </w:rPr>
      </w:pPr>
      <w:r w:rsidRPr="00B95677">
        <w:rPr>
          <w:rFonts w:ascii="Times New Roman" w:hAnsi="Times New Roman"/>
          <w:sz w:val="24"/>
          <w:szCs w:val="24"/>
        </w:rPr>
        <w:t>Energy Safety’s recommend</w:t>
      </w:r>
      <w:r w:rsidR="008F4E84">
        <w:rPr>
          <w:rFonts w:ascii="Times New Roman" w:hAnsi="Times New Roman"/>
          <w:sz w:val="24"/>
          <w:szCs w:val="24"/>
        </w:rPr>
        <w:t>ation to</w:t>
      </w:r>
      <w:r w:rsidRPr="00B95677">
        <w:rPr>
          <w:rFonts w:ascii="Times New Roman" w:hAnsi="Times New Roman"/>
          <w:sz w:val="24"/>
          <w:szCs w:val="24"/>
        </w:rPr>
        <w:t xml:space="preserve"> </w:t>
      </w:r>
      <w:r w:rsidR="005F79E9">
        <w:rPr>
          <w:rFonts w:ascii="Times New Roman" w:hAnsi="Times New Roman"/>
          <w:sz w:val="24"/>
          <w:szCs w:val="24"/>
        </w:rPr>
        <w:t>revis</w:t>
      </w:r>
      <w:r w:rsidR="00686810">
        <w:rPr>
          <w:rFonts w:ascii="Times New Roman" w:hAnsi="Times New Roman"/>
          <w:sz w:val="24"/>
          <w:szCs w:val="24"/>
        </w:rPr>
        <w:t>e</w:t>
      </w:r>
      <w:r w:rsidR="005F79E9">
        <w:rPr>
          <w:rFonts w:ascii="Times New Roman" w:hAnsi="Times New Roman"/>
          <w:sz w:val="24"/>
          <w:szCs w:val="24"/>
        </w:rPr>
        <w:t xml:space="preserve"> and update the </w:t>
      </w:r>
      <w:r w:rsidRPr="00B95677">
        <w:rPr>
          <w:rFonts w:ascii="Times New Roman" w:hAnsi="Times New Roman"/>
          <w:sz w:val="24"/>
          <w:szCs w:val="24"/>
        </w:rPr>
        <w:t xml:space="preserve">WMP compliance process </w:t>
      </w:r>
      <w:r w:rsidR="005F79E9">
        <w:rPr>
          <w:rFonts w:ascii="Times New Roman" w:hAnsi="Times New Roman"/>
          <w:sz w:val="24"/>
          <w:szCs w:val="24"/>
        </w:rPr>
        <w:t xml:space="preserve">for 2021 WMPs </w:t>
      </w:r>
      <w:r w:rsidRPr="00B95677">
        <w:rPr>
          <w:rFonts w:ascii="Times New Roman" w:hAnsi="Times New Roman"/>
          <w:sz w:val="24"/>
          <w:szCs w:val="24"/>
        </w:rPr>
        <w:t xml:space="preserve">in Attachment 3 </w:t>
      </w:r>
      <w:r w:rsidR="008F4E84">
        <w:rPr>
          <w:rFonts w:ascii="Times New Roman" w:hAnsi="Times New Roman"/>
          <w:sz w:val="24"/>
          <w:szCs w:val="24"/>
        </w:rPr>
        <w:t>is</w:t>
      </w:r>
      <w:r w:rsidRPr="00B95677">
        <w:rPr>
          <w:rFonts w:ascii="Times New Roman" w:hAnsi="Times New Roman"/>
          <w:sz w:val="24"/>
          <w:szCs w:val="24"/>
        </w:rPr>
        <w:t xml:space="preserve"> reasonable.</w:t>
      </w:r>
    </w:p>
    <w:p w:rsidRPr="00B95677" w:rsidR="003B6DFA" w:rsidP="003B6DFA" w:rsidRDefault="003B6DFA" w14:paraId="291160C1" w14:textId="77777777">
      <w:pPr>
        <w:pStyle w:val="ListParagraph"/>
        <w:spacing w:after="120"/>
        <w:ind w:left="360"/>
        <w:rPr>
          <w:rFonts w:ascii="Times New Roman" w:hAnsi="Times New Roman"/>
          <w:sz w:val="24"/>
          <w:szCs w:val="24"/>
        </w:rPr>
      </w:pPr>
    </w:p>
    <w:p w:rsidR="00551861" w:rsidP="003B6DFA" w:rsidRDefault="00551861" w14:paraId="1AB99AB7" w14:textId="77777777">
      <w:pPr>
        <w:pStyle w:val="ListParagraph"/>
        <w:numPr>
          <w:ilvl w:val="0"/>
          <w:numId w:val="8"/>
        </w:numPr>
        <w:spacing w:after="120"/>
        <w:ind w:left="360"/>
        <w:rPr>
          <w:rFonts w:ascii="Times New Roman" w:hAnsi="Times New Roman"/>
          <w:sz w:val="24"/>
          <w:szCs w:val="24"/>
        </w:rPr>
      </w:pPr>
      <w:r w:rsidRPr="00B95677">
        <w:rPr>
          <w:rFonts w:ascii="Times New Roman" w:hAnsi="Times New Roman"/>
          <w:sz w:val="24"/>
          <w:szCs w:val="24"/>
        </w:rPr>
        <w:t xml:space="preserve">Energy Safety’s </w:t>
      </w:r>
      <w:r w:rsidRPr="00B95677" w:rsidR="009978EC">
        <w:rPr>
          <w:rFonts w:ascii="Times New Roman" w:hAnsi="Times New Roman"/>
          <w:sz w:val="24"/>
          <w:szCs w:val="24"/>
        </w:rPr>
        <w:t>recommend</w:t>
      </w:r>
      <w:r w:rsidR="008F4E84">
        <w:rPr>
          <w:rFonts w:ascii="Times New Roman" w:hAnsi="Times New Roman"/>
          <w:sz w:val="24"/>
          <w:szCs w:val="24"/>
        </w:rPr>
        <w:t>ation to</w:t>
      </w:r>
      <w:r w:rsidRPr="00B95677" w:rsidR="00BD0D2D">
        <w:rPr>
          <w:rFonts w:ascii="Times New Roman" w:hAnsi="Times New Roman"/>
          <w:sz w:val="24"/>
          <w:szCs w:val="24"/>
        </w:rPr>
        <w:t xml:space="preserve"> </w:t>
      </w:r>
      <w:r w:rsidRPr="00B95677" w:rsidR="00327B86">
        <w:rPr>
          <w:rFonts w:ascii="Times New Roman" w:hAnsi="Times New Roman"/>
          <w:sz w:val="24"/>
          <w:szCs w:val="24"/>
        </w:rPr>
        <w:t xml:space="preserve">change and </w:t>
      </w:r>
      <w:r w:rsidRPr="00B95677" w:rsidR="00BD0D2D">
        <w:rPr>
          <w:rFonts w:ascii="Times New Roman" w:hAnsi="Times New Roman"/>
          <w:sz w:val="24"/>
          <w:szCs w:val="24"/>
        </w:rPr>
        <w:t>update the</w:t>
      </w:r>
      <w:r w:rsidRPr="00B95677" w:rsidR="009978EC">
        <w:rPr>
          <w:rFonts w:ascii="Times New Roman" w:hAnsi="Times New Roman"/>
          <w:sz w:val="24"/>
          <w:szCs w:val="24"/>
        </w:rPr>
        <w:t xml:space="preserve"> safety culture assessment process </w:t>
      </w:r>
      <w:r w:rsidRPr="00B95677" w:rsidR="007C7CBA">
        <w:rPr>
          <w:rFonts w:ascii="Times New Roman" w:hAnsi="Times New Roman"/>
          <w:sz w:val="24"/>
          <w:szCs w:val="24"/>
        </w:rPr>
        <w:t xml:space="preserve">in Attachment </w:t>
      </w:r>
      <w:r w:rsidRPr="00B95677" w:rsidR="00884C29">
        <w:rPr>
          <w:rFonts w:ascii="Times New Roman" w:hAnsi="Times New Roman"/>
          <w:sz w:val="24"/>
          <w:szCs w:val="24"/>
        </w:rPr>
        <w:t>4</w:t>
      </w:r>
      <w:r w:rsidRPr="00B95677" w:rsidR="00606B0F">
        <w:rPr>
          <w:rFonts w:ascii="Times New Roman" w:hAnsi="Times New Roman"/>
          <w:sz w:val="24"/>
          <w:szCs w:val="24"/>
        </w:rPr>
        <w:t xml:space="preserve"> </w:t>
      </w:r>
      <w:r w:rsidR="008F4E84">
        <w:rPr>
          <w:rFonts w:ascii="Times New Roman" w:hAnsi="Times New Roman"/>
          <w:sz w:val="24"/>
          <w:szCs w:val="24"/>
        </w:rPr>
        <w:t>is</w:t>
      </w:r>
      <w:r w:rsidRPr="00B95677" w:rsidR="00BD0D2D">
        <w:rPr>
          <w:rFonts w:ascii="Times New Roman" w:hAnsi="Times New Roman"/>
          <w:sz w:val="24"/>
          <w:szCs w:val="24"/>
        </w:rPr>
        <w:t xml:space="preserve"> reasonable.</w:t>
      </w:r>
    </w:p>
    <w:p w:rsidRPr="00B95677" w:rsidR="003B6DFA" w:rsidP="003B6DFA" w:rsidRDefault="003B6DFA" w14:paraId="5D7126B6" w14:textId="77777777">
      <w:pPr>
        <w:pStyle w:val="ListParagraph"/>
        <w:spacing w:after="120"/>
        <w:ind w:left="360"/>
        <w:rPr>
          <w:rFonts w:ascii="Times New Roman" w:hAnsi="Times New Roman"/>
          <w:sz w:val="24"/>
          <w:szCs w:val="24"/>
        </w:rPr>
      </w:pPr>
    </w:p>
    <w:p w:rsidRPr="00B95677" w:rsidR="00433A26" w:rsidP="003B6DFA" w:rsidRDefault="008F4E84" w14:paraId="58E6F1DA" w14:textId="77777777">
      <w:pPr>
        <w:pStyle w:val="ListParagraph"/>
        <w:numPr>
          <w:ilvl w:val="0"/>
          <w:numId w:val="8"/>
        </w:numPr>
        <w:spacing w:after="120"/>
        <w:ind w:left="360"/>
        <w:rPr>
          <w:rFonts w:ascii="Times New Roman" w:hAnsi="Times New Roman"/>
          <w:sz w:val="24"/>
          <w:szCs w:val="24"/>
        </w:rPr>
      </w:pPr>
      <w:r>
        <w:rPr>
          <w:rFonts w:ascii="Times New Roman" w:hAnsi="Times New Roman"/>
          <w:sz w:val="24"/>
          <w:szCs w:val="24"/>
        </w:rPr>
        <w:t>Energy Safety’s</w:t>
      </w:r>
      <w:r w:rsidRPr="00B95677">
        <w:rPr>
          <w:rFonts w:ascii="Times New Roman" w:hAnsi="Times New Roman"/>
          <w:sz w:val="24"/>
          <w:szCs w:val="24"/>
        </w:rPr>
        <w:t xml:space="preserve"> recommendations contained in </w:t>
      </w:r>
      <w:r w:rsidRPr="00B95677" w:rsidR="0078369D">
        <w:rPr>
          <w:rFonts w:ascii="Times New Roman" w:hAnsi="Times New Roman"/>
          <w:sz w:val="24"/>
          <w:szCs w:val="24"/>
        </w:rPr>
        <w:t>Attachments</w:t>
      </w:r>
      <w:r>
        <w:rPr>
          <w:rFonts w:ascii="Times New Roman" w:hAnsi="Times New Roman"/>
          <w:sz w:val="24"/>
          <w:szCs w:val="24"/>
        </w:rPr>
        <w:t xml:space="preserve"> 1, 2, 3, and 4</w:t>
      </w:r>
      <w:r w:rsidRPr="00B95677" w:rsidR="0078369D">
        <w:rPr>
          <w:rFonts w:ascii="Times New Roman" w:hAnsi="Times New Roman"/>
          <w:sz w:val="24"/>
          <w:szCs w:val="24"/>
        </w:rPr>
        <w:t xml:space="preserve"> to this Resolution reasonably address the requirements of </w:t>
      </w:r>
      <w:r w:rsidRPr="00B95677">
        <w:rPr>
          <w:rFonts w:ascii="Times New Roman" w:hAnsi="Times New Roman"/>
          <w:sz w:val="24"/>
          <w:szCs w:val="24"/>
        </w:rPr>
        <w:t>Public Utilit</w:t>
      </w:r>
      <w:r>
        <w:rPr>
          <w:rFonts w:ascii="Times New Roman" w:hAnsi="Times New Roman"/>
          <w:sz w:val="24"/>
          <w:szCs w:val="24"/>
        </w:rPr>
        <w:t>i</w:t>
      </w:r>
      <w:r w:rsidRPr="00B95677">
        <w:rPr>
          <w:rFonts w:ascii="Times New Roman" w:hAnsi="Times New Roman"/>
          <w:sz w:val="24"/>
          <w:szCs w:val="24"/>
        </w:rPr>
        <w:t xml:space="preserve">es Code </w:t>
      </w:r>
      <w:r w:rsidRPr="00B95677" w:rsidR="0078369D">
        <w:rPr>
          <w:rFonts w:ascii="Times New Roman" w:hAnsi="Times New Roman"/>
          <w:sz w:val="24"/>
          <w:szCs w:val="24"/>
        </w:rPr>
        <w:t>§§ 838</w:t>
      </w:r>
      <w:r w:rsidRPr="00B95677" w:rsidR="00081BAC">
        <w:rPr>
          <w:rFonts w:ascii="Times New Roman" w:hAnsi="Times New Roman"/>
          <w:sz w:val="24"/>
          <w:szCs w:val="24"/>
        </w:rPr>
        <w:t>9</w:t>
      </w:r>
      <w:r w:rsidRPr="00B95677" w:rsidR="0078369D">
        <w:rPr>
          <w:rFonts w:ascii="Times New Roman" w:hAnsi="Times New Roman"/>
          <w:sz w:val="24"/>
          <w:szCs w:val="24"/>
        </w:rPr>
        <w:t>(d)(1), (2)</w:t>
      </w:r>
      <w:r w:rsidRPr="00B95677" w:rsidR="00C907D4">
        <w:rPr>
          <w:rFonts w:ascii="Times New Roman" w:hAnsi="Times New Roman"/>
          <w:sz w:val="24"/>
          <w:szCs w:val="24"/>
        </w:rPr>
        <w:t>, (3)</w:t>
      </w:r>
      <w:r w:rsidRPr="00B95677" w:rsidR="0078369D">
        <w:rPr>
          <w:rFonts w:ascii="Times New Roman" w:hAnsi="Times New Roman"/>
          <w:sz w:val="24"/>
          <w:szCs w:val="24"/>
        </w:rPr>
        <w:t xml:space="preserve"> and (4).  </w:t>
      </w:r>
    </w:p>
    <w:p w:rsidRPr="00B95677" w:rsidR="007F1D7D" w:rsidP="00AB5B28" w:rsidRDefault="007F1D7D" w14:paraId="2ED91AF4" w14:textId="77777777">
      <w:pPr>
        <w:pStyle w:val="ListParagraph"/>
        <w:spacing w:after="120"/>
        <w:ind w:left="360"/>
        <w:contextualSpacing w:val="0"/>
        <w:rPr>
          <w:rFonts w:ascii="Times New Roman" w:hAnsi="Times New Roman"/>
          <w:sz w:val="24"/>
          <w:szCs w:val="24"/>
        </w:rPr>
      </w:pPr>
    </w:p>
    <w:p w:rsidR="005F5ABD" w:rsidP="003B6DFA" w:rsidRDefault="003B6DFA" w14:paraId="59EBC58D" w14:textId="77777777">
      <w:pPr>
        <w:rPr>
          <w:rFonts w:ascii="Times New Roman" w:hAnsi="Times New Roman" w:cs="Times New Roman"/>
          <w:b/>
          <w:bCs/>
        </w:rPr>
      </w:pPr>
      <w:r w:rsidRPr="003B6DFA">
        <w:rPr>
          <w:rFonts w:ascii="Times New Roman" w:hAnsi="Times New Roman" w:cs="Times New Roman"/>
          <w:b/>
          <w:bCs/>
        </w:rPr>
        <w:t>THEREFORE, IT IS ORDERED that</w:t>
      </w:r>
      <w:r w:rsidRPr="003B6DFA" w:rsidR="005F5ABD">
        <w:rPr>
          <w:rFonts w:ascii="Times New Roman" w:hAnsi="Times New Roman" w:cs="Times New Roman"/>
          <w:b/>
          <w:bCs/>
        </w:rPr>
        <w:t>:</w:t>
      </w:r>
    </w:p>
    <w:p w:rsidRPr="003B6DFA" w:rsidR="003B6DFA" w:rsidP="003B6DFA" w:rsidRDefault="003B6DFA" w14:paraId="450693EE" w14:textId="77777777">
      <w:pPr>
        <w:rPr>
          <w:rFonts w:ascii="Times New Roman" w:hAnsi="Times New Roman" w:cs="Times New Roman"/>
        </w:rPr>
      </w:pPr>
    </w:p>
    <w:p w:rsidRPr="00B95677" w:rsidR="005F5ABD" w:rsidP="008F4E84" w:rsidRDefault="008F4E84" w14:paraId="2865E5E8" w14:textId="77777777">
      <w:pPr>
        <w:pStyle w:val="Standard"/>
        <w:numPr>
          <w:ilvl w:val="0"/>
          <w:numId w:val="11"/>
        </w:numPr>
        <w:spacing w:after="120"/>
        <w:ind w:left="360"/>
        <w:rPr>
          <w:rFonts w:ascii="Times New Roman" w:hAnsi="Times New Roman" w:cs="Times New Roman"/>
          <w:sz w:val="24"/>
          <w:szCs w:val="24"/>
        </w:rPr>
      </w:pPr>
      <w:r>
        <w:rPr>
          <w:rFonts w:ascii="Times New Roman" w:hAnsi="Times New Roman" w:cs="Times New Roman"/>
          <w:sz w:val="24"/>
          <w:szCs w:val="24"/>
        </w:rPr>
        <w:t xml:space="preserve">The </w:t>
      </w:r>
      <w:r w:rsidRPr="008F4E84">
        <w:rPr>
          <w:rFonts w:ascii="Times New Roman" w:hAnsi="Times New Roman" w:cs="Times New Roman"/>
          <w:sz w:val="24"/>
          <w:szCs w:val="24"/>
        </w:rPr>
        <w:t xml:space="preserve">Office of Energy Infrastructure Safety’s </w:t>
      </w:r>
      <w:r>
        <w:rPr>
          <w:rFonts w:ascii="Times New Roman" w:hAnsi="Times New Roman" w:cs="Times New Roman"/>
          <w:sz w:val="24"/>
          <w:szCs w:val="24"/>
        </w:rPr>
        <w:t xml:space="preserve">recommendations are hereby adopted </w:t>
      </w:r>
      <w:r w:rsidRPr="008F4E84">
        <w:rPr>
          <w:rFonts w:ascii="Times New Roman" w:hAnsi="Times New Roman" w:cs="Times New Roman"/>
          <w:sz w:val="24"/>
          <w:szCs w:val="24"/>
        </w:rPr>
        <w:t xml:space="preserve">for the following: (1) performance metrics for electrical corporations, (2) additional requirements for wildfire mitigation plans, (3) wildfire mitigation plan compliance process, and (4) a process for </w:t>
      </w:r>
      <w:r w:rsidR="006F6D88">
        <w:rPr>
          <w:rFonts w:ascii="Times New Roman" w:hAnsi="Times New Roman" w:cs="Times New Roman"/>
          <w:sz w:val="24"/>
          <w:szCs w:val="24"/>
        </w:rPr>
        <w:t>Energy Safety</w:t>
      </w:r>
      <w:r w:rsidRPr="008F4E84">
        <w:rPr>
          <w:rFonts w:ascii="Times New Roman" w:hAnsi="Times New Roman" w:cs="Times New Roman"/>
          <w:sz w:val="24"/>
          <w:szCs w:val="24"/>
        </w:rPr>
        <w:t xml:space="preserve"> to conduct annual safety culture assessments for each electrical corporation. </w:t>
      </w:r>
      <w:r w:rsidRPr="00B95677" w:rsidR="005F5ABD">
        <w:rPr>
          <w:rFonts w:ascii="Times New Roman" w:hAnsi="Times New Roman" w:cs="Times New Roman"/>
          <w:sz w:val="24"/>
          <w:szCs w:val="24"/>
        </w:rPr>
        <w:t>This Resolution is effective today.</w:t>
      </w:r>
    </w:p>
    <w:p w:rsidRPr="00B95677" w:rsidR="005F5ABD" w:rsidP="001E068E" w:rsidRDefault="005F5ABD" w14:paraId="58375D34" w14:textId="77777777">
      <w:pPr>
        <w:pStyle w:val="Standard"/>
        <w:spacing w:after="0"/>
        <w:rPr>
          <w:rFonts w:ascii="Times New Roman" w:hAnsi="Times New Roman" w:cs="Times New Roman"/>
          <w:snapToGrid w:val="0"/>
          <w:sz w:val="24"/>
          <w:szCs w:val="24"/>
        </w:rPr>
      </w:pPr>
      <w:r w:rsidRPr="00B95677">
        <w:rPr>
          <w:rFonts w:ascii="Times New Roman" w:hAnsi="Times New Roman" w:cs="Times New Roman"/>
          <w:snapToGrid w:val="0"/>
          <w:sz w:val="24"/>
          <w:szCs w:val="24"/>
        </w:rPr>
        <w:t>I certify that the foregoing resolution was duly introduced, passed and adopted at a conference of the Public Utilities Commission of the State of California held on</w:t>
      </w:r>
      <w:r w:rsidR="00F2580C">
        <w:rPr>
          <w:rFonts w:ascii="Times New Roman" w:hAnsi="Times New Roman" w:cs="Times New Roman"/>
          <w:snapToGrid w:val="0"/>
          <w:sz w:val="24"/>
          <w:szCs w:val="24"/>
        </w:rPr>
        <w:t xml:space="preserve"> December 2, 2021</w:t>
      </w:r>
      <w:r w:rsidRPr="00B95677">
        <w:rPr>
          <w:rFonts w:ascii="Times New Roman" w:hAnsi="Times New Roman" w:cs="Times New Roman"/>
          <w:snapToGrid w:val="0"/>
          <w:sz w:val="24"/>
          <w:szCs w:val="24"/>
        </w:rPr>
        <w:t>; the following Commissioners voting favorably thereon:</w:t>
      </w:r>
    </w:p>
    <w:p w:rsidRPr="00B95677" w:rsidR="007446B6" w:rsidP="007446B6" w:rsidRDefault="007446B6" w14:paraId="5EFF6D81" w14:textId="77777777">
      <w:pPr>
        <w:rPr>
          <w:rFonts w:ascii="Times New Roman" w:hAnsi="Times New Roman" w:cs="Times New Roman"/>
          <w:sz w:val="24"/>
          <w:szCs w:val="24"/>
        </w:rPr>
      </w:pPr>
    </w:p>
    <w:p w:rsidR="007446B6" w:rsidP="007446B6" w:rsidRDefault="007446B6" w14:paraId="0818D0FF" w14:textId="77777777">
      <w:pPr>
        <w:rPr>
          <w:rFonts w:ascii="Times New Roman" w:hAnsi="Times New Roman" w:cs="Times New Roman"/>
          <w:sz w:val="24"/>
          <w:szCs w:val="24"/>
        </w:rPr>
      </w:pPr>
    </w:p>
    <w:p w:rsidRPr="00B95677" w:rsidR="00F2580C" w:rsidP="007446B6" w:rsidRDefault="00F2580C" w14:paraId="3B168607" w14:textId="77777777">
      <w:pPr>
        <w:rPr>
          <w:rFonts w:ascii="Times New Roman" w:hAnsi="Times New Roman" w:cs="Times New Roman"/>
          <w:sz w:val="24"/>
          <w:szCs w:val="24"/>
        </w:rPr>
      </w:pPr>
    </w:p>
    <w:tbl>
      <w:tblPr>
        <w:tblStyle w:val="TableGrid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54"/>
        <w:gridCol w:w="851"/>
        <w:gridCol w:w="4255"/>
      </w:tblGrid>
      <w:tr w:rsidRPr="00B95677" w:rsidR="007446B6" w:rsidTr="007446B6" w14:paraId="10D56F1F" w14:textId="77777777">
        <w:trPr>
          <w:jc w:val="center"/>
        </w:trPr>
        <w:tc>
          <w:tcPr>
            <w:tcW w:w="3600" w:type="dxa"/>
          </w:tcPr>
          <w:p w:rsidRPr="00B95677" w:rsidR="007446B6" w:rsidP="007446B6" w:rsidRDefault="007446B6" w14:paraId="6A2087A4" w14:textId="77777777">
            <w:pPr>
              <w:rPr>
                <w:rFonts w:ascii="Times New Roman" w:hAnsi="Times New Roman"/>
                <w:sz w:val="24"/>
                <w:szCs w:val="24"/>
              </w:rPr>
            </w:pPr>
          </w:p>
        </w:tc>
        <w:tc>
          <w:tcPr>
            <w:tcW w:w="720" w:type="dxa"/>
          </w:tcPr>
          <w:p w:rsidRPr="00B95677" w:rsidR="007446B6" w:rsidP="007446B6" w:rsidRDefault="007446B6" w14:paraId="7D009B41" w14:textId="77777777">
            <w:pPr>
              <w:rPr>
                <w:rFonts w:ascii="Times New Roman" w:hAnsi="Times New Roman"/>
                <w:sz w:val="24"/>
                <w:szCs w:val="24"/>
              </w:rPr>
            </w:pPr>
          </w:p>
        </w:tc>
        <w:tc>
          <w:tcPr>
            <w:tcW w:w="3600" w:type="dxa"/>
            <w:tcBorders>
              <w:bottom w:val="single" w:color="auto" w:sz="4" w:space="0"/>
            </w:tcBorders>
          </w:tcPr>
          <w:p w:rsidRPr="00B95677" w:rsidR="007446B6" w:rsidP="004B79F9" w:rsidRDefault="004B79F9" w14:paraId="1B511669" w14:textId="53B23947">
            <w:pPr>
              <w:rPr>
                <w:rFonts w:ascii="Times New Roman" w:hAnsi="Times New Roman"/>
                <w:sz w:val="24"/>
                <w:szCs w:val="24"/>
              </w:rPr>
            </w:pPr>
            <w:r>
              <w:rPr>
                <w:rFonts w:ascii="Times New Roman" w:hAnsi="Times New Roman"/>
                <w:sz w:val="24"/>
                <w:szCs w:val="24"/>
              </w:rPr>
              <w:t>/s/         RACHEL PETERSON</w:t>
            </w:r>
          </w:p>
        </w:tc>
      </w:tr>
      <w:tr w:rsidRPr="00B95677" w:rsidR="007446B6" w:rsidTr="007446B6" w14:paraId="2D9E99E3" w14:textId="77777777">
        <w:trPr>
          <w:jc w:val="center"/>
        </w:trPr>
        <w:tc>
          <w:tcPr>
            <w:tcW w:w="3600" w:type="dxa"/>
          </w:tcPr>
          <w:p w:rsidRPr="00B95677" w:rsidR="007446B6" w:rsidP="007446B6" w:rsidRDefault="007446B6" w14:paraId="6714BBD8" w14:textId="77777777">
            <w:pPr>
              <w:rPr>
                <w:rFonts w:ascii="Times New Roman" w:hAnsi="Times New Roman"/>
                <w:sz w:val="24"/>
                <w:szCs w:val="24"/>
              </w:rPr>
            </w:pPr>
          </w:p>
        </w:tc>
        <w:tc>
          <w:tcPr>
            <w:tcW w:w="720" w:type="dxa"/>
          </w:tcPr>
          <w:p w:rsidRPr="00B95677" w:rsidR="007446B6" w:rsidP="007446B6" w:rsidRDefault="007446B6" w14:paraId="21774787" w14:textId="77777777">
            <w:pPr>
              <w:rPr>
                <w:rFonts w:ascii="Times New Roman" w:hAnsi="Times New Roman"/>
                <w:sz w:val="24"/>
                <w:szCs w:val="24"/>
              </w:rPr>
            </w:pPr>
          </w:p>
        </w:tc>
        <w:tc>
          <w:tcPr>
            <w:tcW w:w="3600" w:type="dxa"/>
            <w:tcBorders>
              <w:top w:val="single" w:color="auto" w:sz="4" w:space="0"/>
            </w:tcBorders>
          </w:tcPr>
          <w:p w:rsidRPr="00B95677" w:rsidR="007446B6" w:rsidP="007446B6" w:rsidRDefault="003923D6" w14:paraId="77FFDBC2" w14:textId="77777777">
            <w:pPr>
              <w:jc w:val="center"/>
              <w:rPr>
                <w:rFonts w:ascii="Times New Roman" w:hAnsi="Times New Roman"/>
                <w:sz w:val="24"/>
                <w:szCs w:val="24"/>
              </w:rPr>
            </w:pPr>
            <w:r w:rsidRPr="00B95677">
              <w:rPr>
                <w:rFonts w:ascii="Times New Roman" w:hAnsi="Times New Roman"/>
                <w:sz w:val="24"/>
                <w:szCs w:val="24"/>
              </w:rPr>
              <w:t>Rachel Peterson</w:t>
            </w:r>
            <w:r w:rsidRPr="00B95677">
              <w:rPr>
                <w:rFonts w:ascii="Times New Roman" w:hAnsi="Times New Roman"/>
                <w:sz w:val="24"/>
                <w:szCs w:val="24"/>
              </w:rPr>
              <w:br/>
              <w:t>Executive Director</w:t>
            </w:r>
          </w:p>
        </w:tc>
      </w:tr>
    </w:tbl>
    <w:p w:rsidRPr="00B95677" w:rsidR="00C74010" w:rsidP="00615424" w:rsidRDefault="00C74010" w14:paraId="38826F69" w14:textId="77777777">
      <w:pPr>
        <w:widowControl w:val="0"/>
        <w:tabs>
          <w:tab w:val="left" w:pos="2160"/>
          <w:tab w:val="center" w:pos="3150"/>
          <w:tab w:val="left" w:pos="4770"/>
          <w:tab w:val="right" w:pos="8640"/>
        </w:tabs>
        <w:rPr>
          <w:rFonts w:ascii="Times New Roman" w:hAnsi="Times New Roman" w:cs="Times New Roman"/>
          <w:sz w:val="24"/>
          <w:szCs w:val="24"/>
          <w:lang w:val="en"/>
        </w:rPr>
      </w:pPr>
    </w:p>
    <w:p w:rsidRPr="00E50242" w:rsidR="002A4BB9" w:rsidP="002A4BB9" w:rsidRDefault="002A4BB9" w14:paraId="6F8BB426" w14:textId="77777777">
      <w:pPr>
        <w:pStyle w:val="standard0"/>
        <w:spacing w:line="240" w:lineRule="auto"/>
        <w:ind w:left="4320"/>
        <w:rPr>
          <w:rFonts w:ascii="Times New Roman" w:hAnsi="Times New Roman"/>
        </w:rPr>
      </w:pPr>
      <w:bookmarkStart w:name="_Hlk61602525" w:id="5"/>
      <w:r>
        <w:rPr>
          <w:rFonts w:ascii="Times New Roman" w:hAnsi="Times New Roman"/>
        </w:rPr>
        <w:t>MARYBEL BATJER</w:t>
      </w:r>
    </w:p>
    <w:p w:rsidRPr="00E50242" w:rsidR="002A4BB9" w:rsidP="002A4BB9" w:rsidRDefault="002A4BB9" w14:paraId="5D8AFB68" w14:textId="77777777">
      <w:pPr>
        <w:pStyle w:val="standard0"/>
        <w:spacing w:line="240" w:lineRule="auto"/>
        <w:ind w:left="5040" w:firstLine="0"/>
        <w:rPr>
          <w:rFonts w:ascii="Times New Roman" w:hAnsi="Times New Roman"/>
        </w:rPr>
      </w:pPr>
      <w:r w:rsidRPr="00E50242">
        <w:rPr>
          <w:rFonts w:ascii="Times New Roman" w:hAnsi="Times New Roman"/>
        </w:rPr>
        <w:t xml:space="preserve">                       President</w:t>
      </w:r>
    </w:p>
    <w:p w:rsidRPr="00E50242" w:rsidR="002A4BB9" w:rsidP="002A4BB9" w:rsidRDefault="002A4BB9" w14:paraId="37DBAA4F"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2A4BB9" w:rsidP="002A4BB9" w:rsidRDefault="002A4BB9" w14:paraId="01217743"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2A4BB9" w:rsidP="002A4BB9" w:rsidRDefault="002A4BB9" w14:paraId="7BE901A7" w14:textId="77777777">
      <w:pPr>
        <w:pStyle w:val="standard0"/>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A264AD" w:rsidR="002A4BB9" w:rsidP="002A4BB9" w:rsidRDefault="002A4BB9" w14:paraId="34F16C57" w14:textId="77777777">
      <w:pPr>
        <w:pStyle w:val="standard0"/>
        <w:tabs>
          <w:tab w:val="left" w:pos="8220"/>
        </w:tabs>
        <w:spacing w:line="240" w:lineRule="auto"/>
        <w:ind w:left="5040" w:firstLine="0"/>
        <w:rPr>
          <w:rFonts w:ascii="Times New Roman" w:hAnsi="Times New Roman"/>
        </w:rPr>
      </w:pPr>
      <w:r>
        <w:rPr>
          <w:rFonts w:ascii="Times New Roman" w:hAnsi="Times New Roman"/>
        </w:rPr>
        <w:t>DARCIE L. HOUCK</w:t>
      </w:r>
    </w:p>
    <w:p w:rsidR="002A4BB9" w:rsidP="002A4BB9" w:rsidRDefault="002A4BB9" w14:paraId="2CD6109C" w14:textId="77777777">
      <w:pPr>
        <w:pStyle w:val="standard0"/>
        <w:spacing w:line="240" w:lineRule="auto"/>
        <w:ind w:left="5040" w:firstLine="0"/>
        <w:rPr>
          <w:rFonts w:ascii="Times New Roman" w:hAnsi="Times New Roman"/>
        </w:rPr>
      </w:pPr>
      <w:r w:rsidRPr="00E50242">
        <w:rPr>
          <w:rFonts w:ascii="Times New Roman" w:hAnsi="Times New Roman"/>
        </w:rPr>
        <w:t xml:space="preserve">                       Commissioners</w:t>
      </w:r>
      <w:bookmarkEnd w:id="5"/>
    </w:p>
    <w:p w:rsidR="00182386" w:rsidRDefault="00182386" w14:paraId="7EF8CFBB" w14:textId="77777777"/>
    <w:p w:rsidR="00182386" w:rsidRDefault="0085363A" w14:paraId="2A4628CE" w14:textId="51286D7D">
      <w:r>
        <w:t>Attachment</w:t>
      </w:r>
      <w:r w:rsidR="005438F1">
        <w:t>s</w:t>
      </w:r>
      <w:r>
        <w:t xml:space="preserve"> 1</w:t>
      </w:r>
      <w:r w:rsidR="005438F1">
        <w:t>-4</w:t>
      </w:r>
      <w:r>
        <w:t xml:space="preserve"> </w:t>
      </w:r>
    </w:p>
    <w:sectPr w:rsidR="00182386" w:rsidSect="0008084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
      <w:r>
        <w:t xml:space="preserve"/>
      </w:r>
    </w:p>
    <w:p>
      <w:r>
        <w:t xml:space="preserve">Attachment 1: </w:t>
      </w:r>
    </w:p>
    <w:p>
      <w:hyperlink w:history="true" r:id="R94f11a11a79a4383">
        <w:r w:rsidRPr="00CB1292">
          <w:rPr>
            <w:rStyle w:val="Hyperlink"/>
            <w:color w:val="2E74B5" w:themeColor="accent1" w:themeShade="BF"/>
            <w:u w:val="single"/>
          </w:rPr>
          <w:t>Attachment 1 - 2021 Review of Performance Metrics for Electrical Corporations.pdf</w:t>
        </w:r>
      </w:hyperlink>
    </w:p>
    <w:p>
      <w:r>
        <w:t xml:space="preserve"/>
      </w:r>
    </w:p>
    <w:p>
      <w:r>
        <w:t xml:space="preserve">Attachment 2: </w:t>
      </w:r>
    </w:p>
    <w:p>
      <w:hyperlink w:history="true" r:id="R673a1b440b784cf7">
        <w:r w:rsidRPr="00CB1292">
          <w:rPr>
            <w:rStyle w:val="Hyperlink"/>
            <w:color w:val="2E74B5" w:themeColor="accent1" w:themeShade="BF"/>
            <w:u w:val="single"/>
          </w:rPr>
          <w:t>Attachment 2 - 2021 Review of Additional Requirements for Wildfire Mitigation Plans.pdf</w:t>
        </w:r>
      </w:hyperlink>
    </w:p>
    <w:p>
      <w:r>
        <w:t xml:space="preserve"/>
      </w:r>
    </w:p>
    <w:p>
      <w:r>
        <w:t xml:space="preserve">Attachment 3: </w:t>
      </w:r>
    </w:p>
    <w:p>
      <w:hyperlink w:history="true" r:id="Ra1fb1f37285346cd">
        <w:r w:rsidRPr="00CB1292">
          <w:rPr>
            <w:rStyle w:val="Hyperlink"/>
            <w:color w:val="2E74B5" w:themeColor="accent1" w:themeShade="BF"/>
            <w:u w:val="single"/>
          </w:rPr>
          <w:t>Attachment 3 - 2021 WMP Compliance Process.pdf</w:t>
        </w:r>
      </w:hyperlink>
    </w:p>
    <w:p>
      <w:r>
        <w:t xml:space="preserve"/>
      </w:r>
    </w:p>
    <w:p>
      <w:r>
        <w:t xml:space="preserve">Attachment 4: </w:t>
      </w:r>
    </w:p>
    <w:p>
      <w:hyperlink w:history="true" r:id="Rf8671744f71f4fb5">
        <w:r w:rsidRPr="00CB1292">
          <w:rPr>
            <w:rStyle w:val="Hyperlink"/>
            <w:color w:val="2E74B5" w:themeColor="accent1" w:themeShade="BF"/>
            <w:u w:val="single"/>
          </w:rPr>
          <w:t>Attachment 4 - 2022 Safety Culture Assessment Process.pdf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2D46" w14:textId="77777777" w:rsidR="00BF3CBF" w:rsidRDefault="00BF3CBF" w:rsidP="0098138E">
      <w:r>
        <w:separator/>
      </w:r>
    </w:p>
  </w:endnote>
  <w:endnote w:type="continuationSeparator" w:id="0">
    <w:p w14:paraId="74907C49" w14:textId="77777777" w:rsidR="00BF3CBF" w:rsidRDefault="00BF3CBF" w:rsidP="0098138E">
      <w:r>
        <w:continuationSeparator/>
      </w:r>
    </w:p>
  </w:endnote>
  <w:endnote w:type="continuationNotice" w:id="1">
    <w:p w14:paraId="31C39890" w14:textId="77777777" w:rsidR="00BF3CBF" w:rsidRDefault="00BF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A247" w14:textId="0116A8C7" w:rsidR="002D1B25" w:rsidRPr="00B95677" w:rsidRDefault="006915E6" w:rsidP="000629FA">
    <w:pPr>
      <w:pStyle w:val="Footer"/>
      <w:tabs>
        <w:tab w:val="clear" w:pos="4680"/>
        <w:tab w:val="clear" w:pos="9360"/>
      </w:tabs>
      <w:rPr>
        <w:rFonts w:ascii="Times New Roman" w:hAnsi="Times New Roman" w:cs="Times New Roman"/>
        <w:sz w:val="22"/>
      </w:rPr>
    </w:pPr>
    <w:r w:rsidRPr="006915E6">
      <w:rPr>
        <w:rFonts w:ascii="Times New Roman" w:hAnsi="Times New Roman" w:cs="Times New Roman"/>
        <w:sz w:val="16"/>
        <w:szCs w:val="16"/>
      </w:rPr>
      <w:t>428722129</w:t>
    </w:r>
    <w:r w:rsidR="000629FA">
      <w:rPr>
        <w:rFonts w:ascii="Times New Roman" w:hAnsi="Times New Roman" w:cs="Times New Roman"/>
        <w:sz w:val="22"/>
      </w:rPr>
      <w:tab/>
    </w:r>
    <w:r w:rsidR="000629FA">
      <w:rPr>
        <w:rFonts w:ascii="Times New Roman" w:hAnsi="Times New Roman" w:cs="Times New Roman"/>
        <w:sz w:val="22"/>
      </w:rPr>
      <w:tab/>
    </w:r>
    <w:r w:rsidR="000629FA">
      <w:rPr>
        <w:rFonts w:ascii="Times New Roman" w:hAnsi="Times New Roman" w:cs="Times New Roman"/>
        <w:sz w:val="22"/>
      </w:rPr>
      <w:tab/>
    </w:r>
    <w:r w:rsidR="000629FA">
      <w:rPr>
        <w:rFonts w:ascii="Times New Roman" w:hAnsi="Times New Roman" w:cs="Times New Roman"/>
        <w:sz w:val="22"/>
      </w:rPr>
      <w:tab/>
    </w:r>
    <w:r w:rsidR="000629FA">
      <w:rPr>
        <w:rFonts w:ascii="Times New Roman" w:hAnsi="Times New Roman" w:cs="Times New Roman"/>
        <w:sz w:val="22"/>
      </w:rPr>
      <w:tab/>
    </w:r>
    <w:r w:rsidR="002D1B25" w:rsidRPr="00B95677">
      <w:rPr>
        <w:rFonts w:ascii="Times New Roman" w:hAnsi="Times New Roman" w:cs="Times New Roman"/>
        <w:sz w:val="22"/>
      </w:rPr>
      <w:fldChar w:fldCharType="begin"/>
    </w:r>
    <w:r w:rsidR="002D1B25" w:rsidRPr="00B95677">
      <w:rPr>
        <w:rFonts w:ascii="Times New Roman" w:hAnsi="Times New Roman" w:cs="Times New Roman"/>
        <w:sz w:val="22"/>
      </w:rPr>
      <w:instrText xml:space="preserve"> PAGE   \* MERGEFORMAT </w:instrText>
    </w:r>
    <w:r w:rsidR="002D1B25" w:rsidRPr="00B95677">
      <w:rPr>
        <w:rFonts w:ascii="Times New Roman" w:hAnsi="Times New Roman" w:cs="Times New Roman"/>
        <w:sz w:val="22"/>
      </w:rPr>
      <w:fldChar w:fldCharType="separate"/>
    </w:r>
    <w:r w:rsidR="002D1B25" w:rsidRPr="00B95677">
      <w:rPr>
        <w:rFonts w:ascii="Times New Roman" w:hAnsi="Times New Roman" w:cs="Times New Roman"/>
        <w:noProof/>
        <w:sz w:val="22"/>
      </w:rPr>
      <w:t>2</w:t>
    </w:r>
    <w:r w:rsidR="002D1B25" w:rsidRPr="00B95677">
      <w:rPr>
        <w:rFonts w:ascii="Times New Roman" w:hAnsi="Times New Roman" w:cs="Times New Roman"/>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1582760"/>
      <w:docPartObj>
        <w:docPartGallery w:val="Page Numbers (Bottom of Page)"/>
        <w:docPartUnique/>
      </w:docPartObj>
    </w:sdtPr>
    <w:sdtEndPr>
      <w:rPr>
        <w:noProof/>
      </w:rPr>
    </w:sdtEndPr>
    <w:sdtContent>
      <w:p w14:paraId="51EBC67A" w14:textId="07A55673" w:rsidR="002D1B25" w:rsidRPr="000629FA" w:rsidRDefault="006915E6" w:rsidP="000629FA">
        <w:pPr>
          <w:pStyle w:val="Footer"/>
          <w:rPr>
            <w:rFonts w:ascii="Times New Roman" w:hAnsi="Times New Roman" w:cs="Times New Roman"/>
          </w:rPr>
        </w:pPr>
        <w:r w:rsidRPr="006915E6">
          <w:rPr>
            <w:rFonts w:ascii="Times New Roman" w:hAnsi="Times New Roman" w:cs="Times New Roman"/>
            <w:sz w:val="18"/>
            <w:szCs w:val="18"/>
          </w:rPr>
          <w:t>428722129</w:t>
        </w:r>
        <w:r w:rsidR="000629FA" w:rsidRPr="000629FA">
          <w:rPr>
            <w:rFonts w:ascii="Times New Roman" w:hAnsi="Times New Roman" w:cs="Times New Roman"/>
          </w:rPr>
          <w:tab/>
        </w:r>
        <w:r w:rsidR="002D1B25" w:rsidRPr="000629FA">
          <w:rPr>
            <w:rFonts w:ascii="Times New Roman" w:hAnsi="Times New Roman" w:cs="Times New Roman"/>
          </w:rPr>
          <w:fldChar w:fldCharType="begin"/>
        </w:r>
        <w:r w:rsidR="002D1B25" w:rsidRPr="000629FA">
          <w:rPr>
            <w:rFonts w:ascii="Times New Roman" w:hAnsi="Times New Roman" w:cs="Times New Roman"/>
          </w:rPr>
          <w:instrText xml:space="preserve"> PAGE   \* MERGEFORMAT </w:instrText>
        </w:r>
        <w:r w:rsidR="002D1B25" w:rsidRPr="000629FA">
          <w:rPr>
            <w:rFonts w:ascii="Times New Roman" w:hAnsi="Times New Roman" w:cs="Times New Roman"/>
          </w:rPr>
          <w:fldChar w:fldCharType="separate"/>
        </w:r>
        <w:r w:rsidR="002D1B25" w:rsidRPr="000629FA">
          <w:rPr>
            <w:rFonts w:ascii="Times New Roman" w:hAnsi="Times New Roman" w:cs="Times New Roman"/>
            <w:noProof/>
          </w:rPr>
          <w:t>2</w:t>
        </w:r>
        <w:r w:rsidR="002D1B25" w:rsidRPr="000629F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4CDC" w14:textId="77777777" w:rsidR="00BF3CBF" w:rsidRDefault="00BF3CBF" w:rsidP="00DF58E7">
      <w:r>
        <w:separator/>
      </w:r>
    </w:p>
  </w:footnote>
  <w:footnote w:type="continuationSeparator" w:id="0">
    <w:p w14:paraId="05983CDD" w14:textId="77777777" w:rsidR="00BF3CBF" w:rsidRDefault="00BF3CBF" w:rsidP="00DF58E7">
      <w:r>
        <w:continuationSeparator/>
      </w:r>
    </w:p>
  </w:footnote>
  <w:footnote w:type="continuationNotice" w:id="1">
    <w:p w14:paraId="54ED1068" w14:textId="77777777" w:rsidR="00BF3CBF" w:rsidRPr="006642E6" w:rsidRDefault="00BF3CBF" w:rsidP="006642E6">
      <w:pPr>
        <w:pStyle w:val="Footer"/>
      </w:pPr>
    </w:p>
  </w:footnote>
  <w:footnote w:id="2">
    <w:p w14:paraId="10502170" w14:textId="29F1BB3D" w:rsidR="002D1B25" w:rsidRPr="00BC7065" w:rsidRDefault="002D1B25"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006642E6" w:rsidRPr="00BC7065">
        <w:rPr>
          <w:rFonts w:ascii="Times New Roman" w:hAnsi="Times New Roman" w:cs="Times New Roman"/>
          <w:szCs w:val="22"/>
        </w:rPr>
        <w:t xml:space="preserve"> </w:t>
      </w:r>
      <w:r w:rsidRPr="00BC7065">
        <w:rPr>
          <w:rFonts w:ascii="Times New Roman" w:hAnsi="Times New Roman" w:cs="Times New Roman"/>
          <w:szCs w:val="22"/>
        </w:rPr>
        <w:t>All statutory reference</w:t>
      </w:r>
      <w:r w:rsidR="00206267" w:rsidRPr="00BC7065">
        <w:rPr>
          <w:rFonts w:ascii="Times New Roman" w:hAnsi="Times New Roman" w:cs="Times New Roman"/>
          <w:szCs w:val="22"/>
        </w:rPr>
        <w:t>s</w:t>
      </w:r>
      <w:r w:rsidRPr="00BC7065">
        <w:rPr>
          <w:rFonts w:ascii="Times New Roman" w:hAnsi="Times New Roman" w:cs="Times New Roman"/>
          <w:szCs w:val="22"/>
        </w:rPr>
        <w:t xml:space="preserve"> are to the Public Utilities Code</w:t>
      </w:r>
      <w:r w:rsidR="00D72CB1" w:rsidRPr="00BC7065">
        <w:rPr>
          <w:rFonts w:ascii="Times New Roman" w:hAnsi="Times New Roman" w:cs="Times New Roman"/>
          <w:szCs w:val="22"/>
        </w:rPr>
        <w:t xml:space="preserve"> unless otherwise noted</w:t>
      </w:r>
      <w:r w:rsidRPr="00BC7065">
        <w:rPr>
          <w:rFonts w:ascii="Times New Roman" w:hAnsi="Times New Roman" w:cs="Times New Roman"/>
          <w:szCs w:val="22"/>
        </w:rPr>
        <w:t>.</w:t>
      </w:r>
    </w:p>
  </w:footnote>
  <w:footnote w:id="3">
    <w:p w14:paraId="6D1F6E5F" w14:textId="77777777" w:rsidR="00661D60" w:rsidRPr="00BC7065" w:rsidRDefault="00661D60"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 The Wildfire Safety Division (WSD) transitioned from the California Public Utilities Commission (CPUC) to the Office of Energy Infrastructure Safety (Energy Safety) at the California Natural Resources Agency (CNRA) on July 1, 2021. Any references herein to WSD actions that post-date this transition should be interpreted as actions taken by Energy Safety. 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w:t>
      </w:r>
    </w:p>
  </w:footnote>
  <w:footnote w:id="4">
    <w:p w14:paraId="69DA248D" w14:textId="77777777" w:rsidR="000058EC" w:rsidRPr="00BC7065" w:rsidRDefault="000058E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Resolution WSD-011, </w:t>
      </w:r>
      <w:r w:rsidRPr="00BC7065">
        <w:rPr>
          <w:rFonts w:ascii="Times New Roman" w:hAnsi="Times New Roman" w:cs="Times New Roman"/>
          <w:i/>
          <w:iCs/>
          <w:szCs w:val="22"/>
        </w:rPr>
        <w:t>Resolution implementing the requirements of Public</w:t>
      </w:r>
      <w:r w:rsidRPr="00BC7065">
        <w:rPr>
          <w:rFonts w:ascii="Times New Roman" w:hAnsi="Times New Roman" w:cs="Times New Roman"/>
          <w:szCs w:val="22"/>
        </w:rPr>
        <w:t xml:space="preserve"> </w:t>
      </w:r>
      <w:r w:rsidRPr="00BC7065">
        <w:rPr>
          <w:rFonts w:ascii="Times New Roman" w:hAnsi="Times New Roman" w:cs="Times New Roman"/>
          <w:i/>
          <w:iCs/>
          <w:szCs w:val="22"/>
        </w:rPr>
        <w:t>Utilities Code Sections 8389(d)(1), (2) and (4) related to catastrophic wildfire caused by electrical corporations subject to the Commission’s regulatory authority</w:t>
      </w:r>
      <w:r w:rsidRPr="00BC7065">
        <w:rPr>
          <w:rFonts w:ascii="Times New Roman" w:hAnsi="Times New Roman" w:cs="Times New Roman"/>
          <w:szCs w:val="22"/>
        </w:rPr>
        <w:t xml:space="preserve"> (November </w:t>
      </w:r>
      <w:r w:rsidR="003F7403" w:rsidRPr="00BC7065">
        <w:rPr>
          <w:rFonts w:ascii="Times New Roman" w:hAnsi="Times New Roman" w:cs="Times New Roman"/>
          <w:szCs w:val="22"/>
        </w:rPr>
        <w:t>19</w:t>
      </w:r>
      <w:r w:rsidRPr="00BC7065">
        <w:rPr>
          <w:rFonts w:ascii="Times New Roman" w:hAnsi="Times New Roman" w:cs="Times New Roman"/>
          <w:szCs w:val="22"/>
        </w:rPr>
        <w:t>, 2020).</w:t>
      </w:r>
    </w:p>
  </w:footnote>
  <w:footnote w:id="5">
    <w:p w14:paraId="70B920BE" w14:textId="77777777" w:rsidR="000058EC" w:rsidRPr="00BC7065" w:rsidRDefault="000058E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Resolution WSD-012, </w:t>
      </w:r>
      <w:r w:rsidRPr="00BC7065">
        <w:rPr>
          <w:rFonts w:ascii="Times New Roman" w:hAnsi="Times New Roman" w:cs="Times New Roman"/>
          <w:i/>
          <w:iCs/>
          <w:szCs w:val="22"/>
        </w:rPr>
        <w:t>Resolution implementing the requirements of Public Utilities Code Sections 8389(d)(3) related to catastrophic wildfire caused by electrical corporations subject to the Commission’s regulatory authority</w:t>
      </w:r>
      <w:r w:rsidRPr="00BC7065">
        <w:rPr>
          <w:rFonts w:ascii="Times New Roman" w:hAnsi="Times New Roman" w:cs="Times New Roman"/>
          <w:szCs w:val="22"/>
        </w:rPr>
        <w:t xml:space="preserve"> (November </w:t>
      </w:r>
      <w:r w:rsidR="003F7403" w:rsidRPr="00BC7065">
        <w:rPr>
          <w:rFonts w:ascii="Times New Roman" w:hAnsi="Times New Roman" w:cs="Times New Roman"/>
          <w:szCs w:val="22"/>
        </w:rPr>
        <w:t>19</w:t>
      </w:r>
      <w:r w:rsidRPr="00BC7065">
        <w:rPr>
          <w:rFonts w:ascii="Times New Roman" w:hAnsi="Times New Roman" w:cs="Times New Roman"/>
          <w:szCs w:val="22"/>
        </w:rPr>
        <w:t>, 2020).</w:t>
      </w:r>
    </w:p>
  </w:footnote>
  <w:footnote w:id="6">
    <w:p w14:paraId="092A0BF8" w14:textId="77777777" w:rsidR="00DC6791" w:rsidRPr="00BC7065" w:rsidRDefault="00DC6791"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A77F01" w:rsidRPr="00BC7065">
        <w:rPr>
          <w:rFonts w:ascii="Times New Roman" w:hAnsi="Times New Roman" w:cs="Times New Roman"/>
          <w:szCs w:val="22"/>
        </w:rPr>
        <w:t xml:space="preserve">Available at: </w:t>
      </w:r>
      <w:r w:rsidR="00995C10" w:rsidRPr="00BC7065">
        <w:rPr>
          <w:rFonts w:ascii="Times New Roman" w:hAnsi="Times New Roman" w:cs="Times New Roman"/>
          <w:szCs w:val="22"/>
        </w:rPr>
        <w:t>https://energysafety.ca.gov/wp-content/uploads/docs/misc/wsab/recommendations-on-the-2022-wmp-guidelines-issued-6.30.21.pdf</w:t>
      </w:r>
    </w:p>
  </w:footnote>
  <w:footnote w:id="7">
    <w:p w14:paraId="2D19CEC9" w14:textId="77777777" w:rsidR="00F055E8" w:rsidRPr="00BC7065" w:rsidRDefault="00F055E8"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Investigation 19-11-</w:t>
      </w:r>
      <w:r w:rsidR="004B14E8" w:rsidRPr="00BC7065">
        <w:rPr>
          <w:rFonts w:ascii="Times New Roman" w:hAnsi="Times New Roman" w:cs="Times New Roman"/>
          <w:szCs w:val="22"/>
        </w:rPr>
        <w:t>013</w:t>
      </w:r>
      <w:r w:rsidR="008F4E84" w:rsidRPr="00BC7065">
        <w:rPr>
          <w:rFonts w:ascii="Times New Roman" w:hAnsi="Times New Roman" w:cs="Times New Roman"/>
          <w:szCs w:val="22"/>
        </w:rPr>
        <w:t xml:space="preserve">, </w:t>
      </w:r>
      <w:r w:rsidR="004B14E8" w:rsidRPr="00BC7065">
        <w:rPr>
          <w:rFonts w:ascii="Times New Roman" w:hAnsi="Times New Roman" w:cs="Times New Roman"/>
          <w:i/>
          <w:iCs/>
          <w:szCs w:val="22"/>
        </w:rPr>
        <w:t>Order Instituting Investigation on the Commission’s Own Motion o</w:t>
      </w:r>
      <w:r w:rsidR="00A071E7" w:rsidRPr="00BC7065">
        <w:rPr>
          <w:rFonts w:ascii="Times New Roman" w:hAnsi="Times New Roman" w:cs="Times New Roman"/>
          <w:i/>
          <w:iCs/>
          <w:szCs w:val="22"/>
        </w:rPr>
        <w:t>n</w:t>
      </w:r>
      <w:r w:rsidR="004B14E8" w:rsidRPr="00BC7065">
        <w:rPr>
          <w:rFonts w:ascii="Times New Roman" w:hAnsi="Times New Roman" w:cs="Times New Roman"/>
          <w:i/>
          <w:iCs/>
          <w:szCs w:val="22"/>
        </w:rPr>
        <w:t xml:space="preserve"> the Late 2019 Public Safety Power Shutoff Events</w:t>
      </w:r>
      <w:r w:rsidR="00CA00B3" w:rsidRPr="00BC7065">
        <w:rPr>
          <w:rFonts w:ascii="Times New Roman" w:hAnsi="Times New Roman" w:cs="Times New Roman"/>
          <w:szCs w:val="22"/>
        </w:rPr>
        <w:t xml:space="preserve"> (</w:t>
      </w:r>
      <w:r w:rsidR="004B14E8" w:rsidRPr="00BC7065">
        <w:rPr>
          <w:rFonts w:ascii="Times New Roman" w:hAnsi="Times New Roman" w:cs="Times New Roman"/>
          <w:szCs w:val="22"/>
        </w:rPr>
        <w:t>November 13, 2019</w:t>
      </w:r>
      <w:r w:rsidR="00CA00B3" w:rsidRPr="00BC7065">
        <w:rPr>
          <w:rFonts w:ascii="Times New Roman" w:hAnsi="Times New Roman" w:cs="Times New Roman"/>
          <w:szCs w:val="22"/>
        </w:rPr>
        <w:t>)</w:t>
      </w:r>
      <w:r w:rsidR="004B14E8" w:rsidRPr="00BC7065">
        <w:rPr>
          <w:rFonts w:ascii="Times New Roman" w:hAnsi="Times New Roman" w:cs="Times New Roman"/>
          <w:szCs w:val="22"/>
        </w:rPr>
        <w:t>.</w:t>
      </w:r>
    </w:p>
  </w:footnote>
  <w:footnote w:id="8">
    <w:p w14:paraId="521EB682" w14:textId="77777777" w:rsidR="005D222B" w:rsidRPr="00BC7065" w:rsidRDefault="005D222B"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Rulemaking </w:t>
      </w:r>
      <w:r w:rsidR="00D72C7E" w:rsidRPr="00BC7065">
        <w:rPr>
          <w:rFonts w:ascii="Times New Roman" w:hAnsi="Times New Roman" w:cs="Times New Roman"/>
          <w:szCs w:val="22"/>
        </w:rPr>
        <w:t>(R.)</w:t>
      </w:r>
      <w:r w:rsidRPr="00BC7065">
        <w:rPr>
          <w:rFonts w:ascii="Times New Roman" w:hAnsi="Times New Roman" w:cs="Times New Roman"/>
          <w:szCs w:val="22"/>
        </w:rPr>
        <w:t>18-12-005</w:t>
      </w:r>
      <w:r w:rsidR="00CA00B3" w:rsidRPr="00BC7065">
        <w:rPr>
          <w:rFonts w:ascii="Times New Roman" w:hAnsi="Times New Roman" w:cs="Times New Roman"/>
          <w:szCs w:val="22"/>
        </w:rPr>
        <w:t xml:space="preserve">, </w:t>
      </w:r>
      <w:r w:rsidR="005A5FBF" w:rsidRPr="00BC7065">
        <w:rPr>
          <w:rFonts w:ascii="Times New Roman" w:hAnsi="Times New Roman" w:cs="Times New Roman"/>
          <w:i/>
          <w:iCs/>
          <w:szCs w:val="22"/>
        </w:rPr>
        <w:t>Order Instituting Rulemaking to Examine Electric Utility De-Energization of Power Lines in Dangerous Conditions</w:t>
      </w:r>
      <w:r w:rsidR="005A5FBF" w:rsidRPr="00BC7065">
        <w:rPr>
          <w:rFonts w:ascii="Times New Roman" w:hAnsi="Times New Roman" w:cs="Times New Roman"/>
          <w:szCs w:val="22"/>
        </w:rPr>
        <w:t xml:space="preserve"> (December 13, 2018).</w:t>
      </w:r>
    </w:p>
  </w:footnote>
  <w:footnote w:id="9">
    <w:p w14:paraId="7F4C699F" w14:textId="77777777" w:rsidR="00F055E8" w:rsidRPr="00BC7065" w:rsidRDefault="00F055E8"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1 (</w:t>
      </w:r>
      <w:r w:rsidRPr="00BC7065">
        <w:rPr>
          <w:rFonts w:ascii="Times New Roman" w:hAnsi="Times New Roman" w:cs="Times New Roman"/>
          <w:szCs w:val="22"/>
        </w:rPr>
        <w:t>Energy Safety</w:t>
      </w:r>
      <w:r w:rsidR="00654264" w:rsidRPr="00BC7065">
        <w:rPr>
          <w:rFonts w:ascii="Times New Roman" w:hAnsi="Times New Roman" w:cs="Times New Roman"/>
          <w:szCs w:val="22"/>
        </w:rPr>
        <w:t>’s</w:t>
      </w:r>
      <w:r w:rsidRPr="00BC7065">
        <w:rPr>
          <w:rFonts w:ascii="Times New Roman" w:hAnsi="Times New Roman" w:cs="Times New Roman"/>
          <w:szCs w:val="22"/>
        </w:rPr>
        <w:t xml:space="preserve"> 2021 Review of Performance Metrics for Electrical Corporations</w:t>
      </w:r>
      <w:r w:rsidR="00CA00B3" w:rsidRPr="00BC7065">
        <w:rPr>
          <w:rFonts w:ascii="Times New Roman" w:hAnsi="Times New Roman" w:cs="Times New Roman"/>
          <w:szCs w:val="22"/>
        </w:rPr>
        <w:t>)</w:t>
      </w:r>
      <w:r w:rsidRPr="00BC7065">
        <w:rPr>
          <w:rFonts w:ascii="Times New Roman" w:hAnsi="Times New Roman" w:cs="Times New Roman"/>
          <w:szCs w:val="22"/>
        </w:rPr>
        <w:t>, p. 5.</w:t>
      </w:r>
    </w:p>
  </w:footnote>
  <w:footnote w:id="10">
    <w:p w14:paraId="317CF525" w14:textId="77777777" w:rsidR="005A5FBF" w:rsidRPr="00BC7065" w:rsidRDefault="005A5FBF"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D</w:t>
      </w:r>
      <w:r w:rsidR="00D72C7E" w:rsidRPr="00BC7065">
        <w:rPr>
          <w:rFonts w:ascii="Times New Roman" w:hAnsi="Times New Roman" w:cs="Times New Roman"/>
          <w:szCs w:val="22"/>
        </w:rPr>
        <w:t>ecision (D</w:t>
      </w:r>
      <w:r w:rsidRPr="00BC7065">
        <w:rPr>
          <w:rFonts w:ascii="Times New Roman" w:hAnsi="Times New Roman" w:cs="Times New Roman"/>
          <w:szCs w:val="22"/>
        </w:rPr>
        <w:t>.</w:t>
      </w:r>
      <w:r w:rsidR="00D72C7E" w:rsidRPr="00BC7065">
        <w:rPr>
          <w:rFonts w:ascii="Times New Roman" w:hAnsi="Times New Roman" w:cs="Times New Roman"/>
          <w:szCs w:val="22"/>
        </w:rPr>
        <w:t>)</w:t>
      </w:r>
      <w:r w:rsidR="00383EDB" w:rsidRPr="00BC7065">
        <w:rPr>
          <w:rFonts w:ascii="Times New Roman" w:hAnsi="Times New Roman" w:cs="Times New Roman"/>
          <w:szCs w:val="22"/>
        </w:rPr>
        <w:t xml:space="preserve"> </w:t>
      </w:r>
      <w:r w:rsidRPr="00BC7065">
        <w:rPr>
          <w:rFonts w:ascii="Times New Roman" w:hAnsi="Times New Roman" w:cs="Times New Roman"/>
          <w:szCs w:val="22"/>
        </w:rPr>
        <w:t>21-06-14</w:t>
      </w:r>
      <w:r w:rsidRPr="00BC7065">
        <w:rPr>
          <w:rFonts w:ascii="Times New Roman" w:hAnsi="Times New Roman" w:cs="Times New Roman"/>
          <w:i/>
          <w:iCs/>
          <w:szCs w:val="22"/>
        </w:rPr>
        <w:t>, Decision Addressing the Late 2019 Public Safety Power Shutoffs by Pacific Gas and Electric Company, Southern California Edison Company, and San Diego Gase &amp; Electric Company to Mitigate the Risk of Wildfire Caused by Utility Infrastructure</w:t>
      </w:r>
      <w:r w:rsidRPr="00BC7065">
        <w:rPr>
          <w:rFonts w:ascii="Times New Roman" w:hAnsi="Times New Roman" w:cs="Times New Roman"/>
          <w:szCs w:val="22"/>
        </w:rPr>
        <w:t xml:space="preserve"> (</w:t>
      </w:r>
      <w:r w:rsidR="00630E73" w:rsidRPr="00BC7065">
        <w:rPr>
          <w:rFonts w:ascii="Times New Roman" w:hAnsi="Times New Roman" w:cs="Times New Roman"/>
          <w:szCs w:val="22"/>
        </w:rPr>
        <w:t>June 3, 2021).</w:t>
      </w:r>
    </w:p>
  </w:footnote>
  <w:footnote w:id="11">
    <w:p w14:paraId="21D55400" w14:textId="77777777" w:rsidR="00654264" w:rsidRPr="00BC7065" w:rsidRDefault="00654264"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1</w:t>
      </w:r>
      <w:r w:rsidRPr="00BC7065">
        <w:rPr>
          <w:rFonts w:ascii="Times New Roman" w:hAnsi="Times New Roman" w:cs="Times New Roman"/>
          <w:szCs w:val="22"/>
        </w:rPr>
        <w:t>, p. 6.</w:t>
      </w:r>
    </w:p>
  </w:footnote>
  <w:footnote w:id="12">
    <w:p w14:paraId="10044963" w14:textId="77777777" w:rsidR="004B14E8" w:rsidRPr="00BC7065" w:rsidRDefault="004B14E8"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1</w:t>
      </w:r>
      <w:r w:rsidRPr="00BC7065">
        <w:rPr>
          <w:rFonts w:ascii="Times New Roman" w:hAnsi="Times New Roman" w:cs="Times New Roman"/>
          <w:szCs w:val="22"/>
        </w:rPr>
        <w:t>, p. 6.</w:t>
      </w:r>
    </w:p>
  </w:footnote>
  <w:footnote w:id="13">
    <w:p w14:paraId="0F801616" w14:textId="77777777" w:rsidR="00DF26A6" w:rsidRPr="00BC7065" w:rsidRDefault="00DF26A6"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1</w:t>
      </w:r>
      <w:r w:rsidRPr="00BC7065">
        <w:rPr>
          <w:rFonts w:ascii="Times New Roman" w:hAnsi="Times New Roman" w:cs="Times New Roman"/>
          <w:szCs w:val="22"/>
        </w:rPr>
        <w:t>, p. 6.</w:t>
      </w:r>
    </w:p>
  </w:footnote>
  <w:footnote w:id="14">
    <w:p w14:paraId="3FDC0988" w14:textId="77777777" w:rsidR="007261C5" w:rsidRPr="00BC7065" w:rsidRDefault="007261C5"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D.20-03-004, </w:t>
      </w:r>
      <w:r w:rsidRPr="00BC7065">
        <w:rPr>
          <w:rFonts w:ascii="Times New Roman" w:hAnsi="Times New Roman" w:cs="Times New Roman"/>
          <w:i/>
          <w:iCs/>
          <w:szCs w:val="22"/>
        </w:rPr>
        <w:t>Decision on Community Awareness and Public Outreach Before, During and After a Wildfire, and Explaining Next Steps for Other Phase 2 Issues</w:t>
      </w:r>
      <w:r w:rsidR="00CA00B3" w:rsidRPr="00BC7065">
        <w:rPr>
          <w:rFonts w:ascii="Times New Roman" w:hAnsi="Times New Roman" w:cs="Times New Roman"/>
          <w:szCs w:val="22"/>
        </w:rPr>
        <w:t xml:space="preserve"> (March 12, 2020).</w:t>
      </w:r>
    </w:p>
  </w:footnote>
  <w:footnote w:id="15">
    <w:p w14:paraId="77668171" w14:textId="77777777" w:rsidR="00183321" w:rsidRPr="00BC7065" w:rsidRDefault="00183321"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Pr="00BC7065">
        <w:rPr>
          <w:rFonts w:ascii="Times New Roman" w:hAnsi="Times New Roman" w:cs="Times New Roman"/>
          <w:i/>
          <w:iCs/>
          <w:szCs w:val="22"/>
        </w:rPr>
        <w:t>See</w:t>
      </w:r>
      <w:r w:rsidRPr="00BC7065">
        <w:rPr>
          <w:rFonts w:ascii="Times New Roman" w:hAnsi="Times New Roman" w:cs="Times New Roman"/>
          <w:szCs w:val="22"/>
        </w:rPr>
        <w:t xml:space="preserve"> D.19-04-020</w:t>
      </w:r>
      <w:r w:rsidR="00CA00B3" w:rsidRPr="00BC7065">
        <w:rPr>
          <w:rFonts w:ascii="Times New Roman" w:hAnsi="Times New Roman" w:cs="Times New Roman"/>
          <w:szCs w:val="22"/>
        </w:rPr>
        <w:t xml:space="preserve">, </w:t>
      </w:r>
      <w:r w:rsidR="00CA00B3" w:rsidRPr="00BC7065">
        <w:rPr>
          <w:rFonts w:ascii="Times New Roman" w:hAnsi="Times New Roman" w:cs="Times New Roman"/>
          <w:i/>
          <w:iCs/>
          <w:szCs w:val="22"/>
        </w:rPr>
        <w:t>Application of San Diego Gas &amp; Electric Company (U902M) for Review of its Safety Model Assessment Proceeding Pursuant to Decision 14-12-025</w:t>
      </w:r>
      <w:r w:rsidRPr="00BC7065">
        <w:rPr>
          <w:rFonts w:ascii="Times New Roman" w:hAnsi="Times New Roman" w:cs="Times New Roman"/>
          <w:szCs w:val="22"/>
        </w:rPr>
        <w:t xml:space="preserve"> </w:t>
      </w:r>
      <w:r w:rsidR="00CA00B3" w:rsidRPr="00BC7065">
        <w:rPr>
          <w:rFonts w:ascii="Times New Roman" w:hAnsi="Times New Roman" w:cs="Times New Roman"/>
          <w:szCs w:val="22"/>
        </w:rPr>
        <w:t>(April 25, 2019)</w:t>
      </w:r>
      <w:r w:rsidR="00D72C7E" w:rsidRPr="00BC7065">
        <w:rPr>
          <w:rFonts w:ascii="Times New Roman" w:hAnsi="Times New Roman" w:cs="Times New Roman"/>
          <w:szCs w:val="22"/>
        </w:rPr>
        <w:t>,</w:t>
      </w:r>
      <w:r w:rsidR="00CA00B3" w:rsidRPr="00BC7065">
        <w:rPr>
          <w:rFonts w:ascii="Times New Roman" w:hAnsi="Times New Roman" w:cs="Times New Roman"/>
          <w:szCs w:val="22"/>
        </w:rPr>
        <w:t xml:space="preserve"> </w:t>
      </w:r>
      <w:r w:rsidRPr="00BC7065">
        <w:rPr>
          <w:rFonts w:ascii="Times New Roman" w:hAnsi="Times New Roman" w:cs="Times New Roman"/>
          <w:szCs w:val="22"/>
        </w:rPr>
        <w:t>requiring PG&amp;E, SCE, SDG&amp;E and SoCal Gas to report on 26 specific Safety Performance Metrics.</w:t>
      </w:r>
    </w:p>
  </w:footnote>
  <w:footnote w:id="16">
    <w:p w14:paraId="3280C07E" w14:textId="77777777" w:rsidR="00A84B1D" w:rsidRPr="00BC7065" w:rsidRDefault="00A84B1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R.20-07-013, </w:t>
      </w:r>
      <w:r w:rsidRPr="00BC7065">
        <w:rPr>
          <w:rFonts w:ascii="Times New Roman" w:hAnsi="Times New Roman" w:cs="Times New Roman"/>
          <w:i/>
          <w:iCs/>
          <w:szCs w:val="22"/>
        </w:rPr>
        <w:t>Order Instituting Rulemaking to Further Develop a Risk-Based Decision-Making Framework for Electric and Gas Utilities</w:t>
      </w:r>
      <w:r w:rsidR="00DF2151" w:rsidRPr="00BC7065">
        <w:rPr>
          <w:rFonts w:ascii="Times New Roman" w:hAnsi="Times New Roman" w:cs="Times New Roman"/>
          <w:szCs w:val="22"/>
        </w:rPr>
        <w:t xml:space="preserve"> (July 16, 2020)</w:t>
      </w:r>
      <w:r w:rsidR="000F3E7A" w:rsidRPr="00BC7065">
        <w:rPr>
          <w:rFonts w:ascii="Times New Roman" w:hAnsi="Times New Roman" w:cs="Times New Roman"/>
          <w:szCs w:val="22"/>
        </w:rPr>
        <w:t>.</w:t>
      </w:r>
    </w:p>
  </w:footnote>
  <w:footnote w:id="17">
    <w:p w14:paraId="10655FBE" w14:textId="77777777" w:rsidR="00E92220" w:rsidRPr="00BC7065" w:rsidRDefault="00E92220"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2 (</w:t>
      </w:r>
      <w:r w:rsidRPr="00BC7065">
        <w:rPr>
          <w:rFonts w:ascii="Times New Roman" w:hAnsi="Times New Roman" w:cs="Times New Roman"/>
          <w:szCs w:val="22"/>
        </w:rPr>
        <w:t>Energy Safety</w:t>
      </w:r>
      <w:r w:rsidR="000058EC" w:rsidRPr="00BC7065">
        <w:rPr>
          <w:rFonts w:ascii="Times New Roman" w:hAnsi="Times New Roman" w:cs="Times New Roman"/>
          <w:szCs w:val="22"/>
        </w:rPr>
        <w:t>’s</w:t>
      </w:r>
      <w:r w:rsidRPr="00BC7065">
        <w:rPr>
          <w:rFonts w:ascii="Times New Roman" w:hAnsi="Times New Roman" w:cs="Times New Roman"/>
          <w:szCs w:val="22"/>
        </w:rPr>
        <w:t xml:space="preserve"> 2021 Review of Additional Requirements for Wildfire Mitigation Plans</w:t>
      </w:r>
      <w:r w:rsidR="00CA00B3" w:rsidRPr="00BC7065">
        <w:rPr>
          <w:rFonts w:ascii="Times New Roman" w:hAnsi="Times New Roman" w:cs="Times New Roman"/>
          <w:szCs w:val="22"/>
        </w:rPr>
        <w:t>)</w:t>
      </w:r>
      <w:r w:rsidRPr="00BC7065">
        <w:rPr>
          <w:rFonts w:ascii="Times New Roman" w:hAnsi="Times New Roman" w:cs="Times New Roman"/>
          <w:szCs w:val="22"/>
        </w:rPr>
        <w:t>, p. 2.</w:t>
      </w:r>
    </w:p>
  </w:footnote>
  <w:footnote w:id="18">
    <w:p w14:paraId="1C16B7D2" w14:textId="77777777" w:rsidR="0024033B" w:rsidRPr="00BC7065" w:rsidRDefault="0024033B"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0058EC" w:rsidRPr="00BC7065">
        <w:rPr>
          <w:rFonts w:ascii="Times New Roman" w:hAnsi="Times New Roman" w:cs="Times New Roman"/>
          <w:szCs w:val="22"/>
        </w:rPr>
        <w:t xml:space="preserve">Resolution </w:t>
      </w:r>
      <w:r w:rsidRPr="00BC7065">
        <w:rPr>
          <w:rFonts w:ascii="Times New Roman" w:hAnsi="Times New Roman" w:cs="Times New Roman"/>
          <w:szCs w:val="22"/>
        </w:rPr>
        <w:t>WSD-01</w:t>
      </w:r>
      <w:r w:rsidR="007D4689" w:rsidRPr="00BC7065">
        <w:rPr>
          <w:rFonts w:ascii="Times New Roman" w:hAnsi="Times New Roman" w:cs="Times New Roman"/>
          <w:szCs w:val="22"/>
        </w:rPr>
        <w:t>2</w:t>
      </w:r>
      <w:r w:rsidR="000058EC" w:rsidRPr="00BC7065">
        <w:rPr>
          <w:rFonts w:ascii="Times New Roman" w:hAnsi="Times New Roman" w:cs="Times New Roman"/>
          <w:szCs w:val="22"/>
        </w:rPr>
        <w:t xml:space="preserve">, </w:t>
      </w:r>
      <w:r w:rsidR="000058EC" w:rsidRPr="00BC7065">
        <w:rPr>
          <w:rFonts w:ascii="Times New Roman" w:hAnsi="Times New Roman" w:cs="Times New Roman"/>
          <w:i/>
          <w:iCs/>
          <w:szCs w:val="22"/>
        </w:rPr>
        <w:t>Resolution implementing the requirements of Public Utilities Code Sections 8389(d)(3) related to catastrophic wildfire caused by electrical corporations subject to the Commission’s regulatory authority</w:t>
      </w:r>
      <w:r w:rsidR="009C12B7" w:rsidRPr="00BC7065">
        <w:rPr>
          <w:rFonts w:ascii="Times New Roman" w:hAnsi="Times New Roman" w:cs="Times New Roman"/>
          <w:szCs w:val="22"/>
        </w:rPr>
        <w:t xml:space="preserve"> (</w:t>
      </w:r>
      <w:r w:rsidR="006F6D88" w:rsidRPr="00BC7065">
        <w:rPr>
          <w:rFonts w:ascii="Times New Roman" w:hAnsi="Times New Roman" w:cs="Times New Roman"/>
          <w:szCs w:val="22"/>
        </w:rPr>
        <w:t>November 19, 2020)</w:t>
      </w:r>
      <w:r w:rsidR="000058EC" w:rsidRPr="00BC7065">
        <w:rPr>
          <w:rFonts w:ascii="Times New Roman" w:hAnsi="Times New Roman" w:cs="Times New Roman"/>
          <w:szCs w:val="22"/>
        </w:rPr>
        <w:t>,</w:t>
      </w:r>
      <w:r w:rsidRPr="00BC7065">
        <w:rPr>
          <w:rFonts w:ascii="Times New Roman" w:hAnsi="Times New Roman" w:cs="Times New Roman"/>
          <w:szCs w:val="22"/>
        </w:rPr>
        <w:t xml:space="preserve"> p. 4.</w:t>
      </w:r>
    </w:p>
  </w:footnote>
  <w:footnote w:id="19">
    <w:p w14:paraId="2E96A4D1" w14:textId="77777777" w:rsidR="000F7FCD" w:rsidRPr="00BC7065" w:rsidRDefault="000F7FC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3 (</w:t>
      </w:r>
      <w:r w:rsidRPr="00BC7065">
        <w:rPr>
          <w:rFonts w:ascii="Times New Roman" w:hAnsi="Times New Roman" w:cs="Times New Roman"/>
          <w:szCs w:val="22"/>
        </w:rPr>
        <w:t>Energy Safety</w:t>
      </w:r>
      <w:r w:rsidR="00925EF8" w:rsidRPr="00BC7065">
        <w:rPr>
          <w:rFonts w:ascii="Times New Roman" w:hAnsi="Times New Roman" w:cs="Times New Roman"/>
          <w:szCs w:val="22"/>
        </w:rPr>
        <w:t>’s</w:t>
      </w:r>
      <w:r w:rsidRPr="00BC7065">
        <w:rPr>
          <w:rFonts w:ascii="Times New Roman" w:hAnsi="Times New Roman" w:cs="Times New Roman"/>
          <w:szCs w:val="22"/>
        </w:rPr>
        <w:t xml:space="preserve"> 202</w:t>
      </w:r>
      <w:r w:rsidR="00925EF8" w:rsidRPr="00BC7065">
        <w:rPr>
          <w:rFonts w:ascii="Times New Roman" w:hAnsi="Times New Roman" w:cs="Times New Roman"/>
          <w:szCs w:val="22"/>
        </w:rPr>
        <w:t>1</w:t>
      </w:r>
      <w:r w:rsidRPr="00BC7065">
        <w:rPr>
          <w:rFonts w:ascii="Times New Roman" w:hAnsi="Times New Roman" w:cs="Times New Roman"/>
          <w:szCs w:val="22"/>
        </w:rPr>
        <w:t xml:space="preserve"> </w:t>
      </w:r>
      <w:r w:rsidR="00925EF8" w:rsidRPr="00BC7065">
        <w:rPr>
          <w:rFonts w:ascii="Times New Roman" w:hAnsi="Times New Roman" w:cs="Times New Roman"/>
          <w:szCs w:val="22"/>
        </w:rPr>
        <w:t xml:space="preserve">WMP </w:t>
      </w:r>
      <w:r w:rsidRPr="00BC7065">
        <w:rPr>
          <w:rFonts w:ascii="Times New Roman" w:hAnsi="Times New Roman" w:cs="Times New Roman"/>
          <w:szCs w:val="22"/>
        </w:rPr>
        <w:t>Compliance Process</w:t>
      </w:r>
      <w:r w:rsidR="00CA00B3" w:rsidRPr="00BC7065">
        <w:rPr>
          <w:rFonts w:ascii="Times New Roman" w:hAnsi="Times New Roman" w:cs="Times New Roman"/>
          <w:szCs w:val="22"/>
        </w:rPr>
        <w:t>)</w:t>
      </w:r>
      <w:r w:rsidRPr="00BC7065">
        <w:rPr>
          <w:rFonts w:ascii="Times New Roman" w:hAnsi="Times New Roman" w:cs="Times New Roman"/>
          <w:szCs w:val="22"/>
        </w:rPr>
        <w:t xml:space="preserve">, p. </w:t>
      </w:r>
      <w:r w:rsidR="007C345F" w:rsidRPr="00BC7065">
        <w:rPr>
          <w:rFonts w:ascii="Times New Roman" w:hAnsi="Times New Roman" w:cs="Times New Roman"/>
          <w:szCs w:val="22"/>
        </w:rPr>
        <w:t>6</w:t>
      </w:r>
      <w:r w:rsidRPr="00BC7065">
        <w:rPr>
          <w:rFonts w:ascii="Times New Roman" w:hAnsi="Times New Roman" w:cs="Times New Roman"/>
          <w:szCs w:val="22"/>
        </w:rPr>
        <w:t>.</w:t>
      </w:r>
    </w:p>
  </w:footnote>
  <w:footnote w:id="20">
    <w:p w14:paraId="643DC23C" w14:textId="77777777" w:rsidR="000F7FCD" w:rsidRPr="00BC7065" w:rsidRDefault="000F7FC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3</w:t>
      </w:r>
      <w:r w:rsidRPr="00BC7065">
        <w:rPr>
          <w:rFonts w:ascii="Times New Roman" w:hAnsi="Times New Roman" w:cs="Times New Roman"/>
          <w:szCs w:val="22"/>
        </w:rPr>
        <w:t xml:space="preserve">, p. </w:t>
      </w:r>
      <w:r w:rsidR="00865D40" w:rsidRPr="00BC7065">
        <w:rPr>
          <w:rFonts w:ascii="Times New Roman" w:hAnsi="Times New Roman" w:cs="Times New Roman"/>
          <w:szCs w:val="22"/>
        </w:rPr>
        <w:t>6</w:t>
      </w:r>
      <w:r w:rsidRPr="00BC7065">
        <w:rPr>
          <w:rFonts w:ascii="Times New Roman" w:hAnsi="Times New Roman" w:cs="Times New Roman"/>
          <w:szCs w:val="22"/>
        </w:rPr>
        <w:t>.</w:t>
      </w:r>
    </w:p>
  </w:footnote>
  <w:footnote w:id="21">
    <w:p w14:paraId="30516F9C" w14:textId="77777777" w:rsidR="004622FD" w:rsidRPr="00BC7065" w:rsidRDefault="004622F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3</w:t>
      </w:r>
      <w:r w:rsidRPr="00BC7065">
        <w:rPr>
          <w:rFonts w:ascii="Times New Roman" w:hAnsi="Times New Roman" w:cs="Times New Roman"/>
          <w:szCs w:val="22"/>
        </w:rPr>
        <w:t xml:space="preserve">, p. </w:t>
      </w:r>
      <w:r w:rsidR="00D94057" w:rsidRPr="00BC7065">
        <w:rPr>
          <w:rFonts w:ascii="Times New Roman" w:hAnsi="Times New Roman" w:cs="Times New Roman"/>
          <w:szCs w:val="22"/>
        </w:rPr>
        <w:t>3</w:t>
      </w:r>
      <w:r w:rsidRPr="00BC7065">
        <w:rPr>
          <w:rFonts w:ascii="Times New Roman" w:hAnsi="Times New Roman" w:cs="Times New Roman"/>
          <w:szCs w:val="22"/>
        </w:rPr>
        <w:t>.</w:t>
      </w:r>
    </w:p>
  </w:footnote>
  <w:footnote w:id="22">
    <w:p w14:paraId="3F337828" w14:textId="77777777" w:rsidR="002003D9" w:rsidRPr="00BC7065" w:rsidRDefault="002003D9"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3</w:t>
      </w:r>
      <w:r w:rsidRPr="00BC7065">
        <w:rPr>
          <w:rFonts w:ascii="Times New Roman" w:hAnsi="Times New Roman" w:cs="Times New Roman"/>
          <w:szCs w:val="22"/>
        </w:rPr>
        <w:t>, p. 2.</w:t>
      </w:r>
    </w:p>
  </w:footnote>
  <w:footnote w:id="23">
    <w:p w14:paraId="3495711F" w14:textId="77777777" w:rsidR="004170CE" w:rsidRPr="00BC7065" w:rsidRDefault="004170C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A00B3" w:rsidRPr="00BC7065">
        <w:rPr>
          <w:rFonts w:ascii="Times New Roman" w:hAnsi="Times New Roman" w:cs="Times New Roman"/>
          <w:szCs w:val="22"/>
        </w:rPr>
        <w:t>Attachment 3</w:t>
      </w:r>
      <w:r w:rsidRPr="00BC7065">
        <w:rPr>
          <w:rFonts w:ascii="Times New Roman" w:hAnsi="Times New Roman" w:cs="Times New Roman"/>
          <w:szCs w:val="22"/>
        </w:rPr>
        <w:t>, p. 2.</w:t>
      </w:r>
    </w:p>
  </w:footnote>
  <w:footnote w:id="24">
    <w:p w14:paraId="64217CE3" w14:textId="77777777" w:rsidR="002C4ECB" w:rsidRPr="00BC7065" w:rsidRDefault="002C4ECB"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18677D" w:rsidRPr="00BC7065">
        <w:rPr>
          <w:rFonts w:ascii="Times New Roman" w:hAnsi="Times New Roman" w:cs="Times New Roman"/>
          <w:szCs w:val="22"/>
        </w:rPr>
        <w:t>Cal. Gov. Code</w:t>
      </w:r>
      <w:r w:rsidRPr="00BC7065">
        <w:rPr>
          <w:rFonts w:ascii="Times New Roman" w:hAnsi="Times New Roman" w:cs="Times New Roman"/>
          <w:szCs w:val="22"/>
        </w:rPr>
        <w:t xml:space="preserve"> § 15475.2. </w:t>
      </w:r>
    </w:p>
  </w:footnote>
  <w:footnote w:id="25">
    <w:p w14:paraId="73C10D5E" w14:textId="77777777" w:rsidR="00DE7E5E" w:rsidRPr="00BC7065" w:rsidRDefault="00DE7E5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xml:space="preserve">, p. </w:t>
      </w:r>
      <w:r w:rsidR="00544DB8" w:rsidRPr="00BC7065">
        <w:rPr>
          <w:rFonts w:ascii="Times New Roman" w:hAnsi="Times New Roman" w:cs="Times New Roman"/>
          <w:szCs w:val="22"/>
        </w:rPr>
        <w:t>8.</w:t>
      </w:r>
    </w:p>
  </w:footnote>
  <w:footnote w:id="26">
    <w:p w14:paraId="502AC77C"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27">
    <w:p w14:paraId="1433AF19"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28">
    <w:p w14:paraId="1DD11DC3"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29">
    <w:p w14:paraId="7A6F86D8"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30">
    <w:p w14:paraId="239517D6"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31">
    <w:p w14:paraId="29C040E3"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32">
    <w:p w14:paraId="4F861DA1" w14:textId="77777777" w:rsidR="00AD3C6E" w:rsidRPr="00BC7065" w:rsidRDefault="00AD3C6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3</w:t>
      </w:r>
      <w:r w:rsidRPr="00BC7065">
        <w:rPr>
          <w:rFonts w:ascii="Times New Roman" w:hAnsi="Times New Roman" w:cs="Times New Roman"/>
          <w:szCs w:val="22"/>
        </w:rPr>
        <w:t>, p. 8.</w:t>
      </w:r>
    </w:p>
  </w:footnote>
  <w:footnote w:id="33">
    <w:p w14:paraId="672B892B" w14:textId="77777777" w:rsidR="00E22341" w:rsidRPr="00BC7065" w:rsidRDefault="00E22341"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C3717D" w:rsidRPr="00BC7065">
        <w:rPr>
          <w:rFonts w:ascii="Times New Roman" w:hAnsi="Times New Roman" w:cs="Times New Roman"/>
          <w:szCs w:val="22"/>
        </w:rPr>
        <w:t>The Commission in</w:t>
      </w:r>
      <w:r w:rsidRPr="00BC7065">
        <w:rPr>
          <w:rFonts w:ascii="Times New Roman" w:hAnsi="Times New Roman" w:cs="Times New Roman"/>
          <w:szCs w:val="22"/>
        </w:rPr>
        <w:t xml:space="preserve"> </w:t>
      </w:r>
      <w:r w:rsidR="006D2EA5" w:rsidRPr="00BC7065">
        <w:rPr>
          <w:rFonts w:ascii="Times New Roman" w:hAnsi="Times New Roman" w:cs="Times New Roman"/>
          <w:szCs w:val="22"/>
        </w:rPr>
        <w:t xml:space="preserve">WSD-011 </w:t>
      </w:r>
      <w:r w:rsidR="00E368FE" w:rsidRPr="00BC7065">
        <w:rPr>
          <w:rFonts w:ascii="Times New Roman" w:hAnsi="Times New Roman" w:cs="Times New Roman"/>
          <w:szCs w:val="22"/>
        </w:rPr>
        <w:t>left open</w:t>
      </w:r>
      <w:r w:rsidR="003038D3" w:rsidRPr="00BC7065">
        <w:rPr>
          <w:rFonts w:ascii="Times New Roman" w:hAnsi="Times New Roman" w:cs="Times New Roman"/>
          <w:szCs w:val="22"/>
        </w:rPr>
        <w:t xml:space="preserve"> </w:t>
      </w:r>
      <w:r w:rsidR="009D62A8" w:rsidRPr="00BC7065">
        <w:rPr>
          <w:rFonts w:ascii="Times New Roman" w:hAnsi="Times New Roman" w:cs="Times New Roman"/>
          <w:szCs w:val="22"/>
        </w:rPr>
        <w:t xml:space="preserve">the specific determination of the compliance period </w:t>
      </w:r>
      <w:r w:rsidR="0041135E" w:rsidRPr="00BC7065">
        <w:rPr>
          <w:rFonts w:ascii="Times New Roman" w:hAnsi="Times New Roman" w:cs="Times New Roman"/>
          <w:szCs w:val="22"/>
        </w:rPr>
        <w:t xml:space="preserve">to </w:t>
      </w:r>
      <w:r w:rsidR="003038D3" w:rsidRPr="00BC7065">
        <w:rPr>
          <w:rFonts w:ascii="Times New Roman" w:hAnsi="Times New Roman" w:cs="Times New Roman"/>
          <w:szCs w:val="22"/>
        </w:rPr>
        <w:t>Energy Safety</w:t>
      </w:r>
      <w:r w:rsidR="0041135E" w:rsidRPr="00BC7065">
        <w:rPr>
          <w:rFonts w:ascii="Times New Roman" w:hAnsi="Times New Roman" w:cs="Times New Roman"/>
          <w:szCs w:val="22"/>
        </w:rPr>
        <w:t xml:space="preserve">’s discretion.  </w:t>
      </w:r>
    </w:p>
  </w:footnote>
  <w:footnote w:id="34">
    <w:p w14:paraId="771BA040" w14:textId="7CC27E4E" w:rsidR="002B6340" w:rsidRPr="00BC7065" w:rsidRDefault="002B6340"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2722AE" w:rsidRPr="00BC7065">
        <w:rPr>
          <w:rFonts w:ascii="Times New Roman" w:hAnsi="Times New Roman" w:cs="Times New Roman"/>
          <w:szCs w:val="22"/>
        </w:rPr>
        <w:t>In the first instance, t</w:t>
      </w:r>
      <w:r w:rsidR="007E517B" w:rsidRPr="00BC7065">
        <w:rPr>
          <w:rFonts w:ascii="Times New Roman" w:hAnsi="Times New Roman" w:cs="Times New Roman"/>
          <w:szCs w:val="22"/>
        </w:rPr>
        <w:t xml:space="preserve">he </w:t>
      </w:r>
      <w:r w:rsidR="009341E9" w:rsidRPr="00BC7065">
        <w:rPr>
          <w:rFonts w:ascii="Times New Roman" w:hAnsi="Times New Roman" w:cs="Times New Roman"/>
          <w:szCs w:val="22"/>
        </w:rPr>
        <w:t>Commission</w:t>
      </w:r>
      <w:r w:rsidR="007E517B" w:rsidRPr="00BC7065">
        <w:rPr>
          <w:rFonts w:ascii="Times New Roman" w:hAnsi="Times New Roman" w:cs="Times New Roman"/>
          <w:szCs w:val="22"/>
        </w:rPr>
        <w:t>’s enforcement</w:t>
      </w:r>
      <w:r w:rsidR="009341E9" w:rsidRPr="00BC7065">
        <w:rPr>
          <w:rFonts w:ascii="Times New Roman" w:hAnsi="Times New Roman" w:cs="Times New Roman"/>
          <w:szCs w:val="22"/>
        </w:rPr>
        <w:t xml:space="preserve"> staff, not the Commission</w:t>
      </w:r>
      <w:r w:rsidR="00925B8C" w:rsidRPr="00BC7065">
        <w:rPr>
          <w:rFonts w:ascii="Times New Roman" w:hAnsi="Times New Roman" w:cs="Times New Roman"/>
          <w:szCs w:val="22"/>
        </w:rPr>
        <w:t xml:space="preserve"> as a body</w:t>
      </w:r>
      <w:r w:rsidR="009341E9" w:rsidRPr="00BC7065">
        <w:rPr>
          <w:rFonts w:ascii="Times New Roman" w:hAnsi="Times New Roman" w:cs="Times New Roman"/>
          <w:szCs w:val="22"/>
        </w:rPr>
        <w:t xml:space="preserve">, </w:t>
      </w:r>
      <w:r w:rsidR="00925B8C" w:rsidRPr="00BC7065">
        <w:rPr>
          <w:rFonts w:ascii="Times New Roman" w:hAnsi="Times New Roman" w:cs="Times New Roman"/>
          <w:szCs w:val="22"/>
        </w:rPr>
        <w:t xml:space="preserve">makes a determination </w:t>
      </w:r>
      <w:r w:rsidR="009341E9" w:rsidRPr="00BC7065">
        <w:rPr>
          <w:rFonts w:ascii="Times New Roman" w:hAnsi="Times New Roman" w:cs="Times New Roman"/>
          <w:szCs w:val="22"/>
        </w:rPr>
        <w:t xml:space="preserve">whether to pursue </w:t>
      </w:r>
      <w:r w:rsidR="00925B8C" w:rsidRPr="00BC7065">
        <w:rPr>
          <w:rFonts w:ascii="Times New Roman" w:hAnsi="Times New Roman" w:cs="Times New Roman"/>
          <w:szCs w:val="22"/>
        </w:rPr>
        <w:t xml:space="preserve">an </w:t>
      </w:r>
      <w:r w:rsidR="009341E9" w:rsidRPr="00BC7065">
        <w:rPr>
          <w:rFonts w:ascii="Times New Roman" w:hAnsi="Times New Roman" w:cs="Times New Roman"/>
          <w:szCs w:val="22"/>
        </w:rPr>
        <w:t>enforcement</w:t>
      </w:r>
      <w:r w:rsidR="00925B8C" w:rsidRPr="00BC7065">
        <w:rPr>
          <w:rFonts w:ascii="Times New Roman" w:hAnsi="Times New Roman" w:cs="Times New Roman"/>
          <w:szCs w:val="22"/>
        </w:rPr>
        <w:t xml:space="preserve"> action</w:t>
      </w:r>
      <w:r w:rsidR="009341E9" w:rsidRPr="00BC7065">
        <w:rPr>
          <w:rFonts w:ascii="Times New Roman" w:hAnsi="Times New Roman" w:cs="Times New Roman"/>
          <w:szCs w:val="22"/>
        </w:rPr>
        <w:t xml:space="preserve">.  </w:t>
      </w:r>
      <w:r w:rsidR="009341E9" w:rsidRPr="00BC7065">
        <w:rPr>
          <w:rFonts w:ascii="Times New Roman" w:hAnsi="Times New Roman" w:cs="Times New Roman"/>
          <w:i/>
          <w:iCs/>
          <w:szCs w:val="22"/>
        </w:rPr>
        <w:t xml:space="preserve">Cf </w:t>
      </w:r>
      <w:r w:rsidR="009341E9" w:rsidRPr="00BC7065">
        <w:rPr>
          <w:rFonts w:ascii="Times New Roman" w:hAnsi="Times New Roman" w:cs="Times New Roman"/>
          <w:szCs w:val="22"/>
        </w:rPr>
        <w:t xml:space="preserve">Attachment 3 p. 9 (“The Commission will determine whether the Energy Safety NOV or NOD and subsequent electrical corporation response is sufficient, or if additional Commission enforcement action is needed.”)    </w:t>
      </w:r>
    </w:p>
  </w:footnote>
  <w:footnote w:id="35">
    <w:p w14:paraId="0C3A351B" w14:textId="77777777" w:rsidR="00ED351C" w:rsidRPr="00BC7065" w:rsidRDefault="00ED351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4 (</w:t>
      </w:r>
      <w:r w:rsidR="00FE37EF" w:rsidRPr="00BC7065">
        <w:rPr>
          <w:rFonts w:ascii="Times New Roman" w:hAnsi="Times New Roman" w:cs="Times New Roman"/>
          <w:szCs w:val="22"/>
        </w:rPr>
        <w:t>Energy Safety</w:t>
      </w:r>
      <w:r w:rsidR="00C546B3" w:rsidRPr="00BC7065">
        <w:rPr>
          <w:rFonts w:ascii="Times New Roman" w:hAnsi="Times New Roman" w:cs="Times New Roman"/>
          <w:szCs w:val="22"/>
        </w:rPr>
        <w:t>’s</w:t>
      </w:r>
      <w:r w:rsidR="00FE37EF" w:rsidRPr="00BC7065">
        <w:rPr>
          <w:rFonts w:ascii="Times New Roman" w:hAnsi="Times New Roman" w:cs="Times New Roman"/>
          <w:szCs w:val="22"/>
        </w:rPr>
        <w:t xml:space="preserve"> 2022 Safety Culture Assessment Process</w:t>
      </w:r>
      <w:r w:rsidR="006F6D88" w:rsidRPr="00BC7065">
        <w:rPr>
          <w:rFonts w:ascii="Times New Roman" w:hAnsi="Times New Roman" w:cs="Times New Roman"/>
          <w:szCs w:val="22"/>
        </w:rPr>
        <w:t>)</w:t>
      </w:r>
      <w:r w:rsidR="00FE37EF" w:rsidRPr="00BC7065">
        <w:rPr>
          <w:rFonts w:ascii="Times New Roman" w:hAnsi="Times New Roman" w:cs="Times New Roman"/>
          <w:szCs w:val="22"/>
        </w:rPr>
        <w:t>, p. 5.</w:t>
      </w:r>
    </w:p>
  </w:footnote>
  <w:footnote w:id="36">
    <w:p w14:paraId="3013F14D" w14:textId="77777777" w:rsidR="00FE37EF" w:rsidRPr="00BC7065" w:rsidRDefault="00FE37EF"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4</w:t>
      </w:r>
      <w:r w:rsidRPr="00BC7065">
        <w:rPr>
          <w:rFonts w:ascii="Times New Roman" w:hAnsi="Times New Roman" w:cs="Times New Roman"/>
          <w:szCs w:val="22"/>
        </w:rPr>
        <w:t>, p. 5.</w:t>
      </w:r>
    </w:p>
  </w:footnote>
  <w:footnote w:id="37">
    <w:p w14:paraId="081CDC0F" w14:textId="77777777" w:rsidR="00FE37EF" w:rsidRPr="00BC7065" w:rsidRDefault="00FE37EF"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4</w:t>
      </w:r>
      <w:r w:rsidRPr="00BC7065">
        <w:rPr>
          <w:rFonts w:ascii="Times New Roman" w:hAnsi="Times New Roman" w:cs="Times New Roman"/>
          <w:szCs w:val="22"/>
        </w:rPr>
        <w:t>, p. 5.</w:t>
      </w:r>
    </w:p>
  </w:footnote>
  <w:footnote w:id="38">
    <w:p w14:paraId="5632F10E" w14:textId="77777777" w:rsidR="003776FD" w:rsidRPr="00BC7065" w:rsidRDefault="003776F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4</w:t>
      </w:r>
      <w:r w:rsidRPr="00BC7065">
        <w:rPr>
          <w:rFonts w:ascii="Times New Roman" w:hAnsi="Times New Roman" w:cs="Times New Roman"/>
          <w:szCs w:val="22"/>
        </w:rPr>
        <w:t>, p. 5.</w:t>
      </w:r>
    </w:p>
  </w:footnote>
  <w:footnote w:id="39">
    <w:p w14:paraId="7B569C78" w14:textId="77777777" w:rsidR="00897923" w:rsidRPr="00BC7065" w:rsidRDefault="00897923"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006F6D88" w:rsidRPr="00BC7065">
        <w:rPr>
          <w:rFonts w:ascii="Times New Roman" w:hAnsi="Times New Roman" w:cs="Times New Roman"/>
          <w:szCs w:val="22"/>
        </w:rPr>
        <w:t>Attachment 4</w:t>
      </w:r>
      <w:r w:rsidRPr="00BC7065">
        <w:rPr>
          <w:rFonts w:ascii="Times New Roman" w:hAnsi="Times New Roman" w:cs="Times New Roman"/>
          <w:szCs w:val="22"/>
        </w:rPr>
        <w:t>, p. 8.</w:t>
      </w:r>
    </w:p>
  </w:footnote>
  <w:footnote w:id="40">
    <w:p w14:paraId="44BDA77F" w14:textId="77777777" w:rsidR="00DA4DCE" w:rsidRPr="00BC7065" w:rsidRDefault="00DA4DCE"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R.21-10-001, </w:t>
      </w:r>
      <w:r w:rsidRPr="00BC7065">
        <w:rPr>
          <w:rFonts w:ascii="Times New Roman" w:hAnsi="Times New Roman" w:cs="Times New Roman"/>
          <w:i/>
          <w:iCs/>
          <w:szCs w:val="22"/>
        </w:rPr>
        <w:t>Order Instituting Rulemaking to Develop Safety Culture Assessments for Electric and Natural Gas Utilities</w:t>
      </w:r>
      <w:r w:rsidR="00DF2151" w:rsidRPr="00BC7065">
        <w:rPr>
          <w:rFonts w:ascii="Times New Roman" w:hAnsi="Times New Roman" w:cs="Times New Roman"/>
          <w:szCs w:val="22"/>
        </w:rPr>
        <w:t xml:space="preserve"> (October 7, 2021)</w:t>
      </w:r>
      <w:r w:rsidR="00444FFC" w:rsidRPr="00BC7065">
        <w:rPr>
          <w:rFonts w:ascii="Times New Roman" w:hAnsi="Times New Roman" w:cs="Times New Roman"/>
          <w:szCs w:val="22"/>
        </w:rPr>
        <w:t>.</w:t>
      </w:r>
    </w:p>
  </w:footnote>
  <w:footnote w:id="41">
    <w:p w14:paraId="18498F2A" w14:textId="77777777" w:rsidR="0019476B" w:rsidRPr="00BC7065" w:rsidRDefault="0019476B"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Comments of the Green Power Institute on Draft Resolution M-4860, pp. 1-5.</w:t>
      </w:r>
    </w:p>
  </w:footnote>
  <w:footnote w:id="42">
    <w:p w14:paraId="5AC7E215"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Comments of San Diego Gas &amp; Electric Company on Draft Resolution M-4860 and Related Attachments, November 22, 2021, pp. 1-2; Southern California Edison Company’s Comments on Draft Resolution M-4860 and Related Attachments, November 22, 2021, p. 2.</w:t>
      </w:r>
    </w:p>
  </w:footnote>
  <w:footnote w:id="43">
    <w:p w14:paraId="0E92CA11" w14:textId="77777777" w:rsidR="00EC6089" w:rsidRPr="00BC7065" w:rsidRDefault="00EC6089"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Pub. Util. Code Section 8386(c)(22).</w:t>
      </w:r>
    </w:p>
  </w:footnote>
  <w:footnote w:id="44">
    <w:p w14:paraId="479B565E"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Pacific Gas and Electric Company’s Opening Comments on Draft Resolution M-4860, November 22, 2021, pp. 1-2.</w:t>
      </w:r>
    </w:p>
  </w:footnote>
  <w:footnote w:id="45">
    <w:p w14:paraId="2D4D3209"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Comments of San Diego Gas &amp; Electric Company on Draft Resolution M-4860 and Related Attachments, November 22, 2021, pp. 2-3.</w:t>
      </w:r>
    </w:p>
  </w:footnote>
  <w:footnote w:id="46">
    <w:p w14:paraId="05854D9A" w14:textId="4C74830D"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Pacific Gas and Electric Company’s Opening Comments on Draft Resolution M-4860, November 22, 2021, p. 2.</w:t>
      </w:r>
    </w:p>
  </w:footnote>
  <w:footnote w:id="47">
    <w:p w14:paraId="65FEC79D"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Southern California Edison Company’s Comments on Draft Resolution M-4860 and Related Attachments, November 22, 2021, p. 5; Comments of San Diego Gas &amp; Electric Company on Draft Resolution M-4860 and Related Attachments, November 22, 2021, p. 3.</w:t>
      </w:r>
    </w:p>
  </w:footnote>
  <w:footnote w:id="48">
    <w:p w14:paraId="7A3CB47D"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Resolution M-4860, Attachment 3, p. 6.</w:t>
      </w:r>
    </w:p>
  </w:footnote>
  <w:footnote w:id="49">
    <w:p w14:paraId="45C8723F" w14:textId="77777777" w:rsidR="006E4FC2" w:rsidRPr="00BC7065" w:rsidRDefault="006E4FC2"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Southern California Edison Company’s Comments on Draft Resolution M-4860 and Related Attachments, November 22, 2021, p. 4.</w:t>
      </w:r>
    </w:p>
  </w:footnote>
  <w:footnote w:id="50">
    <w:p w14:paraId="401D7140"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We do expect that Energy Safety’s regulations, including any processes relating to issuing NOVs and NODs, will be consistent with the Commission’s adopted WMP compliance process.   </w:t>
      </w:r>
    </w:p>
  </w:footnote>
  <w:footnote w:id="51">
    <w:p w14:paraId="6DC1BFF4" w14:textId="60B169AC" w:rsidR="00F31C0D" w:rsidRPr="00BC7065" w:rsidRDefault="00F31C0D"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t>
      </w:r>
      <w:r w:rsidRPr="00BC7065">
        <w:rPr>
          <w:rFonts w:ascii="Times New Roman" w:hAnsi="Times New Roman" w:cs="Times New Roman"/>
          <w:i/>
          <w:iCs/>
          <w:szCs w:val="22"/>
        </w:rPr>
        <w:t xml:space="preserve">See </w:t>
      </w:r>
      <w:r w:rsidRPr="00BC7065">
        <w:rPr>
          <w:rFonts w:ascii="Times New Roman" w:hAnsi="Times New Roman" w:cs="Times New Roman"/>
          <w:szCs w:val="22"/>
        </w:rPr>
        <w:t xml:space="preserve">Sections 8389(d) and 8386.1.  </w:t>
      </w:r>
    </w:p>
  </w:footnote>
  <w:footnote w:id="52">
    <w:p w14:paraId="448E7E2A" w14:textId="58FD3F93"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The factors are: (a) the nature and severity of any noncompliance with the plan, including whether the noncompliance resulted in harm; (b) the extent to which the commission has found that the electrical corporation complied with its plans in prior years; (c) whether the electrical corporation self-reported the circumstances constituting noncompliance; (d) whether the electrical corporation implemented corrective actions with respect to the noncompliance; (e) whether the electrical corporation knew or in the exercise of reasonable care should have known of the circumstances constituting noncompliance; (f) whether the electrical corporation had previously engaged in conduct of a similar nature that caused significant property damage or injury; and (g) any other factors established by the commission in a rulemaking proceeding, consistent with this section.  </w:t>
      </w:r>
      <w:r w:rsidR="00226385">
        <w:rPr>
          <w:rFonts w:ascii="Times New Roman" w:hAnsi="Times New Roman" w:cs="Times New Roman"/>
          <w:szCs w:val="22"/>
        </w:rPr>
        <w:t xml:space="preserve">Pub. Util. Code </w:t>
      </w:r>
      <w:r w:rsidR="002E54E7" w:rsidRPr="00BC7065">
        <w:rPr>
          <w:rFonts w:ascii="Times New Roman" w:hAnsi="Times New Roman" w:cs="Times New Roman"/>
          <w:szCs w:val="22"/>
        </w:rPr>
        <w:t>Section 838</w:t>
      </w:r>
      <w:r w:rsidR="00F23FF7" w:rsidRPr="00BC7065">
        <w:rPr>
          <w:rFonts w:ascii="Times New Roman" w:hAnsi="Times New Roman" w:cs="Times New Roman"/>
          <w:szCs w:val="22"/>
        </w:rPr>
        <w:t>6.1</w:t>
      </w:r>
      <w:r w:rsidR="00226385">
        <w:rPr>
          <w:rFonts w:ascii="Times New Roman" w:hAnsi="Times New Roman" w:cs="Times New Roman"/>
          <w:szCs w:val="22"/>
        </w:rPr>
        <w:t>.</w:t>
      </w:r>
      <w:r w:rsidRPr="00BC7065">
        <w:rPr>
          <w:rFonts w:ascii="Times New Roman" w:hAnsi="Times New Roman" w:cs="Times New Roman"/>
          <w:szCs w:val="22"/>
        </w:rPr>
        <w:t xml:space="preserve">     </w:t>
      </w:r>
    </w:p>
  </w:footnote>
  <w:footnote w:id="53">
    <w:p w14:paraId="298AE9E6"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WSD-012, Attachment 1, p. 4.</w:t>
      </w:r>
    </w:p>
  </w:footnote>
  <w:footnote w:id="54">
    <w:p w14:paraId="513BF1D3"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Attachment 3, p. 6. </w:t>
      </w:r>
    </w:p>
  </w:footnote>
  <w:footnote w:id="55">
    <w:p w14:paraId="03B8FA42" w14:textId="77777777" w:rsidR="005154CC" w:rsidRPr="00BC7065" w:rsidRDefault="005154CC" w:rsidP="00BC7065">
      <w:pPr>
        <w:pStyle w:val="FootnoteText"/>
        <w:spacing w:line="240" w:lineRule="exact"/>
        <w:rPr>
          <w:rFonts w:ascii="Times New Roman" w:hAnsi="Times New Roman" w:cs="Times New Roman"/>
          <w:szCs w:val="22"/>
        </w:rPr>
      </w:pPr>
      <w:r w:rsidRPr="00BC7065">
        <w:rPr>
          <w:rStyle w:val="FootnoteReference"/>
          <w:rFonts w:ascii="Times New Roman" w:hAnsi="Times New Roman" w:cs="Times New Roman"/>
          <w:b/>
          <w:bCs/>
          <w:szCs w:val="22"/>
          <w:u w:val="single"/>
        </w:rPr>
        <w:footnoteRef/>
      </w:r>
      <w:r w:rsidRPr="00BC7065">
        <w:rPr>
          <w:rFonts w:ascii="Times New Roman" w:hAnsi="Times New Roman" w:cs="Times New Roman"/>
          <w:szCs w:val="22"/>
        </w:rPr>
        <w:t xml:space="preserve"> Attachment 3,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03FF" w14:textId="7593E949" w:rsidR="002D1B25" w:rsidRPr="00080840" w:rsidRDefault="002D1B25" w:rsidP="002D1B25">
    <w:pPr>
      <w:rPr>
        <w:rFonts w:cs="Times New Roman"/>
        <w:szCs w:val="26"/>
      </w:rPr>
    </w:pPr>
    <w:r>
      <w:rPr>
        <w:rFonts w:cs="Times New Roman"/>
        <w:szCs w:val="26"/>
      </w:rPr>
      <w:t xml:space="preserve">Resolution </w:t>
    </w:r>
    <w:r w:rsidR="003708C0">
      <w:rPr>
        <w:rFonts w:cs="Times New Roman"/>
        <w:szCs w:val="26"/>
      </w:rPr>
      <w:t>M</w:t>
    </w:r>
    <w:r w:rsidR="00AF7CC0">
      <w:rPr>
        <w:rFonts w:cs="Times New Roman"/>
        <w:szCs w:val="26"/>
      </w:rPr>
      <w:t>-4860</w:t>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sidR="00080840">
      <w:rPr>
        <w:rFonts w:cs="Times New Roman"/>
        <w:b/>
        <w:bCs/>
        <w:szCs w:val="26"/>
      </w:rPr>
      <w:tab/>
    </w:r>
    <w:r w:rsidR="00080840">
      <w:rPr>
        <w:rFonts w:cs="Times New Roman"/>
        <w:b/>
        <w:bCs/>
        <w:szCs w:val="26"/>
      </w:rPr>
      <w:tab/>
    </w:r>
    <w:r>
      <w:rPr>
        <w:rFonts w:cs="Times New Roman"/>
        <w:b/>
        <w:bCs/>
        <w:szCs w:val="26"/>
      </w:rPr>
      <w:tab/>
    </w:r>
    <w:r w:rsidR="00080840" w:rsidRPr="00080840">
      <w:rPr>
        <w:rFonts w:cs="Times New Roman"/>
        <w:szCs w:val="26"/>
      </w:rPr>
      <w:t>December 2,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D4D3" w14:textId="6002333E" w:rsidR="009C675E" w:rsidRPr="004B79F9" w:rsidRDefault="00080840" w:rsidP="004B79F9">
    <w:pPr>
      <w:pStyle w:val="Header"/>
      <w:rPr>
        <w:b/>
        <w:bCs/>
      </w:rPr>
    </w:pPr>
    <w:r>
      <w:tab/>
    </w:r>
    <w:r w:rsidR="004B79F9">
      <w:tab/>
    </w:r>
    <w:r w:rsidR="004B79F9" w:rsidRPr="004B79F9">
      <w:rPr>
        <w:b/>
        <w:bCs/>
      </w:rPr>
      <w:t>Date of Issuance</w:t>
    </w:r>
  </w:p>
  <w:p w14:paraId="4F74CE5A" w14:textId="77860CE3" w:rsidR="004B79F9" w:rsidRPr="004B79F9" w:rsidRDefault="004B79F9" w:rsidP="004B79F9">
    <w:pPr>
      <w:pStyle w:val="Header"/>
      <w:rPr>
        <w:b/>
        <w:bCs/>
      </w:rPr>
    </w:pPr>
    <w:r w:rsidRPr="004B79F9">
      <w:rPr>
        <w:b/>
        <w:bCs/>
      </w:rPr>
      <w:tab/>
    </w:r>
    <w:r w:rsidRPr="004B79F9">
      <w:rPr>
        <w:b/>
        <w:bCs/>
      </w:rPr>
      <w:tab/>
      <w:t>December 2, 2021</w:t>
    </w:r>
  </w:p>
  <w:p w14:paraId="79544A0C" w14:textId="77777777" w:rsidR="00C90431" w:rsidRPr="002D1B25" w:rsidRDefault="00C90431" w:rsidP="002D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50BE"/>
    <w:multiLevelType w:val="hybridMultilevel"/>
    <w:tmpl w:val="A52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495B"/>
    <w:multiLevelType w:val="multilevel"/>
    <w:tmpl w:val="4776E818"/>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E2230AD"/>
    <w:multiLevelType w:val="hybridMultilevel"/>
    <w:tmpl w:val="6DDAC4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F3B1E"/>
    <w:multiLevelType w:val="multilevel"/>
    <w:tmpl w:val="5F6C25A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63B60"/>
    <w:multiLevelType w:val="multilevel"/>
    <w:tmpl w:val="0932191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2F0A53E5"/>
    <w:multiLevelType w:val="hybridMultilevel"/>
    <w:tmpl w:val="343ADE8C"/>
    <w:lvl w:ilvl="0" w:tplc="A1B4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EA03788"/>
    <w:multiLevelType w:val="hybridMultilevel"/>
    <w:tmpl w:val="4E86E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D4577"/>
    <w:multiLevelType w:val="hybridMultilevel"/>
    <w:tmpl w:val="4E7C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608B3"/>
    <w:multiLevelType w:val="multilevel"/>
    <w:tmpl w:val="BC20C678"/>
    <w:numStyleLink w:val="Headings"/>
  </w:abstractNum>
  <w:abstractNum w:abstractNumId="14" w15:restartNumberingAfterBreak="0">
    <w:nsid w:val="453B3BD2"/>
    <w:multiLevelType w:val="hybridMultilevel"/>
    <w:tmpl w:val="4BA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9A150B"/>
    <w:multiLevelType w:val="multilevel"/>
    <w:tmpl w:val="0576C74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D4415D"/>
    <w:multiLevelType w:val="multilevel"/>
    <w:tmpl w:val="BAD88A8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DB4314"/>
    <w:multiLevelType w:val="hybridMultilevel"/>
    <w:tmpl w:val="5D8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90E9F"/>
    <w:multiLevelType w:val="hybridMultilevel"/>
    <w:tmpl w:val="737E3698"/>
    <w:lvl w:ilvl="0" w:tplc="9CDA04E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15434A"/>
    <w:multiLevelType w:val="hybridMultilevel"/>
    <w:tmpl w:val="53A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F23B9"/>
    <w:multiLevelType w:val="hybridMultilevel"/>
    <w:tmpl w:val="FA5E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042D7"/>
    <w:multiLevelType w:val="multilevel"/>
    <w:tmpl w:val="18F4A5AC"/>
    <w:numStyleLink w:val="FoFCoLOP"/>
  </w:abstractNum>
  <w:abstractNum w:abstractNumId="22" w15:restartNumberingAfterBreak="0">
    <w:nsid w:val="5DAB38FA"/>
    <w:multiLevelType w:val="hybridMultilevel"/>
    <w:tmpl w:val="77A68934"/>
    <w:lvl w:ilvl="0" w:tplc="115898EE">
      <w:start w:val="6"/>
      <w:numFmt w:val="bullet"/>
      <w:lvlText w:val="-"/>
      <w:lvlJc w:val="left"/>
      <w:pPr>
        <w:ind w:left="720" w:hanging="360"/>
      </w:pPr>
      <w:rPr>
        <w:rFonts w:ascii="Book Antiqua" w:eastAsia="Times New Roman"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D3C16"/>
    <w:multiLevelType w:val="multilevel"/>
    <w:tmpl w:val="B614B9F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BB84711"/>
    <w:multiLevelType w:val="hybridMultilevel"/>
    <w:tmpl w:val="53647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A86EDD"/>
    <w:multiLevelType w:val="hybridMultilevel"/>
    <w:tmpl w:val="80D4B572"/>
    <w:lvl w:ilvl="0" w:tplc="06C4E46C">
      <w:start w:val="20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A0AFE"/>
    <w:multiLevelType w:val="multilevel"/>
    <w:tmpl w:val="18F4A5AC"/>
    <w:numStyleLink w:val="FoFCoLOP"/>
  </w:abstractNum>
  <w:num w:numId="1">
    <w:abstractNumId w:val="3"/>
  </w:num>
  <w:num w:numId="2">
    <w:abstractNumId w:val="21"/>
  </w:num>
  <w:num w:numId="3">
    <w:abstractNumId w:val="4"/>
  </w:num>
  <w:num w:numId="4">
    <w:abstractNumId w:val="26"/>
  </w:num>
  <w:num w:numId="5">
    <w:abstractNumId w:val="10"/>
  </w:num>
  <w:num w:numId="6">
    <w:abstractNumId w:val="0"/>
  </w:num>
  <w:num w:numId="7">
    <w:abstractNumId w:val="13"/>
  </w:num>
  <w:num w:numId="8">
    <w:abstractNumId w:val="9"/>
  </w:num>
  <w:num w:numId="9">
    <w:abstractNumId w:val="7"/>
  </w:num>
  <w:num w:numId="10">
    <w:abstractNumId w:val="24"/>
  </w:num>
  <w:num w:numId="11">
    <w:abstractNumId w:val="17"/>
  </w:num>
  <w:num w:numId="12">
    <w:abstractNumId w:val="20"/>
  </w:num>
  <w:num w:numId="13">
    <w:abstractNumId w:val="19"/>
  </w:num>
  <w:num w:numId="14">
    <w:abstractNumId w:val="14"/>
  </w:num>
  <w:num w:numId="15">
    <w:abstractNumId w:val="2"/>
  </w:num>
  <w:num w:numId="16">
    <w:abstractNumId w:val="11"/>
  </w:num>
  <w:num w:numId="17">
    <w:abstractNumId w:val="12"/>
  </w:num>
  <w:num w:numId="18">
    <w:abstractNumId w:val="1"/>
  </w:num>
  <w:num w:numId="19">
    <w:abstractNumId w:val="22"/>
  </w:num>
  <w:num w:numId="20">
    <w:abstractNumId w:val="15"/>
  </w:num>
  <w:num w:numId="21">
    <w:abstractNumId w:val="5"/>
  </w:num>
  <w:num w:numId="22">
    <w:abstractNumId w:val="8"/>
  </w:num>
  <w:num w:numId="23">
    <w:abstractNumId w:val="18"/>
  </w:num>
  <w:num w:numId="24">
    <w:abstractNumId w:val="6"/>
  </w:num>
  <w:num w:numId="25">
    <w:abstractNumId w:val="16"/>
  </w:num>
  <w:num w:numId="26">
    <w:abstractNumId w:val="23"/>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442"/>
    <w:rsid w:val="00000516"/>
    <w:rsid w:val="000007BB"/>
    <w:rsid w:val="0000096D"/>
    <w:rsid w:val="00000B10"/>
    <w:rsid w:val="00000F6A"/>
    <w:rsid w:val="00002277"/>
    <w:rsid w:val="00002BED"/>
    <w:rsid w:val="00003352"/>
    <w:rsid w:val="00003434"/>
    <w:rsid w:val="00003492"/>
    <w:rsid w:val="000044A6"/>
    <w:rsid w:val="00004824"/>
    <w:rsid w:val="00005472"/>
    <w:rsid w:val="000058EC"/>
    <w:rsid w:val="00006860"/>
    <w:rsid w:val="00007E5F"/>
    <w:rsid w:val="00012291"/>
    <w:rsid w:val="00017063"/>
    <w:rsid w:val="00017491"/>
    <w:rsid w:val="000179D7"/>
    <w:rsid w:val="00021480"/>
    <w:rsid w:val="00021897"/>
    <w:rsid w:val="00024990"/>
    <w:rsid w:val="00024C70"/>
    <w:rsid w:val="00025E58"/>
    <w:rsid w:val="0002676C"/>
    <w:rsid w:val="00026C29"/>
    <w:rsid w:val="00026E6C"/>
    <w:rsid w:val="000271B0"/>
    <w:rsid w:val="00027743"/>
    <w:rsid w:val="000279A9"/>
    <w:rsid w:val="000309CD"/>
    <w:rsid w:val="00030B54"/>
    <w:rsid w:val="00030F4C"/>
    <w:rsid w:val="00031989"/>
    <w:rsid w:val="00033FFF"/>
    <w:rsid w:val="000341DF"/>
    <w:rsid w:val="00034220"/>
    <w:rsid w:val="00034EA7"/>
    <w:rsid w:val="000355B2"/>
    <w:rsid w:val="00035A53"/>
    <w:rsid w:val="00036A1A"/>
    <w:rsid w:val="0003700B"/>
    <w:rsid w:val="00037A1A"/>
    <w:rsid w:val="00040B25"/>
    <w:rsid w:val="00040BF5"/>
    <w:rsid w:val="0004122B"/>
    <w:rsid w:val="00044114"/>
    <w:rsid w:val="00044A89"/>
    <w:rsid w:val="000458AD"/>
    <w:rsid w:val="000460F0"/>
    <w:rsid w:val="0004732B"/>
    <w:rsid w:val="000527C3"/>
    <w:rsid w:val="000537E2"/>
    <w:rsid w:val="00053A5B"/>
    <w:rsid w:val="00053FED"/>
    <w:rsid w:val="00054882"/>
    <w:rsid w:val="00054A6C"/>
    <w:rsid w:val="000562A5"/>
    <w:rsid w:val="00056D42"/>
    <w:rsid w:val="000574E2"/>
    <w:rsid w:val="000578BB"/>
    <w:rsid w:val="000608AD"/>
    <w:rsid w:val="00061281"/>
    <w:rsid w:val="00061559"/>
    <w:rsid w:val="0006236B"/>
    <w:rsid w:val="000626BA"/>
    <w:rsid w:val="00062702"/>
    <w:rsid w:val="000629FA"/>
    <w:rsid w:val="00064142"/>
    <w:rsid w:val="00064F32"/>
    <w:rsid w:val="0006500F"/>
    <w:rsid w:val="00065BA3"/>
    <w:rsid w:val="000667C4"/>
    <w:rsid w:val="00066C12"/>
    <w:rsid w:val="00066D74"/>
    <w:rsid w:val="000670DC"/>
    <w:rsid w:val="00070257"/>
    <w:rsid w:val="000702B6"/>
    <w:rsid w:val="0007115A"/>
    <w:rsid w:val="00071559"/>
    <w:rsid w:val="00071EDE"/>
    <w:rsid w:val="000727D3"/>
    <w:rsid w:val="000729CD"/>
    <w:rsid w:val="00072BED"/>
    <w:rsid w:val="00072D44"/>
    <w:rsid w:val="00073228"/>
    <w:rsid w:val="00073CC0"/>
    <w:rsid w:val="0007450F"/>
    <w:rsid w:val="000757D0"/>
    <w:rsid w:val="00075AEE"/>
    <w:rsid w:val="00076A09"/>
    <w:rsid w:val="00076C47"/>
    <w:rsid w:val="000770E4"/>
    <w:rsid w:val="00077205"/>
    <w:rsid w:val="000779B0"/>
    <w:rsid w:val="00080840"/>
    <w:rsid w:val="000812CB"/>
    <w:rsid w:val="00081BAC"/>
    <w:rsid w:val="00081DE3"/>
    <w:rsid w:val="00082834"/>
    <w:rsid w:val="00082EB3"/>
    <w:rsid w:val="00083B32"/>
    <w:rsid w:val="000845F1"/>
    <w:rsid w:val="000863DF"/>
    <w:rsid w:val="0008798C"/>
    <w:rsid w:val="00090492"/>
    <w:rsid w:val="0009065E"/>
    <w:rsid w:val="00091392"/>
    <w:rsid w:val="00092CBD"/>
    <w:rsid w:val="0009538F"/>
    <w:rsid w:val="000955CD"/>
    <w:rsid w:val="00095697"/>
    <w:rsid w:val="00095934"/>
    <w:rsid w:val="000959DF"/>
    <w:rsid w:val="00095B6E"/>
    <w:rsid w:val="000973C8"/>
    <w:rsid w:val="00097720"/>
    <w:rsid w:val="000A020E"/>
    <w:rsid w:val="000A0532"/>
    <w:rsid w:val="000A27F3"/>
    <w:rsid w:val="000A2AA9"/>
    <w:rsid w:val="000A2D08"/>
    <w:rsid w:val="000A56F2"/>
    <w:rsid w:val="000A57F4"/>
    <w:rsid w:val="000A685E"/>
    <w:rsid w:val="000A6ADF"/>
    <w:rsid w:val="000A6E05"/>
    <w:rsid w:val="000B12FA"/>
    <w:rsid w:val="000B2D1D"/>
    <w:rsid w:val="000B33D9"/>
    <w:rsid w:val="000B4750"/>
    <w:rsid w:val="000B5856"/>
    <w:rsid w:val="000B5896"/>
    <w:rsid w:val="000B5A2C"/>
    <w:rsid w:val="000B63F0"/>
    <w:rsid w:val="000B66C8"/>
    <w:rsid w:val="000B7D6D"/>
    <w:rsid w:val="000B7F7D"/>
    <w:rsid w:val="000C02E0"/>
    <w:rsid w:val="000C08BF"/>
    <w:rsid w:val="000C0D83"/>
    <w:rsid w:val="000C3316"/>
    <w:rsid w:val="000C3B9A"/>
    <w:rsid w:val="000C43AB"/>
    <w:rsid w:val="000C54E3"/>
    <w:rsid w:val="000C5CDB"/>
    <w:rsid w:val="000C7CB5"/>
    <w:rsid w:val="000D1752"/>
    <w:rsid w:val="000D18EE"/>
    <w:rsid w:val="000D25A8"/>
    <w:rsid w:val="000D28A0"/>
    <w:rsid w:val="000D28FB"/>
    <w:rsid w:val="000D310B"/>
    <w:rsid w:val="000D423C"/>
    <w:rsid w:val="000D4245"/>
    <w:rsid w:val="000D4931"/>
    <w:rsid w:val="000D6422"/>
    <w:rsid w:val="000E1626"/>
    <w:rsid w:val="000E1ED4"/>
    <w:rsid w:val="000E3275"/>
    <w:rsid w:val="000E4C53"/>
    <w:rsid w:val="000E510F"/>
    <w:rsid w:val="000E779B"/>
    <w:rsid w:val="000E7855"/>
    <w:rsid w:val="000F0629"/>
    <w:rsid w:val="000F06AB"/>
    <w:rsid w:val="000F0C89"/>
    <w:rsid w:val="000F3E7A"/>
    <w:rsid w:val="000F45C9"/>
    <w:rsid w:val="000F5B53"/>
    <w:rsid w:val="000F62D2"/>
    <w:rsid w:val="000F7FCD"/>
    <w:rsid w:val="001017A2"/>
    <w:rsid w:val="00103224"/>
    <w:rsid w:val="00104578"/>
    <w:rsid w:val="001045E1"/>
    <w:rsid w:val="00106084"/>
    <w:rsid w:val="00106947"/>
    <w:rsid w:val="00107514"/>
    <w:rsid w:val="00107BA9"/>
    <w:rsid w:val="00107E2C"/>
    <w:rsid w:val="00110723"/>
    <w:rsid w:val="001108DF"/>
    <w:rsid w:val="00110FAB"/>
    <w:rsid w:val="00113226"/>
    <w:rsid w:val="0011367A"/>
    <w:rsid w:val="0011395B"/>
    <w:rsid w:val="00115A93"/>
    <w:rsid w:val="001171F5"/>
    <w:rsid w:val="001178F5"/>
    <w:rsid w:val="00121089"/>
    <w:rsid w:val="00121111"/>
    <w:rsid w:val="001215FE"/>
    <w:rsid w:val="001221C2"/>
    <w:rsid w:val="00124583"/>
    <w:rsid w:val="001245A1"/>
    <w:rsid w:val="00124BEA"/>
    <w:rsid w:val="001251F6"/>
    <w:rsid w:val="001253F9"/>
    <w:rsid w:val="001264DE"/>
    <w:rsid w:val="00131986"/>
    <w:rsid w:val="0013287A"/>
    <w:rsid w:val="00133C4F"/>
    <w:rsid w:val="001343CA"/>
    <w:rsid w:val="00136022"/>
    <w:rsid w:val="00140381"/>
    <w:rsid w:val="00140767"/>
    <w:rsid w:val="00140ED2"/>
    <w:rsid w:val="00143F0F"/>
    <w:rsid w:val="00143FA0"/>
    <w:rsid w:val="001443E3"/>
    <w:rsid w:val="00144855"/>
    <w:rsid w:val="00144F84"/>
    <w:rsid w:val="0014644C"/>
    <w:rsid w:val="001465EF"/>
    <w:rsid w:val="00147039"/>
    <w:rsid w:val="0015079F"/>
    <w:rsid w:val="001514E8"/>
    <w:rsid w:val="00151658"/>
    <w:rsid w:val="00151B9C"/>
    <w:rsid w:val="0015240E"/>
    <w:rsid w:val="001526F0"/>
    <w:rsid w:val="00152A4D"/>
    <w:rsid w:val="00152FD1"/>
    <w:rsid w:val="001530ED"/>
    <w:rsid w:val="001545B9"/>
    <w:rsid w:val="001557A2"/>
    <w:rsid w:val="00157C16"/>
    <w:rsid w:val="0016010E"/>
    <w:rsid w:val="00161705"/>
    <w:rsid w:val="001617C3"/>
    <w:rsid w:val="00161A7E"/>
    <w:rsid w:val="0016239B"/>
    <w:rsid w:val="001628E4"/>
    <w:rsid w:val="001636EE"/>
    <w:rsid w:val="0016398E"/>
    <w:rsid w:val="00164D29"/>
    <w:rsid w:val="00165462"/>
    <w:rsid w:val="00166F93"/>
    <w:rsid w:val="00170665"/>
    <w:rsid w:val="00170D41"/>
    <w:rsid w:val="00170E98"/>
    <w:rsid w:val="00171046"/>
    <w:rsid w:val="00171407"/>
    <w:rsid w:val="001714B7"/>
    <w:rsid w:val="00171941"/>
    <w:rsid w:val="00172653"/>
    <w:rsid w:val="0017441D"/>
    <w:rsid w:val="0017484C"/>
    <w:rsid w:val="001763DF"/>
    <w:rsid w:val="0017695B"/>
    <w:rsid w:val="00180C52"/>
    <w:rsid w:val="00180F63"/>
    <w:rsid w:val="00181896"/>
    <w:rsid w:val="00182386"/>
    <w:rsid w:val="001830BD"/>
    <w:rsid w:val="00183321"/>
    <w:rsid w:val="001835B3"/>
    <w:rsid w:val="00184F20"/>
    <w:rsid w:val="00185213"/>
    <w:rsid w:val="001854FC"/>
    <w:rsid w:val="0018575A"/>
    <w:rsid w:val="001862D4"/>
    <w:rsid w:val="0018677D"/>
    <w:rsid w:val="00186EF8"/>
    <w:rsid w:val="0018770A"/>
    <w:rsid w:val="0019130F"/>
    <w:rsid w:val="001916CD"/>
    <w:rsid w:val="001929EF"/>
    <w:rsid w:val="0019476B"/>
    <w:rsid w:val="00194E8B"/>
    <w:rsid w:val="001950C5"/>
    <w:rsid w:val="00195C95"/>
    <w:rsid w:val="001A05C7"/>
    <w:rsid w:val="001A065E"/>
    <w:rsid w:val="001A242B"/>
    <w:rsid w:val="001A26E2"/>
    <w:rsid w:val="001A2B97"/>
    <w:rsid w:val="001A2D7A"/>
    <w:rsid w:val="001A36E2"/>
    <w:rsid w:val="001A3B96"/>
    <w:rsid w:val="001A42A2"/>
    <w:rsid w:val="001A4571"/>
    <w:rsid w:val="001A5E06"/>
    <w:rsid w:val="001A6E1D"/>
    <w:rsid w:val="001A7AB6"/>
    <w:rsid w:val="001B029E"/>
    <w:rsid w:val="001B0E86"/>
    <w:rsid w:val="001B33D5"/>
    <w:rsid w:val="001B350D"/>
    <w:rsid w:val="001B39F4"/>
    <w:rsid w:val="001B50AE"/>
    <w:rsid w:val="001B64E6"/>
    <w:rsid w:val="001C2256"/>
    <w:rsid w:val="001C26A6"/>
    <w:rsid w:val="001C2B2D"/>
    <w:rsid w:val="001C363F"/>
    <w:rsid w:val="001C58F6"/>
    <w:rsid w:val="001C6FB0"/>
    <w:rsid w:val="001C7488"/>
    <w:rsid w:val="001D0F4A"/>
    <w:rsid w:val="001D2F40"/>
    <w:rsid w:val="001D7FA4"/>
    <w:rsid w:val="001E068E"/>
    <w:rsid w:val="001E0856"/>
    <w:rsid w:val="001E2A62"/>
    <w:rsid w:val="001E3C7D"/>
    <w:rsid w:val="001E4BCD"/>
    <w:rsid w:val="001E5924"/>
    <w:rsid w:val="001E5EED"/>
    <w:rsid w:val="001E6091"/>
    <w:rsid w:val="001E6B0B"/>
    <w:rsid w:val="001F14CE"/>
    <w:rsid w:val="001F2819"/>
    <w:rsid w:val="001F3CD4"/>
    <w:rsid w:val="001F402B"/>
    <w:rsid w:val="001F4C02"/>
    <w:rsid w:val="001F5768"/>
    <w:rsid w:val="001F5C7C"/>
    <w:rsid w:val="002003D9"/>
    <w:rsid w:val="00200A34"/>
    <w:rsid w:val="0020347F"/>
    <w:rsid w:val="00203C44"/>
    <w:rsid w:val="0020406D"/>
    <w:rsid w:val="002043EC"/>
    <w:rsid w:val="0020475B"/>
    <w:rsid w:val="00206267"/>
    <w:rsid w:val="002071DD"/>
    <w:rsid w:val="002077FF"/>
    <w:rsid w:val="00213095"/>
    <w:rsid w:val="00213D74"/>
    <w:rsid w:val="002152AC"/>
    <w:rsid w:val="00215A8C"/>
    <w:rsid w:val="00216A10"/>
    <w:rsid w:val="0022071D"/>
    <w:rsid w:val="00220B0B"/>
    <w:rsid w:val="00221D09"/>
    <w:rsid w:val="00224748"/>
    <w:rsid w:val="002256DA"/>
    <w:rsid w:val="00225CC0"/>
    <w:rsid w:val="00226044"/>
    <w:rsid w:val="00226385"/>
    <w:rsid w:val="00231D38"/>
    <w:rsid w:val="00232721"/>
    <w:rsid w:val="00232A97"/>
    <w:rsid w:val="00234EF7"/>
    <w:rsid w:val="00237973"/>
    <w:rsid w:val="00237EBC"/>
    <w:rsid w:val="0024033B"/>
    <w:rsid w:val="002416C3"/>
    <w:rsid w:val="00241D5B"/>
    <w:rsid w:val="00243042"/>
    <w:rsid w:val="00243B35"/>
    <w:rsid w:val="00243DA3"/>
    <w:rsid w:val="00243DC0"/>
    <w:rsid w:val="00245F65"/>
    <w:rsid w:val="0024655A"/>
    <w:rsid w:val="00246784"/>
    <w:rsid w:val="00246A0D"/>
    <w:rsid w:val="00247477"/>
    <w:rsid w:val="00247551"/>
    <w:rsid w:val="00247ACD"/>
    <w:rsid w:val="00247CA2"/>
    <w:rsid w:val="00247F64"/>
    <w:rsid w:val="00250493"/>
    <w:rsid w:val="00252F9C"/>
    <w:rsid w:val="00256151"/>
    <w:rsid w:val="002574D7"/>
    <w:rsid w:val="00257678"/>
    <w:rsid w:val="002603E1"/>
    <w:rsid w:val="0026179B"/>
    <w:rsid w:val="00264847"/>
    <w:rsid w:val="0026601F"/>
    <w:rsid w:val="0026641C"/>
    <w:rsid w:val="00267117"/>
    <w:rsid w:val="00267299"/>
    <w:rsid w:val="00267985"/>
    <w:rsid w:val="00267AAA"/>
    <w:rsid w:val="0027010E"/>
    <w:rsid w:val="00270440"/>
    <w:rsid w:val="00271615"/>
    <w:rsid w:val="00272267"/>
    <w:rsid w:val="002722AE"/>
    <w:rsid w:val="00273724"/>
    <w:rsid w:val="00274173"/>
    <w:rsid w:val="002746BE"/>
    <w:rsid w:val="00274C24"/>
    <w:rsid w:val="00276189"/>
    <w:rsid w:val="00276E1A"/>
    <w:rsid w:val="00277418"/>
    <w:rsid w:val="00277BE1"/>
    <w:rsid w:val="002800FC"/>
    <w:rsid w:val="0028108B"/>
    <w:rsid w:val="00281481"/>
    <w:rsid w:val="002818A3"/>
    <w:rsid w:val="002821F7"/>
    <w:rsid w:val="00282501"/>
    <w:rsid w:val="002827A5"/>
    <w:rsid w:val="00284BD4"/>
    <w:rsid w:val="002852B9"/>
    <w:rsid w:val="002859D8"/>
    <w:rsid w:val="00285A75"/>
    <w:rsid w:val="002912FB"/>
    <w:rsid w:val="00291899"/>
    <w:rsid w:val="002921E6"/>
    <w:rsid w:val="00293DEE"/>
    <w:rsid w:val="00293FD7"/>
    <w:rsid w:val="002956C0"/>
    <w:rsid w:val="00296063"/>
    <w:rsid w:val="00296066"/>
    <w:rsid w:val="00297355"/>
    <w:rsid w:val="00297C48"/>
    <w:rsid w:val="002A07B7"/>
    <w:rsid w:val="002A145A"/>
    <w:rsid w:val="002A2C97"/>
    <w:rsid w:val="002A3741"/>
    <w:rsid w:val="002A4BB9"/>
    <w:rsid w:val="002A5454"/>
    <w:rsid w:val="002A6882"/>
    <w:rsid w:val="002A6E33"/>
    <w:rsid w:val="002A6F8D"/>
    <w:rsid w:val="002B0DD4"/>
    <w:rsid w:val="002B341B"/>
    <w:rsid w:val="002B3D46"/>
    <w:rsid w:val="002B3D87"/>
    <w:rsid w:val="002B5CEE"/>
    <w:rsid w:val="002B5F46"/>
    <w:rsid w:val="002B6340"/>
    <w:rsid w:val="002B67AD"/>
    <w:rsid w:val="002C0214"/>
    <w:rsid w:val="002C0415"/>
    <w:rsid w:val="002C1D46"/>
    <w:rsid w:val="002C39C4"/>
    <w:rsid w:val="002C4909"/>
    <w:rsid w:val="002C4ECB"/>
    <w:rsid w:val="002C53BD"/>
    <w:rsid w:val="002C544C"/>
    <w:rsid w:val="002C5576"/>
    <w:rsid w:val="002C6068"/>
    <w:rsid w:val="002C6269"/>
    <w:rsid w:val="002C681B"/>
    <w:rsid w:val="002C78F4"/>
    <w:rsid w:val="002C7FE9"/>
    <w:rsid w:val="002D007F"/>
    <w:rsid w:val="002D1B25"/>
    <w:rsid w:val="002D2AB1"/>
    <w:rsid w:val="002D3A2C"/>
    <w:rsid w:val="002D3F83"/>
    <w:rsid w:val="002D4EFD"/>
    <w:rsid w:val="002E0C3F"/>
    <w:rsid w:val="002E1B90"/>
    <w:rsid w:val="002E2705"/>
    <w:rsid w:val="002E4A94"/>
    <w:rsid w:val="002E4D90"/>
    <w:rsid w:val="002E54C6"/>
    <w:rsid w:val="002E54E7"/>
    <w:rsid w:val="002E5682"/>
    <w:rsid w:val="002E5C74"/>
    <w:rsid w:val="002E5E2F"/>
    <w:rsid w:val="002E7DA7"/>
    <w:rsid w:val="002F01FD"/>
    <w:rsid w:val="002F09A7"/>
    <w:rsid w:val="002F0AEF"/>
    <w:rsid w:val="002F1C80"/>
    <w:rsid w:val="002F2023"/>
    <w:rsid w:val="002F2043"/>
    <w:rsid w:val="002F5AF7"/>
    <w:rsid w:val="002F5D1E"/>
    <w:rsid w:val="002F6D82"/>
    <w:rsid w:val="002F74E7"/>
    <w:rsid w:val="003005D9"/>
    <w:rsid w:val="003006D0"/>
    <w:rsid w:val="00301F82"/>
    <w:rsid w:val="003038D3"/>
    <w:rsid w:val="00303A8E"/>
    <w:rsid w:val="00307352"/>
    <w:rsid w:val="003077C9"/>
    <w:rsid w:val="003102D9"/>
    <w:rsid w:val="00310935"/>
    <w:rsid w:val="00310C61"/>
    <w:rsid w:val="00311212"/>
    <w:rsid w:val="003134D3"/>
    <w:rsid w:val="00313E21"/>
    <w:rsid w:val="003148CB"/>
    <w:rsid w:val="00316071"/>
    <w:rsid w:val="00316A4C"/>
    <w:rsid w:val="0032090C"/>
    <w:rsid w:val="00320C4A"/>
    <w:rsid w:val="00320FD8"/>
    <w:rsid w:val="00321412"/>
    <w:rsid w:val="00321B9D"/>
    <w:rsid w:val="00321D21"/>
    <w:rsid w:val="00323607"/>
    <w:rsid w:val="003242E0"/>
    <w:rsid w:val="003267DE"/>
    <w:rsid w:val="0032768A"/>
    <w:rsid w:val="00327B86"/>
    <w:rsid w:val="0033039B"/>
    <w:rsid w:val="00330500"/>
    <w:rsid w:val="003314EC"/>
    <w:rsid w:val="003329C1"/>
    <w:rsid w:val="00332BEE"/>
    <w:rsid w:val="0033340C"/>
    <w:rsid w:val="0033356C"/>
    <w:rsid w:val="003337AB"/>
    <w:rsid w:val="00333AD7"/>
    <w:rsid w:val="0033411F"/>
    <w:rsid w:val="00334C92"/>
    <w:rsid w:val="00335178"/>
    <w:rsid w:val="00335351"/>
    <w:rsid w:val="0033566E"/>
    <w:rsid w:val="00335B37"/>
    <w:rsid w:val="00337B01"/>
    <w:rsid w:val="00337B8D"/>
    <w:rsid w:val="00340C02"/>
    <w:rsid w:val="003431AF"/>
    <w:rsid w:val="00343E5C"/>
    <w:rsid w:val="00346124"/>
    <w:rsid w:val="003469EA"/>
    <w:rsid w:val="0034749B"/>
    <w:rsid w:val="00347B82"/>
    <w:rsid w:val="00350581"/>
    <w:rsid w:val="00350705"/>
    <w:rsid w:val="0035111D"/>
    <w:rsid w:val="003530B3"/>
    <w:rsid w:val="0035350D"/>
    <w:rsid w:val="00354AE2"/>
    <w:rsid w:val="00357808"/>
    <w:rsid w:val="0035781D"/>
    <w:rsid w:val="0036017B"/>
    <w:rsid w:val="003612A9"/>
    <w:rsid w:val="00361AB4"/>
    <w:rsid w:val="00362292"/>
    <w:rsid w:val="00362318"/>
    <w:rsid w:val="00362680"/>
    <w:rsid w:val="00362755"/>
    <w:rsid w:val="00362E72"/>
    <w:rsid w:val="00362F23"/>
    <w:rsid w:val="00363B8B"/>
    <w:rsid w:val="00366DE6"/>
    <w:rsid w:val="00367EDF"/>
    <w:rsid w:val="00370278"/>
    <w:rsid w:val="003708C0"/>
    <w:rsid w:val="00371691"/>
    <w:rsid w:val="00373884"/>
    <w:rsid w:val="00373B93"/>
    <w:rsid w:val="0037440E"/>
    <w:rsid w:val="00374688"/>
    <w:rsid w:val="003754B5"/>
    <w:rsid w:val="00376E64"/>
    <w:rsid w:val="003776FD"/>
    <w:rsid w:val="00380114"/>
    <w:rsid w:val="003809DD"/>
    <w:rsid w:val="00381593"/>
    <w:rsid w:val="00381626"/>
    <w:rsid w:val="00382EB3"/>
    <w:rsid w:val="003830E1"/>
    <w:rsid w:val="00383130"/>
    <w:rsid w:val="00383EDB"/>
    <w:rsid w:val="00384E36"/>
    <w:rsid w:val="003851A9"/>
    <w:rsid w:val="003854B2"/>
    <w:rsid w:val="00386296"/>
    <w:rsid w:val="00386629"/>
    <w:rsid w:val="003870FC"/>
    <w:rsid w:val="003871F5"/>
    <w:rsid w:val="003872FB"/>
    <w:rsid w:val="003878E8"/>
    <w:rsid w:val="00387977"/>
    <w:rsid w:val="00387E66"/>
    <w:rsid w:val="0039014F"/>
    <w:rsid w:val="0039078D"/>
    <w:rsid w:val="00391BA3"/>
    <w:rsid w:val="00392347"/>
    <w:rsid w:val="003923D6"/>
    <w:rsid w:val="003929FE"/>
    <w:rsid w:val="003932CF"/>
    <w:rsid w:val="003944AD"/>
    <w:rsid w:val="003A1330"/>
    <w:rsid w:val="003A2C93"/>
    <w:rsid w:val="003A32A6"/>
    <w:rsid w:val="003A3AAB"/>
    <w:rsid w:val="003A3ABE"/>
    <w:rsid w:val="003A3D89"/>
    <w:rsid w:val="003A4869"/>
    <w:rsid w:val="003A63F9"/>
    <w:rsid w:val="003A7101"/>
    <w:rsid w:val="003B107C"/>
    <w:rsid w:val="003B1672"/>
    <w:rsid w:val="003B1F9D"/>
    <w:rsid w:val="003B25C6"/>
    <w:rsid w:val="003B2A3B"/>
    <w:rsid w:val="003B44A5"/>
    <w:rsid w:val="003B6010"/>
    <w:rsid w:val="003B62C4"/>
    <w:rsid w:val="003B653C"/>
    <w:rsid w:val="003B6DFA"/>
    <w:rsid w:val="003B6F7A"/>
    <w:rsid w:val="003B70BD"/>
    <w:rsid w:val="003B755E"/>
    <w:rsid w:val="003C01F5"/>
    <w:rsid w:val="003C0B8E"/>
    <w:rsid w:val="003C1096"/>
    <w:rsid w:val="003C2809"/>
    <w:rsid w:val="003C3F95"/>
    <w:rsid w:val="003C5C1F"/>
    <w:rsid w:val="003C659A"/>
    <w:rsid w:val="003C65B8"/>
    <w:rsid w:val="003C694B"/>
    <w:rsid w:val="003C700C"/>
    <w:rsid w:val="003C78D5"/>
    <w:rsid w:val="003C7B04"/>
    <w:rsid w:val="003D15BF"/>
    <w:rsid w:val="003D19F0"/>
    <w:rsid w:val="003D21BC"/>
    <w:rsid w:val="003D2862"/>
    <w:rsid w:val="003D2938"/>
    <w:rsid w:val="003D2B8D"/>
    <w:rsid w:val="003D2C03"/>
    <w:rsid w:val="003D366C"/>
    <w:rsid w:val="003D4EC6"/>
    <w:rsid w:val="003D556D"/>
    <w:rsid w:val="003D55B4"/>
    <w:rsid w:val="003D5AEB"/>
    <w:rsid w:val="003D6D6A"/>
    <w:rsid w:val="003E08DC"/>
    <w:rsid w:val="003E12EF"/>
    <w:rsid w:val="003E14F1"/>
    <w:rsid w:val="003E2FAB"/>
    <w:rsid w:val="003E3CDF"/>
    <w:rsid w:val="003E5917"/>
    <w:rsid w:val="003E78BD"/>
    <w:rsid w:val="003F004A"/>
    <w:rsid w:val="003F10AB"/>
    <w:rsid w:val="003F1CB5"/>
    <w:rsid w:val="003F24EC"/>
    <w:rsid w:val="003F31BA"/>
    <w:rsid w:val="003F4329"/>
    <w:rsid w:val="003F7403"/>
    <w:rsid w:val="00400D74"/>
    <w:rsid w:val="004013E2"/>
    <w:rsid w:val="00401556"/>
    <w:rsid w:val="00401803"/>
    <w:rsid w:val="00401DB0"/>
    <w:rsid w:val="004024E6"/>
    <w:rsid w:val="00403936"/>
    <w:rsid w:val="00403B68"/>
    <w:rsid w:val="00403BA9"/>
    <w:rsid w:val="00405BA5"/>
    <w:rsid w:val="00407241"/>
    <w:rsid w:val="004103CE"/>
    <w:rsid w:val="00411324"/>
    <w:rsid w:val="0041135E"/>
    <w:rsid w:val="00411B2C"/>
    <w:rsid w:val="00411F66"/>
    <w:rsid w:val="00412152"/>
    <w:rsid w:val="00412C83"/>
    <w:rsid w:val="00413478"/>
    <w:rsid w:val="00414046"/>
    <w:rsid w:val="00414584"/>
    <w:rsid w:val="00415468"/>
    <w:rsid w:val="00415F79"/>
    <w:rsid w:val="004163B8"/>
    <w:rsid w:val="004170CE"/>
    <w:rsid w:val="004177E1"/>
    <w:rsid w:val="00417AC1"/>
    <w:rsid w:val="00420DCD"/>
    <w:rsid w:val="00422D00"/>
    <w:rsid w:val="00423E54"/>
    <w:rsid w:val="004242AD"/>
    <w:rsid w:val="00424439"/>
    <w:rsid w:val="00424E49"/>
    <w:rsid w:val="00425442"/>
    <w:rsid w:val="00426014"/>
    <w:rsid w:val="004269A9"/>
    <w:rsid w:val="00427661"/>
    <w:rsid w:val="00427CF9"/>
    <w:rsid w:val="00430757"/>
    <w:rsid w:val="0043095E"/>
    <w:rsid w:val="004309FC"/>
    <w:rsid w:val="004311FF"/>
    <w:rsid w:val="00431ACC"/>
    <w:rsid w:val="00431DD5"/>
    <w:rsid w:val="00431ECA"/>
    <w:rsid w:val="00432568"/>
    <w:rsid w:val="00432DC1"/>
    <w:rsid w:val="00433145"/>
    <w:rsid w:val="00433A26"/>
    <w:rsid w:val="00433BC6"/>
    <w:rsid w:val="00433FFE"/>
    <w:rsid w:val="00434F80"/>
    <w:rsid w:val="004360FD"/>
    <w:rsid w:val="00440605"/>
    <w:rsid w:val="00441D6C"/>
    <w:rsid w:val="00441FB9"/>
    <w:rsid w:val="00442152"/>
    <w:rsid w:val="00442FFC"/>
    <w:rsid w:val="004433D4"/>
    <w:rsid w:val="00444F28"/>
    <w:rsid w:val="00444F2F"/>
    <w:rsid w:val="00444FFC"/>
    <w:rsid w:val="0044518F"/>
    <w:rsid w:val="0044535C"/>
    <w:rsid w:val="004453DD"/>
    <w:rsid w:val="00450271"/>
    <w:rsid w:val="004504C7"/>
    <w:rsid w:val="004512F4"/>
    <w:rsid w:val="00452336"/>
    <w:rsid w:val="0045295E"/>
    <w:rsid w:val="004538DD"/>
    <w:rsid w:val="0045588D"/>
    <w:rsid w:val="00455B60"/>
    <w:rsid w:val="0045664E"/>
    <w:rsid w:val="00456F17"/>
    <w:rsid w:val="00457458"/>
    <w:rsid w:val="00457583"/>
    <w:rsid w:val="004577F3"/>
    <w:rsid w:val="00460141"/>
    <w:rsid w:val="00460218"/>
    <w:rsid w:val="00460B7D"/>
    <w:rsid w:val="00461389"/>
    <w:rsid w:val="004622FD"/>
    <w:rsid w:val="00464BFB"/>
    <w:rsid w:val="00466579"/>
    <w:rsid w:val="00467006"/>
    <w:rsid w:val="00467675"/>
    <w:rsid w:val="004676A0"/>
    <w:rsid w:val="00467E1B"/>
    <w:rsid w:val="0047066C"/>
    <w:rsid w:val="004708F9"/>
    <w:rsid w:val="00472B89"/>
    <w:rsid w:val="00473A47"/>
    <w:rsid w:val="00473D7B"/>
    <w:rsid w:val="00473F72"/>
    <w:rsid w:val="00474F7C"/>
    <w:rsid w:val="004808FF"/>
    <w:rsid w:val="0048095D"/>
    <w:rsid w:val="00480BE6"/>
    <w:rsid w:val="00480CB0"/>
    <w:rsid w:val="00480CE2"/>
    <w:rsid w:val="00481BA7"/>
    <w:rsid w:val="00484866"/>
    <w:rsid w:val="00490238"/>
    <w:rsid w:val="00491939"/>
    <w:rsid w:val="00492EC6"/>
    <w:rsid w:val="00493401"/>
    <w:rsid w:val="00493581"/>
    <w:rsid w:val="00495B61"/>
    <w:rsid w:val="00496486"/>
    <w:rsid w:val="004966EB"/>
    <w:rsid w:val="00497552"/>
    <w:rsid w:val="00497D0F"/>
    <w:rsid w:val="004A0213"/>
    <w:rsid w:val="004A0666"/>
    <w:rsid w:val="004A0B2E"/>
    <w:rsid w:val="004A205B"/>
    <w:rsid w:val="004A2716"/>
    <w:rsid w:val="004A2E58"/>
    <w:rsid w:val="004A348B"/>
    <w:rsid w:val="004A41DE"/>
    <w:rsid w:val="004A4BA7"/>
    <w:rsid w:val="004A6D28"/>
    <w:rsid w:val="004A76D4"/>
    <w:rsid w:val="004A7E58"/>
    <w:rsid w:val="004B01F5"/>
    <w:rsid w:val="004B0A0F"/>
    <w:rsid w:val="004B12CC"/>
    <w:rsid w:val="004B14E8"/>
    <w:rsid w:val="004B1F9A"/>
    <w:rsid w:val="004B2D69"/>
    <w:rsid w:val="004B34EA"/>
    <w:rsid w:val="004B45A2"/>
    <w:rsid w:val="004B5494"/>
    <w:rsid w:val="004B5848"/>
    <w:rsid w:val="004B5DE6"/>
    <w:rsid w:val="004B78F3"/>
    <w:rsid w:val="004B79F9"/>
    <w:rsid w:val="004C0BF0"/>
    <w:rsid w:val="004C1358"/>
    <w:rsid w:val="004C1852"/>
    <w:rsid w:val="004C19A4"/>
    <w:rsid w:val="004C3239"/>
    <w:rsid w:val="004C4C45"/>
    <w:rsid w:val="004C4CF8"/>
    <w:rsid w:val="004C4EC9"/>
    <w:rsid w:val="004C54F0"/>
    <w:rsid w:val="004C5733"/>
    <w:rsid w:val="004C622B"/>
    <w:rsid w:val="004C6B62"/>
    <w:rsid w:val="004C7227"/>
    <w:rsid w:val="004C7D3A"/>
    <w:rsid w:val="004D094C"/>
    <w:rsid w:val="004D1858"/>
    <w:rsid w:val="004D1FC4"/>
    <w:rsid w:val="004D236F"/>
    <w:rsid w:val="004D352A"/>
    <w:rsid w:val="004D3EF7"/>
    <w:rsid w:val="004D55F9"/>
    <w:rsid w:val="004D641E"/>
    <w:rsid w:val="004D6831"/>
    <w:rsid w:val="004D71AE"/>
    <w:rsid w:val="004D71C7"/>
    <w:rsid w:val="004D7374"/>
    <w:rsid w:val="004D759F"/>
    <w:rsid w:val="004E156A"/>
    <w:rsid w:val="004E2D1F"/>
    <w:rsid w:val="004E3190"/>
    <w:rsid w:val="004E364B"/>
    <w:rsid w:val="004E435A"/>
    <w:rsid w:val="004E4FEE"/>
    <w:rsid w:val="004E5A15"/>
    <w:rsid w:val="004E5CE2"/>
    <w:rsid w:val="004F0093"/>
    <w:rsid w:val="004F2AFF"/>
    <w:rsid w:val="004F2BB1"/>
    <w:rsid w:val="004F39E3"/>
    <w:rsid w:val="004F3C07"/>
    <w:rsid w:val="004F3C68"/>
    <w:rsid w:val="004F438B"/>
    <w:rsid w:val="004F4A8C"/>
    <w:rsid w:val="004F57CC"/>
    <w:rsid w:val="004F5A50"/>
    <w:rsid w:val="004F6272"/>
    <w:rsid w:val="004F68FE"/>
    <w:rsid w:val="004F6E27"/>
    <w:rsid w:val="004F77BB"/>
    <w:rsid w:val="004F78D6"/>
    <w:rsid w:val="00500110"/>
    <w:rsid w:val="00500404"/>
    <w:rsid w:val="00500803"/>
    <w:rsid w:val="005018A8"/>
    <w:rsid w:val="0050237D"/>
    <w:rsid w:val="005029AE"/>
    <w:rsid w:val="00503D5F"/>
    <w:rsid w:val="00504607"/>
    <w:rsid w:val="0050563B"/>
    <w:rsid w:val="00505A39"/>
    <w:rsid w:val="00506457"/>
    <w:rsid w:val="00507F2B"/>
    <w:rsid w:val="005101C7"/>
    <w:rsid w:val="00510D33"/>
    <w:rsid w:val="005110AA"/>
    <w:rsid w:val="00511783"/>
    <w:rsid w:val="005122E4"/>
    <w:rsid w:val="00513427"/>
    <w:rsid w:val="00513F92"/>
    <w:rsid w:val="00514111"/>
    <w:rsid w:val="00514713"/>
    <w:rsid w:val="00514C5D"/>
    <w:rsid w:val="00514EDF"/>
    <w:rsid w:val="005154CC"/>
    <w:rsid w:val="00515682"/>
    <w:rsid w:val="00516014"/>
    <w:rsid w:val="00516CCF"/>
    <w:rsid w:val="0051725C"/>
    <w:rsid w:val="00521098"/>
    <w:rsid w:val="00522289"/>
    <w:rsid w:val="00522763"/>
    <w:rsid w:val="00522854"/>
    <w:rsid w:val="00523031"/>
    <w:rsid w:val="00523947"/>
    <w:rsid w:val="005240BF"/>
    <w:rsid w:val="00525D5D"/>
    <w:rsid w:val="005265AC"/>
    <w:rsid w:val="00526C6B"/>
    <w:rsid w:val="00530A2D"/>
    <w:rsid w:val="00530C7F"/>
    <w:rsid w:val="00531B97"/>
    <w:rsid w:val="00534E42"/>
    <w:rsid w:val="00535118"/>
    <w:rsid w:val="00535585"/>
    <w:rsid w:val="005359E5"/>
    <w:rsid w:val="00536434"/>
    <w:rsid w:val="005370F5"/>
    <w:rsid w:val="005371F5"/>
    <w:rsid w:val="00537AED"/>
    <w:rsid w:val="005407FD"/>
    <w:rsid w:val="00540D10"/>
    <w:rsid w:val="00541678"/>
    <w:rsid w:val="00541BED"/>
    <w:rsid w:val="005438F1"/>
    <w:rsid w:val="00544DB8"/>
    <w:rsid w:val="0054516D"/>
    <w:rsid w:val="00545B3E"/>
    <w:rsid w:val="00546EFC"/>
    <w:rsid w:val="005509C7"/>
    <w:rsid w:val="00551861"/>
    <w:rsid w:val="0055190C"/>
    <w:rsid w:val="00551F63"/>
    <w:rsid w:val="005521E9"/>
    <w:rsid w:val="00552394"/>
    <w:rsid w:val="00553091"/>
    <w:rsid w:val="00553FDA"/>
    <w:rsid w:val="00554AA1"/>
    <w:rsid w:val="00555119"/>
    <w:rsid w:val="00555811"/>
    <w:rsid w:val="00556758"/>
    <w:rsid w:val="00557C24"/>
    <w:rsid w:val="00560008"/>
    <w:rsid w:val="00560157"/>
    <w:rsid w:val="00561B24"/>
    <w:rsid w:val="00562280"/>
    <w:rsid w:val="00564065"/>
    <w:rsid w:val="00564401"/>
    <w:rsid w:val="0056483A"/>
    <w:rsid w:val="00564AEE"/>
    <w:rsid w:val="00564B76"/>
    <w:rsid w:val="005658CE"/>
    <w:rsid w:val="00566495"/>
    <w:rsid w:val="00566F93"/>
    <w:rsid w:val="00571192"/>
    <w:rsid w:val="005719BB"/>
    <w:rsid w:val="0057309D"/>
    <w:rsid w:val="00573832"/>
    <w:rsid w:val="005751CA"/>
    <w:rsid w:val="00575501"/>
    <w:rsid w:val="005758FD"/>
    <w:rsid w:val="00575A55"/>
    <w:rsid w:val="005764CA"/>
    <w:rsid w:val="005764E0"/>
    <w:rsid w:val="005800CB"/>
    <w:rsid w:val="00581338"/>
    <w:rsid w:val="0058193F"/>
    <w:rsid w:val="0058214E"/>
    <w:rsid w:val="005821C2"/>
    <w:rsid w:val="00582620"/>
    <w:rsid w:val="00582C14"/>
    <w:rsid w:val="00582F67"/>
    <w:rsid w:val="005840A1"/>
    <w:rsid w:val="00584332"/>
    <w:rsid w:val="00585390"/>
    <w:rsid w:val="00585B6D"/>
    <w:rsid w:val="005860D7"/>
    <w:rsid w:val="00586498"/>
    <w:rsid w:val="005871F6"/>
    <w:rsid w:val="00587A3B"/>
    <w:rsid w:val="00587ACA"/>
    <w:rsid w:val="00590C97"/>
    <w:rsid w:val="0059116C"/>
    <w:rsid w:val="00591480"/>
    <w:rsid w:val="005923F8"/>
    <w:rsid w:val="00592C08"/>
    <w:rsid w:val="005939A5"/>
    <w:rsid w:val="00593AC5"/>
    <w:rsid w:val="005966AA"/>
    <w:rsid w:val="005A0370"/>
    <w:rsid w:val="005A148C"/>
    <w:rsid w:val="005A1768"/>
    <w:rsid w:val="005A2F0C"/>
    <w:rsid w:val="005A4635"/>
    <w:rsid w:val="005A4C69"/>
    <w:rsid w:val="005A569D"/>
    <w:rsid w:val="005A5789"/>
    <w:rsid w:val="005A5FBF"/>
    <w:rsid w:val="005A7604"/>
    <w:rsid w:val="005A7B2B"/>
    <w:rsid w:val="005B2B6D"/>
    <w:rsid w:val="005B5158"/>
    <w:rsid w:val="005B655F"/>
    <w:rsid w:val="005B6E5A"/>
    <w:rsid w:val="005B7A23"/>
    <w:rsid w:val="005B7E43"/>
    <w:rsid w:val="005C043E"/>
    <w:rsid w:val="005C05F3"/>
    <w:rsid w:val="005C0D59"/>
    <w:rsid w:val="005C11EF"/>
    <w:rsid w:val="005C29DC"/>
    <w:rsid w:val="005C2D0F"/>
    <w:rsid w:val="005C3B39"/>
    <w:rsid w:val="005C4D27"/>
    <w:rsid w:val="005C5432"/>
    <w:rsid w:val="005C581A"/>
    <w:rsid w:val="005C6553"/>
    <w:rsid w:val="005C6C3D"/>
    <w:rsid w:val="005C772A"/>
    <w:rsid w:val="005C7879"/>
    <w:rsid w:val="005D0B61"/>
    <w:rsid w:val="005D222B"/>
    <w:rsid w:val="005D394B"/>
    <w:rsid w:val="005D513B"/>
    <w:rsid w:val="005D62A4"/>
    <w:rsid w:val="005D6DE0"/>
    <w:rsid w:val="005D7F12"/>
    <w:rsid w:val="005E0CBA"/>
    <w:rsid w:val="005E1BF5"/>
    <w:rsid w:val="005E32C7"/>
    <w:rsid w:val="005E33AA"/>
    <w:rsid w:val="005E428C"/>
    <w:rsid w:val="005E43D7"/>
    <w:rsid w:val="005F0E56"/>
    <w:rsid w:val="005F0FA3"/>
    <w:rsid w:val="005F1F5A"/>
    <w:rsid w:val="005F30D0"/>
    <w:rsid w:val="005F3284"/>
    <w:rsid w:val="005F3E12"/>
    <w:rsid w:val="005F41EE"/>
    <w:rsid w:val="005F51F0"/>
    <w:rsid w:val="005F5ABD"/>
    <w:rsid w:val="005F79E9"/>
    <w:rsid w:val="006011D5"/>
    <w:rsid w:val="00604CBE"/>
    <w:rsid w:val="006059DE"/>
    <w:rsid w:val="00605B03"/>
    <w:rsid w:val="0060655A"/>
    <w:rsid w:val="00606B0F"/>
    <w:rsid w:val="00606E24"/>
    <w:rsid w:val="00607396"/>
    <w:rsid w:val="00607742"/>
    <w:rsid w:val="00611691"/>
    <w:rsid w:val="0061244C"/>
    <w:rsid w:val="0061428B"/>
    <w:rsid w:val="0061487E"/>
    <w:rsid w:val="00615424"/>
    <w:rsid w:val="00617792"/>
    <w:rsid w:val="00617927"/>
    <w:rsid w:val="006204DA"/>
    <w:rsid w:val="006211DC"/>
    <w:rsid w:val="0062197B"/>
    <w:rsid w:val="00621BA2"/>
    <w:rsid w:val="00623A02"/>
    <w:rsid w:val="0062407D"/>
    <w:rsid w:val="00624C3A"/>
    <w:rsid w:val="00625A52"/>
    <w:rsid w:val="00626A23"/>
    <w:rsid w:val="006279CB"/>
    <w:rsid w:val="00630E73"/>
    <w:rsid w:val="0063109C"/>
    <w:rsid w:val="0063127B"/>
    <w:rsid w:val="006313D7"/>
    <w:rsid w:val="0063155F"/>
    <w:rsid w:val="006319DA"/>
    <w:rsid w:val="00631BD4"/>
    <w:rsid w:val="00632201"/>
    <w:rsid w:val="00632207"/>
    <w:rsid w:val="00632F98"/>
    <w:rsid w:val="006335BC"/>
    <w:rsid w:val="00633680"/>
    <w:rsid w:val="00633884"/>
    <w:rsid w:val="006346F3"/>
    <w:rsid w:val="00634837"/>
    <w:rsid w:val="0063491C"/>
    <w:rsid w:val="00636D0C"/>
    <w:rsid w:val="00636F97"/>
    <w:rsid w:val="0064095B"/>
    <w:rsid w:val="00641D14"/>
    <w:rsid w:val="0064245E"/>
    <w:rsid w:val="00642749"/>
    <w:rsid w:val="00646D70"/>
    <w:rsid w:val="00646DD0"/>
    <w:rsid w:val="00646EBC"/>
    <w:rsid w:val="00647327"/>
    <w:rsid w:val="0064752D"/>
    <w:rsid w:val="00647F50"/>
    <w:rsid w:val="00650631"/>
    <w:rsid w:val="00652923"/>
    <w:rsid w:val="0065364C"/>
    <w:rsid w:val="00654264"/>
    <w:rsid w:val="006542F7"/>
    <w:rsid w:val="00654C35"/>
    <w:rsid w:val="00656E6F"/>
    <w:rsid w:val="00660393"/>
    <w:rsid w:val="0066062A"/>
    <w:rsid w:val="0066124E"/>
    <w:rsid w:val="00661811"/>
    <w:rsid w:val="00661876"/>
    <w:rsid w:val="00661D60"/>
    <w:rsid w:val="0066219A"/>
    <w:rsid w:val="006642E6"/>
    <w:rsid w:val="00664ED4"/>
    <w:rsid w:val="0066513B"/>
    <w:rsid w:val="006655B5"/>
    <w:rsid w:val="006657F9"/>
    <w:rsid w:val="006667EF"/>
    <w:rsid w:val="006674BC"/>
    <w:rsid w:val="0066799A"/>
    <w:rsid w:val="00670CD5"/>
    <w:rsid w:val="0067183B"/>
    <w:rsid w:val="00671A50"/>
    <w:rsid w:val="00674D4F"/>
    <w:rsid w:val="00675846"/>
    <w:rsid w:val="00675A45"/>
    <w:rsid w:val="00675AC0"/>
    <w:rsid w:val="006764EC"/>
    <w:rsid w:val="00676546"/>
    <w:rsid w:val="00676938"/>
    <w:rsid w:val="006776BA"/>
    <w:rsid w:val="006777D6"/>
    <w:rsid w:val="00677972"/>
    <w:rsid w:val="00677FED"/>
    <w:rsid w:val="0068101C"/>
    <w:rsid w:val="00681870"/>
    <w:rsid w:val="006831EB"/>
    <w:rsid w:val="00684090"/>
    <w:rsid w:val="006847A5"/>
    <w:rsid w:val="0068632F"/>
    <w:rsid w:val="00686810"/>
    <w:rsid w:val="00690E7B"/>
    <w:rsid w:val="006915E6"/>
    <w:rsid w:val="006916B3"/>
    <w:rsid w:val="00692953"/>
    <w:rsid w:val="00692B66"/>
    <w:rsid w:val="006932C4"/>
    <w:rsid w:val="00693338"/>
    <w:rsid w:val="00693629"/>
    <w:rsid w:val="006941C0"/>
    <w:rsid w:val="00694241"/>
    <w:rsid w:val="0069455C"/>
    <w:rsid w:val="00694590"/>
    <w:rsid w:val="00695F45"/>
    <w:rsid w:val="006A03C2"/>
    <w:rsid w:val="006A14BE"/>
    <w:rsid w:val="006A186F"/>
    <w:rsid w:val="006A222D"/>
    <w:rsid w:val="006A534B"/>
    <w:rsid w:val="006A6C13"/>
    <w:rsid w:val="006B0220"/>
    <w:rsid w:val="006B18A4"/>
    <w:rsid w:val="006B1F92"/>
    <w:rsid w:val="006B1FCB"/>
    <w:rsid w:val="006B362D"/>
    <w:rsid w:val="006B38F8"/>
    <w:rsid w:val="006B3DE3"/>
    <w:rsid w:val="006B4195"/>
    <w:rsid w:val="006B44F0"/>
    <w:rsid w:val="006B4FB0"/>
    <w:rsid w:val="006B52BF"/>
    <w:rsid w:val="006B5C99"/>
    <w:rsid w:val="006B6B49"/>
    <w:rsid w:val="006B75A9"/>
    <w:rsid w:val="006B762A"/>
    <w:rsid w:val="006C04C4"/>
    <w:rsid w:val="006C1830"/>
    <w:rsid w:val="006C2785"/>
    <w:rsid w:val="006C38F1"/>
    <w:rsid w:val="006C3FFE"/>
    <w:rsid w:val="006C4179"/>
    <w:rsid w:val="006C420E"/>
    <w:rsid w:val="006C5117"/>
    <w:rsid w:val="006C5FCF"/>
    <w:rsid w:val="006C6578"/>
    <w:rsid w:val="006C6932"/>
    <w:rsid w:val="006D0BFD"/>
    <w:rsid w:val="006D153D"/>
    <w:rsid w:val="006D1807"/>
    <w:rsid w:val="006D223A"/>
    <w:rsid w:val="006D2EA5"/>
    <w:rsid w:val="006D2EEE"/>
    <w:rsid w:val="006D3768"/>
    <w:rsid w:val="006D3DE8"/>
    <w:rsid w:val="006D4469"/>
    <w:rsid w:val="006D4E4D"/>
    <w:rsid w:val="006E069E"/>
    <w:rsid w:val="006E06D9"/>
    <w:rsid w:val="006E075E"/>
    <w:rsid w:val="006E305A"/>
    <w:rsid w:val="006E3F81"/>
    <w:rsid w:val="006E4D30"/>
    <w:rsid w:val="006E4FC2"/>
    <w:rsid w:val="006E52A5"/>
    <w:rsid w:val="006E5E28"/>
    <w:rsid w:val="006E6369"/>
    <w:rsid w:val="006E6574"/>
    <w:rsid w:val="006F0752"/>
    <w:rsid w:val="006F08BE"/>
    <w:rsid w:val="006F12E6"/>
    <w:rsid w:val="006F1709"/>
    <w:rsid w:val="006F2E31"/>
    <w:rsid w:val="006F3314"/>
    <w:rsid w:val="006F40F6"/>
    <w:rsid w:val="006F53E8"/>
    <w:rsid w:val="006F54DF"/>
    <w:rsid w:val="006F633F"/>
    <w:rsid w:val="006F68DE"/>
    <w:rsid w:val="006F6D88"/>
    <w:rsid w:val="006F7A46"/>
    <w:rsid w:val="00700D44"/>
    <w:rsid w:val="00702C56"/>
    <w:rsid w:val="0070355E"/>
    <w:rsid w:val="007044A4"/>
    <w:rsid w:val="00705ADD"/>
    <w:rsid w:val="00705C88"/>
    <w:rsid w:val="0070794E"/>
    <w:rsid w:val="00707B08"/>
    <w:rsid w:val="00712B8C"/>
    <w:rsid w:val="00712CFB"/>
    <w:rsid w:val="007134ED"/>
    <w:rsid w:val="00713F06"/>
    <w:rsid w:val="00714CF2"/>
    <w:rsid w:val="00714D5E"/>
    <w:rsid w:val="007156B9"/>
    <w:rsid w:val="007204BC"/>
    <w:rsid w:val="00720817"/>
    <w:rsid w:val="00721315"/>
    <w:rsid w:val="00721328"/>
    <w:rsid w:val="00721BDE"/>
    <w:rsid w:val="00721ECB"/>
    <w:rsid w:val="00722850"/>
    <w:rsid w:val="00725CEF"/>
    <w:rsid w:val="007261C5"/>
    <w:rsid w:val="007264DF"/>
    <w:rsid w:val="00727923"/>
    <w:rsid w:val="00731003"/>
    <w:rsid w:val="00731F5E"/>
    <w:rsid w:val="0073225D"/>
    <w:rsid w:val="00732DB1"/>
    <w:rsid w:val="00733278"/>
    <w:rsid w:val="0073353F"/>
    <w:rsid w:val="00734866"/>
    <w:rsid w:val="0073519E"/>
    <w:rsid w:val="00735760"/>
    <w:rsid w:val="007359A5"/>
    <w:rsid w:val="0073760E"/>
    <w:rsid w:val="00737812"/>
    <w:rsid w:val="00737D50"/>
    <w:rsid w:val="00737E03"/>
    <w:rsid w:val="00740301"/>
    <w:rsid w:val="00742E45"/>
    <w:rsid w:val="00742F73"/>
    <w:rsid w:val="00743A1E"/>
    <w:rsid w:val="007446B6"/>
    <w:rsid w:val="0074479C"/>
    <w:rsid w:val="007447AF"/>
    <w:rsid w:val="00745313"/>
    <w:rsid w:val="00745C61"/>
    <w:rsid w:val="00746E0E"/>
    <w:rsid w:val="00747D5F"/>
    <w:rsid w:val="00750073"/>
    <w:rsid w:val="007506DC"/>
    <w:rsid w:val="00750816"/>
    <w:rsid w:val="00750AF5"/>
    <w:rsid w:val="00750FF4"/>
    <w:rsid w:val="007510DE"/>
    <w:rsid w:val="00752512"/>
    <w:rsid w:val="00752B0D"/>
    <w:rsid w:val="0075341B"/>
    <w:rsid w:val="007534ED"/>
    <w:rsid w:val="00753AC6"/>
    <w:rsid w:val="0075478A"/>
    <w:rsid w:val="007567A4"/>
    <w:rsid w:val="007571C6"/>
    <w:rsid w:val="00757751"/>
    <w:rsid w:val="007600F0"/>
    <w:rsid w:val="00761260"/>
    <w:rsid w:val="007612BE"/>
    <w:rsid w:val="00762225"/>
    <w:rsid w:val="00762762"/>
    <w:rsid w:val="007627C5"/>
    <w:rsid w:val="00764379"/>
    <w:rsid w:val="0076442E"/>
    <w:rsid w:val="00764709"/>
    <w:rsid w:val="0076520F"/>
    <w:rsid w:val="0076569C"/>
    <w:rsid w:val="007657C1"/>
    <w:rsid w:val="00765F42"/>
    <w:rsid w:val="00766264"/>
    <w:rsid w:val="00766C34"/>
    <w:rsid w:val="00772ED1"/>
    <w:rsid w:val="00776326"/>
    <w:rsid w:val="00776A8E"/>
    <w:rsid w:val="0078169C"/>
    <w:rsid w:val="00781BCC"/>
    <w:rsid w:val="00782298"/>
    <w:rsid w:val="007823B0"/>
    <w:rsid w:val="007825AA"/>
    <w:rsid w:val="00782EDD"/>
    <w:rsid w:val="007834B9"/>
    <w:rsid w:val="0078369D"/>
    <w:rsid w:val="00783E5B"/>
    <w:rsid w:val="00783F5C"/>
    <w:rsid w:val="00784493"/>
    <w:rsid w:val="00785CE8"/>
    <w:rsid w:val="00786B82"/>
    <w:rsid w:val="00786D29"/>
    <w:rsid w:val="0078701B"/>
    <w:rsid w:val="0078736E"/>
    <w:rsid w:val="00791684"/>
    <w:rsid w:val="007934C5"/>
    <w:rsid w:val="007935C9"/>
    <w:rsid w:val="00794D7A"/>
    <w:rsid w:val="00794EE6"/>
    <w:rsid w:val="007958D0"/>
    <w:rsid w:val="0079632A"/>
    <w:rsid w:val="00797302"/>
    <w:rsid w:val="00797F66"/>
    <w:rsid w:val="007A032D"/>
    <w:rsid w:val="007A1274"/>
    <w:rsid w:val="007A15A5"/>
    <w:rsid w:val="007A161F"/>
    <w:rsid w:val="007A2556"/>
    <w:rsid w:val="007A2653"/>
    <w:rsid w:val="007A3995"/>
    <w:rsid w:val="007A406D"/>
    <w:rsid w:val="007A459B"/>
    <w:rsid w:val="007A4BC3"/>
    <w:rsid w:val="007A5099"/>
    <w:rsid w:val="007A5488"/>
    <w:rsid w:val="007A5AB1"/>
    <w:rsid w:val="007A62B0"/>
    <w:rsid w:val="007A6BC8"/>
    <w:rsid w:val="007B06B8"/>
    <w:rsid w:val="007B18B2"/>
    <w:rsid w:val="007B1A5F"/>
    <w:rsid w:val="007B4272"/>
    <w:rsid w:val="007B46A4"/>
    <w:rsid w:val="007B5530"/>
    <w:rsid w:val="007C09FC"/>
    <w:rsid w:val="007C1178"/>
    <w:rsid w:val="007C17BF"/>
    <w:rsid w:val="007C1E23"/>
    <w:rsid w:val="007C225B"/>
    <w:rsid w:val="007C24CE"/>
    <w:rsid w:val="007C345F"/>
    <w:rsid w:val="007C5406"/>
    <w:rsid w:val="007C5A0C"/>
    <w:rsid w:val="007C6CD0"/>
    <w:rsid w:val="007C7CBA"/>
    <w:rsid w:val="007C7CF9"/>
    <w:rsid w:val="007D05A3"/>
    <w:rsid w:val="007D069D"/>
    <w:rsid w:val="007D1130"/>
    <w:rsid w:val="007D2F4D"/>
    <w:rsid w:val="007D3543"/>
    <w:rsid w:val="007D35AE"/>
    <w:rsid w:val="007D3FFE"/>
    <w:rsid w:val="007D4689"/>
    <w:rsid w:val="007D5A03"/>
    <w:rsid w:val="007D5A31"/>
    <w:rsid w:val="007D6341"/>
    <w:rsid w:val="007D67B6"/>
    <w:rsid w:val="007E0FEE"/>
    <w:rsid w:val="007E2976"/>
    <w:rsid w:val="007E32F0"/>
    <w:rsid w:val="007E3B74"/>
    <w:rsid w:val="007E3CC3"/>
    <w:rsid w:val="007E517B"/>
    <w:rsid w:val="007E5A84"/>
    <w:rsid w:val="007E5D13"/>
    <w:rsid w:val="007E5E17"/>
    <w:rsid w:val="007E5E68"/>
    <w:rsid w:val="007E77F0"/>
    <w:rsid w:val="007F0069"/>
    <w:rsid w:val="007F1177"/>
    <w:rsid w:val="007F1D7D"/>
    <w:rsid w:val="007F1EB5"/>
    <w:rsid w:val="007F2017"/>
    <w:rsid w:val="007F232A"/>
    <w:rsid w:val="007F2779"/>
    <w:rsid w:val="007F4428"/>
    <w:rsid w:val="007F72CB"/>
    <w:rsid w:val="007F76D6"/>
    <w:rsid w:val="00801021"/>
    <w:rsid w:val="00802CB6"/>
    <w:rsid w:val="00803F80"/>
    <w:rsid w:val="008041F2"/>
    <w:rsid w:val="00807462"/>
    <w:rsid w:val="00807936"/>
    <w:rsid w:val="00807988"/>
    <w:rsid w:val="00810831"/>
    <w:rsid w:val="00811E7B"/>
    <w:rsid w:val="00813298"/>
    <w:rsid w:val="00813E2A"/>
    <w:rsid w:val="00814044"/>
    <w:rsid w:val="00815258"/>
    <w:rsid w:val="00815996"/>
    <w:rsid w:val="0081608B"/>
    <w:rsid w:val="00816184"/>
    <w:rsid w:val="00816231"/>
    <w:rsid w:val="008169BF"/>
    <w:rsid w:val="00816ED5"/>
    <w:rsid w:val="008210BF"/>
    <w:rsid w:val="00821F63"/>
    <w:rsid w:val="00822468"/>
    <w:rsid w:val="008228EA"/>
    <w:rsid w:val="0082416F"/>
    <w:rsid w:val="0082489E"/>
    <w:rsid w:val="00826FF3"/>
    <w:rsid w:val="008270BC"/>
    <w:rsid w:val="00827349"/>
    <w:rsid w:val="00827655"/>
    <w:rsid w:val="00827E01"/>
    <w:rsid w:val="00827E66"/>
    <w:rsid w:val="00830624"/>
    <w:rsid w:val="0083186A"/>
    <w:rsid w:val="00831EFD"/>
    <w:rsid w:val="008328F4"/>
    <w:rsid w:val="00833284"/>
    <w:rsid w:val="008339BB"/>
    <w:rsid w:val="0083485D"/>
    <w:rsid w:val="008353FB"/>
    <w:rsid w:val="0083689A"/>
    <w:rsid w:val="00837544"/>
    <w:rsid w:val="00840042"/>
    <w:rsid w:val="00840D9F"/>
    <w:rsid w:val="00840F6A"/>
    <w:rsid w:val="00842198"/>
    <w:rsid w:val="00842D7C"/>
    <w:rsid w:val="008431CB"/>
    <w:rsid w:val="0084452B"/>
    <w:rsid w:val="00844C6F"/>
    <w:rsid w:val="00845079"/>
    <w:rsid w:val="00846122"/>
    <w:rsid w:val="008476D7"/>
    <w:rsid w:val="00850061"/>
    <w:rsid w:val="00850563"/>
    <w:rsid w:val="00850900"/>
    <w:rsid w:val="008514CC"/>
    <w:rsid w:val="008523E5"/>
    <w:rsid w:val="00852581"/>
    <w:rsid w:val="0085363A"/>
    <w:rsid w:val="00853952"/>
    <w:rsid w:val="008543B1"/>
    <w:rsid w:val="00860319"/>
    <w:rsid w:val="008617AE"/>
    <w:rsid w:val="008623D2"/>
    <w:rsid w:val="00862CCA"/>
    <w:rsid w:val="008633FC"/>
    <w:rsid w:val="008637E6"/>
    <w:rsid w:val="0086419A"/>
    <w:rsid w:val="00864C62"/>
    <w:rsid w:val="00865D40"/>
    <w:rsid w:val="00865FE0"/>
    <w:rsid w:val="008668A9"/>
    <w:rsid w:val="00867E60"/>
    <w:rsid w:val="0087023B"/>
    <w:rsid w:val="00870820"/>
    <w:rsid w:val="0087121C"/>
    <w:rsid w:val="00872C88"/>
    <w:rsid w:val="00873CCD"/>
    <w:rsid w:val="00873EED"/>
    <w:rsid w:val="00873FD6"/>
    <w:rsid w:val="00876815"/>
    <w:rsid w:val="0087712D"/>
    <w:rsid w:val="008821D6"/>
    <w:rsid w:val="00882BCC"/>
    <w:rsid w:val="00882D6F"/>
    <w:rsid w:val="00884C29"/>
    <w:rsid w:val="008857CD"/>
    <w:rsid w:val="008862C4"/>
    <w:rsid w:val="00890A42"/>
    <w:rsid w:val="00891394"/>
    <w:rsid w:val="00891783"/>
    <w:rsid w:val="00893283"/>
    <w:rsid w:val="008947A4"/>
    <w:rsid w:val="008948B5"/>
    <w:rsid w:val="00897923"/>
    <w:rsid w:val="008A05CF"/>
    <w:rsid w:val="008A0A32"/>
    <w:rsid w:val="008A0D0F"/>
    <w:rsid w:val="008A1196"/>
    <w:rsid w:val="008A1302"/>
    <w:rsid w:val="008A179F"/>
    <w:rsid w:val="008A18BC"/>
    <w:rsid w:val="008A35D7"/>
    <w:rsid w:val="008A37C5"/>
    <w:rsid w:val="008A3D16"/>
    <w:rsid w:val="008A46BA"/>
    <w:rsid w:val="008A673A"/>
    <w:rsid w:val="008A6852"/>
    <w:rsid w:val="008A7E37"/>
    <w:rsid w:val="008B029A"/>
    <w:rsid w:val="008B03E1"/>
    <w:rsid w:val="008B0721"/>
    <w:rsid w:val="008B0864"/>
    <w:rsid w:val="008B15B4"/>
    <w:rsid w:val="008B34F3"/>
    <w:rsid w:val="008B4D9C"/>
    <w:rsid w:val="008B5B8C"/>
    <w:rsid w:val="008B6903"/>
    <w:rsid w:val="008B7279"/>
    <w:rsid w:val="008C0259"/>
    <w:rsid w:val="008C03C8"/>
    <w:rsid w:val="008C10A2"/>
    <w:rsid w:val="008C5C0D"/>
    <w:rsid w:val="008C6193"/>
    <w:rsid w:val="008C6B3E"/>
    <w:rsid w:val="008C6C5B"/>
    <w:rsid w:val="008C7413"/>
    <w:rsid w:val="008C748E"/>
    <w:rsid w:val="008C7718"/>
    <w:rsid w:val="008C7E44"/>
    <w:rsid w:val="008D0E2A"/>
    <w:rsid w:val="008D0E7E"/>
    <w:rsid w:val="008D0F6C"/>
    <w:rsid w:val="008D12D5"/>
    <w:rsid w:val="008D12EC"/>
    <w:rsid w:val="008D16B7"/>
    <w:rsid w:val="008D20DD"/>
    <w:rsid w:val="008D21FD"/>
    <w:rsid w:val="008D5DE7"/>
    <w:rsid w:val="008D62A3"/>
    <w:rsid w:val="008D656D"/>
    <w:rsid w:val="008E06C1"/>
    <w:rsid w:val="008E0AC5"/>
    <w:rsid w:val="008E0D85"/>
    <w:rsid w:val="008E18FE"/>
    <w:rsid w:val="008E1FF4"/>
    <w:rsid w:val="008E2569"/>
    <w:rsid w:val="008E3AAC"/>
    <w:rsid w:val="008E3B58"/>
    <w:rsid w:val="008E4FC8"/>
    <w:rsid w:val="008E5654"/>
    <w:rsid w:val="008E56B7"/>
    <w:rsid w:val="008E6218"/>
    <w:rsid w:val="008E69DC"/>
    <w:rsid w:val="008E6AE6"/>
    <w:rsid w:val="008F0116"/>
    <w:rsid w:val="008F12FD"/>
    <w:rsid w:val="008F143D"/>
    <w:rsid w:val="008F3F77"/>
    <w:rsid w:val="008F3FC6"/>
    <w:rsid w:val="008F467F"/>
    <w:rsid w:val="008F4C9D"/>
    <w:rsid w:val="008F4E84"/>
    <w:rsid w:val="008F6C1A"/>
    <w:rsid w:val="008F7B89"/>
    <w:rsid w:val="00900B62"/>
    <w:rsid w:val="009018A4"/>
    <w:rsid w:val="00902E6E"/>
    <w:rsid w:val="00903354"/>
    <w:rsid w:val="00903FEE"/>
    <w:rsid w:val="00904124"/>
    <w:rsid w:val="0090519E"/>
    <w:rsid w:val="00910A01"/>
    <w:rsid w:val="00911973"/>
    <w:rsid w:val="009138E4"/>
    <w:rsid w:val="00914A42"/>
    <w:rsid w:val="00914F0C"/>
    <w:rsid w:val="00914F1B"/>
    <w:rsid w:val="009165D8"/>
    <w:rsid w:val="00917D92"/>
    <w:rsid w:val="00920346"/>
    <w:rsid w:val="00920E06"/>
    <w:rsid w:val="00922514"/>
    <w:rsid w:val="00922831"/>
    <w:rsid w:val="009231E7"/>
    <w:rsid w:val="00923208"/>
    <w:rsid w:val="00923EAD"/>
    <w:rsid w:val="00923F75"/>
    <w:rsid w:val="009246C2"/>
    <w:rsid w:val="0092474E"/>
    <w:rsid w:val="00925216"/>
    <w:rsid w:val="009252C0"/>
    <w:rsid w:val="00925B8C"/>
    <w:rsid w:val="00925BFB"/>
    <w:rsid w:val="00925E92"/>
    <w:rsid w:val="00925EF8"/>
    <w:rsid w:val="00926589"/>
    <w:rsid w:val="009274B1"/>
    <w:rsid w:val="009274E5"/>
    <w:rsid w:val="00927F0A"/>
    <w:rsid w:val="00930040"/>
    <w:rsid w:val="00930830"/>
    <w:rsid w:val="009308C5"/>
    <w:rsid w:val="00932073"/>
    <w:rsid w:val="00932865"/>
    <w:rsid w:val="009341E9"/>
    <w:rsid w:val="00934F41"/>
    <w:rsid w:val="0093511F"/>
    <w:rsid w:val="00936873"/>
    <w:rsid w:val="0094034F"/>
    <w:rsid w:val="0094081A"/>
    <w:rsid w:val="00940AB1"/>
    <w:rsid w:val="00941383"/>
    <w:rsid w:val="00941D4F"/>
    <w:rsid w:val="00941FF6"/>
    <w:rsid w:val="00942F0B"/>
    <w:rsid w:val="00946896"/>
    <w:rsid w:val="00950991"/>
    <w:rsid w:val="00950C4F"/>
    <w:rsid w:val="009510E5"/>
    <w:rsid w:val="009516CB"/>
    <w:rsid w:val="0095295F"/>
    <w:rsid w:val="0095609A"/>
    <w:rsid w:val="00956172"/>
    <w:rsid w:val="0095648F"/>
    <w:rsid w:val="00956B3F"/>
    <w:rsid w:val="00957A92"/>
    <w:rsid w:val="00957E3E"/>
    <w:rsid w:val="00960E09"/>
    <w:rsid w:val="00962003"/>
    <w:rsid w:val="009625A6"/>
    <w:rsid w:val="00962925"/>
    <w:rsid w:val="00963C90"/>
    <w:rsid w:val="00964555"/>
    <w:rsid w:val="009648DC"/>
    <w:rsid w:val="00966015"/>
    <w:rsid w:val="00966A2B"/>
    <w:rsid w:val="00967129"/>
    <w:rsid w:val="009676C3"/>
    <w:rsid w:val="00970747"/>
    <w:rsid w:val="00971D32"/>
    <w:rsid w:val="00971FBF"/>
    <w:rsid w:val="00972628"/>
    <w:rsid w:val="0097288F"/>
    <w:rsid w:val="00974415"/>
    <w:rsid w:val="0097516D"/>
    <w:rsid w:val="0097603B"/>
    <w:rsid w:val="00977EB2"/>
    <w:rsid w:val="0098138E"/>
    <w:rsid w:val="00983B4B"/>
    <w:rsid w:val="00983C23"/>
    <w:rsid w:val="00983C5A"/>
    <w:rsid w:val="00984162"/>
    <w:rsid w:val="00984361"/>
    <w:rsid w:val="00984EE4"/>
    <w:rsid w:val="00984FB6"/>
    <w:rsid w:val="0098655A"/>
    <w:rsid w:val="00986DEB"/>
    <w:rsid w:val="0099036A"/>
    <w:rsid w:val="009904FD"/>
    <w:rsid w:val="00993333"/>
    <w:rsid w:val="009934F3"/>
    <w:rsid w:val="00994476"/>
    <w:rsid w:val="00994775"/>
    <w:rsid w:val="00995C10"/>
    <w:rsid w:val="00996A8E"/>
    <w:rsid w:val="00996BF8"/>
    <w:rsid w:val="009972A9"/>
    <w:rsid w:val="0099761D"/>
    <w:rsid w:val="009978EC"/>
    <w:rsid w:val="009A0F0D"/>
    <w:rsid w:val="009A145F"/>
    <w:rsid w:val="009A1DA9"/>
    <w:rsid w:val="009A20B9"/>
    <w:rsid w:val="009A2842"/>
    <w:rsid w:val="009A2FE3"/>
    <w:rsid w:val="009A3506"/>
    <w:rsid w:val="009A498D"/>
    <w:rsid w:val="009A6012"/>
    <w:rsid w:val="009A6042"/>
    <w:rsid w:val="009A6081"/>
    <w:rsid w:val="009A665B"/>
    <w:rsid w:val="009A6A93"/>
    <w:rsid w:val="009A6DBE"/>
    <w:rsid w:val="009A6F96"/>
    <w:rsid w:val="009A6FA9"/>
    <w:rsid w:val="009A7970"/>
    <w:rsid w:val="009B094B"/>
    <w:rsid w:val="009B151B"/>
    <w:rsid w:val="009B2B94"/>
    <w:rsid w:val="009B3150"/>
    <w:rsid w:val="009B3D69"/>
    <w:rsid w:val="009B422F"/>
    <w:rsid w:val="009B43D3"/>
    <w:rsid w:val="009B4C40"/>
    <w:rsid w:val="009B4E15"/>
    <w:rsid w:val="009B50D7"/>
    <w:rsid w:val="009B5E98"/>
    <w:rsid w:val="009C0D2C"/>
    <w:rsid w:val="009C12B7"/>
    <w:rsid w:val="009C1E90"/>
    <w:rsid w:val="009C218F"/>
    <w:rsid w:val="009C2B53"/>
    <w:rsid w:val="009C3799"/>
    <w:rsid w:val="009C40AE"/>
    <w:rsid w:val="009C40B3"/>
    <w:rsid w:val="009C5242"/>
    <w:rsid w:val="009C53C7"/>
    <w:rsid w:val="009C6444"/>
    <w:rsid w:val="009C674E"/>
    <w:rsid w:val="009C675E"/>
    <w:rsid w:val="009C67B1"/>
    <w:rsid w:val="009D0E08"/>
    <w:rsid w:val="009D2761"/>
    <w:rsid w:val="009D376F"/>
    <w:rsid w:val="009D41C1"/>
    <w:rsid w:val="009D5C3A"/>
    <w:rsid w:val="009D5F1F"/>
    <w:rsid w:val="009D62A8"/>
    <w:rsid w:val="009D630E"/>
    <w:rsid w:val="009D6E52"/>
    <w:rsid w:val="009D72EC"/>
    <w:rsid w:val="009D7D2E"/>
    <w:rsid w:val="009D7D58"/>
    <w:rsid w:val="009E0774"/>
    <w:rsid w:val="009E1741"/>
    <w:rsid w:val="009E2192"/>
    <w:rsid w:val="009E2208"/>
    <w:rsid w:val="009E2304"/>
    <w:rsid w:val="009E2A3F"/>
    <w:rsid w:val="009E2C1F"/>
    <w:rsid w:val="009E3890"/>
    <w:rsid w:val="009E44D3"/>
    <w:rsid w:val="009E4577"/>
    <w:rsid w:val="009E5610"/>
    <w:rsid w:val="009E5EB1"/>
    <w:rsid w:val="009E7C7F"/>
    <w:rsid w:val="009E7FB9"/>
    <w:rsid w:val="009F0662"/>
    <w:rsid w:val="009F0E2A"/>
    <w:rsid w:val="009F11A6"/>
    <w:rsid w:val="009F31A5"/>
    <w:rsid w:val="009F35B9"/>
    <w:rsid w:val="009F3718"/>
    <w:rsid w:val="009F3EB5"/>
    <w:rsid w:val="009F409A"/>
    <w:rsid w:val="009F5409"/>
    <w:rsid w:val="009F5EE1"/>
    <w:rsid w:val="009F62BF"/>
    <w:rsid w:val="009F6705"/>
    <w:rsid w:val="009F6E40"/>
    <w:rsid w:val="009F74BA"/>
    <w:rsid w:val="00A00588"/>
    <w:rsid w:val="00A00BB7"/>
    <w:rsid w:val="00A02B38"/>
    <w:rsid w:val="00A03059"/>
    <w:rsid w:val="00A03DA9"/>
    <w:rsid w:val="00A041C8"/>
    <w:rsid w:val="00A0436C"/>
    <w:rsid w:val="00A046AA"/>
    <w:rsid w:val="00A04969"/>
    <w:rsid w:val="00A04C71"/>
    <w:rsid w:val="00A05529"/>
    <w:rsid w:val="00A057D1"/>
    <w:rsid w:val="00A05D6F"/>
    <w:rsid w:val="00A06091"/>
    <w:rsid w:val="00A06CEA"/>
    <w:rsid w:val="00A071E7"/>
    <w:rsid w:val="00A1059B"/>
    <w:rsid w:val="00A1080E"/>
    <w:rsid w:val="00A109C9"/>
    <w:rsid w:val="00A109DA"/>
    <w:rsid w:val="00A11B57"/>
    <w:rsid w:val="00A1219F"/>
    <w:rsid w:val="00A12F00"/>
    <w:rsid w:val="00A12FA5"/>
    <w:rsid w:val="00A13857"/>
    <w:rsid w:val="00A13CCE"/>
    <w:rsid w:val="00A140F5"/>
    <w:rsid w:val="00A14770"/>
    <w:rsid w:val="00A1549D"/>
    <w:rsid w:val="00A155EA"/>
    <w:rsid w:val="00A160FC"/>
    <w:rsid w:val="00A17AF0"/>
    <w:rsid w:val="00A17B6F"/>
    <w:rsid w:val="00A17CE0"/>
    <w:rsid w:val="00A218F1"/>
    <w:rsid w:val="00A227D0"/>
    <w:rsid w:val="00A23559"/>
    <w:rsid w:val="00A23616"/>
    <w:rsid w:val="00A23AC6"/>
    <w:rsid w:val="00A24BB1"/>
    <w:rsid w:val="00A254F0"/>
    <w:rsid w:val="00A25E55"/>
    <w:rsid w:val="00A26413"/>
    <w:rsid w:val="00A2641B"/>
    <w:rsid w:val="00A27850"/>
    <w:rsid w:val="00A278C3"/>
    <w:rsid w:val="00A31699"/>
    <w:rsid w:val="00A34953"/>
    <w:rsid w:val="00A359F5"/>
    <w:rsid w:val="00A371E4"/>
    <w:rsid w:val="00A377E2"/>
    <w:rsid w:val="00A40FDD"/>
    <w:rsid w:val="00A42306"/>
    <w:rsid w:val="00A42A95"/>
    <w:rsid w:val="00A43EDF"/>
    <w:rsid w:val="00A4517A"/>
    <w:rsid w:val="00A457FA"/>
    <w:rsid w:val="00A45A37"/>
    <w:rsid w:val="00A47792"/>
    <w:rsid w:val="00A47F60"/>
    <w:rsid w:val="00A515DD"/>
    <w:rsid w:val="00A53D72"/>
    <w:rsid w:val="00A53DF4"/>
    <w:rsid w:val="00A54770"/>
    <w:rsid w:val="00A559C2"/>
    <w:rsid w:val="00A55ACD"/>
    <w:rsid w:val="00A56BA2"/>
    <w:rsid w:val="00A56E79"/>
    <w:rsid w:val="00A576E9"/>
    <w:rsid w:val="00A57DD6"/>
    <w:rsid w:val="00A610A0"/>
    <w:rsid w:val="00A62D5E"/>
    <w:rsid w:val="00A63259"/>
    <w:rsid w:val="00A6372D"/>
    <w:rsid w:val="00A6437C"/>
    <w:rsid w:val="00A66CAE"/>
    <w:rsid w:val="00A671E1"/>
    <w:rsid w:val="00A676A9"/>
    <w:rsid w:val="00A71042"/>
    <w:rsid w:val="00A7192C"/>
    <w:rsid w:val="00A7213C"/>
    <w:rsid w:val="00A73321"/>
    <w:rsid w:val="00A74000"/>
    <w:rsid w:val="00A7452C"/>
    <w:rsid w:val="00A74C6B"/>
    <w:rsid w:val="00A75134"/>
    <w:rsid w:val="00A75230"/>
    <w:rsid w:val="00A75349"/>
    <w:rsid w:val="00A75507"/>
    <w:rsid w:val="00A75EDD"/>
    <w:rsid w:val="00A763DE"/>
    <w:rsid w:val="00A76D77"/>
    <w:rsid w:val="00A76DCD"/>
    <w:rsid w:val="00A76FF1"/>
    <w:rsid w:val="00A774F9"/>
    <w:rsid w:val="00A77F01"/>
    <w:rsid w:val="00A813B7"/>
    <w:rsid w:val="00A81493"/>
    <w:rsid w:val="00A826AF"/>
    <w:rsid w:val="00A82ABB"/>
    <w:rsid w:val="00A83643"/>
    <w:rsid w:val="00A83DB0"/>
    <w:rsid w:val="00A8416B"/>
    <w:rsid w:val="00A842C3"/>
    <w:rsid w:val="00A8442A"/>
    <w:rsid w:val="00A844A1"/>
    <w:rsid w:val="00A84B1D"/>
    <w:rsid w:val="00A851D0"/>
    <w:rsid w:val="00A90B84"/>
    <w:rsid w:val="00A911F1"/>
    <w:rsid w:val="00A91650"/>
    <w:rsid w:val="00A918FD"/>
    <w:rsid w:val="00A920F1"/>
    <w:rsid w:val="00A9352D"/>
    <w:rsid w:val="00A939AD"/>
    <w:rsid w:val="00A943CE"/>
    <w:rsid w:val="00A94686"/>
    <w:rsid w:val="00A9552A"/>
    <w:rsid w:val="00A955EC"/>
    <w:rsid w:val="00A956D2"/>
    <w:rsid w:val="00A95943"/>
    <w:rsid w:val="00A95F62"/>
    <w:rsid w:val="00A965B0"/>
    <w:rsid w:val="00A96CD2"/>
    <w:rsid w:val="00A96EB4"/>
    <w:rsid w:val="00AA0E9E"/>
    <w:rsid w:val="00AA196B"/>
    <w:rsid w:val="00AA19FA"/>
    <w:rsid w:val="00AA4B9C"/>
    <w:rsid w:val="00AA5003"/>
    <w:rsid w:val="00AA6914"/>
    <w:rsid w:val="00AB02AE"/>
    <w:rsid w:val="00AB04C7"/>
    <w:rsid w:val="00AB081C"/>
    <w:rsid w:val="00AB0ABD"/>
    <w:rsid w:val="00AB31D1"/>
    <w:rsid w:val="00AB37BD"/>
    <w:rsid w:val="00AB4C19"/>
    <w:rsid w:val="00AB4E51"/>
    <w:rsid w:val="00AB4F4B"/>
    <w:rsid w:val="00AB527F"/>
    <w:rsid w:val="00AB5B28"/>
    <w:rsid w:val="00AB5C20"/>
    <w:rsid w:val="00AB5DFA"/>
    <w:rsid w:val="00AB6494"/>
    <w:rsid w:val="00AB64DE"/>
    <w:rsid w:val="00AB735D"/>
    <w:rsid w:val="00AB756D"/>
    <w:rsid w:val="00AB7AEA"/>
    <w:rsid w:val="00AC0381"/>
    <w:rsid w:val="00AC05B5"/>
    <w:rsid w:val="00AC0C10"/>
    <w:rsid w:val="00AC2B27"/>
    <w:rsid w:val="00AC38C0"/>
    <w:rsid w:val="00AC3D65"/>
    <w:rsid w:val="00AC43DE"/>
    <w:rsid w:val="00AC582A"/>
    <w:rsid w:val="00AC5945"/>
    <w:rsid w:val="00AC5EDA"/>
    <w:rsid w:val="00AC609F"/>
    <w:rsid w:val="00AC6341"/>
    <w:rsid w:val="00AC6835"/>
    <w:rsid w:val="00AC6839"/>
    <w:rsid w:val="00AC6D79"/>
    <w:rsid w:val="00AC7103"/>
    <w:rsid w:val="00AC7375"/>
    <w:rsid w:val="00AC7597"/>
    <w:rsid w:val="00AC779F"/>
    <w:rsid w:val="00AC7A95"/>
    <w:rsid w:val="00AD0CBD"/>
    <w:rsid w:val="00AD0D3D"/>
    <w:rsid w:val="00AD1B03"/>
    <w:rsid w:val="00AD269B"/>
    <w:rsid w:val="00AD2737"/>
    <w:rsid w:val="00AD3C6E"/>
    <w:rsid w:val="00AD3ECE"/>
    <w:rsid w:val="00AD421B"/>
    <w:rsid w:val="00AD439D"/>
    <w:rsid w:val="00AD5B54"/>
    <w:rsid w:val="00AD6E96"/>
    <w:rsid w:val="00AD7571"/>
    <w:rsid w:val="00AD7E0D"/>
    <w:rsid w:val="00AE08D2"/>
    <w:rsid w:val="00AE0AB0"/>
    <w:rsid w:val="00AE149A"/>
    <w:rsid w:val="00AE2A53"/>
    <w:rsid w:val="00AE2F7D"/>
    <w:rsid w:val="00AE4508"/>
    <w:rsid w:val="00AE49AC"/>
    <w:rsid w:val="00AE4CC7"/>
    <w:rsid w:val="00AF02A8"/>
    <w:rsid w:val="00AF2C94"/>
    <w:rsid w:val="00AF377A"/>
    <w:rsid w:val="00AF39EA"/>
    <w:rsid w:val="00AF3F39"/>
    <w:rsid w:val="00AF5A61"/>
    <w:rsid w:val="00AF637D"/>
    <w:rsid w:val="00AF68D9"/>
    <w:rsid w:val="00AF6D7E"/>
    <w:rsid w:val="00AF7CC0"/>
    <w:rsid w:val="00B0158A"/>
    <w:rsid w:val="00B016CB"/>
    <w:rsid w:val="00B01F7E"/>
    <w:rsid w:val="00B02E43"/>
    <w:rsid w:val="00B0313B"/>
    <w:rsid w:val="00B03718"/>
    <w:rsid w:val="00B100B4"/>
    <w:rsid w:val="00B10135"/>
    <w:rsid w:val="00B11D51"/>
    <w:rsid w:val="00B12996"/>
    <w:rsid w:val="00B14B51"/>
    <w:rsid w:val="00B16591"/>
    <w:rsid w:val="00B1688A"/>
    <w:rsid w:val="00B174DB"/>
    <w:rsid w:val="00B175BF"/>
    <w:rsid w:val="00B20570"/>
    <w:rsid w:val="00B21B8B"/>
    <w:rsid w:val="00B23942"/>
    <w:rsid w:val="00B25B95"/>
    <w:rsid w:val="00B2674A"/>
    <w:rsid w:val="00B26936"/>
    <w:rsid w:val="00B26AAF"/>
    <w:rsid w:val="00B26DAE"/>
    <w:rsid w:val="00B27DC4"/>
    <w:rsid w:val="00B302C3"/>
    <w:rsid w:val="00B3087D"/>
    <w:rsid w:val="00B34739"/>
    <w:rsid w:val="00B34794"/>
    <w:rsid w:val="00B34CED"/>
    <w:rsid w:val="00B35DD2"/>
    <w:rsid w:val="00B36492"/>
    <w:rsid w:val="00B367E7"/>
    <w:rsid w:val="00B4093B"/>
    <w:rsid w:val="00B40E9D"/>
    <w:rsid w:val="00B40F7C"/>
    <w:rsid w:val="00B4307F"/>
    <w:rsid w:val="00B44D37"/>
    <w:rsid w:val="00B44F87"/>
    <w:rsid w:val="00B46BED"/>
    <w:rsid w:val="00B47E09"/>
    <w:rsid w:val="00B47EC3"/>
    <w:rsid w:val="00B502BA"/>
    <w:rsid w:val="00B502F4"/>
    <w:rsid w:val="00B51C2F"/>
    <w:rsid w:val="00B52676"/>
    <w:rsid w:val="00B52921"/>
    <w:rsid w:val="00B529FA"/>
    <w:rsid w:val="00B52BCD"/>
    <w:rsid w:val="00B53167"/>
    <w:rsid w:val="00B5350D"/>
    <w:rsid w:val="00B53604"/>
    <w:rsid w:val="00B53FCD"/>
    <w:rsid w:val="00B56288"/>
    <w:rsid w:val="00B56A0C"/>
    <w:rsid w:val="00B56CB6"/>
    <w:rsid w:val="00B56D72"/>
    <w:rsid w:val="00B572AF"/>
    <w:rsid w:val="00B60421"/>
    <w:rsid w:val="00B60471"/>
    <w:rsid w:val="00B608EC"/>
    <w:rsid w:val="00B62707"/>
    <w:rsid w:val="00B6273E"/>
    <w:rsid w:val="00B63643"/>
    <w:rsid w:val="00B64AE8"/>
    <w:rsid w:val="00B65509"/>
    <w:rsid w:val="00B71148"/>
    <w:rsid w:val="00B724F5"/>
    <w:rsid w:val="00B72BA6"/>
    <w:rsid w:val="00B73127"/>
    <w:rsid w:val="00B7411B"/>
    <w:rsid w:val="00B76EE4"/>
    <w:rsid w:val="00B77948"/>
    <w:rsid w:val="00B80515"/>
    <w:rsid w:val="00B813C7"/>
    <w:rsid w:val="00B828B4"/>
    <w:rsid w:val="00B835A3"/>
    <w:rsid w:val="00B83DEF"/>
    <w:rsid w:val="00B84047"/>
    <w:rsid w:val="00B846AB"/>
    <w:rsid w:val="00B8546C"/>
    <w:rsid w:val="00B87AFC"/>
    <w:rsid w:val="00B90E4C"/>
    <w:rsid w:val="00B90E73"/>
    <w:rsid w:val="00B91739"/>
    <w:rsid w:val="00B91F0E"/>
    <w:rsid w:val="00B921CF"/>
    <w:rsid w:val="00B92E20"/>
    <w:rsid w:val="00B951CB"/>
    <w:rsid w:val="00B95677"/>
    <w:rsid w:val="00B95FB6"/>
    <w:rsid w:val="00B972E4"/>
    <w:rsid w:val="00B97C8B"/>
    <w:rsid w:val="00BA0B9C"/>
    <w:rsid w:val="00BA0E5E"/>
    <w:rsid w:val="00BA182A"/>
    <w:rsid w:val="00BA1EDF"/>
    <w:rsid w:val="00BA3267"/>
    <w:rsid w:val="00BA3B36"/>
    <w:rsid w:val="00BA49CD"/>
    <w:rsid w:val="00BA5302"/>
    <w:rsid w:val="00BA58E7"/>
    <w:rsid w:val="00BA66A0"/>
    <w:rsid w:val="00BA7ED3"/>
    <w:rsid w:val="00BB0243"/>
    <w:rsid w:val="00BB1070"/>
    <w:rsid w:val="00BB20E0"/>
    <w:rsid w:val="00BB251F"/>
    <w:rsid w:val="00BB31E0"/>
    <w:rsid w:val="00BB41FE"/>
    <w:rsid w:val="00BB4594"/>
    <w:rsid w:val="00BB45BE"/>
    <w:rsid w:val="00BB4F32"/>
    <w:rsid w:val="00BB5281"/>
    <w:rsid w:val="00BB53FB"/>
    <w:rsid w:val="00BB5F4F"/>
    <w:rsid w:val="00BB7F4F"/>
    <w:rsid w:val="00BC03B5"/>
    <w:rsid w:val="00BC0682"/>
    <w:rsid w:val="00BC1453"/>
    <w:rsid w:val="00BC1A4A"/>
    <w:rsid w:val="00BC3166"/>
    <w:rsid w:val="00BC3FC2"/>
    <w:rsid w:val="00BC4997"/>
    <w:rsid w:val="00BC561C"/>
    <w:rsid w:val="00BC5995"/>
    <w:rsid w:val="00BC6B47"/>
    <w:rsid w:val="00BC6DAB"/>
    <w:rsid w:val="00BC7065"/>
    <w:rsid w:val="00BD0AE8"/>
    <w:rsid w:val="00BD0D2D"/>
    <w:rsid w:val="00BD13E2"/>
    <w:rsid w:val="00BD41BA"/>
    <w:rsid w:val="00BD4A6D"/>
    <w:rsid w:val="00BD6C3C"/>
    <w:rsid w:val="00BD7178"/>
    <w:rsid w:val="00BD77E2"/>
    <w:rsid w:val="00BD794C"/>
    <w:rsid w:val="00BE0916"/>
    <w:rsid w:val="00BE0C1D"/>
    <w:rsid w:val="00BE0E15"/>
    <w:rsid w:val="00BE131C"/>
    <w:rsid w:val="00BE1584"/>
    <w:rsid w:val="00BE1A5E"/>
    <w:rsid w:val="00BE2511"/>
    <w:rsid w:val="00BE25AF"/>
    <w:rsid w:val="00BE27A5"/>
    <w:rsid w:val="00BE323C"/>
    <w:rsid w:val="00BE463E"/>
    <w:rsid w:val="00BE4968"/>
    <w:rsid w:val="00BE4FED"/>
    <w:rsid w:val="00BE58B7"/>
    <w:rsid w:val="00BE59D5"/>
    <w:rsid w:val="00BE6734"/>
    <w:rsid w:val="00BE6E7F"/>
    <w:rsid w:val="00BF082C"/>
    <w:rsid w:val="00BF1000"/>
    <w:rsid w:val="00BF23A9"/>
    <w:rsid w:val="00BF26C4"/>
    <w:rsid w:val="00BF27FF"/>
    <w:rsid w:val="00BF2C4E"/>
    <w:rsid w:val="00BF3C4B"/>
    <w:rsid w:val="00BF3CBF"/>
    <w:rsid w:val="00BF406C"/>
    <w:rsid w:val="00BF40E3"/>
    <w:rsid w:val="00BF4641"/>
    <w:rsid w:val="00BF513D"/>
    <w:rsid w:val="00BF57EF"/>
    <w:rsid w:val="00BF5CCF"/>
    <w:rsid w:val="00BF7604"/>
    <w:rsid w:val="00BF77DF"/>
    <w:rsid w:val="00BF7DC4"/>
    <w:rsid w:val="00C00E3B"/>
    <w:rsid w:val="00C0126D"/>
    <w:rsid w:val="00C02AB9"/>
    <w:rsid w:val="00C02FE5"/>
    <w:rsid w:val="00C0304A"/>
    <w:rsid w:val="00C04F37"/>
    <w:rsid w:val="00C063BE"/>
    <w:rsid w:val="00C06926"/>
    <w:rsid w:val="00C07160"/>
    <w:rsid w:val="00C07717"/>
    <w:rsid w:val="00C07BD4"/>
    <w:rsid w:val="00C1047E"/>
    <w:rsid w:val="00C10B5F"/>
    <w:rsid w:val="00C11940"/>
    <w:rsid w:val="00C11A39"/>
    <w:rsid w:val="00C12D2F"/>
    <w:rsid w:val="00C139B1"/>
    <w:rsid w:val="00C13AFA"/>
    <w:rsid w:val="00C15E1A"/>
    <w:rsid w:val="00C16910"/>
    <w:rsid w:val="00C172AD"/>
    <w:rsid w:val="00C2022C"/>
    <w:rsid w:val="00C20B37"/>
    <w:rsid w:val="00C20D29"/>
    <w:rsid w:val="00C21872"/>
    <w:rsid w:val="00C21981"/>
    <w:rsid w:val="00C22656"/>
    <w:rsid w:val="00C234A9"/>
    <w:rsid w:val="00C24063"/>
    <w:rsid w:val="00C24D30"/>
    <w:rsid w:val="00C25CCF"/>
    <w:rsid w:val="00C2635E"/>
    <w:rsid w:val="00C26C59"/>
    <w:rsid w:val="00C31AA8"/>
    <w:rsid w:val="00C32E4F"/>
    <w:rsid w:val="00C33DD4"/>
    <w:rsid w:val="00C34108"/>
    <w:rsid w:val="00C34370"/>
    <w:rsid w:val="00C3481E"/>
    <w:rsid w:val="00C34894"/>
    <w:rsid w:val="00C35A56"/>
    <w:rsid w:val="00C3717D"/>
    <w:rsid w:val="00C409A0"/>
    <w:rsid w:val="00C40C55"/>
    <w:rsid w:val="00C42B37"/>
    <w:rsid w:val="00C42C47"/>
    <w:rsid w:val="00C42E53"/>
    <w:rsid w:val="00C4467A"/>
    <w:rsid w:val="00C44AAA"/>
    <w:rsid w:val="00C44D43"/>
    <w:rsid w:val="00C4540D"/>
    <w:rsid w:val="00C45B43"/>
    <w:rsid w:val="00C4799D"/>
    <w:rsid w:val="00C479DD"/>
    <w:rsid w:val="00C47FFB"/>
    <w:rsid w:val="00C50AF3"/>
    <w:rsid w:val="00C50EB4"/>
    <w:rsid w:val="00C51D39"/>
    <w:rsid w:val="00C523A5"/>
    <w:rsid w:val="00C52B3E"/>
    <w:rsid w:val="00C52C4C"/>
    <w:rsid w:val="00C52CF5"/>
    <w:rsid w:val="00C53C72"/>
    <w:rsid w:val="00C543C3"/>
    <w:rsid w:val="00C54609"/>
    <w:rsid w:val="00C546B3"/>
    <w:rsid w:val="00C55082"/>
    <w:rsid w:val="00C556D2"/>
    <w:rsid w:val="00C5629E"/>
    <w:rsid w:val="00C569A6"/>
    <w:rsid w:val="00C60AC2"/>
    <w:rsid w:val="00C614FA"/>
    <w:rsid w:val="00C61A03"/>
    <w:rsid w:val="00C63781"/>
    <w:rsid w:val="00C63834"/>
    <w:rsid w:val="00C64009"/>
    <w:rsid w:val="00C64800"/>
    <w:rsid w:val="00C66777"/>
    <w:rsid w:val="00C6721E"/>
    <w:rsid w:val="00C674EC"/>
    <w:rsid w:val="00C67C90"/>
    <w:rsid w:val="00C706A9"/>
    <w:rsid w:val="00C70C63"/>
    <w:rsid w:val="00C71104"/>
    <w:rsid w:val="00C72275"/>
    <w:rsid w:val="00C73968"/>
    <w:rsid w:val="00C74010"/>
    <w:rsid w:val="00C755A5"/>
    <w:rsid w:val="00C76D4C"/>
    <w:rsid w:val="00C76EF9"/>
    <w:rsid w:val="00C76FB7"/>
    <w:rsid w:val="00C779BA"/>
    <w:rsid w:val="00C8127D"/>
    <w:rsid w:val="00C81E6D"/>
    <w:rsid w:val="00C855C0"/>
    <w:rsid w:val="00C85C25"/>
    <w:rsid w:val="00C85E72"/>
    <w:rsid w:val="00C870CA"/>
    <w:rsid w:val="00C90431"/>
    <w:rsid w:val="00C907D4"/>
    <w:rsid w:val="00C913A1"/>
    <w:rsid w:val="00C913BB"/>
    <w:rsid w:val="00C9259C"/>
    <w:rsid w:val="00C94CBF"/>
    <w:rsid w:val="00C95BA0"/>
    <w:rsid w:val="00C96DB1"/>
    <w:rsid w:val="00C971BE"/>
    <w:rsid w:val="00C97643"/>
    <w:rsid w:val="00C97A4B"/>
    <w:rsid w:val="00CA00B3"/>
    <w:rsid w:val="00CA02BF"/>
    <w:rsid w:val="00CA055A"/>
    <w:rsid w:val="00CA0ED8"/>
    <w:rsid w:val="00CA11BC"/>
    <w:rsid w:val="00CA1DD6"/>
    <w:rsid w:val="00CA2A50"/>
    <w:rsid w:val="00CA44CA"/>
    <w:rsid w:val="00CA4B86"/>
    <w:rsid w:val="00CA4D6B"/>
    <w:rsid w:val="00CA4EE1"/>
    <w:rsid w:val="00CA6A8E"/>
    <w:rsid w:val="00CA7007"/>
    <w:rsid w:val="00CA7117"/>
    <w:rsid w:val="00CA71AE"/>
    <w:rsid w:val="00CA75B4"/>
    <w:rsid w:val="00CB013F"/>
    <w:rsid w:val="00CB0216"/>
    <w:rsid w:val="00CB09CF"/>
    <w:rsid w:val="00CB2DB0"/>
    <w:rsid w:val="00CB3280"/>
    <w:rsid w:val="00CB556D"/>
    <w:rsid w:val="00CB6A08"/>
    <w:rsid w:val="00CB7F96"/>
    <w:rsid w:val="00CC04DB"/>
    <w:rsid w:val="00CC0B3A"/>
    <w:rsid w:val="00CC16FF"/>
    <w:rsid w:val="00CC1AF2"/>
    <w:rsid w:val="00CC2173"/>
    <w:rsid w:val="00CC3197"/>
    <w:rsid w:val="00CC3799"/>
    <w:rsid w:val="00CC3A1F"/>
    <w:rsid w:val="00CC3F29"/>
    <w:rsid w:val="00CC4A76"/>
    <w:rsid w:val="00CC6A99"/>
    <w:rsid w:val="00CC6ECE"/>
    <w:rsid w:val="00CD071C"/>
    <w:rsid w:val="00CD145F"/>
    <w:rsid w:val="00CD24B4"/>
    <w:rsid w:val="00CD342B"/>
    <w:rsid w:val="00CD34B5"/>
    <w:rsid w:val="00CD35BC"/>
    <w:rsid w:val="00CD3997"/>
    <w:rsid w:val="00CD3A98"/>
    <w:rsid w:val="00CD4136"/>
    <w:rsid w:val="00CD48C7"/>
    <w:rsid w:val="00CD4A1D"/>
    <w:rsid w:val="00CD58B0"/>
    <w:rsid w:val="00CD5AA5"/>
    <w:rsid w:val="00CE0A67"/>
    <w:rsid w:val="00CE2076"/>
    <w:rsid w:val="00CE3066"/>
    <w:rsid w:val="00CE342D"/>
    <w:rsid w:val="00CE4CA7"/>
    <w:rsid w:val="00CE5A3B"/>
    <w:rsid w:val="00CE602F"/>
    <w:rsid w:val="00CE64B6"/>
    <w:rsid w:val="00CE736D"/>
    <w:rsid w:val="00CE75BE"/>
    <w:rsid w:val="00CF180F"/>
    <w:rsid w:val="00CF1F2B"/>
    <w:rsid w:val="00CF4FC0"/>
    <w:rsid w:val="00CF597A"/>
    <w:rsid w:val="00CF5EEB"/>
    <w:rsid w:val="00CF6EA5"/>
    <w:rsid w:val="00D00AA3"/>
    <w:rsid w:val="00D00D64"/>
    <w:rsid w:val="00D01E66"/>
    <w:rsid w:val="00D03F09"/>
    <w:rsid w:val="00D04BA7"/>
    <w:rsid w:val="00D05EC1"/>
    <w:rsid w:val="00D079B3"/>
    <w:rsid w:val="00D07F73"/>
    <w:rsid w:val="00D10C80"/>
    <w:rsid w:val="00D10CBE"/>
    <w:rsid w:val="00D11826"/>
    <w:rsid w:val="00D149B2"/>
    <w:rsid w:val="00D156ED"/>
    <w:rsid w:val="00D1623A"/>
    <w:rsid w:val="00D165D0"/>
    <w:rsid w:val="00D16FD7"/>
    <w:rsid w:val="00D17568"/>
    <w:rsid w:val="00D17C75"/>
    <w:rsid w:val="00D2041C"/>
    <w:rsid w:val="00D2137B"/>
    <w:rsid w:val="00D213B7"/>
    <w:rsid w:val="00D21860"/>
    <w:rsid w:val="00D21F2D"/>
    <w:rsid w:val="00D222D8"/>
    <w:rsid w:val="00D22457"/>
    <w:rsid w:val="00D225B0"/>
    <w:rsid w:val="00D22C06"/>
    <w:rsid w:val="00D23267"/>
    <w:rsid w:val="00D24E1D"/>
    <w:rsid w:val="00D25ADE"/>
    <w:rsid w:val="00D260DB"/>
    <w:rsid w:val="00D2659A"/>
    <w:rsid w:val="00D2707F"/>
    <w:rsid w:val="00D27208"/>
    <w:rsid w:val="00D275BA"/>
    <w:rsid w:val="00D276EB"/>
    <w:rsid w:val="00D3006F"/>
    <w:rsid w:val="00D32A79"/>
    <w:rsid w:val="00D3491F"/>
    <w:rsid w:val="00D35807"/>
    <w:rsid w:val="00D36004"/>
    <w:rsid w:val="00D3607B"/>
    <w:rsid w:val="00D36BA2"/>
    <w:rsid w:val="00D40F06"/>
    <w:rsid w:val="00D413CB"/>
    <w:rsid w:val="00D430C0"/>
    <w:rsid w:val="00D430D9"/>
    <w:rsid w:val="00D43297"/>
    <w:rsid w:val="00D43298"/>
    <w:rsid w:val="00D44609"/>
    <w:rsid w:val="00D44DB6"/>
    <w:rsid w:val="00D44F5D"/>
    <w:rsid w:val="00D46A30"/>
    <w:rsid w:val="00D50119"/>
    <w:rsid w:val="00D50741"/>
    <w:rsid w:val="00D51268"/>
    <w:rsid w:val="00D51671"/>
    <w:rsid w:val="00D52E5C"/>
    <w:rsid w:val="00D53300"/>
    <w:rsid w:val="00D5498C"/>
    <w:rsid w:val="00D54B4C"/>
    <w:rsid w:val="00D54DBB"/>
    <w:rsid w:val="00D55598"/>
    <w:rsid w:val="00D567F3"/>
    <w:rsid w:val="00D56809"/>
    <w:rsid w:val="00D56B5D"/>
    <w:rsid w:val="00D56D21"/>
    <w:rsid w:val="00D570E1"/>
    <w:rsid w:val="00D5717C"/>
    <w:rsid w:val="00D57C92"/>
    <w:rsid w:val="00D6241E"/>
    <w:rsid w:val="00D63BE9"/>
    <w:rsid w:val="00D651B1"/>
    <w:rsid w:val="00D65C82"/>
    <w:rsid w:val="00D66360"/>
    <w:rsid w:val="00D666CD"/>
    <w:rsid w:val="00D67B31"/>
    <w:rsid w:val="00D708F9"/>
    <w:rsid w:val="00D70D2A"/>
    <w:rsid w:val="00D70E82"/>
    <w:rsid w:val="00D711AD"/>
    <w:rsid w:val="00D716C8"/>
    <w:rsid w:val="00D72A91"/>
    <w:rsid w:val="00D72C7E"/>
    <w:rsid w:val="00D72CB1"/>
    <w:rsid w:val="00D73402"/>
    <w:rsid w:val="00D742F6"/>
    <w:rsid w:val="00D75E0F"/>
    <w:rsid w:val="00D75F02"/>
    <w:rsid w:val="00D76996"/>
    <w:rsid w:val="00D775B0"/>
    <w:rsid w:val="00D80172"/>
    <w:rsid w:val="00D80EEA"/>
    <w:rsid w:val="00D81462"/>
    <w:rsid w:val="00D8184E"/>
    <w:rsid w:val="00D81FE3"/>
    <w:rsid w:val="00D8243B"/>
    <w:rsid w:val="00D829DD"/>
    <w:rsid w:val="00D82A43"/>
    <w:rsid w:val="00D8399E"/>
    <w:rsid w:val="00D840CB"/>
    <w:rsid w:val="00D9077C"/>
    <w:rsid w:val="00D94057"/>
    <w:rsid w:val="00D95D6C"/>
    <w:rsid w:val="00D96B2B"/>
    <w:rsid w:val="00D97228"/>
    <w:rsid w:val="00DA08AB"/>
    <w:rsid w:val="00DA1F34"/>
    <w:rsid w:val="00DA2050"/>
    <w:rsid w:val="00DA235E"/>
    <w:rsid w:val="00DA241F"/>
    <w:rsid w:val="00DA2F79"/>
    <w:rsid w:val="00DA30C6"/>
    <w:rsid w:val="00DA320B"/>
    <w:rsid w:val="00DA39D1"/>
    <w:rsid w:val="00DA3B70"/>
    <w:rsid w:val="00DA4DCE"/>
    <w:rsid w:val="00DA55FE"/>
    <w:rsid w:val="00DA5CE0"/>
    <w:rsid w:val="00DA6C3F"/>
    <w:rsid w:val="00DA6D4D"/>
    <w:rsid w:val="00DA7B5D"/>
    <w:rsid w:val="00DA7DD3"/>
    <w:rsid w:val="00DB0F8C"/>
    <w:rsid w:val="00DB15B8"/>
    <w:rsid w:val="00DB2F2E"/>
    <w:rsid w:val="00DB67E9"/>
    <w:rsid w:val="00DB6809"/>
    <w:rsid w:val="00DC08BB"/>
    <w:rsid w:val="00DC1276"/>
    <w:rsid w:val="00DC20A7"/>
    <w:rsid w:val="00DC243A"/>
    <w:rsid w:val="00DC3271"/>
    <w:rsid w:val="00DC37C5"/>
    <w:rsid w:val="00DC3F07"/>
    <w:rsid w:val="00DC4BBF"/>
    <w:rsid w:val="00DC4E89"/>
    <w:rsid w:val="00DC5DB0"/>
    <w:rsid w:val="00DC61F5"/>
    <w:rsid w:val="00DC6791"/>
    <w:rsid w:val="00DC6AAB"/>
    <w:rsid w:val="00DC6C56"/>
    <w:rsid w:val="00DC6CAF"/>
    <w:rsid w:val="00DC7E36"/>
    <w:rsid w:val="00DC7E6A"/>
    <w:rsid w:val="00DD0000"/>
    <w:rsid w:val="00DD01C2"/>
    <w:rsid w:val="00DD08F2"/>
    <w:rsid w:val="00DD16D5"/>
    <w:rsid w:val="00DD17EB"/>
    <w:rsid w:val="00DD261B"/>
    <w:rsid w:val="00DD2FCA"/>
    <w:rsid w:val="00DD3B2B"/>
    <w:rsid w:val="00DD40C7"/>
    <w:rsid w:val="00DD5202"/>
    <w:rsid w:val="00DD6145"/>
    <w:rsid w:val="00DE1815"/>
    <w:rsid w:val="00DE1F09"/>
    <w:rsid w:val="00DE21E1"/>
    <w:rsid w:val="00DE22B2"/>
    <w:rsid w:val="00DE2EB4"/>
    <w:rsid w:val="00DE359C"/>
    <w:rsid w:val="00DE5456"/>
    <w:rsid w:val="00DE5763"/>
    <w:rsid w:val="00DE6054"/>
    <w:rsid w:val="00DE7E5E"/>
    <w:rsid w:val="00DF0039"/>
    <w:rsid w:val="00DF1A5A"/>
    <w:rsid w:val="00DF2151"/>
    <w:rsid w:val="00DF21EF"/>
    <w:rsid w:val="00DF240E"/>
    <w:rsid w:val="00DF26A6"/>
    <w:rsid w:val="00DF333E"/>
    <w:rsid w:val="00DF43EE"/>
    <w:rsid w:val="00DF4FEA"/>
    <w:rsid w:val="00DF58E7"/>
    <w:rsid w:val="00DF6F3F"/>
    <w:rsid w:val="00DF73B2"/>
    <w:rsid w:val="00E013FB"/>
    <w:rsid w:val="00E01663"/>
    <w:rsid w:val="00E02155"/>
    <w:rsid w:val="00E02176"/>
    <w:rsid w:val="00E035A3"/>
    <w:rsid w:val="00E03F0D"/>
    <w:rsid w:val="00E042DD"/>
    <w:rsid w:val="00E044B3"/>
    <w:rsid w:val="00E04554"/>
    <w:rsid w:val="00E06F61"/>
    <w:rsid w:val="00E07A2B"/>
    <w:rsid w:val="00E11876"/>
    <w:rsid w:val="00E118A3"/>
    <w:rsid w:val="00E13125"/>
    <w:rsid w:val="00E14045"/>
    <w:rsid w:val="00E14206"/>
    <w:rsid w:val="00E14891"/>
    <w:rsid w:val="00E15234"/>
    <w:rsid w:val="00E152DB"/>
    <w:rsid w:val="00E153F5"/>
    <w:rsid w:val="00E159FB"/>
    <w:rsid w:val="00E162E8"/>
    <w:rsid w:val="00E1689C"/>
    <w:rsid w:val="00E20826"/>
    <w:rsid w:val="00E22283"/>
    <w:rsid w:val="00E22341"/>
    <w:rsid w:val="00E2249B"/>
    <w:rsid w:val="00E22BC6"/>
    <w:rsid w:val="00E23ADB"/>
    <w:rsid w:val="00E23CBB"/>
    <w:rsid w:val="00E24798"/>
    <w:rsid w:val="00E252C6"/>
    <w:rsid w:val="00E2591D"/>
    <w:rsid w:val="00E26217"/>
    <w:rsid w:val="00E26B22"/>
    <w:rsid w:val="00E26B3B"/>
    <w:rsid w:val="00E26E28"/>
    <w:rsid w:val="00E301AC"/>
    <w:rsid w:val="00E30ACF"/>
    <w:rsid w:val="00E31997"/>
    <w:rsid w:val="00E31A27"/>
    <w:rsid w:val="00E343E5"/>
    <w:rsid w:val="00E346D1"/>
    <w:rsid w:val="00E3483C"/>
    <w:rsid w:val="00E368FE"/>
    <w:rsid w:val="00E3740E"/>
    <w:rsid w:val="00E37B59"/>
    <w:rsid w:val="00E37E77"/>
    <w:rsid w:val="00E425EF"/>
    <w:rsid w:val="00E4306B"/>
    <w:rsid w:val="00E4354E"/>
    <w:rsid w:val="00E45A5C"/>
    <w:rsid w:val="00E45F1C"/>
    <w:rsid w:val="00E46451"/>
    <w:rsid w:val="00E46C10"/>
    <w:rsid w:val="00E46C88"/>
    <w:rsid w:val="00E51E76"/>
    <w:rsid w:val="00E52258"/>
    <w:rsid w:val="00E52416"/>
    <w:rsid w:val="00E540D9"/>
    <w:rsid w:val="00E552F3"/>
    <w:rsid w:val="00E55CB2"/>
    <w:rsid w:val="00E56350"/>
    <w:rsid w:val="00E5681A"/>
    <w:rsid w:val="00E60698"/>
    <w:rsid w:val="00E60B45"/>
    <w:rsid w:val="00E60CC5"/>
    <w:rsid w:val="00E61CC1"/>
    <w:rsid w:val="00E64F64"/>
    <w:rsid w:val="00E65738"/>
    <w:rsid w:val="00E6697F"/>
    <w:rsid w:val="00E674BA"/>
    <w:rsid w:val="00E73F7F"/>
    <w:rsid w:val="00E74427"/>
    <w:rsid w:val="00E74819"/>
    <w:rsid w:val="00E7498F"/>
    <w:rsid w:val="00E75FA1"/>
    <w:rsid w:val="00E769DA"/>
    <w:rsid w:val="00E778B4"/>
    <w:rsid w:val="00E801C5"/>
    <w:rsid w:val="00E823C6"/>
    <w:rsid w:val="00E82667"/>
    <w:rsid w:val="00E84090"/>
    <w:rsid w:val="00E84141"/>
    <w:rsid w:val="00E845C4"/>
    <w:rsid w:val="00E84C5E"/>
    <w:rsid w:val="00E850B6"/>
    <w:rsid w:val="00E860C4"/>
    <w:rsid w:val="00E86910"/>
    <w:rsid w:val="00E87682"/>
    <w:rsid w:val="00E87F52"/>
    <w:rsid w:val="00E90DB8"/>
    <w:rsid w:val="00E919BB"/>
    <w:rsid w:val="00E92220"/>
    <w:rsid w:val="00E925D3"/>
    <w:rsid w:val="00E92B58"/>
    <w:rsid w:val="00E92C79"/>
    <w:rsid w:val="00E92F7C"/>
    <w:rsid w:val="00E9432F"/>
    <w:rsid w:val="00E95807"/>
    <w:rsid w:val="00E95F3E"/>
    <w:rsid w:val="00E95F45"/>
    <w:rsid w:val="00EA0AB2"/>
    <w:rsid w:val="00EA1534"/>
    <w:rsid w:val="00EA16A7"/>
    <w:rsid w:val="00EA1CFA"/>
    <w:rsid w:val="00EA36C6"/>
    <w:rsid w:val="00EA4A23"/>
    <w:rsid w:val="00EA53B4"/>
    <w:rsid w:val="00EA58A3"/>
    <w:rsid w:val="00EA7250"/>
    <w:rsid w:val="00EB134B"/>
    <w:rsid w:val="00EB20E5"/>
    <w:rsid w:val="00EB2873"/>
    <w:rsid w:val="00EB2C38"/>
    <w:rsid w:val="00EB460D"/>
    <w:rsid w:val="00EB618B"/>
    <w:rsid w:val="00EC1F01"/>
    <w:rsid w:val="00EC2194"/>
    <w:rsid w:val="00EC3143"/>
    <w:rsid w:val="00EC3CA1"/>
    <w:rsid w:val="00EC430F"/>
    <w:rsid w:val="00EC464E"/>
    <w:rsid w:val="00EC4B87"/>
    <w:rsid w:val="00EC502F"/>
    <w:rsid w:val="00EC6089"/>
    <w:rsid w:val="00EC6E24"/>
    <w:rsid w:val="00EC7CC8"/>
    <w:rsid w:val="00EC7F7E"/>
    <w:rsid w:val="00ED31B1"/>
    <w:rsid w:val="00ED351C"/>
    <w:rsid w:val="00ED420F"/>
    <w:rsid w:val="00ED43FF"/>
    <w:rsid w:val="00ED5725"/>
    <w:rsid w:val="00ED6034"/>
    <w:rsid w:val="00ED6A5C"/>
    <w:rsid w:val="00ED7031"/>
    <w:rsid w:val="00ED721F"/>
    <w:rsid w:val="00ED7777"/>
    <w:rsid w:val="00EE06E0"/>
    <w:rsid w:val="00EE149C"/>
    <w:rsid w:val="00EE14B8"/>
    <w:rsid w:val="00EE19C5"/>
    <w:rsid w:val="00EE2051"/>
    <w:rsid w:val="00EE3060"/>
    <w:rsid w:val="00EE4315"/>
    <w:rsid w:val="00EE4579"/>
    <w:rsid w:val="00EE48DA"/>
    <w:rsid w:val="00EE4C08"/>
    <w:rsid w:val="00EE506F"/>
    <w:rsid w:val="00EE56B1"/>
    <w:rsid w:val="00EE62C6"/>
    <w:rsid w:val="00EE684B"/>
    <w:rsid w:val="00EE6856"/>
    <w:rsid w:val="00EE6CE4"/>
    <w:rsid w:val="00EE6E2A"/>
    <w:rsid w:val="00EE788B"/>
    <w:rsid w:val="00EF0A6D"/>
    <w:rsid w:val="00EF2607"/>
    <w:rsid w:val="00EF31E1"/>
    <w:rsid w:val="00EF4419"/>
    <w:rsid w:val="00EF4AF3"/>
    <w:rsid w:val="00EF5396"/>
    <w:rsid w:val="00EF5531"/>
    <w:rsid w:val="00EF58F2"/>
    <w:rsid w:val="00EF6FE9"/>
    <w:rsid w:val="00EF718B"/>
    <w:rsid w:val="00EF7A45"/>
    <w:rsid w:val="00EF7CA0"/>
    <w:rsid w:val="00F01725"/>
    <w:rsid w:val="00F02796"/>
    <w:rsid w:val="00F03057"/>
    <w:rsid w:val="00F03125"/>
    <w:rsid w:val="00F055E8"/>
    <w:rsid w:val="00F05636"/>
    <w:rsid w:val="00F06902"/>
    <w:rsid w:val="00F079FB"/>
    <w:rsid w:val="00F11B99"/>
    <w:rsid w:val="00F12507"/>
    <w:rsid w:val="00F14802"/>
    <w:rsid w:val="00F152A7"/>
    <w:rsid w:val="00F16685"/>
    <w:rsid w:val="00F16A06"/>
    <w:rsid w:val="00F16B25"/>
    <w:rsid w:val="00F209AA"/>
    <w:rsid w:val="00F20A58"/>
    <w:rsid w:val="00F21789"/>
    <w:rsid w:val="00F22328"/>
    <w:rsid w:val="00F22DC6"/>
    <w:rsid w:val="00F235A9"/>
    <w:rsid w:val="00F235F5"/>
    <w:rsid w:val="00F23FF7"/>
    <w:rsid w:val="00F2405D"/>
    <w:rsid w:val="00F24BE2"/>
    <w:rsid w:val="00F24C54"/>
    <w:rsid w:val="00F24DC7"/>
    <w:rsid w:val="00F2550F"/>
    <w:rsid w:val="00F2580C"/>
    <w:rsid w:val="00F265E0"/>
    <w:rsid w:val="00F26ED3"/>
    <w:rsid w:val="00F27D5A"/>
    <w:rsid w:val="00F3016F"/>
    <w:rsid w:val="00F30280"/>
    <w:rsid w:val="00F30629"/>
    <w:rsid w:val="00F31A26"/>
    <w:rsid w:val="00F31C0D"/>
    <w:rsid w:val="00F32110"/>
    <w:rsid w:val="00F33F7F"/>
    <w:rsid w:val="00F34075"/>
    <w:rsid w:val="00F346C8"/>
    <w:rsid w:val="00F353CF"/>
    <w:rsid w:val="00F35562"/>
    <w:rsid w:val="00F3618B"/>
    <w:rsid w:val="00F36F45"/>
    <w:rsid w:val="00F37B77"/>
    <w:rsid w:val="00F37BF9"/>
    <w:rsid w:val="00F403E9"/>
    <w:rsid w:val="00F4067E"/>
    <w:rsid w:val="00F40822"/>
    <w:rsid w:val="00F41F8E"/>
    <w:rsid w:val="00F4254C"/>
    <w:rsid w:val="00F42910"/>
    <w:rsid w:val="00F42FA8"/>
    <w:rsid w:val="00F430F4"/>
    <w:rsid w:val="00F436E6"/>
    <w:rsid w:val="00F438BD"/>
    <w:rsid w:val="00F44C20"/>
    <w:rsid w:val="00F46364"/>
    <w:rsid w:val="00F47012"/>
    <w:rsid w:val="00F50326"/>
    <w:rsid w:val="00F5096C"/>
    <w:rsid w:val="00F5217D"/>
    <w:rsid w:val="00F5284E"/>
    <w:rsid w:val="00F54B30"/>
    <w:rsid w:val="00F55C36"/>
    <w:rsid w:val="00F56167"/>
    <w:rsid w:val="00F56D6A"/>
    <w:rsid w:val="00F573FF"/>
    <w:rsid w:val="00F60118"/>
    <w:rsid w:val="00F605C5"/>
    <w:rsid w:val="00F60A27"/>
    <w:rsid w:val="00F627FC"/>
    <w:rsid w:val="00F62B7A"/>
    <w:rsid w:val="00F6397D"/>
    <w:rsid w:val="00F63B1D"/>
    <w:rsid w:val="00F660F1"/>
    <w:rsid w:val="00F66993"/>
    <w:rsid w:val="00F66BDC"/>
    <w:rsid w:val="00F66FB1"/>
    <w:rsid w:val="00F67119"/>
    <w:rsid w:val="00F70EFF"/>
    <w:rsid w:val="00F727E3"/>
    <w:rsid w:val="00F7293E"/>
    <w:rsid w:val="00F731A0"/>
    <w:rsid w:val="00F73935"/>
    <w:rsid w:val="00F751C1"/>
    <w:rsid w:val="00F75620"/>
    <w:rsid w:val="00F75C28"/>
    <w:rsid w:val="00F75C6E"/>
    <w:rsid w:val="00F75D2B"/>
    <w:rsid w:val="00F76650"/>
    <w:rsid w:val="00F772CC"/>
    <w:rsid w:val="00F7770D"/>
    <w:rsid w:val="00F805EB"/>
    <w:rsid w:val="00F80874"/>
    <w:rsid w:val="00F80BA2"/>
    <w:rsid w:val="00F81150"/>
    <w:rsid w:val="00F8250E"/>
    <w:rsid w:val="00F82957"/>
    <w:rsid w:val="00F82B13"/>
    <w:rsid w:val="00F8358E"/>
    <w:rsid w:val="00F83651"/>
    <w:rsid w:val="00F84061"/>
    <w:rsid w:val="00F847CE"/>
    <w:rsid w:val="00F84D10"/>
    <w:rsid w:val="00F86AF9"/>
    <w:rsid w:val="00F86F90"/>
    <w:rsid w:val="00F9187B"/>
    <w:rsid w:val="00F92385"/>
    <w:rsid w:val="00F9296B"/>
    <w:rsid w:val="00F94C7E"/>
    <w:rsid w:val="00F95253"/>
    <w:rsid w:val="00F967AF"/>
    <w:rsid w:val="00F96923"/>
    <w:rsid w:val="00F97A04"/>
    <w:rsid w:val="00F97E92"/>
    <w:rsid w:val="00FA03CF"/>
    <w:rsid w:val="00FA0CCB"/>
    <w:rsid w:val="00FA1B4F"/>
    <w:rsid w:val="00FA28DE"/>
    <w:rsid w:val="00FA4664"/>
    <w:rsid w:val="00FA4B0B"/>
    <w:rsid w:val="00FA6401"/>
    <w:rsid w:val="00FA640E"/>
    <w:rsid w:val="00FA6B74"/>
    <w:rsid w:val="00FA7DD9"/>
    <w:rsid w:val="00FA7FC5"/>
    <w:rsid w:val="00FB0793"/>
    <w:rsid w:val="00FB0D51"/>
    <w:rsid w:val="00FB0FB7"/>
    <w:rsid w:val="00FB12F1"/>
    <w:rsid w:val="00FB1737"/>
    <w:rsid w:val="00FB26D5"/>
    <w:rsid w:val="00FB4241"/>
    <w:rsid w:val="00FB5367"/>
    <w:rsid w:val="00FB55F7"/>
    <w:rsid w:val="00FB6170"/>
    <w:rsid w:val="00FB6185"/>
    <w:rsid w:val="00FB6D59"/>
    <w:rsid w:val="00FC15DB"/>
    <w:rsid w:val="00FC32AC"/>
    <w:rsid w:val="00FC4301"/>
    <w:rsid w:val="00FC47F9"/>
    <w:rsid w:val="00FC5AA3"/>
    <w:rsid w:val="00FC6719"/>
    <w:rsid w:val="00FC761F"/>
    <w:rsid w:val="00FD0495"/>
    <w:rsid w:val="00FD1516"/>
    <w:rsid w:val="00FD4C5F"/>
    <w:rsid w:val="00FD4E56"/>
    <w:rsid w:val="00FD5254"/>
    <w:rsid w:val="00FD56DF"/>
    <w:rsid w:val="00FD7120"/>
    <w:rsid w:val="00FD745A"/>
    <w:rsid w:val="00FD7EC5"/>
    <w:rsid w:val="00FE04FF"/>
    <w:rsid w:val="00FE085D"/>
    <w:rsid w:val="00FE189D"/>
    <w:rsid w:val="00FE275D"/>
    <w:rsid w:val="00FE2878"/>
    <w:rsid w:val="00FE2AEA"/>
    <w:rsid w:val="00FE2C2D"/>
    <w:rsid w:val="00FE2EC8"/>
    <w:rsid w:val="00FE312F"/>
    <w:rsid w:val="00FE37EF"/>
    <w:rsid w:val="00FE4EFE"/>
    <w:rsid w:val="00FE5580"/>
    <w:rsid w:val="00FF110C"/>
    <w:rsid w:val="00FF11C2"/>
    <w:rsid w:val="00FF12F2"/>
    <w:rsid w:val="00FF155D"/>
    <w:rsid w:val="00FF1584"/>
    <w:rsid w:val="00FF1CAD"/>
    <w:rsid w:val="00FF26D9"/>
    <w:rsid w:val="00FF2FF3"/>
    <w:rsid w:val="00FF3CD7"/>
    <w:rsid w:val="00FF419D"/>
    <w:rsid w:val="00FF5809"/>
    <w:rsid w:val="00FF5D6E"/>
    <w:rsid w:val="00FF64A2"/>
    <w:rsid w:val="00FF6C7E"/>
    <w:rsid w:val="00FF6D58"/>
    <w:rsid w:val="00FF777C"/>
    <w:rsid w:val="01AF523D"/>
    <w:rsid w:val="01BC412D"/>
    <w:rsid w:val="027621E5"/>
    <w:rsid w:val="029E812F"/>
    <w:rsid w:val="038801F8"/>
    <w:rsid w:val="03961811"/>
    <w:rsid w:val="03C139E2"/>
    <w:rsid w:val="0440835F"/>
    <w:rsid w:val="0453A066"/>
    <w:rsid w:val="04865D96"/>
    <w:rsid w:val="052BC234"/>
    <w:rsid w:val="06882A6C"/>
    <w:rsid w:val="06B130E4"/>
    <w:rsid w:val="06D885ED"/>
    <w:rsid w:val="06F7A8B7"/>
    <w:rsid w:val="073295BA"/>
    <w:rsid w:val="096634D1"/>
    <w:rsid w:val="0AB70C71"/>
    <w:rsid w:val="0B86F031"/>
    <w:rsid w:val="0BFE7EF9"/>
    <w:rsid w:val="0C58472C"/>
    <w:rsid w:val="0C860AEA"/>
    <w:rsid w:val="0DE4A31E"/>
    <w:rsid w:val="0DFF7BA4"/>
    <w:rsid w:val="0E79028C"/>
    <w:rsid w:val="0EECE56F"/>
    <w:rsid w:val="0EEFC806"/>
    <w:rsid w:val="0EF09154"/>
    <w:rsid w:val="0F8CAB77"/>
    <w:rsid w:val="110F5F27"/>
    <w:rsid w:val="11B47036"/>
    <w:rsid w:val="13120F45"/>
    <w:rsid w:val="150EB761"/>
    <w:rsid w:val="159042F3"/>
    <w:rsid w:val="172A3F32"/>
    <w:rsid w:val="1786AC28"/>
    <w:rsid w:val="17B1B3DB"/>
    <w:rsid w:val="17D92200"/>
    <w:rsid w:val="187FDFCF"/>
    <w:rsid w:val="1977103C"/>
    <w:rsid w:val="199FD5FB"/>
    <w:rsid w:val="1A5F128D"/>
    <w:rsid w:val="1BBF6D1C"/>
    <w:rsid w:val="1C28720B"/>
    <w:rsid w:val="1C9A6C59"/>
    <w:rsid w:val="1D40AF2A"/>
    <w:rsid w:val="1D48A0E5"/>
    <w:rsid w:val="1D505B9A"/>
    <w:rsid w:val="1DAD4BF6"/>
    <w:rsid w:val="1E2DC9A5"/>
    <w:rsid w:val="1FB244AB"/>
    <w:rsid w:val="22083CE3"/>
    <w:rsid w:val="2446FB83"/>
    <w:rsid w:val="244B5DC8"/>
    <w:rsid w:val="25C1B577"/>
    <w:rsid w:val="2629BAD4"/>
    <w:rsid w:val="265AA9CD"/>
    <w:rsid w:val="275989F6"/>
    <w:rsid w:val="279EE6A7"/>
    <w:rsid w:val="282EB389"/>
    <w:rsid w:val="2907C539"/>
    <w:rsid w:val="2A6A0D55"/>
    <w:rsid w:val="2B5FAAFE"/>
    <w:rsid w:val="2B9F9086"/>
    <w:rsid w:val="2D294424"/>
    <w:rsid w:val="2FECAF23"/>
    <w:rsid w:val="2FFAE433"/>
    <w:rsid w:val="300B729A"/>
    <w:rsid w:val="31610B6A"/>
    <w:rsid w:val="31CB1893"/>
    <w:rsid w:val="3256A74C"/>
    <w:rsid w:val="32BCF378"/>
    <w:rsid w:val="33011A9F"/>
    <w:rsid w:val="358ECF00"/>
    <w:rsid w:val="35BEAE65"/>
    <w:rsid w:val="35DD4E83"/>
    <w:rsid w:val="3A05001D"/>
    <w:rsid w:val="3A478771"/>
    <w:rsid w:val="3B7D897D"/>
    <w:rsid w:val="3CF1EC02"/>
    <w:rsid w:val="3D97892C"/>
    <w:rsid w:val="3E70B7DA"/>
    <w:rsid w:val="3FCFF667"/>
    <w:rsid w:val="408732BC"/>
    <w:rsid w:val="40D54E27"/>
    <w:rsid w:val="413AF557"/>
    <w:rsid w:val="43045AB2"/>
    <w:rsid w:val="433ABBC9"/>
    <w:rsid w:val="448C27ED"/>
    <w:rsid w:val="455A52EA"/>
    <w:rsid w:val="462CCE24"/>
    <w:rsid w:val="47566F6D"/>
    <w:rsid w:val="47D043F1"/>
    <w:rsid w:val="488EB735"/>
    <w:rsid w:val="4900D3A4"/>
    <w:rsid w:val="4A6D20A5"/>
    <w:rsid w:val="4A7A1244"/>
    <w:rsid w:val="4AE4AF6D"/>
    <w:rsid w:val="4AF0FCAE"/>
    <w:rsid w:val="4C46F789"/>
    <w:rsid w:val="4C59DB40"/>
    <w:rsid w:val="4CFB70E3"/>
    <w:rsid w:val="4E648BE4"/>
    <w:rsid w:val="4F0F34BD"/>
    <w:rsid w:val="4F988EC6"/>
    <w:rsid w:val="50099791"/>
    <w:rsid w:val="5091A9BE"/>
    <w:rsid w:val="5164EE46"/>
    <w:rsid w:val="5245BAAB"/>
    <w:rsid w:val="524AB2D9"/>
    <w:rsid w:val="52FBA9EC"/>
    <w:rsid w:val="533EC52A"/>
    <w:rsid w:val="537CE0F6"/>
    <w:rsid w:val="54D580D0"/>
    <w:rsid w:val="5526BD6C"/>
    <w:rsid w:val="55D36807"/>
    <w:rsid w:val="5609320B"/>
    <w:rsid w:val="56EF4AC9"/>
    <w:rsid w:val="57C7932B"/>
    <w:rsid w:val="58D28A68"/>
    <w:rsid w:val="5927779F"/>
    <w:rsid w:val="59E917D9"/>
    <w:rsid w:val="5AC9E43E"/>
    <w:rsid w:val="5CC658F0"/>
    <w:rsid w:val="5D51EFAE"/>
    <w:rsid w:val="5D5D3DFD"/>
    <w:rsid w:val="5EF23D52"/>
    <w:rsid w:val="5F240BDD"/>
    <w:rsid w:val="5FB4ED56"/>
    <w:rsid w:val="602FFA13"/>
    <w:rsid w:val="60440209"/>
    <w:rsid w:val="60FABA98"/>
    <w:rsid w:val="6263992A"/>
    <w:rsid w:val="62802523"/>
    <w:rsid w:val="63361464"/>
    <w:rsid w:val="65E81913"/>
    <w:rsid w:val="668CD1D0"/>
    <w:rsid w:val="67B46A2F"/>
    <w:rsid w:val="67CBFAFE"/>
    <w:rsid w:val="68AC68F1"/>
    <w:rsid w:val="69D419D2"/>
    <w:rsid w:val="6B7C1412"/>
    <w:rsid w:val="6B9DB1FE"/>
    <w:rsid w:val="6B9E7B4C"/>
    <w:rsid w:val="6C70F686"/>
    <w:rsid w:val="6CFED5DB"/>
    <w:rsid w:val="6DD9D518"/>
    <w:rsid w:val="6E5B9321"/>
    <w:rsid w:val="6E8FC459"/>
    <w:rsid w:val="6E908DA7"/>
    <w:rsid w:val="70B903BC"/>
    <w:rsid w:val="70CEA89B"/>
    <w:rsid w:val="720C3287"/>
    <w:rsid w:val="7266D93D"/>
    <w:rsid w:val="735BAD98"/>
    <w:rsid w:val="746F5683"/>
    <w:rsid w:val="74ED6564"/>
    <w:rsid w:val="77692393"/>
    <w:rsid w:val="786EF8B7"/>
    <w:rsid w:val="79A546AD"/>
    <w:rsid w:val="7A7A91F7"/>
    <w:rsid w:val="7B05A13C"/>
    <w:rsid w:val="7B19A932"/>
    <w:rsid w:val="7B3E9733"/>
    <w:rsid w:val="7D84BBFE"/>
    <w:rsid w:val="7DF7B397"/>
    <w:rsid w:val="7ED2B2D4"/>
    <w:rsid w:val="7F422D9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0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after="24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qFormat/>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customStyle="1" w:styleId="Default">
    <w:name w:val="Default"/>
    <w:rsid w:val="00026C2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F51F0"/>
    <w:rPr>
      <w:color w:val="605E5C"/>
      <w:shd w:val="clear" w:color="auto" w:fill="E1DFDD"/>
    </w:rPr>
  </w:style>
  <w:style w:type="character" w:customStyle="1" w:styleId="normaltextrun1">
    <w:name w:val="normaltextrun1"/>
    <w:basedOn w:val="DefaultParagraphFont"/>
    <w:rsid w:val="00267117"/>
  </w:style>
  <w:style w:type="paragraph" w:customStyle="1" w:styleId="paragraph">
    <w:name w:val="paragraph"/>
    <w:basedOn w:val="Normal"/>
    <w:rsid w:val="00A76D77"/>
    <w:rPr>
      <w:rFonts w:ascii="Times New Roman" w:eastAsia="Times New Roman" w:hAnsi="Times New Roman" w:cs="Times New Roman"/>
      <w:sz w:val="24"/>
      <w:szCs w:val="24"/>
    </w:rPr>
  </w:style>
  <w:style w:type="character" w:customStyle="1" w:styleId="eop">
    <w:name w:val="eop"/>
    <w:basedOn w:val="DefaultParagraphFont"/>
    <w:rsid w:val="00A76D77"/>
  </w:style>
  <w:style w:type="character" w:styleId="FollowedHyperlink">
    <w:name w:val="FollowedHyperlink"/>
    <w:basedOn w:val="DefaultParagraphFont"/>
    <w:uiPriority w:val="99"/>
    <w:semiHidden/>
    <w:unhideWhenUsed/>
    <w:rsid w:val="00693629"/>
    <w:rPr>
      <w:color w:val="954F72" w:themeColor="followedHyperlink"/>
      <w:u w:val="single"/>
    </w:rPr>
  </w:style>
  <w:style w:type="character" w:styleId="Mention">
    <w:name w:val="Mention"/>
    <w:basedOn w:val="DefaultParagraphFont"/>
    <w:uiPriority w:val="99"/>
    <w:unhideWhenUsed/>
    <w:rsid w:val="00D03F09"/>
    <w:rPr>
      <w:color w:val="2B579A"/>
      <w:shd w:val="clear" w:color="auto" w:fill="E1DFDD"/>
    </w:rPr>
  </w:style>
  <w:style w:type="paragraph" w:styleId="EndnoteText">
    <w:name w:val="endnote text"/>
    <w:basedOn w:val="Normal"/>
    <w:link w:val="EndnoteTextChar"/>
    <w:uiPriority w:val="99"/>
    <w:semiHidden/>
    <w:unhideWhenUsed/>
    <w:rsid w:val="00FD745A"/>
    <w:rPr>
      <w:sz w:val="20"/>
      <w:szCs w:val="20"/>
    </w:rPr>
  </w:style>
  <w:style w:type="character" w:customStyle="1" w:styleId="EndnoteTextChar">
    <w:name w:val="Endnote Text Char"/>
    <w:basedOn w:val="DefaultParagraphFont"/>
    <w:link w:val="EndnoteText"/>
    <w:uiPriority w:val="99"/>
    <w:semiHidden/>
    <w:rsid w:val="00FD745A"/>
    <w:rPr>
      <w:rFonts w:ascii="Book Antiqua" w:hAnsi="Book Antiqua"/>
      <w:sz w:val="20"/>
      <w:szCs w:val="20"/>
    </w:rPr>
  </w:style>
  <w:style w:type="character" w:styleId="EndnoteReference">
    <w:name w:val="endnote reference"/>
    <w:basedOn w:val="DefaultParagraphFont"/>
    <w:uiPriority w:val="99"/>
    <w:semiHidden/>
    <w:unhideWhenUsed/>
    <w:rsid w:val="00FD745A"/>
    <w:rPr>
      <w:vertAlign w:val="superscript"/>
    </w:rPr>
  </w:style>
  <w:style w:type="paragraph" w:customStyle="1" w:styleId="standard0">
    <w:name w:val="standard"/>
    <w:basedOn w:val="Normal"/>
    <w:link w:val="standardChar"/>
    <w:rsid w:val="002A4BB9"/>
    <w:pPr>
      <w:spacing w:line="360" w:lineRule="auto"/>
      <w:ind w:firstLine="720"/>
    </w:pPr>
    <w:rPr>
      <w:rFonts w:ascii="Palatino" w:eastAsia="Times New Roman" w:hAnsi="Palatino" w:cs="Times New Roman"/>
      <w:szCs w:val="20"/>
    </w:rPr>
  </w:style>
  <w:style w:type="character" w:customStyle="1" w:styleId="standardChar">
    <w:name w:val="standard Char"/>
    <w:link w:val="standard0"/>
    <w:locked/>
    <w:rsid w:val="002A4BB9"/>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2832">
      <w:bodyDiv w:val="1"/>
      <w:marLeft w:val="0"/>
      <w:marRight w:val="0"/>
      <w:marTop w:val="0"/>
      <w:marBottom w:val="0"/>
      <w:divBdr>
        <w:top w:val="none" w:sz="0" w:space="0" w:color="auto"/>
        <w:left w:val="none" w:sz="0" w:space="0" w:color="auto"/>
        <w:bottom w:val="none" w:sz="0" w:space="0" w:color="auto"/>
        <w:right w:val="none" w:sz="0" w:space="0" w:color="auto"/>
      </w:divBdr>
    </w:div>
    <w:div w:id="514347648">
      <w:bodyDiv w:val="1"/>
      <w:marLeft w:val="0"/>
      <w:marRight w:val="0"/>
      <w:marTop w:val="0"/>
      <w:marBottom w:val="0"/>
      <w:divBdr>
        <w:top w:val="none" w:sz="0" w:space="0" w:color="auto"/>
        <w:left w:val="none" w:sz="0" w:space="0" w:color="auto"/>
        <w:bottom w:val="none" w:sz="0" w:space="0" w:color="auto"/>
        <w:right w:val="none" w:sz="0" w:space="0" w:color="auto"/>
      </w:divBdr>
    </w:div>
    <w:div w:id="540557398">
      <w:bodyDiv w:val="1"/>
      <w:marLeft w:val="0"/>
      <w:marRight w:val="0"/>
      <w:marTop w:val="0"/>
      <w:marBottom w:val="0"/>
      <w:divBdr>
        <w:top w:val="none" w:sz="0" w:space="0" w:color="auto"/>
        <w:left w:val="none" w:sz="0" w:space="0" w:color="auto"/>
        <w:bottom w:val="none" w:sz="0" w:space="0" w:color="auto"/>
        <w:right w:val="none" w:sz="0" w:space="0" w:color="auto"/>
      </w:divBdr>
      <w:divsChild>
        <w:div w:id="1868329829">
          <w:marLeft w:val="0"/>
          <w:marRight w:val="0"/>
          <w:marTop w:val="0"/>
          <w:marBottom w:val="0"/>
          <w:divBdr>
            <w:top w:val="none" w:sz="0" w:space="0" w:color="auto"/>
            <w:left w:val="none" w:sz="0" w:space="0" w:color="auto"/>
            <w:bottom w:val="none" w:sz="0" w:space="0" w:color="auto"/>
            <w:right w:val="none" w:sz="0" w:space="0" w:color="auto"/>
          </w:divBdr>
          <w:divsChild>
            <w:div w:id="1368405279">
              <w:marLeft w:val="0"/>
              <w:marRight w:val="0"/>
              <w:marTop w:val="0"/>
              <w:marBottom w:val="0"/>
              <w:divBdr>
                <w:top w:val="none" w:sz="0" w:space="0" w:color="auto"/>
                <w:left w:val="none" w:sz="0" w:space="0" w:color="auto"/>
                <w:bottom w:val="none" w:sz="0" w:space="0" w:color="auto"/>
                <w:right w:val="none" w:sz="0" w:space="0" w:color="auto"/>
              </w:divBdr>
              <w:divsChild>
                <w:div w:id="750809762">
                  <w:marLeft w:val="0"/>
                  <w:marRight w:val="0"/>
                  <w:marTop w:val="0"/>
                  <w:marBottom w:val="0"/>
                  <w:divBdr>
                    <w:top w:val="none" w:sz="0" w:space="0" w:color="auto"/>
                    <w:left w:val="none" w:sz="0" w:space="0" w:color="auto"/>
                    <w:bottom w:val="none" w:sz="0" w:space="0" w:color="auto"/>
                    <w:right w:val="none" w:sz="0" w:space="0" w:color="auto"/>
                  </w:divBdr>
                  <w:divsChild>
                    <w:div w:id="980354323">
                      <w:marLeft w:val="0"/>
                      <w:marRight w:val="0"/>
                      <w:marTop w:val="0"/>
                      <w:marBottom w:val="0"/>
                      <w:divBdr>
                        <w:top w:val="none" w:sz="0" w:space="0" w:color="auto"/>
                        <w:left w:val="none" w:sz="0" w:space="0" w:color="auto"/>
                        <w:bottom w:val="none" w:sz="0" w:space="0" w:color="auto"/>
                        <w:right w:val="none" w:sz="0" w:space="0" w:color="auto"/>
                      </w:divBdr>
                      <w:divsChild>
                        <w:div w:id="1122505637">
                          <w:marLeft w:val="0"/>
                          <w:marRight w:val="0"/>
                          <w:marTop w:val="0"/>
                          <w:marBottom w:val="0"/>
                          <w:divBdr>
                            <w:top w:val="none" w:sz="0" w:space="0" w:color="auto"/>
                            <w:left w:val="none" w:sz="0" w:space="0" w:color="auto"/>
                            <w:bottom w:val="none" w:sz="0" w:space="0" w:color="auto"/>
                            <w:right w:val="none" w:sz="0" w:space="0" w:color="auto"/>
                          </w:divBdr>
                          <w:divsChild>
                            <w:div w:id="1863930437">
                              <w:marLeft w:val="0"/>
                              <w:marRight w:val="0"/>
                              <w:marTop w:val="0"/>
                              <w:marBottom w:val="0"/>
                              <w:divBdr>
                                <w:top w:val="none" w:sz="0" w:space="0" w:color="auto"/>
                                <w:left w:val="none" w:sz="0" w:space="0" w:color="auto"/>
                                <w:bottom w:val="none" w:sz="0" w:space="0" w:color="auto"/>
                                <w:right w:val="none" w:sz="0" w:space="0" w:color="auto"/>
                              </w:divBdr>
                              <w:divsChild>
                                <w:div w:id="645400409">
                                  <w:marLeft w:val="0"/>
                                  <w:marRight w:val="0"/>
                                  <w:marTop w:val="0"/>
                                  <w:marBottom w:val="0"/>
                                  <w:divBdr>
                                    <w:top w:val="none" w:sz="0" w:space="0" w:color="auto"/>
                                    <w:left w:val="none" w:sz="0" w:space="0" w:color="auto"/>
                                    <w:bottom w:val="none" w:sz="0" w:space="0" w:color="auto"/>
                                    <w:right w:val="none" w:sz="0" w:space="0" w:color="auto"/>
                                  </w:divBdr>
                                  <w:divsChild>
                                    <w:div w:id="1225293207">
                                      <w:marLeft w:val="0"/>
                                      <w:marRight w:val="0"/>
                                      <w:marTop w:val="0"/>
                                      <w:marBottom w:val="0"/>
                                      <w:divBdr>
                                        <w:top w:val="none" w:sz="0" w:space="0" w:color="auto"/>
                                        <w:left w:val="none" w:sz="0" w:space="0" w:color="auto"/>
                                        <w:bottom w:val="none" w:sz="0" w:space="0" w:color="auto"/>
                                        <w:right w:val="none" w:sz="0" w:space="0" w:color="auto"/>
                                      </w:divBdr>
                                      <w:divsChild>
                                        <w:div w:id="1633900999">
                                          <w:marLeft w:val="0"/>
                                          <w:marRight w:val="0"/>
                                          <w:marTop w:val="0"/>
                                          <w:marBottom w:val="0"/>
                                          <w:divBdr>
                                            <w:top w:val="none" w:sz="0" w:space="0" w:color="auto"/>
                                            <w:left w:val="none" w:sz="0" w:space="0" w:color="auto"/>
                                            <w:bottom w:val="none" w:sz="0" w:space="0" w:color="auto"/>
                                            <w:right w:val="none" w:sz="0" w:space="0" w:color="auto"/>
                                          </w:divBdr>
                                          <w:divsChild>
                                            <w:div w:id="1812862096">
                                              <w:marLeft w:val="0"/>
                                              <w:marRight w:val="0"/>
                                              <w:marTop w:val="0"/>
                                              <w:marBottom w:val="0"/>
                                              <w:divBdr>
                                                <w:top w:val="none" w:sz="0" w:space="0" w:color="auto"/>
                                                <w:left w:val="none" w:sz="0" w:space="0" w:color="auto"/>
                                                <w:bottom w:val="none" w:sz="0" w:space="0" w:color="auto"/>
                                                <w:right w:val="none" w:sz="0" w:space="0" w:color="auto"/>
                                              </w:divBdr>
                                              <w:divsChild>
                                                <w:div w:id="2032996826">
                                                  <w:marLeft w:val="0"/>
                                                  <w:marRight w:val="0"/>
                                                  <w:marTop w:val="0"/>
                                                  <w:marBottom w:val="555"/>
                                                  <w:divBdr>
                                                    <w:top w:val="none" w:sz="0" w:space="0" w:color="auto"/>
                                                    <w:left w:val="none" w:sz="0" w:space="0" w:color="auto"/>
                                                    <w:bottom w:val="none" w:sz="0" w:space="0" w:color="auto"/>
                                                    <w:right w:val="none" w:sz="0" w:space="0" w:color="auto"/>
                                                  </w:divBdr>
                                                  <w:divsChild>
                                                    <w:div w:id="1888643883">
                                                      <w:marLeft w:val="0"/>
                                                      <w:marRight w:val="0"/>
                                                      <w:marTop w:val="0"/>
                                                      <w:marBottom w:val="0"/>
                                                      <w:divBdr>
                                                        <w:top w:val="none" w:sz="0" w:space="0" w:color="auto"/>
                                                        <w:left w:val="none" w:sz="0" w:space="0" w:color="auto"/>
                                                        <w:bottom w:val="none" w:sz="0" w:space="0" w:color="auto"/>
                                                        <w:right w:val="none" w:sz="0" w:space="0" w:color="auto"/>
                                                      </w:divBdr>
                                                      <w:divsChild>
                                                        <w:div w:id="604266856">
                                                          <w:marLeft w:val="0"/>
                                                          <w:marRight w:val="0"/>
                                                          <w:marTop w:val="0"/>
                                                          <w:marBottom w:val="0"/>
                                                          <w:divBdr>
                                                            <w:top w:val="single" w:sz="12" w:space="0" w:color="ABABAB"/>
                                                            <w:left w:val="single" w:sz="6" w:space="0" w:color="ABABAB"/>
                                                            <w:bottom w:val="single" w:sz="6" w:space="0" w:color="ABABAB"/>
                                                            <w:right w:val="single" w:sz="6" w:space="0" w:color="ABABAB"/>
                                                          </w:divBdr>
                                                          <w:divsChild>
                                                            <w:div w:id="1997101694">
                                                              <w:marLeft w:val="0"/>
                                                              <w:marRight w:val="0"/>
                                                              <w:marTop w:val="0"/>
                                                              <w:marBottom w:val="0"/>
                                                              <w:divBdr>
                                                                <w:top w:val="none" w:sz="0" w:space="0" w:color="auto"/>
                                                                <w:left w:val="none" w:sz="0" w:space="0" w:color="auto"/>
                                                                <w:bottom w:val="none" w:sz="0" w:space="0" w:color="auto"/>
                                                                <w:right w:val="none" w:sz="0" w:space="0" w:color="auto"/>
                                                              </w:divBdr>
                                                              <w:divsChild>
                                                                <w:div w:id="259409354">
                                                                  <w:marLeft w:val="0"/>
                                                                  <w:marRight w:val="0"/>
                                                                  <w:marTop w:val="0"/>
                                                                  <w:marBottom w:val="0"/>
                                                                  <w:divBdr>
                                                                    <w:top w:val="none" w:sz="0" w:space="0" w:color="auto"/>
                                                                    <w:left w:val="none" w:sz="0" w:space="0" w:color="auto"/>
                                                                    <w:bottom w:val="none" w:sz="0" w:space="0" w:color="auto"/>
                                                                    <w:right w:val="none" w:sz="0" w:space="0" w:color="auto"/>
                                                                  </w:divBdr>
                                                                  <w:divsChild>
                                                                    <w:div w:id="179666730">
                                                                      <w:marLeft w:val="0"/>
                                                                      <w:marRight w:val="0"/>
                                                                      <w:marTop w:val="0"/>
                                                                      <w:marBottom w:val="0"/>
                                                                      <w:divBdr>
                                                                        <w:top w:val="none" w:sz="0" w:space="0" w:color="auto"/>
                                                                        <w:left w:val="none" w:sz="0" w:space="0" w:color="auto"/>
                                                                        <w:bottom w:val="none" w:sz="0" w:space="0" w:color="auto"/>
                                                                        <w:right w:val="none" w:sz="0" w:space="0" w:color="auto"/>
                                                                      </w:divBdr>
                                                                      <w:divsChild>
                                                                        <w:div w:id="516386941">
                                                                          <w:marLeft w:val="0"/>
                                                                          <w:marRight w:val="0"/>
                                                                          <w:marTop w:val="0"/>
                                                                          <w:marBottom w:val="0"/>
                                                                          <w:divBdr>
                                                                            <w:top w:val="none" w:sz="0" w:space="0" w:color="auto"/>
                                                                            <w:left w:val="none" w:sz="0" w:space="0" w:color="auto"/>
                                                                            <w:bottom w:val="none" w:sz="0" w:space="0" w:color="auto"/>
                                                                            <w:right w:val="none" w:sz="0" w:space="0" w:color="auto"/>
                                                                          </w:divBdr>
                                                                          <w:divsChild>
                                                                            <w:div w:id="2054961957">
                                                                              <w:marLeft w:val="0"/>
                                                                              <w:marRight w:val="0"/>
                                                                              <w:marTop w:val="0"/>
                                                                              <w:marBottom w:val="0"/>
                                                                              <w:divBdr>
                                                                                <w:top w:val="none" w:sz="0" w:space="0" w:color="auto"/>
                                                                                <w:left w:val="none" w:sz="0" w:space="0" w:color="auto"/>
                                                                                <w:bottom w:val="none" w:sz="0" w:space="0" w:color="auto"/>
                                                                                <w:right w:val="none" w:sz="0" w:space="0" w:color="auto"/>
                                                                              </w:divBdr>
                                                                              <w:divsChild>
                                                                                <w:div w:id="1192917144">
                                                                                  <w:marLeft w:val="0"/>
                                                                                  <w:marRight w:val="0"/>
                                                                                  <w:marTop w:val="0"/>
                                                                                  <w:marBottom w:val="0"/>
                                                                                  <w:divBdr>
                                                                                    <w:top w:val="none" w:sz="0" w:space="0" w:color="auto"/>
                                                                                    <w:left w:val="none" w:sz="0" w:space="0" w:color="auto"/>
                                                                                    <w:bottom w:val="none" w:sz="0" w:space="0" w:color="auto"/>
                                                                                    <w:right w:val="none" w:sz="0" w:space="0" w:color="auto"/>
                                                                                  </w:divBdr>
                                                                                  <w:divsChild>
                                                                                    <w:div w:id="1275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854000">
      <w:bodyDiv w:val="1"/>
      <w:marLeft w:val="0"/>
      <w:marRight w:val="0"/>
      <w:marTop w:val="0"/>
      <w:marBottom w:val="0"/>
      <w:divBdr>
        <w:top w:val="none" w:sz="0" w:space="0" w:color="auto"/>
        <w:left w:val="none" w:sz="0" w:space="0" w:color="auto"/>
        <w:bottom w:val="none" w:sz="0" w:space="0" w:color="auto"/>
        <w:right w:val="none" w:sz="0" w:space="0" w:color="auto"/>
      </w:divBdr>
      <w:divsChild>
        <w:div w:id="611935320">
          <w:marLeft w:val="0"/>
          <w:marRight w:val="0"/>
          <w:marTop w:val="0"/>
          <w:marBottom w:val="0"/>
          <w:divBdr>
            <w:top w:val="none" w:sz="0" w:space="0" w:color="auto"/>
            <w:left w:val="none" w:sz="0" w:space="0" w:color="auto"/>
            <w:bottom w:val="none" w:sz="0" w:space="0" w:color="auto"/>
            <w:right w:val="none" w:sz="0" w:space="0" w:color="auto"/>
          </w:divBdr>
          <w:divsChild>
            <w:div w:id="1022169841">
              <w:marLeft w:val="0"/>
              <w:marRight w:val="0"/>
              <w:marTop w:val="0"/>
              <w:marBottom w:val="0"/>
              <w:divBdr>
                <w:top w:val="none" w:sz="0" w:space="0" w:color="auto"/>
                <w:left w:val="none" w:sz="0" w:space="0" w:color="auto"/>
                <w:bottom w:val="none" w:sz="0" w:space="0" w:color="auto"/>
                <w:right w:val="none" w:sz="0" w:space="0" w:color="auto"/>
              </w:divBdr>
              <w:divsChild>
                <w:div w:id="318391009">
                  <w:marLeft w:val="0"/>
                  <w:marRight w:val="0"/>
                  <w:marTop w:val="0"/>
                  <w:marBottom w:val="0"/>
                  <w:divBdr>
                    <w:top w:val="none" w:sz="0" w:space="0" w:color="auto"/>
                    <w:left w:val="none" w:sz="0" w:space="0" w:color="auto"/>
                    <w:bottom w:val="none" w:sz="0" w:space="0" w:color="auto"/>
                    <w:right w:val="none" w:sz="0" w:space="0" w:color="auto"/>
                  </w:divBdr>
                  <w:divsChild>
                    <w:div w:id="1888712569">
                      <w:marLeft w:val="0"/>
                      <w:marRight w:val="0"/>
                      <w:marTop w:val="0"/>
                      <w:marBottom w:val="0"/>
                      <w:divBdr>
                        <w:top w:val="none" w:sz="0" w:space="0" w:color="auto"/>
                        <w:left w:val="none" w:sz="0" w:space="0" w:color="auto"/>
                        <w:bottom w:val="none" w:sz="0" w:space="0" w:color="auto"/>
                        <w:right w:val="none" w:sz="0" w:space="0" w:color="auto"/>
                      </w:divBdr>
                      <w:divsChild>
                        <w:div w:id="2107841024">
                          <w:marLeft w:val="0"/>
                          <w:marRight w:val="0"/>
                          <w:marTop w:val="0"/>
                          <w:marBottom w:val="0"/>
                          <w:divBdr>
                            <w:top w:val="none" w:sz="0" w:space="0" w:color="auto"/>
                            <w:left w:val="none" w:sz="0" w:space="0" w:color="auto"/>
                            <w:bottom w:val="none" w:sz="0" w:space="0" w:color="auto"/>
                            <w:right w:val="none" w:sz="0" w:space="0" w:color="auto"/>
                          </w:divBdr>
                          <w:divsChild>
                            <w:div w:id="337465106">
                              <w:marLeft w:val="0"/>
                              <w:marRight w:val="0"/>
                              <w:marTop w:val="0"/>
                              <w:marBottom w:val="0"/>
                              <w:divBdr>
                                <w:top w:val="none" w:sz="0" w:space="0" w:color="auto"/>
                                <w:left w:val="none" w:sz="0" w:space="0" w:color="auto"/>
                                <w:bottom w:val="none" w:sz="0" w:space="0" w:color="auto"/>
                                <w:right w:val="none" w:sz="0" w:space="0" w:color="auto"/>
                              </w:divBdr>
                              <w:divsChild>
                                <w:div w:id="757217254">
                                  <w:marLeft w:val="0"/>
                                  <w:marRight w:val="0"/>
                                  <w:marTop w:val="0"/>
                                  <w:marBottom w:val="0"/>
                                  <w:divBdr>
                                    <w:top w:val="none" w:sz="0" w:space="0" w:color="auto"/>
                                    <w:left w:val="none" w:sz="0" w:space="0" w:color="auto"/>
                                    <w:bottom w:val="none" w:sz="0" w:space="0" w:color="auto"/>
                                    <w:right w:val="none" w:sz="0" w:space="0" w:color="auto"/>
                                  </w:divBdr>
                                  <w:divsChild>
                                    <w:div w:id="1240946859">
                                      <w:marLeft w:val="0"/>
                                      <w:marRight w:val="0"/>
                                      <w:marTop w:val="0"/>
                                      <w:marBottom w:val="0"/>
                                      <w:divBdr>
                                        <w:top w:val="none" w:sz="0" w:space="0" w:color="auto"/>
                                        <w:left w:val="none" w:sz="0" w:space="0" w:color="auto"/>
                                        <w:bottom w:val="none" w:sz="0" w:space="0" w:color="auto"/>
                                        <w:right w:val="none" w:sz="0" w:space="0" w:color="auto"/>
                                      </w:divBdr>
                                      <w:divsChild>
                                        <w:div w:id="1653945536">
                                          <w:marLeft w:val="0"/>
                                          <w:marRight w:val="0"/>
                                          <w:marTop w:val="0"/>
                                          <w:marBottom w:val="0"/>
                                          <w:divBdr>
                                            <w:top w:val="none" w:sz="0" w:space="0" w:color="auto"/>
                                            <w:left w:val="none" w:sz="0" w:space="0" w:color="auto"/>
                                            <w:bottom w:val="none" w:sz="0" w:space="0" w:color="auto"/>
                                            <w:right w:val="none" w:sz="0" w:space="0" w:color="auto"/>
                                          </w:divBdr>
                                          <w:divsChild>
                                            <w:div w:id="111243074">
                                              <w:marLeft w:val="0"/>
                                              <w:marRight w:val="0"/>
                                              <w:marTop w:val="0"/>
                                              <w:marBottom w:val="0"/>
                                              <w:divBdr>
                                                <w:top w:val="none" w:sz="0" w:space="0" w:color="auto"/>
                                                <w:left w:val="none" w:sz="0" w:space="0" w:color="auto"/>
                                                <w:bottom w:val="none" w:sz="0" w:space="0" w:color="auto"/>
                                                <w:right w:val="none" w:sz="0" w:space="0" w:color="auto"/>
                                              </w:divBdr>
                                              <w:divsChild>
                                                <w:div w:id="1917398133">
                                                  <w:marLeft w:val="0"/>
                                                  <w:marRight w:val="0"/>
                                                  <w:marTop w:val="0"/>
                                                  <w:marBottom w:val="555"/>
                                                  <w:divBdr>
                                                    <w:top w:val="none" w:sz="0" w:space="0" w:color="auto"/>
                                                    <w:left w:val="none" w:sz="0" w:space="0" w:color="auto"/>
                                                    <w:bottom w:val="none" w:sz="0" w:space="0" w:color="auto"/>
                                                    <w:right w:val="none" w:sz="0" w:space="0" w:color="auto"/>
                                                  </w:divBdr>
                                                  <w:divsChild>
                                                    <w:div w:id="1508246751">
                                                      <w:marLeft w:val="0"/>
                                                      <w:marRight w:val="0"/>
                                                      <w:marTop w:val="0"/>
                                                      <w:marBottom w:val="0"/>
                                                      <w:divBdr>
                                                        <w:top w:val="none" w:sz="0" w:space="0" w:color="auto"/>
                                                        <w:left w:val="none" w:sz="0" w:space="0" w:color="auto"/>
                                                        <w:bottom w:val="none" w:sz="0" w:space="0" w:color="auto"/>
                                                        <w:right w:val="none" w:sz="0" w:space="0" w:color="auto"/>
                                                      </w:divBdr>
                                                      <w:divsChild>
                                                        <w:div w:id="113332142">
                                                          <w:marLeft w:val="0"/>
                                                          <w:marRight w:val="0"/>
                                                          <w:marTop w:val="0"/>
                                                          <w:marBottom w:val="0"/>
                                                          <w:divBdr>
                                                            <w:top w:val="single" w:sz="12" w:space="0" w:color="ABABAB"/>
                                                            <w:left w:val="single" w:sz="6" w:space="0" w:color="ABABAB"/>
                                                            <w:bottom w:val="single" w:sz="6" w:space="0" w:color="ABABAB"/>
                                                            <w:right w:val="single" w:sz="6" w:space="0" w:color="ABABAB"/>
                                                          </w:divBdr>
                                                          <w:divsChild>
                                                            <w:div w:id="992754662">
                                                              <w:marLeft w:val="0"/>
                                                              <w:marRight w:val="0"/>
                                                              <w:marTop w:val="0"/>
                                                              <w:marBottom w:val="0"/>
                                                              <w:divBdr>
                                                                <w:top w:val="none" w:sz="0" w:space="0" w:color="auto"/>
                                                                <w:left w:val="none" w:sz="0" w:space="0" w:color="auto"/>
                                                                <w:bottom w:val="none" w:sz="0" w:space="0" w:color="auto"/>
                                                                <w:right w:val="none" w:sz="0" w:space="0" w:color="auto"/>
                                                              </w:divBdr>
                                                              <w:divsChild>
                                                                <w:div w:id="1819688836">
                                                                  <w:marLeft w:val="0"/>
                                                                  <w:marRight w:val="0"/>
                                                                  <w:marTop w:val="0"/>
                                                                  <w:marBottom w:val="0"/>
                                                                  <w:divBdr>
                                                                    <w:top w:val="none" w:sz="0" w:space="0" w:color="auto"/>
                                                                    <w:left w:val="none" w:sz="0" w:space="0" w:color="auto"/>
                                                                    <w:bottom w:val="none" w:sz="0" w:space="0" w:color="auto"/>
                                                                    <w:right w:val="none" w:sz="0" w:space="0" w:color="auto"/>
                                                                  </w:divBdr>
                                                                  <w:divsChild>
                                                                    <w:div w:id="1965380473">
                                                                      <w:marLeft w:val="0"/>
                                                                      <w:marRight w:val="0"/>
                                                                      <w:marTop w:val="0"/>
                                                                      <w:marBottom w:val="0"/>
                                                                      <w:divBdr>
                                                                        <w:top w:val="none" w:sz="0" w:space="0" w:color="auto"/>
                                                                        <w:left w:val="none" w:sz="0" w:space="0" w:color="auto"/>
                                                                        <w:bottom w:val="none" w:sz="0" w:space="0" w:color="auto"/>
                                                                        <w:right w:val="none" w:sz="0" w:space="0" w:color="auto"/>
                                                                      </w:divBdr>
                                                                      <w:divsChild>
                                                                        <w:div w:id="705060874">
                                                                          <w:marLeft w:val="0"/>
                                                                          <w:marRight w:val="0"/>
                                                                          <w:marTop w:val="0"/>
                                                                          <w:marBottom w:val="0"/>
                                                                          <w:divBdr>
                                                                            <w:top w:val="none" w:sz="0" w:space="0" w:color="auto"/>
                                                                            <w:left w:val="none" w:sz="0" w:space="0" w:color="auto"/>
                                                                            <w:bottom w:val="none" w:sz="0" w:space="0" w:color="auto"/>
                                                                            <w:right w:val="none" w:sz="0" w:space="0" w:color="auto"/>
                                                                          </w:divBdr>
                                                                          <w:divsChild>
                                                                            <w:div w:id="1353606946">
                                                                              <w:marLeft w:val="0"/>
                                                                              <w:marRight w:val="0"/>
                                                                              <w:marTop w:val="0"/>
                                                                              <w:marBottom w:val="0"/>
                                                                              <w:divBdr>
                                                                                <w:top w:val="none" w:sz="0" w:space="0" w:color="auto"/>
                                                                                <w:left w:val="none" w:sz="0" w:space="0" w:color="auto"/>
                                                                                <w:bottom w:val="none" w:sz="0" w:space="0" w:color="auto"/>
                                                                                <w:right w:val="none" w:sz="0" w:space="0" w:color="auto"/>
                                                                              </w:divBdr>
                                                                              <w:divsChild>
                                                                                <w:div w:id="190072809">
                                                                                  <w:marLeft w:val="0"/>
                                                                                  <w:marRight w:val="0"/>
                                                                                  <w:marTop w:val="0"/>
                                                                                  <w:marBottom w:val="0"/>
                                                                                  <w:divBdr>
                                                                                    <w:top w:val="none" w:sz="0" w:space="0" w:color="auto"/>
                                                                                    <w:left w:val="none" w:sz="0" w:space="0" w:color="auto"/>
                                                                                    <w:bottom w:val="none" w:sz="0" w:space="0" w:color="auto"/>
                                                                                    <w:right w:val="none" w:sz="0" w:space="0" w:color="auto"/>
                                                                                  </w:divBdr>
                                                                                  <w:divsChild>
                                                                                    <w:div w:id="1222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632">
      <w:bodyDiv w:val="1"/>
      <w:marLeft w:val="0"/>
      <w:marRight w:val="0"/>
      <w:marTop w:val="0"/>
      <w:marBottom w:val="0"/>
      <w:divBdr>
        <w:top w:val="none" w:sz="0" w:space="0" w:color="auto"/>
        <w:left w:val="none" w:sz="0" w:space="0" w:color="auto"/>
        <w:bottom w:val="none" w:sz="0" w:space="0" w:color="auto"/>
        <w:right w:val="none" w:sz="0" w:space="0" w:color="auto"/>
      </w:divBdr>
    </w:div>
    <w:div w:id="1036347118">
      <w:bodyDiv w:val="1"/>
      <w:marLeft w:val="0"/>
      <w:marRight w:val="0"/>
      <w:marTop w:val="0"/>
      <w:marBottom w:val="0"/>
      <w:divBdr>
        <w:top w:val="none" w:sz="0" w:space="0" w:color="auto"/>
        <w:left w:val="none" w:sz="0" w:space="0" w:color="auto"/>
        <w:bottom w:val="none" w:sz="0" w:space="0" w:color="auto"/>
        <w:right w:val="none" w:sz="0" w:space="0" w:color="auto"/>
      </w:divBdr>
      <w:divsChild>
        <w:div w:id="882398961">
          <w:marLeft w:val="0"/>
          <w:marRight w:val="0"/>
          <w:marTop w:val="0"/>
          <w:marBottom w:val="240"/>
          <w:divBdr>
            <w:top w:val="none" w:sz="0" w:space="0" w:color="auto"/>
            <w:left w:val="none" w:sz="0" w:space="0" w:color="auto"/>
            <w:bottom w:val="none" w:sz="0" w:space="0" w:color="auto"/>
            <w:right w:val="none" w:sz="0" w:space="0" w:color="auto"/>
          </w:divBdr>
        </w:div>
        <w:div w:id="965087445">
          <w:marLeft w:val="0"/>
          <w:marRight w:val="0"/>
          <w:marTop w:val="0"/>
          <w:marBottom w:val="240"/>
          <w:divBdr>
            <w:top w:val="none" w:sz="0" w:space="0" w:color="auto"/>
            <w:left w:val="none" w:sz="0" w:space="0" w:color="auto"/>
            <w:bottom w:val="none" w:sz="0" w:space="0" w:color="auto"/>
            <w:right w:val="none" w:sz="0" w:space="0" w:color="auto"/>
          </w:divBdr>
        </w:div>
        <w:div w:id="1139111535">
          <w:marLeft w:val="0"/>
          <w:marRight w:val="0"/>
          <w:marTop w:val="0"/>
          <w:marBottom w:val="240"/>
          <w:divBdr>
            <w:top w:val="none" w:sz="0" w:space="0" w:color="auto"/>
            <w:left w:val="none" w:sz="0" w:space="0" w:color="auto"/>
            <w:bottom w:val="none" w:sz="0" w:space="0" w:color="auto"/>
            <w:right w:val="none" w:sz="0" w:space="0" w:color="auto"/>
          </w:divBdr>
        </w:div>
        <w:div w:id="2045907919">
          <w:marLeft w:val="0"/>
          <w:marRight w:val="0"/>
          <w:marTop w:val="0"/>
          <w:marBottom w:val="240"/>
          <w:divBdr>
            <w:top w:val="none" w:sz="0" w:space="0" w:color="auto"/>
            <w:left w:val="none" w:sz="0" w:space="0" w:color="auto"/>
            <w:bottom w:val="none" w:sz="0" w:space="0" w:color="auto"/>
            <w:right w:val="none" w:sz="0" w:space="0" w:color="auto"/>
          </w:divBdr>
        </w:div>
        <w:div w:id="2052529673">
          <w:marLeft w:val="0"/>
          <w:marRight w:val="0"/>
          <w:marTop w:val="0"/>
          <w:marBottom w:val="240"/>
          <w:divBdr>
            <w:top w:val="none" w:sz="0" w:space="0" w:color="auto"/>
            <w:left w:val="none" w:sz="0" w:space="0" w:color="auto"/>
            <w:bottom w:val="none" w:sz="0" w:space="0" w:color="auto"/>
            <w:right w:val="none" w:sz="0" w:space="0" w:color="auto"/>
          </w:divBdr>
        </w:div>
      </w:divsChild>
    </w:div>
    <w:div w:id="1096363409">
      <w:bodyDiv w:val="1"/>
      <w:marLeft w:val="0"/>
      <w:marRight w:val="0"/>
      <w:marTop w:val="0"/>
      <w:marBottom w:val="0"/>
      <w:divBdr>
        <w:top w:val="none" w:sz="0" w:space="0" w:color="auto"/>
        <w:left w:val="none" w:sz="0" w:space="0" w:color="auto"/>
        <w:bottom w:val="none" w:sz="0" w:space="0" w:color="auto"/>
        <w:right w:val="none" w:sz="0" w:space="0" w:color="auto"/>
      </w:divBdr>
    </w:div>
    <w:div w:id="1387222526">
      <w:bodyDiv w:val="1"/>
      <w:marLeft w:val="0"/>
      <w:marRight w:val="0"/>
      <w:marTop w:val="0"/>
      <w:marBottom w:val="0"/>
      <w:divBdr>
        <w:top w:val="none" w:sz="0" w:space="0" w:color="auto"/>
        <w:left w:val="none" w:sz="0" w:space="0" w:color="auto"/>
        <w:bottom w:val="none" w:sz="0" w:space="0" w:color="auto"/>
        <w:right w:val="none" w:sz="0" w:space="0" w:color="auto"/>
      </w:divBdr>
    </w:div>
    <w:div w:id="1720015221">
      <w:bodyDiv w:val="1"/>
      <w:marLeft w:val="0"/>
      <w:marRight w:val="0"/>
      <w:marTop w:val="0"/>
      <w:marBottom w:val="0"/>
      <w:divBdr>
        <w:top w:val="none" w:sz="0" w:space="0" w:color="auto"/>
        <w:left w:val="none" w:sz="0" w:space="0" w:color="auto"/>
        <w:bottom w:val="none" w:sz="0" w:space="0" w:color="auto"/>
        <w:right w:val="none" w:sz="0" w:space="0" w:color="auto"/>
      </w:divBdr>
    </w:div>
    <w:div w:id="1737318076">
      <w:bodyDiv w:val="1"/>
      <w:marLeft w:val="0"/>
      <w:marRight w:val="0"/>
      <w:marTop w:val="0"/>
      <w:marBottom w:val="0"/>
      <w:divBdr>
        <w:top w:val="none" w:sz="0" w:space="0" w:color="auto"/>
        <w:left w:val="none" w:sz="0" w:space="0" w:color="auto"/>
        <w:bottom w:val="none" w:sz="0" w:space="0" w:color="auto"/>
        <w:right w:val="none" w:sz="0" w:space="0" w:color="auto"/>
      </w:divBdr>
    </w:div>
    <w:div w:id="1797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428/K525/428525484.pdf" TargetMode="External" Id="R94f11a11a79a4383" /><Relationship Type="http://schemas.openxmlformats.org/officeDocument/2006/relationships/hyperlink" Target="http://docs.cpuc.ca.gov/PublishedDocs/Published/G000/M428/K525/428525489.pdf" TargetMode="External" Id="R673a1b440b784cf7" /><Relationship Type="http://schemas.openxmlformats.org/officeDocument/2006/relationships/hyperlink" Target="http://docs.cpuc.ca.gov/PublishedDocs/Published/G000/M428/K525/428525491.pdf" TargetMode="External" Id="Ra1fb1f37285346cd" /><Relationship Type="http://schemas.openxmlformats.org/officeDocument/2006/relationships/hyperlink" Target="http://docs.cpuc.ca.gov/PublishedDocs/Published/G000/M428/K525/428525494.pdf" TargetMode="External" Id="Rf8671744f71f4f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9" ma:contentTypeDescription="Create a new document." ma:contentTypeScope="" ma:versionID="b0620de8cb7d0a79115cb4999ebf9ba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d7e1d581a0a58ea2d66260b10d8aa06e"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andTime" ma:index="16"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54e51f54-eda4-4cfd-b605-514d0435dde5" xsi:nil="true"/>
    <SharedWithUsers xmlns="3f3cf13e-d741-429d-a0f2-c1032868b937">
      <UserInfo>
        <DisplayName>Hawkins, Nora</DisplayName>
        <AccountId>145</AccountId>
        <AccountType/>
      </UserInfo>
    </SharedWithUsers>
  </documentManagement>
</p:properties>
</file>

<file path=customXml/itemProps1.xml><?xml version="1.0" encoding="utf-8"?>
<ds:datastoreItem xmlns:ds="http://schemas.openxmlformats.org/officeDocument/2006/customXml" ds:itemID="{3D75A017-601F-45A4-9EEB-FFA97AD162CD}">
  <ds:schemaRefs>
    <ds:schemaRef ds:uri="http://schemas.microsoft.com/sharepoint/v3/contenttype/forms"/>
  </ds:schemaRefs>
</ds:datastoreItem>
</file>

<file path=customXml/itemProps2.xml><?xml version="1.0" encoding="utf-8"?>
<ds:datastoreItem xmlns:ds="http://schemas.openxmlformats.org/officeDocument/2006/customXml" ds:itemID="{79607C00-4BF8-4A0B-A70A-709432EED4DD}">
  <ds:schemaRefs>
    <ds:schemaRef ds:uri="http://schemas.openxmlformats.org/officeDocument/2006/bibliography"/>
  </ds:schemaRefs>
</ds:datastoreItem>
</file>

<file path=customXml/itemProps3.xml><?xml version="1.0" encoding="utf-8"?>
<ds:datastoreItem xmlns:ds="http://schemas.openxmlformats.org/officeDocument/2006/customXml" ds:itemID="{E18C222C-F8E7-4CE9-9A6A-1FA79494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17124-2BF2-47BC-BAE9-59D743244F0E}">
  <ds:schemaRefs>
    <ds:schemaRef ds:uri="http://schemas.microsoft.com/office/2006/metadata/properties"/>
    <ds:schemaRef ds:uri="http://schemas.microsoft.com/office/infopath/2007/PartnerControls"/>
    <ds:schemaRef ds:uri="54e51f54-eda4-4cfd-b605-514d0435dde5"/>
    <ds:schemaRef ds:uri="3f3cf13e-d741-429d-a0f2-c1032868b93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3843</ap:Words>
  <ap:Characters>21910</ap:Characters>
  <ap:Application>Microsoft Office Word</ap:Application>
  <ap:DocSecurity>0</ap:DocSecurity>
  <ap:Lines>182</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25702</ap:CharactersWithSpaces>
  <ap:SharedDoc>false</ap:SharedDoc>
  <ap:HLinks>
    <vt:vector baseType="variant" size="6">
      <vt:variant>
        <vt:i4>4784135</vt:i4>
      </vt:variant>
      <vt:variant>
        <vt:i4>0</vt:i4>
      </vt:variant>
      <vt:variant>
        <vt:i4>0</vt:i4>
      </vt:variant>
      <vt:variant>
        <vt:i4>5</vt:i4>
      </vt:variant>
      <vt:variant>
        <vt:lpwstr>http://docs.cpuc.ca.gov/PublishedDocs/Published/G000/M419/K395/419395732.pdf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2021-12-03T11:40:29Z</dcterms:created>
  <dcterms:modified xsi:type="dcterms:W3CDTF">2021-12-03T11:40:29Z</dcterms:modified>
</cp:coreProperties>
</file>