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028A2" w:rsidR="003B1DBD" w:rsidP="00A622F6" w:rsidRDefault="003B1DBD" w14:paraId="57F382AD" w14:textId="77777777">
      <w:pPr>
        <w:pStyle w:val="Title"/>
        <w:rPr>
          <w:rFonts w:ascii="Times New Roman" w:hAnsi="Times New Roman"/>
          <w:sz w:val="26"/>
          <w:szCs w:val="26"/>
        </w:rPr>
      </w:pPr>
      <w:r w:rsidRPr="001028A2">
        <w:rPr>
          <w:rFonts w:ascii="Times New Roman" w:hAnsi="Times New Roman"/>
          <w:sz w:val="26"/>
          <w:szCs w:val="26"/>
        </w:rPr>
        <w:t>PUBLIC UTILITIES COMMISSION OF THE STATE OF CALIFORNIA</w:t>
      </w:r>
    </w:p>
    <w:p w:rsidRPr="001028A2" w:rsidR="003B1DBD" w:rsidP="001716EC" w:rsidRDefault="003B1DBD" w14:paraId="0C92B433" w14:textId="77777777">
      <w:pPr>
        <w:rPr>
          <w:sz w:val="26"/>
          <w:szCs w:val="26"/>
        </w:rPr>
      </w:pPr>
    </w:p>
    <w:p w:rsidRPr="001028A2" w:rsidR="003B1DBD" w:rsidP="003B1DBD" w:rsidRDefault="00CA2B5D" w14:paraId="7317C13F" w14:textId="5BDC7671">
      <w:pPr>
        <w:tabs>
          <w:tab w:val="right" w:pos="9360"/>
        </w:tabs>
        <w:rPr>
          <w:b/>
          <w:sz w:val="26"/>
          <w:szCs w:val="26"/>
        </w:rPr>
      </w:pPr>
      <w:r w:rsidRPr="001028A2">
        <w:rPr>
          <w:b/>
          <w:sz w:val="26"/>
          <w:szCs w:val="26"/>
        </w:rPr>
        <w:t xml:space="preserve">Safety and Enforcement </w:t>
      </w:r>
      <w:r w:rsidRPr="001028A2" w:rsidR="003B1DBD">
        <w:rPr>
          <w:b/>
          <w:sz w:val="26"/>
          <w:szCs w:val="26"/>
        </w:rPr>
        <w:t>Division</w:t>
      </w:r>
      <w:r w:rsidRPr="001028A2" w:rsidR="003B1DBD">
        <w:rPr>
          <w:b/>
          <w:sz w:val="26"/>
          <w:szCs w:val="26"/>
        </w:rPr>
        <w:tab/>
        <w:t>R</w:t>
      </w:r>
      <w:r w:rsidR="001643B2">
        <w:rPr>
          <w:b/>
          <w:sz w:val="26"/>
          <w:szCs w:val="26"/>
        </w:rPr>
        <w:t>esolution</w:t>
      </w:r>
      <w:r w:rsidRPr="001028A2" w:rsidR="003B1DBD">
        <w:rPr>
          <w:b/>
          <w:sz w:val="26"/>
          <w:szCs w:val="26"/>
        </w:rPr>
        <w:t xml:space="preserve"> </w:t>
      </w:r>
      <w:r w:rsidRPr="00EB7A5C">
        <w:rPr>
          <w:b/>
          <w:sz w:val="26"/>
          <w:szCs w:val="26"/>
        </w:rPr>
        <w:t>SED-5</w:t>
      </w:r>
    </w:p>
    <w:p w:rsidRPr="001028A2" w:rsidR="003B1DBD" w:rsidP="003B1DBD" w:rsidRDefault="00254648" w14:paraId="715D7AFB" w14:textId="647CE787">
      <w:pPr>
        <w:tabs>
          <w:tab w:val="right" w:pos="9360"/>
        </w:tabs>
        <w:rPr>
          <w:b/>
          <w:sz w:val="26"/>
          <w:szCs w:val="26"/>
        </w:rPr>
      </w:pPr>
      <w:r w:rsidRPr="001028A2">
        <w:rPr>
          <w:b/>
          <w:sz w:val="26"/>
          <w:szCs w:val="26"/>
        </w:rPr>
        <w:t xml:space="preserve">Electric Safety and Reliability </w:t>
      </w:r>
      <w:r w:rsidRPr="001028A2" w:rsidR="003B1DBD">
        <w:rPr>
          <w:b/>
          <w:sz w:val="26"/>
          <w:szCs w:val="26"/>
        </w:rPr>
        <w:t>Branch</w:t>
      </w:r>
      <w:r w:rsidRPr="001028A2" w:rsidR="003B1DBD">
        <w:rPr>
          <w:b/>
          <w:sz w:val="26"/>
          <w:szCs w:val="26"/>
        </w:rPr>
        <w:tab/>
      </w:r>
      <w:r w:rsidRPr="001028A2" w:rsidR="00CA2B5D">
        <w:rPr>
          <w:b/>
          <w:sz w:val="26"/>
          <w:szCs w:val="26"/>
        </w:rPr>
        <w:t xml:space="preserve">December </w:t>
      </w:r>
      <w:r w:rsidR="007E4C16">
        <w:rPr>
          <w:b/>
          <w:sz w:val="26"/>
          <w:szCs w:val="26"/>
        </w:rPr>
        <w:t>16</w:t>
      </w:r>
      <w:r w:rsidRPr="001028A2" w:rsidR="003B1DBD">
        <w:rPr>
          <w:b/>
          <w:sz w:val="26"/>
          <w:szCs w:val="26"/>
        </w:rPr>
        <w:t xml:space="preserve">, </w:t>
      </w:r>
      <w:r w:rsidRPr="001028A2" w:rsidR="00CA2B5D">
        <w:rPr>
          <w:b/>
          <w:sz w:val="26"/>
          <w:szCs w:val="26"/>
        </w:rPr>
        <w:t>2021</w:t>
      </w:r>
    </w:p>
    <w:p w:rsidRPr="001028A2" w:rsidR="003B1DBD" w:rsidP="003B1DBD" w:rsidRDefault="003B1DBD" w14:paraId="08359DE4" w14:textId="77777777">
      <w:pPr>
        <w:tabs>
          <w:tab w:val="right" w:pos="10080"/>
        </w:tabs>
        <w:rPr>
          <w:sz w:val="26"/>
          <w:szCs w:val="26"/>
        </w:rPr>
      </w:pPr>
    </w:p>
    <w:p w:rsidR="00054D60" w:rsidP="003B1DBD" w:rsidRDefault="00054D60" w14:paraId="13A1D0B0" w14:textId="77777777">
      <w:pPr>
        <w:tabs>
          <w:tab w:val="right" w:pos="10080"/>
        </w:tabs>
        <w:jc w:val="center"/>
        <w:rPr>
          <w:b/>
          <w:sz w:val="26"/>
          <w:szCs w:val="26"/>
          <w:u w:val="single"/>
        </w:rPr>
      </w:pPr>
    </w:p>
    <w:p w:rsidRPr="001028A2" w:rsidR="003B1DBD" w:rsidP="003B1DBD" w:rsidRDefault="003B1DBD" w14:paraId="0BF6F638" w14:textId="027668DE">
      <w:pPr>
        <w:tabs>
          <w:tab w:val="right" w:pos="10080"/>
        </w:tabs>
        <w:jc w:val="center"/>
        <w:rPr>
          <w:b/>
          <w:sz w:val="26"/>
          <w:szCs w:val="26"/>
          <w:u w:val="single"/>
        </w:rPr>
      </w:pPr>
      <w:r w:rsidRPr="001028A2">
        <w:rPr>
          <w:b/>
          <w:sz w:val="26"/>
          <w:szCs w:val="26"/>
          <w:u w:val="single"/>
        </w:rPr>
        <w:t>R E S O L U T I O N</w:t>
      </w:r>
    </w:p>
    <w:p w:rsidRPr="001028A2" w:rsidR="003B1DBD" w:rsidP="003B1DBD" w:rsidRDefault="003B1DBD" w14:paraId="1C507346" w14:textId="77777777">
      <w:pPr>
        <w:tabs>
          <w:tab w:val="right" w:pos="10080"/>
        </w:tabs>
        <w:jc w:val="center"/>
        <w:rPr>
          <w:b/>
          <w:sz w:val="26"/>
          <w:szCs w:val="26"/>
        </w:rPr>
      </w:pPr>
    </w:p>
    <w:p w:rsidRPr="00523F76" w:rsidR="003B1DBD" w:rsidP="00054D60" w:rsidRDefault="003B1DBD" w14:paraId="54510879" w14:textId="3DAEC411">
      <w:pPr>
        <w:ind w:left="360" w:right="720"/>
        <w:rPr>
          <w:b/>
          <w:sz w:val="26"/>
          <w:szCs w:val="26"/>
        </w:rPr>
      </w:pPr>
      <w:r w:rsidRPr="001028A2">
        <w:rPr>
          <w:b/>
          <w:sz w:val="26"/>
          <w:szCs w:val="26"/>
        </w:rPr>
        <w:t xml:space="preserve">RESOLUTION </w:t>
      </w:r>
      <w:r w:rsidR="00054D60">
        <w:rPr>
          <w:b/>
          <w:sz w:val="26"/>
          <w:szCs w:val="26"/>
        </w:rPr>
        <w:t xml:space="preserve">SED-5 </w:t>
      </w:r>
      <w:r w:rsidR="00B43C47">
        <w:rPr>
          <w:b/>
          <w:sz w:val="26"/>
          <w:szCs w:val="26"/>
        </w:rPr>
        <w:t xml:space="preserve">APPROVING ADMINISTRATIVE CONSENT ORDER AND AGREEMENT </w:t>
      </w:r>
      <w:r w:rsidR="008D7BE6">
        <w:rPr>
          <w:b/>
          <w:sz w:val="26"/>
          <w:szCs w:val="26"/>
        </w:rPr>
        <w:t>OF</w:t>
      </w:r>
      <w:r w:rsidR="00B43C47">
        <w:rPr>
          <w:b/>
          <w:sz w:val="26"/>
          <w:szCs w:val="26"/>
        </w:rPr>
        <w:t xml:space="preserve"> THE SAFETY AND ENFORCEMENT DIVISION AND SOUTHERN CALIFORNIA EDISON COMPANY </w:t>
      </w:r>
      <w:r w:rsidRPr="00F638CB" w:rsidR="00F638CB">
        <w:rPr>
          <w:b/>
          <w:sz w:val="26"/>
          <w:szCs w:val="26"/>
        </w:rPr>
        <w:t>(U338-E)</w:t>
      </w:r>
      <w:r w:rsidR="00F638CB">
        <w:rPr>
          <w:b/>
          <w:sz w:val="26"/>
          <w:szCs w:val="26"/>
        </w:rPr>
        <w:t xml:space="preserve"> </w:t>
      </w:r>
      <w:r w:rsidRPr="008C21C9" w:rsidR="00F638CB">
        <w:rPr>
          <w:b/>
          <w:sz w:val="26"/>
          <w:szCs w:val="26"/>
        </w:rPr>
        <w:t xml:space="preserve">REGARDING THE 2017/2018 SOUTHERN CALIFORNIA FIRES </w:t>
      </w:r>
      <w:r w:rsidRPr="008C21C9" w:rsidR="001E3DF2">
        <w:rPr>
          <w:b/>
          <w:sz w:val="26"/>
          <w:szCs w:val="26"/>
        </w:rPr>
        <w:t>PURSUANT TO RESOLUTION M-4846</w:t>
      </w:r>
    </w:p>
    <w:p w:rsidRPr="005464AA" w:rsidR="003B1DBD" w:rsidP="005464AA" w:rsidRDefault="003B1DBD" w14:paraId="0F4F629A" w14:textId="27AF18E3">
      <w:pPr>
        <w:tabs>
          <w:tab w:val="right" w:pos="9360"/>
        </w:tabs>
        <w:rPr>
          <w:b/>
          <w:sz w:val="26"/>
          <w:szCs w:val="26"/>
        </w:rPr>
      </w:pPr>
      <w:r w:rsidRPr="001028A2">
        <w:rPr>
          <w:b/>
          <w:sz w:val="26"/>
          <w:szCs w:val="26"/>
        </w:rPr>
        <w:t>________________________________________________________________________</w:t>
      </w:r>
    </w:p>
    <w:p w:rsidRPr="00054D60" w:rsidR="003B1DBD" w:rsidP="001716EC" w:rsidRDefault="003B1DBD" w14:paraId="73865D99" w14:textId="77777777">
      <w:pPr>
        <w:rPr>
          <w:bCs/>
          <w:sz w:val="26"/>
          <w:szCs w:val="26"/>
          <w:u w:val="single"/>
        </w:rPr>
      </w:pPr>
    </w:p>
    <w:p w:rsidRPr="001028A2" w:rsidR="003B1DBD" w:rsidP="00054D60" w:rsidRDefault="003B1DBD" w14:paraId="04C1A481" w14:textId="77777777">
      <w:pPr>
        <w:rPr>
          <w:b/>
          <w:sz w:val="26"/>
          <w:szCs w:val="26"/>
          <w:u w:val="single"/>
        </w:rPr>
      </w:pPr>
      <w:r w:rsidRPr="001028A2">
        <w:rPr>
          <w:b/>
          <w:sz w:val="26"/>
          <w:szCs w:val="26"/>
          <w:u w:val="single"/>
        </w:rPr>
        <w:t>SUMMARY</w:t>
      </w:r>
    </w:p>
    <w:p w:rsidRPr="00054D60" w:rsidR="003B1DBD" w:rsidP="00054D60" w:rsidRDefault="003B1DBD" w14:paraId="13D0AE53" w14:textId="2CA90A9A">
      <w:pPr>
        <w:rPr>
          <w:bCs/>
          <w:sz w:val="26"/>
          <w:szCs w:val="26"/>
          <w:u w:val="single"/>
        </w:rPr>
      </w:pPr>
    </w:p>
    <w:p w:rsidRPr="00054D60" w:rsidR="0023576C" w:rsidP="00F1619A" w:rsidRDefault="00F638CB" w14:paraId="7E65650D" w14:textId="2D57AC3A">
      <w:pPr>
        <w:pStyle w:val="Default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In this Resolution, the California Public Utilities Commission (Commission) </w:t>
      </w:r>
      <w:bookmarkStart w:name="_Hlk86167600" w:id="0"/>
      <w:r>
        <w:rPr>
          <w:sz w:val="26"/>
          <w:szCs w:val="26"/>
        </w:rPr>
        <w:t xml:space="preserve">approves an Administrative Consent Order and Agreement </w:t>
      </w:r>
      <w:r w:rsidR="00523F76">
        <w:rPr>
          <w:sz w:val="26"/>
          <w:szCs w:val="26"/>
        </w:rPr>
        <w:t xml:space="preserve">between </w:t>
      </w:r>
      <w:r>
        <w:rPr>
          <w:sz w:val="26"/>
          <w:szCs w:val="26"/>
        </w:rPr>
        <w:t>the Commission’s Safety and Enforcement Division (SED) and Southern California Edison Company (SCE)</w:t>
      </w:r>
      <w:r w:rsidR="00BB63B2">
        <w:rPr>
          <w:sz w:val="26"/>
          <w:szCs w:val="26"/>
        </w:rPr>
        <w:t xml:space="preserve"> </w:t>
      </w:r>
      <w:r w:rsidRPr="00BB63B2" w:rsidR="00BB63B2">
        <w:rPr>
          <w:color w:val="auto"/>
          <w:sz w:val="26"/>
          <w:szCs w:val="26"/>
        </w:rPr>
        <w:t xml:space="preserve">to resolve all issues involving the 2017 Liberty, Rye, Meyers, and Thomas Fires and the 2018 Woolsey Fire (collectively, the 2017/2018 Southern California Fires), </w:t>
      </w:r>
      <w:r w:rsidR="00BC082C">
        <w:rPr>
          <w:sz w:val="26"/>
          <w:szCs w:val="26"/>
        </w:rPr>
        <w:t xml:space="preserve">whereby </w:t>
      </w:r>
      <w:r w:rsidR="0023576C">
        <w:rPr>
          <w:sz w:val="26"/>
          <w:szCs w:val="26"/>
        </w:rPr>
        <w:t xml:space="preserve">SCE agrees </w:t>
      </w:r>
      <w:r w:rsidRPr="008C1785" w:rsidR="008C1785">
        <w:rPr>
          <w:sz w:val="26"/>
          <w:szCs w:val="26"/>
        </w:rPr>
        <w:t>to fines, safety measures and disallowances totaling $550,000,000</w:t>
      </w:r>
      <w:r w:rsidR="00F1619A">
        <w:rPr>
          <w:sz w:val="26"/>
          <w:szCs w:val="26"/>
        </w:rPr>
        <w:t xml:space="preserve"> as follows: </w:t>
      </w:r>
      <w:r w:rsidRPr="00F1619A" w:rsidR="00F1619A">
        <w:rPr>
          <w:sz w:val="26"/>
          <w:szCs w:val="26"/>
        </w:rPr>
        <w:t>$110,000,000</w:t>
      </w:r>
      <w:r w:rsidR="00F1619A">
        <w:rPr>
          <w:sz w:val="26"/>
          <w:szCs w:val="26"/>
        </w:rPr>
        <w:t xml:space="preserve"> f</w:t>
      </w:r>
      <w:r w:rsidRPr="00F1619A" w:rsidR="00F1619A">
        <w:rPr>
          <w:sz w:val="26"/>
          <w:szCs w:val="26"/>
        </w:rPr>
        <w:t>ine to the General Fund of the State of California;</w:t>
      </w:r>
      <w:r w:rsidR="00F1619A">
        <w:rPr>
          <w:sz w:val="26"/>
          <w:szCs w:val="26"/>
        </w:rPr>
        <w:t xml:space="preserve"> </w:t>
      </w:r>
      <w:r w:rsidRPr="00F1619A" w:rsidR="00F1619A">
        <w:rPr>
          <w:sz w:val="26"/>
          <w:szCs w:val="26"/>
        </w:rPr>
        <w:t>$65,000,000</w:t>
      </w:r>
      <w:r w:rsidR="00F1619A">
        <w:rPr>
          <w:sz w:val="26"/>
          <w:szCs w:val="26"/>
        </w:rPr>
        <w:t xml:space="preserve"> in sh</w:t>
      </w:r>
      <w:r w:rsidRPr="00F1619A" w:rsidR="00F1619A">
        <w:rPr>
          <w:sz w:val="26"/>
          <w:szCs w:val="26"/>
        </w:rPr>
        <w:t xml:space="preserve">areholder-funded </w:t>
      </w:r>
      <w:r w:rsidR="00F1619A">
        <w:rPr>
          <w:sz w:val="26"/>
          <w:szCs w:val="26"/>
        </w:rPr>
        <w:t>s</w:t>
      </w:r>
      <w:r w:rsidRPr="00F1619A" w:rsidR="00F1619A">
        <w:rPr>
          <w:sz w:val="26"/>
          <w:szCs w:val="26"/>
        </w:rPr>
        <w:t xml:space="preserve">afety </w:t>
      </w:r>
      <w:r w:rsidR="00F1619A">
        <w:rPr>
          <w:sz w:val="26"/>
          <w:szCs w:val="26"/>
        </w:rPr>
        <w:t>m</w:t>
      </w:r>
      <w:r w:rsidRPr="00F1619A" w:rsidR="00F1619A">
        <w:rPr>
          <w:sz w:val="26"/>
          <w:szCs w:val="26"/>
        </w:rPr>
        <w:t>easures; and</w:t>
      </w:r>
      <w:r w:rsidR="00F1619A">
        <w:rPr>
          <w:sz w:val="26"/>
          <w:szCs w:val="26"/>
        </w:rPr>
        <w:t xml:space="preserve"> </w:t>
      </w:r>
      <w:r w:rsidRPr="00F1619A" w:rsidR="00F1619A">
        <w:rPr>
          <w:sz w:val="26"/>
          <w:szCs w:val="26"/>
        </w:rPr>
        <w:t>$375,000,000</w:t>
      </w:r>
      <w:r w:rsidR="00F1619A">
        <w:rPr>
          <w:sz w:val="26"/>
          <w:szCs w:val="26"/>
        </w:rPr>
        <w:t xml:space="preserve"> in p</w:t>
      </w:r>
      <w:r w:rsidRPr="00F1619A" w:rsidR="00F1619A">
        <w:rPr>
          <w:sz w:val="26"/>
          <w:szCs w:val="26"/>
        </w:rPr>
        <w:t xml:space="preserve">ermanent </w:t>
      </w:r>
      <w:r w:rsidR="00F1619A">
        <w:rPr>
          <w:sz w:val="26"/>
          <w:szCs w:val="26"/>
        </w:rPr>
        <w:t>d</w:t>
      </w:r>
      <w:r w:rsidRPr="00F1619A" w:rsidR="00F1619A">
        <w:rPr>
          <w:sz w:val="26"/>
          <w:szCs w:val="26"/>
        </w:rPr>
        <w:t>isallowances of cost recovery</w:t>
      </w:r>
      <w:r w:rsidRPr="00054D60" w:rsidR="00F1619A">
        <w:rPr>
          <w:color w:val="auto"/>
          <w:sz w:val="26"/>
          <w:szCs w:val="26"/>
        </w:rPr>
        <w:t>.</w:t>
      </w:r>
      <w:bookmarkEnd w:id="0"/>
    </w:p>
    <w:p w:rsidRPr="001028A2" w:rsidR="003B1DBD" w:rsidP="001716EC" w:rsidRDefault="003B1DBD" w14:paraId="47BC683D" w14:textId="73AD911E">
      <w:pPr>
        <w:rPr>
          <w:sz w:val="26"/>
          <w:szCs w:val="26"/>
        </w:rPr>
      </w:pPr>
    </w:p>
    <w:p w:rsidRPr="00054D60" w:rsidR="003B1DBD" w:rsidP="00054D60" w:rsidRDefault="003B1DBD" w14:paraId="21F7CDF2" w14:textId="1B7E9FD6">
      <w:pPr>
        <w:rPr>
          <w:b/>
          <w:bCs/>
          <w:sz w:val="26"/>
          <w:szCs w:val="26"/>
          <w:u w:val="single"/>
        </w:rPr>
      </w:pPr>
      <w:r w:rsidRPr="00054D60">
        <w:rPr>
          <w:b/>
          <w:bCs/>
          <w:sz w:val="26"/>
          <w:szCs w:val="26"/>
          <w:u w:val="single"/>
        </w:rPr>
        <w:t>BACKGROUND</w:t>
      </w:r>
      <w:r w:rsidRPr="00054D60" w:rsidR="00EF1AF9">
        <w:rPr>
          <w:b/>
          <w:bCs/>
          <w:sz w:val="26"/>
          <w:szCs w:val="26"/>
          <w:u w:val="single"/>
        </w:rPr>
        <w:t xml:space="preserve"> AND DISCUSSION</w:t>
      </w:r>
    </w:p>
    <w:p w:rsidR="003B1DBD" w:rsidP="00054D60" w:rsidRDefault="003B1DBD" w14:paraId="3AA471F7" w14:textId="71F61F7A">
      <w:pPr>
        <w:rPr>
          <w:sz w:val="26"/>
          <w:szCs w:val="26"/>
        </w:rPr>
      </w:pPr>
    </w:p>
    <w:p w:rsidRPr="00ED39E7" w:rsidR="005E35C5" w:rsidP="00054D60" w:rsidRDefault="00722FB3" w14:paraId="0A228ADA" w14:textId="2035C9D5">
      <w:pPr>
        <w:pStyle w:val="Default"/>
        <w:rPr>
          <w:sz w:val="26"/>
          <w:szCs w:val="26"/>
        </w:rPr>
      </w:pPr>
      <w:r w:rsidRPr="00ED39E7">
        <w:rPr>
          <w:sz w:val="26"/>
          <w:szCs w:val="26"/>
        </w:rPr>
        <w:t>Resolution ESRB-4</w:t>
      </w:r>
      <w:r w:rsidRPr="00ED39E7" w:rsidR="00E6721F">
        <w:rPr>
          <w:sz w:val="26"/>
          <w:szCs w:val="26"/>
        </w:rPr>
        <w:t xml:space="preserve">, issued in June 2014, </w:t>
      </w:r>
      <w:r w:rsidRPr="00ED39E7">
        <w:rPr>
          <w:sz w:val="26"/>
          <w:szCs w:val="26"/>
        </w:rPr>
        <w:t>direct</w:t>
      </w:r>
      <w:r w:rsidRPr="00ED39E7" w:rsidR="00C47086">
        <w:rPr>
          <w:sz w:val="26"/>
          <w:szCs w:val="26"/>
        </w:rPr>
        <w:t>s</w:t>
      </w:r>
      <w:r w:rsidRPr="00ED39E7">
        <w:rPr>
          <w:sz w:val="26"/>
          <w:szCs w:val="26"/>
        </w:rPr>
        <w:t xml:space="preserve"> all investor-owned electric utilities, including </w:t>
      </w:r>
      <w:r w:rsidRPr="00ED39E7" w:rsidR="00C47086">
        <w:rPr>
          <w:sz w:val="26"/>
          <w:szCs w:val="26"/>
        </w:rPr>
        <w:t>SCE</w:t>
      </w:r>
      <w:r w:rsidRPr="00ED39E7">
        <w:rPr>
          <w:sz w:val="26"/>
          <w:szCs w:val="26"/>
        </w:rPr>
        <w:t>, to take remedial measures to reduce the likelihood of fires started by or threatening utility facilities.</w:t>
      </w:r>
    </w:p>
    <w:p w:rsidRPr="001028A2" w:rsidR="00722FB3" w:rsidP="00054D60" w:rsidRDefault="00722FB3" w14:paraId="2B9F50B0" w14:textId="77777777">
      <w:pPr>
        <w:pStyle w:val="Default"/>
        <w:rPr>
          <w:sz w:val="26"/>
          <w:szCs w:val="26"/>
        </w:rPr>
      </w:pPr>
    </w:p>
    <w:p w:rsidRPr="00054D60" w:rsidR="00592345" w:rsidP="00054D60" w:rsidRDefault="00C42C89" w14:paraId="771061A7" w14:textId="790DE101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In 2017, the Liberty, Rye, Meyers and Thomas Fires occurred in SCE’s service territory.  In 2018, the Woolsey Fire occurred in SCE’s service territory.  </w:t>
      </w:r>
      <w:r w:rsidRPr="00D91FFE" w:rsidR="00592345">
        <w:rPr>
          <w:sz w:val="26"/>
          <w:szCs w:val="26"/>
        </w:rPr>
        <w:t>SED conducted investigation</w:t>
      </w:r>
      <w:r w:rsidR="006D3AA6">
        <w:rPr>
          <w:sz w:val="26"/>
          <w:szCs w:val="26"/>
        </w:rPr>
        <w:t>s</w:t>
      </w:r>
      <w:r w:rsidR="00ED39E7">
        <w:rPr>
          <w:sz w:val="26"/>
          <w:szCs w:val="26"/>
        </w:rPr>
        <w:t xml:space="preserve"> of </w:t>
      </w:r>
      <w:r w:rsidR="006D3AA6">
        <w:rPr>
          <w:sz w:val="26"/>
          <w:szCs w:val="26"/>
        </w:rPr>
        <w:t xml:space="preserve">the </w:t>
      </w:r>
      <w:r w:rsidRPr="00BB63B2" w:rsidR="00E43153">
        <w:rPr>
          <w:sz w:val="26"/>
          <w:szCs w:val="26"/>
        </w:rPr>
        <w:t xml:space="preserve">Liberty, Rye, Meyers, Thomas </w:t>
      </w:r>
      <w:r>
        <w:rPr>
          <w:sz w:val="26"/>
          <w:szCs w:val="26"/>
        </w:rPr>
        <w:t xml:space="preserve">and </w:t>
      </w:r>
      <w:r w:rsidRPr="00BB63B2" w:rsidR="00E43153">
        <w:rPr>
          <w:sz w:val="26"/>
          <w:szCs w:val="26"/>
        </w:rPr>
        <w:t>Woolsey Fire</w:t>
      </w:r>
      <w:r>
        <w:rPr>
          <w:sz w:val="26"/>
          <w:szCs w:val="26"/>
        </w:rPr>
        <w:t>s</w:t>
      </w:r>
      <w:r w:rsidR="00ED39E7">
        <w:rPr>
          <w:sz w:val="26"/>
          <w:szCs w:val="26"/>
        </w:rPr>
        <w:t xml:space="preserve"> and,</w:t>
      </w:r>
      <w:r w:rsidR="00D91FFE">
        <w:rPr>
          <w:sz w:val="26"/>
          <w:szCs w:val="26"/>
        </w:rPr>
        <w:t xml:space="preserve"> </w:t>
      </w:r>
      <w:r w:rsidRPr="00F1083B" w:rsidR="00D91FFE">
        <w:rPr>
          <w:sz w:val="26"/>
          <w:szCs w:val="26"/>
        </w:rPr>
        <w:t>in its investigation report</w:t>
      </w:r>
      <w:r w:rsidRPr="00F1083B" w:rsidR="006D3AA6">
        <w:rPr>
          <w:sz w:val="26"/>
          <w:szCs w:val="26"/>
        </w:rPr>
        <w:t xml:space="preserve"> on each </w:t>
      </w:r>
      <w:r w:rsidRPr="00F1083B" w:rsidR="00E43153">
        <w:rPr>
          <w:sz w:val="26"/>
          <w:szCs w:val="26"/>
        </w:rPr>
        <w:t>incident</w:t>
      </w:r>
      <w:r w:rsidRPr="00F1083B" w:rsidR="00D91FFE">
        <w:rPr>
          <w:sz w:val="26"/>
          <w:szCs w:val="26"/>
        </w:rPr>
        <w:t>,</w:t>
      </w:r>
      <w:r w:rsidRPr="00054D60" w:rsidR="00592345">
        <w:rPr>
          <w:sz w:val="26"/>
          <w:szCs w:val="26"/>
        </w:rPr>
        <w:t xml:space="preserve"> </w:t>
      </w:r>
      <w:r w:rsidR="00442E54">
        <w:rPr>
          <w:sz w:val="26"/>
          <w:szCs w:val="26"/>
        </w:rPr>
        <w:t>identified</w:t>
      </w:r>
      <w:r w:rsidR="008A77F3">
        <w:rPr>
          <w:sz w:val="26"/>
          <w:szCs w:val="26"/>
        </w:rPr>
        <w:t xml:space="preserve"> </w:t>
      </w:r>
      <w:r w:rsidR="00CB49B9">
        <w:rPr>
          <w:sz w:val="26"/>
          <w:szCs w:val="26"/>
        </w:rPr>
        <w:t xml:space="preserve">alleged </w:t>
      </w:r>
      <w:r w:rsidRPr="00D91FFE" w:rsidR="00592345">
        <w:rPr>
          <w:sz w:val="26"/>
          <w:szCs w:val="26"/>
        </w:rPr>
        <w:t>violat</w:t>
      </w:r>
      <w:r w:rsidR="000C661F">
        <w:rPr>
          <w:sz w:val="26"/>
          <w:szCs w:val="26"/>
        </w:rPr>
        <w:t>ions</w:t>
      </w:r>
      <w:r w:rsidRPr="00D91FFE" w:rsidR="00592345">
        <w:rPr>
          <w:sz w:val="26"/>
          <w:szCs w:val="26"/>
        </w:rPr>
        <w:t xml:space="preserve"> </w:t>
      </w:r>
      <w:r w:rsidR="00ED39E7">
        <w:rPr>
          <w:sz w:val="26"/>
          <w:szCs w:val="26"/>
        </w:rPr>
        <w:t xml:space="preserve">by SCE </w:t>
      </w:r>
      <w:r w:rsidR="000C661F">
        <w:rPr>
          <w:sz w:val="26"/>
          <w:szCs w:val="26"/>
        </w:rPr>
        <w:t xml:space="preserve">of </w:t>
      </w:r>
      <w:r w:rsidRPr="00D91FFE" w:rsidR="00592345">
        <w:rPr>
          <w:sz w:val="26"/>
          <w:szCs w:val="26"/>
        </w:rPr>
        <w:t xml:space="preserve">provisions of the </w:t>
      </w:r>
      <w:r w:rsidRPr="00F1083B" w:rsidR="00592345">
        <w:rPr>
          <w:sz w:val="26"/>
          <w:szCs w:val="26"/>
        </w:rPr>
        <w:t>California Public Utilities Code</w:t>
      </w:r>
      <w:r w:rsidRPr="00D91FFE" w:rsidR="00592345">
        <w:rPr>
          <w:sz w:val="26"/>
          <w:szCs w:val="26"/>
        </w:rPr>
        <w:t xml:space="preserve"> and the Commission’s General Orders</w:t>
      </w:r>
      <w:r w:rsidRPr="00D91FFE" w:rsidR="00D91FFE">
        <w:rPr>
          <w:sz w:val="26"/>
          <w:szCs w:val="26"/>
        </w:rPr>
        <w:t>.</w:t>
      </w:r>
      <w:r w:rsidR="00A452EE">
        <w:rPr>
          <w:sz w:val="26"/>
          <w:szCs w:val="26"/>
        </w:rPr>
        <w:t xml:space="preserve"> </w:t>
      </w:r>
      <w:r w:rsidR="00D960C5">
        <w:rPr>
          <w:sz w:val="26"/>
          <w:szCs w:val="26"/>
        </w:rPr>
        <w:t xml:space="preserve"> </w:t>
      </w:r>
      <w:r w:rsidR="00A452EE">
        <w:rPr>
          <w:sz w:val="26"/>
          <w:szCs w:val="26"/>
        </w:rPr>
        <w:t>SED’s investigation report</w:t>
      </w:r>
      <w:r w:rsidR="00D960C5">
        <w:rPr>
          <w:sz w:val="26"/>
          <w:szCs w:val="26"/>
        </w:rPr>
        <w:t>s</w:t>
      </w:r>
      <w:r w:rsidR="00A452EE">
        <w:rPr>
          <w:sz w:val="26"/>
          <w:szCs w:val="26"/>
        </w:rPr>
        <w:t xml:space="preserve"> </w:t>
      </w:r>
      <w:r w:rsidR="00290B24">
        <w:rPr>
          <w:sz w:val="26"/>
          <w:szCs w:val="26"/>
        </w:rPr>
        <w:t>are being</w:t>
      </w:r>
      <w:r w:rsidR="00E43E7C">
        <w:rPr>
          <w:sz w:val="26"/>
          <w:szCs w:val="26"/>
        </w:rPr>
        <w:t xml:space="preserve"> provided for reference </w:t>
      </w:r>
      <w:r w:rsidR="00FD2C11">
        <w:rPr>
          <w:sz w:val="26"/>
          <w:szCs w:val="26"/>
        </w:rPr>
        <w:t>on the Commission’s website</w:t>
      </w:r>
      <w:r w:rsidR="00E43E7C">
        <w:rPr>
          <w:sz w:val="26"/>
          <w:szCs w:val="26"/>
        </w:rPr>
        <w:t>.</w:t>
      </w:r>
      <w:r w:rsidRPr="00EF2A4B" w:rsidR="00932423">
        <w:rPr>
          <w:rStyle w:val="FootnoteReference"/>
          <w:b/>
          <w:bCs/>
          <w:sz w:val="26"/>
          <w:szCs w:val="26"/>
          <w:u w:val="single"/>
        </w:rPr>
        <w:footnoteReference w:id="1"/>
      </w:r>
      <w:r w:rsidR="00E43E7C">
        <w:rPr>
          <w:sz w:val="26"/>
          <w:szCs w:val="26"/>
        </w:rPr>
        <w:t xml:space="preserve">  These investigation reports are not incorporated by reference into this Resolution.</w:t>
      </w:r>
    </w:p>
    <w:p w:rsidR="00D91FFE" w:rsidP="00054D60" w:rsidRDefault="00D91FFE" w14:paraId="4E6A265F" w14:textId="77777777">
      <w:pPr>
        <w:pStyle w:val="Default"/>
        <w:rPr>
          <w:sz w:val="26"/>
          <w:szCs w:val="26"/>
        </w:rPr>
      </w:pPr>
    </w:p>
    <w:p w:rsidR="002672FD" w:rsidP="00054D60" w:rsidRDefault="00A83962" w14:paraId="6B640EF5" w14:textId="434B1458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Resolution M-4846, </w:t>
      </w:r>
      <w:r w:rsidR="00E6721F">
        <w:rPr>
          <w:sz w:val="26"/>
          <w:szCs w:val="26"/>
        </w:rPr>
        <w:t>issued in</w:t>
      </w:r>
      <w:r>
        <w:rPr>
          <w:sz w:val="26"/>
          <w:szCs w:val="26"/>
        </w:rPr>
        <w:t xml:space="preserve"> November 2020, adopted the Commission Enforcement and Penalty Policy (Enforcement Policy) </w:t>
      </w:r>
      <w:r w:rsidR="004D2212">
        <w:rPr>
          <w:sz w:val="26"/>
          <w:szCs w:val="26"/>
        </w:rPr>
        <w:t xml:space="preserve">and </w:t>
      </w:r>
      <w:r>
        <w:rPr>
          <w:sz w:val="26"/>
          <w:szCs w:val="26"/>
        </w:rPr>
        <w:t>authorize</w:t>
      </w:r>
      <w:r w:rsidR="004D2212">
        <w:rPr>
          <w:sz w:val="26"/>
          <w:szCs w:val="26"/>
        </w:rPr>
        <w:t>d</w:t>
      </w:r>
      <w:r>
        <w:rPr>
          <w:sz w:val="26"/>
          <w:szCs w:val="26"/>
        </w:rPr>
        <w:t xml:space="preserve"> Commission staff to</w:t>
      </w:r>
      <w:r w:rsidR="000825A6">
        <w:rPr>
          <w:sz w:val="26"/>
          <w:szCs w:val="26"/>
        </w:rPr>
        <w:t xml:space="preserve"> </w:t>
      </w:r>
      <w:r w:rsidR="007C2F49">
        <w:rPr>
          <w:sz w:val="26"/>
          <w:szCs w:val="26"/>
        </w:rPr>
        <w:t xml:space="preserve">negotiate and </w:t>
      </w:r>
      <w:r>
        <w:rPr>
          <w:sz w:val="26"/>
          <w:szCs w:val="26"/>
        </w:rPr>
        <w:t>propose an Administrative Consent Order to resolve a</w:t>
      </w:r>
      <w:r w:rsidR="00EF1AF9">
        <w:rPr>
          <w:sz w:val="26"/>
          <w:szCs w:val="26"/>
        </w:rPr>
        <w:t>n</w:t>
      </w:r>
      <w:r>
        <w:rPr>
          <w:sz w:val="26"/>
          <w:szCs w:val="26"/>
        </w:rPr>
        <w:t xml:space="preserve"> </w:t>
      </w:r>
      <w:r w:rsidR="005E35C5">
        <w:rPr>
          <w:sz w:val="26"/>
          <w:szCs w:val="26"/>
        </w:rPr>
        <w:t>enforcement matter</w:t>
      </w:r>
      <w:r w:rsidR="00E6721F">
        <w:rPr>
          <w:sz w:val="26"/>
          <w:szCs w:val="26"/>
        </w:rPr>
        <w:t>, subject to review and consideration by the Commission.</w:t>
      </w:r>
      <w:r w:rsidRPr="00054D60" w:rsidR="00333133">
        <w:rPr>
          <w:b/>
          <w:bCs/>
          <w:u w:val="single"/>
          <w:vertAlign w:val="superscript"/>
        </w:rPr>
        <w:footnoteReference w:id="2"/>
      </w:r>
      <w:r w:rsidR="00E6721F">
        <w:rPr>
          <w:sz w:val="26"/>
          <w:szCs w:val="26"/>
        </w:rPr>
        <w:t xml:space="preserve"> </w:t>
      </w:r>
    </w:p>
    <w:p w:rsidR="008A77F3" w:rsidP="00054D60" w:rsidRDefault="008A77F3" w14:paraId="373F6CFD" w14:textId="1744EF91">
      <w:pPr>
        <w:pStyle w:val="Default"/>
        <w:rPr>
          <w:sz w:val="26"/>
          <w:szCs w:val="26"/>
        </w:rPr>
      </w:pPr>
    </w:p>
    <w:p w:rsidR="008A77F3" w:rsidP="00054D60" w:rsidRDefault="00E43153" w14:paraId="4AA7565B" w14:textId="6537293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On October 21, 2021, SED and SCE executed the </w:t>
      </w:r>
      <w:bookmarkStart w:name="_Hlk86206954" w:id="1"/>
      <w:r>
        <w:rPr>
          <w:sz w:val="26"/>
          <w:szCs w:val="26"/>
        </w:rPr>
        <w:t>attached Administrative Consent Order and Agreement</w:t>
      </w:r>
      <w:bookmarkEnd w:id="1"/>
      <w:r>
        <w:rPr>
          <w:sz w:val="26"/>
          <w:szCs w:val="26"/>
        </w:rPr>
        <w:t xml:space="preserve">, </w:t>
      </w:r>
      <w:r w:rsidR="00EF1AF9">
        <w:rPr>
          <w:sz w:val="26"/>
          <w:szCs w:val="26"/>
        </w:rPr>
        <w:t xml:space="preserve">pursuant to and consistent with the Enforcement Policy, </w:t>
      </w:r>
      <w:r>
        <w:rPr>
          <w:sz w:val="26"/>
          <w:szCs w:val="26"/>
        </w:rPr>
        <w:t xml:space="preserve">which resolves all issues related to SED’s investigations of the </w:t>
      </w:r>
      <w:r w:rsidRPr="00BB63B2">
        <w:rPr>
          <w:sz w:val="26"/>
          <w:szCs w:val="26"/>
        </w:rPr>
        <w:t>2017/2018 Southern California Fires</w:t>
      </w:r>
      <w:r w:rsidR="003D7807">
        <w:rPr>
          <w:sz w:val="26"/>
          <w:szCs w:val="26"/>
        </w:rPr>
        <w:t xml:space="preserve"> and any enforcement action SED might have brought related to or arising from the 2017/2018 Southern California Fires</w:t>
      </w:r>
      <w:r>
        <w:rPr>
          <w:sz w:val="26"/>
          <w:szCs w:val="26"/>
        </w:rPr>
        <w:t>.</w:t>
      </w:r>
      <w:r w:rsidR="00EF1AF9">
        <w:rPr>
          <w:sz w:val="26"/>
          <w:szCs w:val="26"/>
        </w:rPr>
        <w:t xml:space="preserve"> </w:t>
      </w:r>
    </w:p>
    <w:p w:rsidRPr="00054D60" w:rsidR="003B1DBD" w:rsidP="00054D60" w:rsidRDefault="003B1DBD" w14:paraId="0AE021D1" w14:textId="77777777">
      <w:pPr>
        <w:pStyle w:val="Default"/>
        <w:rPr>
          <w:sz w:val="26"/>
          <w:szCs w:val="26"/>
        </w:rPr>
      </w:pPr>
    </w:p>
    <w:p w:rsidR="003B1DBD" w:rsidP="00054D60" w:rsidRDefault="00BB6AC7" w14:paraId="537DF716" w14:textId="0212B43F">
      <w:pPr>
        <w:pStyle w:val="Default"/>
        <w:rPr>
          <w:sz w:val="26"/>
          <w:szCs w:val="26"/>
        </w:rPr>
      </w:pPr>
      <w:r>
        <w:rPr>
          <w:sz w:val="26"/>
          <w:szCs w:val="26"/>
        </w:rPr>
        <w:t>In accordance with the Enforcement Policy,</w:t>
      </w:r>
      <w:r w:rsidRPr="00EF2A4B">
        <w:rPr>
          <w:b/>
          <w:bCs/>
          <w:u w:val="single"/>
          <w:vertAlign w:val="superscript"/>
        </w:rPr>
        <w:footnoteReference w:id="3"/>
      </w:r>
      <w:r>
        <w:rPr>
          <w:sz w:val="26"/>
          <w:szCs w:val="26"/>
        </w:rPr>
        <w:t xml:space="preserve"> the proposed </w:t>
      </w:r>
      <w:r w:rsidR="00333133">
        <w:rPr>
          <w:sz w:val="26"/>
          <w:szCs w:val="26"/>
        </w:rPr>
        <w:t xml:space="preserve">settlement </w:t>
      </w:r>
      <w:r>
        <w:rPr>
          <w:sz w:val="26"/>
          <w:szCs w:val="26"/>
        </w:rPr>
        <w:t xml:space="preserve">between SED and SCE </w:t>
      </w:r>
      <w:r w:rsidR="006D7F98">
        <w:rPr>
          <w:sz w:val="26"/>
          <w:szCs w:val="26"/>
        </w:rPr>
        <w:t xml:space="preserve">(collectively, Parties) </w:t>
      </w:r>
      <w:r>
        <w:rPr>
          <w:sz w:val="26"/>
          <w:szCs w:val="26"/>
        </w:rPr>
        <w:t xml:space="preserve">is </w:t>
      </w:r>
      <w:r w:rsidR="00333133">
        <w:rPr>
          <w:sz w:val="26"/>
          <w:szCs w:val="26"/>
        </w:rPr>
        <w:t xml:space="preserve">memorialized in </w:t>
      </w:r>
      <w:r>
        <w:rPr>
          <w:sz w:val="26"/>
          <w:szCs w:val="26"/>
        </w:rPr>
        <w:t xml:space="preserve">the attached </w:t>
      </w:r>
      <w:r w:rsidR="00333133">
        <w:rPr>
          <w:sz w:val="26"/>
          <w:szCs w:val="26"/>
        </w:rPr>
        <w:t>Administrative Consent Order</w:t>
      </w:r>
      <w:r>
        <w:rPr>
          <w:sz w:val="26"/>
          <w:szCs w:val="26"/>
        </w:rPr>
        <w:t xml:space="preserve"> and Agreement</w:t>
      </w:r>
      <w:r w:rsidR="00A452E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386CB6" w:rsidP="00054D60" w:rsidRDefault="00386CB6" w14:paraId="544B6E22" w14:textId="138426A5">
      <w:pPr>
        <w:pStyle w:val="Default"/>
        <w:rPr>
          <w:sz w:val="26"/>
          <w:szCs w:val="26"/>
        </w:rPr>
      </w:pPr>
    </w:p>
    <w:p w:rsidR="00386CB6" w:rsidP="00054D60" w:rsidRDefault="00386CB6" w14:paraId="4FCB4C5A" w14:textId="028E5006">
      <w:pPr>
        <w:pStyle w:val="Default"/>
        <w:rPr>
          <w:sz w:val="26"/>
          <w:szCs w:val="26"/>
        </w:rPr>
      </w:pPr>
      <w:r w:rsidRPr="00386CB6">
        <w:rPr>
          <w:sz w:val="26"/>
          <w:szCs w:val="26"/>
        </w:rPr>
        <w:t xml:space="preserve">The Parties have bargained in good faith to reach </w:t>
      </w:r>
      <w:r>
        <w:rPr>
          <w:sz w:val="26"/>
          <w:szCs w:val="26"/>
        </w:rPr>
        <w:t>the Administrative Consent Order and Agreement</w:t>
      </w:r>
      <w:r w:rsidRPr="00386CB6">
        <w:rPr>
          <w:sz w:val="26"/>
          <w:szCs w:val="26"/>
        </w:rPr>
        <w:t xml:space="preserve"> terms,</w:t>
      </w:r>
      <w:r>
        <w:rPr>
          <w:sz w:val="26"/>
          <w:szCs w:val="26"/>
        </w:rPr>
        <w:t xml:space="preserve"> </w:t>
      </w:r>
      <w:r w:rsidRPr="00386CB6">
        <w:rPr>
          <w:sz w:val="26"/>
          <w:szCs w:val="26"/>
        </w:rPr>
        <w:t xml:space="preserve">including appendices. </w:t>
      </w:r>
      <w:r>
        <w:rPr>
          <w:sz w:val="26"/>
          <w:szCs w:val="26"/>
        </w:rPr>
        <w:t xml:space="preserve"> </w:t>
      </w:r>
      <w:r w:rsidRPr="00386CB6">
        <w:rPr>
          <w:sz w:val="26"/>
          <w:szCs w:val="26"/>
        </w:rPr>
        <w:t xml:space="preserve">The Parties intend the </w:t>
      </w:r>
      <w:r>
        <w:rPr>
          <w:sz w:val="26"/>
          <w:szCs w:val="26"/>
        </w:rPr>
        <w:t>Administrative Consent Order and Agreement</w:t>
      </w:r>
      <w:r w:rsidRPr="00386CB6">
        <w:rPr>
          <w:sz w:val="26"/>
          <w:szCs w:val="26"/>
        </w:rPr>
        <w:t xml:space="preserve"> to be interpreted as a unified,</w:t>
      </w:r>
      <w:r>
        <w:rPr>
          <w:sz w:val="26"/>
          <w:szCs w:val="26"/>
        </w:rPr>
        <w:t xml:space="preserve"> </w:t>
      </w:r>
      <w:r w:rsidRPr="00386CB6">
        <w:rPr>
          <w:sz w:val="26"/>
          <w:szCs w:val="26"/>
        </w:rPr>
        <w:t xml:space="preserve">integrated order and agreement, </w:t>
      </w:r>
      <w:r>
        <w:rPr>
          <w:sz w:val="26"/>
          <w:szCs w:val="26"/>
        </w:rPr>
        <w:t xml:space="preserve">and </w:t>
      </w:r>
      <w:r w:rsidRPr="00386CB6">
        <w:rPr>
          <w:sz w:val="26"/>
          <w:szCs w:val="26"/>
        </w:rPr>
        <w:t>to be treated as a complete package and not</w:t>
      </w:r>
      <w:r>
        <w:rPr>
          <w:sz w:val="26"/>
          <w:szCs w:val="26"/>
        </w:rPr>
        <w:t xml:space="preserve"> </w:t>
      </w:r>
      <w:r w:rsidRPr="00386CB6">
        <w:rPr>
          <w:sz w:val="26"/>
          <w:szCs w:val="26"/>
        </w:rPr>
        <w:t>as a collection of separate</w:t>
      </w:r>
      <w:r>
        <w:rPr>
          <w:sz w:val="26"/>
          <w:szCs w:val="26"/>
        </w:rPr>
        <w:t xml:space="preserve"> a</w:t>
      </w:r>
      <w:r w:rsidRPr="00386CB6">
        <w:rPr>
          <w:sz w:val="26"/>
          <w:szCs w:val="26"/>
        </w:rPr>
        <w:t>greements on discrete issues.</w:t>
      </w:r>
      <w:r>
        <w:rPr>
          <w:sz w:val="26"/>
          <w:szCs w:val="26"/>
        </w:rPr>
        <w:t xml:space="preserve"> </w:t>
      </w:r>
      <w:r w:rsidRPr="00386CB6">
        <w:rPr>
          <w:sz w:val="26"/>
          <w:szCs w:val="26"/>
        </w:rPr>
        <w:t xml:space="preserve"> To accommodate the</w:t>
      </w:r>
      <w:r>
        <w:rPr>
          <w:sz w:val="26"/>
          <w:szCs w:val="26"/>
        </w:rPr>
        <w:t xml:space="preserve"> </w:t>
      </w:r>
      <w:r w:rsidRPr="00386CB6">
        <w:rPr>
          <w:sz w:val="26"/>
          <w:szCs w:val="26"/>
        </w:rPr>
        <w:t>interests related to diverse issues, the Parties acknowledge that changes, concessions,</w:t>
      </w:r>
      <w:r>
        <w:rPr>
          <w:sz w:val="26"/>
          <w:szCs w:val="26"/>
        </w:rPr>
        <w:t xml:space="preserve"> </w:t>
      </w:r>
      <w:r w:rsidRPr="00386CB6">
        <w:rPr>
          <w:sz w:val="26"/>
          <w:szCs w:val="26"/>
        </w:rPr>
        <w:t xml:space="preserve">or compromises by a Party in one section of </w:t>
      </w:r>
      <w:r>
        <w:rPr>
          <w:sz w:val="26"/>
          <w:szCs w:val="26"/>
        </w:rPr>
        <w:t>the Administrative Consent Order and Agreement</w:t>
      </w:r>
      <w:r w:rsidRPr="00386CB6">
        <w:rPr>
          <w:sz w:val="26"/>
          <w:szCs w:val="26"/>
        </w:rPr>
        <w:t xml:space="preserve"> resulted in changes,</w:t>
      </w:r>
      <w:r>
        <w:rPr>
          <w:sz w:val="26"/>
          <w:szCs w:val="26"/>
        </w:rPr>
        <w:t xml:space="preserve"> </w:t>
      </w:r>
      <w:r w:rsidRPr="00386CB6">
        <w:rPr>
          <w:sz w:val="26"/>
          <w:szCs w:val="26"/>
        </w:rPr>
        <w:t>concessions, or compromises by the other Party in other sections.</w:t>
      </w:r>
    </w:p>
    <w:p w:rsidR="004E09D7" w:rsidP="00054D60" w:rsidRDefault="004E09D7" w14:paraId="222B4018" w14:textId="77777777">
      <w:pPr>
        <w:pStyle w:val="Default"/>
        <w:rPr>
          <w:sz w:val="26"/>
          <w:szCs w:val="26"/>
        </w:rPr>
      </w:pPr>
    </w:p>
    <w:p w:rsidRPr="001028A2" w:rsidR="00B159F6" w:rsidP="00054D60" w:rsidRDefault="003866DA" w14:paraId="0E746766" w14:textId="63EF639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The </w:t>
      </w:r>
      <w:r w:rsidRPr="003866DA">
        <w:rPr>
          <w:sz w:val="26"/>
          <w:szCs w:val="26"/>
        </w:rPr>
        <w:t xml:space="preserve">Enforcement Policy </w:t>
      </w:r>
      <w:r w:rsidR="008C21C9">
        <w:rPr>
          <w:sz w:val="26"/>
          <w:szCs w:val="26"/>
        </w:rPr>
        <w:t>provides</w:t>
      </w:r>
      <w:r w:rsidRPr="003866DA">
        <w:rPr>
          <w:sz w:val="26"/>
          <w:szCs w:val="26"/>
        </w:rPr>
        <w:t xml:space="preserve"> that “the following</w:t>
      </w:r>
      <w:r>
        <w:rPr>
          <w:sz w:val="26"/>
          <w:szCs w:val="26"/>
        </w:rPr>
        <w:t xml:space="preserve"> </w:t>
      </w:r>
      <w:r w:rsidRPr="003866DA">
        <w:rPr>
          <w:sz w:val="26"/>
          <w:szCs w:val="26"/>
        </w:rPr>
        <w:t>general considerations should be evaluated as part of any proposed settlement to be</w:t>
      </w:r>
      <w:r>
        <w:rPr>
          <w:sz w:val="26"/>
          <w:szCs w:val="26"/>
        </w:rPr>
        <w:t xml:space="preserve"> </w:t>
      </w:r>
      <w:r w:rsidRPr="003866DA">
        <w:rPr>
          <w:sz w:val="26"/>
          <w:szCs w:val="26"/>
        </w:rPr>
        <w:t>submitted for Commission review:</w:t>
      </w:r>
      <w:r w:rsidR="008C21C9">
        <w:rPr>
          <w:sz w:val="26"/>
          <w:szCs w:val="26"/>
        </w:rPr>
        <w:t xml:space="preserve"> </w:t>
      </w:r>
      <w:r w:rsidRPr="003866DA">
        <w:rPr>
          <w:sz w:val="26"/>
          <w:szCs w:val="26"/>
        </w:rPr>
        <w:t xml:space="preserve">1. Equitable Factors; 2. </w:t>
      </w:r>
      <w:r w:rsidRPr="001C070D">
        <w:rPr>
          <w:sz w:val="26"/>
          <w:szCs w:val="26"/>
        </w:rPr>
        <w:t>Mitigating circumstances; 3. Evidentiary issues; and 4. Other weaknesses in the enforcement action[.]”</w:t>
      </w:r>
      <w:r w:rsidRPr="00445F27" w:rsidR="001C070D">
        <w:rPr>
          <w:b/>
          <w:bCs/>
          <w:u w:val="single"/>
          <w:vertAlign w:val="superscript"/>
        </w:rPr>
        <w:footnoteReference w:id="4"/>
      </w:r>
      <w:r w:rsidRPr="001C070D">
        <w:rPr>
          <w:sz w:val="26"/>
          <w:szCs w:val="26"/>
        </w:rPr>
        <w:t xml:space="preserve">  T</w:t>
      </w:r>
      <w:r w:rsidRPr="003866DA">
        <w:rPr>
          <w:sz w:val="26"/>
          <w:szCs w:val="26"/>
        </w:rPr>
        <w:t>he</w:t>
      </w:r>
      <w:r>
        <w:rPr>
          <w:sz w:val="26"/>
          <w:szCs w:val="26"/>
        </w:rPr>
        <w:t xml:space="preserve"> </w:t>
      </w:r>
      <w:r w:rsidRPr="003866DA">
        <w:rPr>
          <w:sz w:val="26"/>
          <w:szCs w:val="26"/>
        </w:rPr>
        <w:t>Parties explicitly considered these factors in their confidential settlement</w:t>
      </w:r>
      <w:r>
        <w:rPr>
          <w:sz w:val="26"/>
          <w:szCs w:val="26"/>
        </w:rPr>
        <w:t xml:space="preserve"> </w:t>
      </w:r>
      <w:r w:rsidRPr="003866DA">
        <w:rPr>
          <w:sz w:val="26"/>
          <w:szCs w:val="26"/>
        </w:rPr>
        <w:t xml:space="preserve">communications. </w:t>
      </w:r>
      <w:r w:rsidR="008C21C9">
        <w:rPr>
          <w:sz w:val="26"/>
          <w:szCs w:val="26"/>
        </w:rPr>
        <w:t xml:space="preserve"> </w:t>
      </w:r>
      <w:r w:rsidRPr="003866DA">
        <w:rPr>
          <w:sz w:val="26"/>
          <w:szCs w:val="26"/>
        </w:rPr>
        <w:t>Without waiving the protections of Rule 12.6 of the Commission’s</w:t>
      </w:r>
      <w:r>
        <w:rPr>
          <w:sz w:val="26"/>
          <w:szCs w:val="26"/>
        </w:rPr>
        <w:t xml:space="preserve"> </w:t>
      </w:r>
      <w:r w:rsidRPr="003866DA">
        <w:rPr>
          <w:sz w:val="26"/>
          <w:szCs w:val="26"/>
        </w:rPr>
        <w:t>Rules of Practice and Procedure, the Parties represent that they took into account,</w:t>
      </w:r>
      <w:r>
        <w:rPr>
          <w:sz w:val="26"/>
          <w:szCs w:val="26"/>
        </w:rPr>
        <w:t xml:space="preserve"> </w:t>
      </w:r>
      <w:r w:rsidR="00F20815">
        <w:rPr>
          <w:sz w:val="26"/>
          <w:szCs w:val="26"/>
        </w:rPr>
        <w:t>among other things</w:t>
      </w:r>
      <w:r w:rsidRPr="003866DA">
        <w:rPr>
          <w:sz w:val="26"/>
          <w:szCs w:val="26"/>
        </w:rPr>
        <w:t>, the substantial and continuing progress SCE has made since the 2017/2018</w:t>
      </w:r>
      <w:r>
        <w:rPr>
          <w:sz w:val="26"/>
          <w:szCs w:val="26"/>
        </w:rPr>
        <w:t xml:space="preserve"> </w:t>
      </w:r>
      <w:r w:rsidRPr="003866DA">
        <w:rPr>
          <w:sz w:val="26"/>
          <w:szCs w:val="26"/>
        </w:rPr>
        <w:t>Southern California Fires, first through its Grid Safety &amp; Resiliency Program and</w:t>
      </w:r>
      <w:r>
        <w:rPr>
          <w:sz w:val="26"/>
          <w:szCs w:val="26"/>
        </w:rPr>
        <w:t xml:space="preserve"> </w:t>
      </w:r>
      <w:r w:rsidRPr="003866DA">
        <w:rPr>
          <w:sz w:val="26"/>
          <w:szCs w:val="26"/>
        </w:rPr>
        <w:t>then through its successive Wildfire Mitigation Plans and Updates thereto, to reduce</w:t>
      </w:r>
      <w:r>
        <w:rPr>
          <w:sz w:val="26"/>
          <w:szCs w:val="26"/>
        </w:rPr>
        <w:t xml:space="preserve"> </w:t>
      </w:r>
      <w:r w:rsidRPr="003866DA">
        <w:rPr>
          <w:sz w:val="26"/>
          <w:szCs w:val="26"/>
        </w:rPr>
        <w:t xml:space="preserve">the risk of ignitions associated with its infrastructure. </w:t>
      </w:r>
      <w:r>
        <w:rPr>
          <w:sz w:val="26"/>
          <w:szCs w:val="26"/>
        </w:rPr>
        <w:t xml:space="preserve"> </w:t>
      </w:r>
      <w:r w:rsidRPr="003866DA">
        <w:rPr>
          <w:sz w:val="26"/>
          <w:szCs w:val="26"/>
        </w:rPr>
        <w:t>The Parties also considered the</w:t>
      </w:r>
      <w:r>
        <w:rPr>
          <w:sz w:val="26"/>
          <w:szCs w:val="26"/>
        </w:rPr>
        <w:t xml:space="preserve"> </w:t>
      </w:r>
      <w:r w:rsidRPr="003866DA">
        <w:rPr>
          <w:sz w:val="26"/>
          <w:szCs w:val="26"/>
        </w:rPr>
        <w:t>substantial commitment of shareholder funds for wildfire-related issues as a result of</w:t>
      </w:r>
      <w:r>
        <w:rPr>
          <w:sz w:val="26"/>
          <w:szCs w:val="26"/>
        </w:rPr>
        <w:t xml:space="preserve"> </w:t>
      </w:r>
      <w:r w:rsidRPr="003866DA">
        <w:rPr>
          <w:sz w:val="26"/>
          <w:szCs w:val="26"/>
        </w:rPr>
        <w:t xml:space="preserve">Assembly Bill 1054. </w:t>
      </w:r>
      <w:r>
        <w:rPr>
          <w:sz w:val="26"/>
          <w:szCs w:val="26"/>
        </w:rPr>
        <w:t xml:space="preserve"> </w:t>
      </w:r>
      <w:r w:rsidRPr="003866DA">
        <w:rPr>
          <w:sz w:val="26"/>
          <w:szCs w:val="26"/>
        </w:rPr>
        <w:t>SED recognizes SCE’s cooperation and willingness to</w:t>
      </w:r>
      <w:r w:rsidR="00F20815">
        <w:rPr>
          <w:sz w:val="26"/>
          <w:szCs w:val="26"/>
        </w:rPr>
        <w:t xml:space="preserve"> </w:t>
      </w:r>
      <w:r w:rsidRPr="003866DA">
        <w:rPr>
          <w:sz w:val="26"/>
          <w:szCs w:val="26"/>
        </w:rPr>
        <w:t xml:space="preserve">constructively engage with SED on the negotiation of </w:t>
      </w:r>
      <w:r>
        <w:rPr>
          <w:sz w:val="26"/>
          <w:szCs w:val="26"/>
        </w:rPr>
        <w:t xml:space="preserve">the Administrative </w:t>
      </w:r>
      <w:r>
        <w:rPr>
          <w:sz w:val="26"/>
          <w:szCs w:val="26"/>
        </w:rPr>
        <w:lastRenderedPageBreak/>
        <w:t>Consent Order</w:t>
      </w:r>
      <w:r w:rsidRPr="006E5E46">
        <w:rPr>
          <w:sz w:val="26"/>
          <w:szCs w:val="26"/>
        </w:rPr>
        <w:t xml:space="preserve"> </w:t>
      </w:r>
      <w:r>
        <w:rPr>
          <w:sz w:val="26"/>
          <w:szCs w:val="26"/>
        </w:rPr>
        <w:t>and Agreement</w:t>
      </w:r>
      <w:r w:rsidRPr="003866DA">
        <w:rPr>
          <w:sz w:val="26"/>
          <w:szCs w:val="26"/>
        </w:rPr>
        <w:t>, and SED explicitly</w:t>
      </w:r>
      <w:r>
        <w:rPr>
          <w:sz w:val="26"/>
          <w:szCs w:val="26"/>
        </w:rPr>
        <w:t xml:space="preserve"> </w:t>
      </w:r>
      <w:r w:rsidRPr="003866DA">
        <w:rPr>
          <w:sz w:val="26"/>
          <w:szCs w:val="26"/>
        </w:rPr>
        <w:t>considered a range of evidentiary and other matters</w:t>
      </w:r>
      <w:r w:rsidR="00E43E7C">
        <w:rPr>
          <w:sz w:val="26"/>
          <w:szCs w:val="26"/>
        </w:rPr>
        <w:t>, including SCE’s factual disputes and legal defenses to the allegations set forth in SED’s investigation reports,</w:t>
      </w:r>
      <w:r w:rsidRPr="003866DA">
        <w:rPr>
          <w:sz w:val="26"/>
          <w:szCs w:val="26"/>
        </w:rPr>
        <w:t xml:space="preserve"> that would bear upon </w:t>
      </w:r>
      <w:r w:rsidR="00E43E7C">
        <w:rPr>
          <w:sz w:val="26"/>
          <w:szCs w:val="26"/>
        </w:rPr>
        <w:t>SED’s</w:t>
      </w:r>
      <w:r w:rsidRPr="003866DA" w:rsidR="00E43E7C">
        <w:rPr>
          <w:sz w:val="26"/>
          <w:szCs w:val="26"/>
        </w:rPr>
        <w:t xml:space="preserve"> </w:t>
      </w:r>
      <w:r w:rsidRPr="003866DA">
        <w:rPr>
          <w:sz w:val="26"/>
          <w:szCs w:val="26"/>
        </w:rPr>
        <w:t>pursuit</w:t>
      </w:r>
      <w:r>
        <w:rPr>
          <w:sz w:val="26"/>
          <w:szCs w:val="26"/>
        </w:rPr>
        <w:t xml:space="preserve"> </w:t>
      </w:r>
      <w:r w:rsidRPr="003866DA">
        <w:rPr>
          <w:sz w:val="26"/>
          <w:szCs w:val="26"/>
        </w:rPr>
        <w:t>of enforcement actions seeking penalties or citations on disputed issues of fact and</w:t>
      </w:r>
      <w:r>
        <w:rPr>
          <w:sz w:val="26"/>
          <w:szCs w:val="26"/>
        </w:rPr>
        <w:t xml:space="preserve"> </w:t>
      </w:r>
      <w:r w:rsidRPr="003866DA">
        <w:rPr>
          <w:sz w:val="26"/>
          <w:szCs w:val="26"/>
        </w:rPr>
        <w:t xml:space="preserve">law. </w:t>
      </w:r>
      <w:r>
        <w:rPr>
          <w:sz w:val="26"/>
          <w:szCs w:val="26"/>
        </w:rPr>
        <w:t xml:space="preserve"> </w:t>
      </w:r>
      <w:r w:rsidRPr="003866DA">
        <w:rPr>
          <w:sz w:val="26"/>
          <w:szCs w:val="26"/>
        </w:rPr>
        <w:t xml:space="preserve">When taken as a whole, the Parties agree that the </w:t>
      </w:r>
      <w:r w:rsidR="0015046B">
        <w:rPr>
          <w:sz w:val="26"/>
          <w:szCs w:val="26"/>
        </w:rPr>
        <w:t>agreed-upon fines, safety measures and disallowances</w:t>
      </w:r>
      <w:r w:rsidRPr="003866DA">
        <w:rPr>
          <w:sz w:val="26"/>
          <w:szCs w:val="26"/>
        </w:rPr>
        <w:t xml:space="preserve"> are within the range of reasonable outcomes had the matters proceeded to formal</w:t>
      </w:r>
      <w:r>
        <w:rPr>
          <w:sz w:val="26"/>
          <w:szCs w:val="26"/>
        </w:rPr>
        <w:t xml:space="preserve"> </w:t>
      </w:r>
      <w:r w:rsidRPr="003866DA">
        <w:rPr>
          <w:sz w:val="26"/>
          <w:szCs w:val="26"/>
        </w:rPr>
        <w:t>litigation.</w:t>
      </w:r>
    </w:p>
    <w:p w:rsidRPr="001028A2" w:rsidR="00426552" w:rsidP="003B1DBD" w:rsidRDefault="00426552" w14:paraId="22C6B096" w14:textId="77777777">
      <w:pPr>
        <w:tabs>
          <w:tab w:val="right" w:pos="10080"/>
        </w:tabs>
        <w:jc w:val="both"/>
        <w:rPr>
          <w:sz w:val="26"/>
          <w:szCs w:val="26"/>
        </w:rPr>
      </w:pPr>
    </w:p>
    <w:p w:rsidRPr="00054D60" w:rsidR="003B1DBD" w:rsidP="00054D60" w:rsidRDefault="003B1DBD" w14:paraId="227CEE9F" w14:textId="47213EFD">
      <w:pPr>
        <w:tabs>
          <w:tab w:val="right" w:pos="10080"/>
        </w:tabs>
        <w:jc w:val="both"/>
        <w:rPr>
          <w:b/>
          <w:bCs/>
          <w:sz w:val="26"/>
          <w:szCs w:val="26"/>
          <w:u w:val="single"/>
        </w:rPr>
      </w:pPr>
      <w:r w:rsidRPr="00054D60">
        <w:rPr>
          <w:b/>
          <w:bCs/>
          <w:sz w:val="26"/>
          <w:szCs w:val="26"/>
          <w:u w:val="single"/>
        </w:rPr>
        <w:t>COMMENTS</w:t>
      </w:r>
      <w:r w:rsidRPr="00054D60" w:rsidR="00D86502">
        <w:rPr>
          <w:b/>
          <w:bCs/>
          <w:sz w:val="26"/>
          <w:szCs w:val="26"/>
          <w:u w:val="single"/>
        </w:rPr>
        <w:t xml:space="preserve"> ON DRAFT RESOLUTION</w:t>
      </w:r>
    </w:p>
    <w:p w:rsidRPr="00054D60" w:rsidR="003B1DBD" w:rsidP="00054D60" w:rsidRDefault="003B1DBD" w14:paraId="2DDB0542" w14:textId="77777777">
      <w:pPr>
        <w:tabs>
          <w:tab w:val="right" w:pos="10080"/>
        </w:tabs>
        <w:jc w:val="both"/>
        <w:rPr>
          <w:sz w:val="26"/>
          <w:szCs w:val="26"/>
        </w:rPr>
      </w:pPr>
    </w:p>
    <w:p w:rsidR="003B1DBD" w:rsidP="00054D60" w:rsidRDefault="003F33C2" w14:paraId="466570FE" w14:textId="0B4F1C9E">
      <w:pPr>
        <w:tabs>
          <w:tab w:val="right" w:pos="10080"/>
        </w:tabs>
        <w:rPr>
          <w:sz w:val="26"/>
          <w:szCs w:val="26"/>
        </w:rPr>
      </w:pPr>
      <w:r w:rsidRPr="001028A2">
        <w:rPr>
          <w:sz w:val="26"/>
          <w:szCs w:val="26"/>
        </w:rPr>
        <w:t xml:space="preserve">The Draft Resolution was </w:t>
      </w:r>
      <w:r w:rsidR="00C72D36">
        <w:rPr>
          <w:sz w:val="26"/>
          <w:szCs w:val="26"/>
        </w:rPr>
        <w:t xml:space="preserve">served </w:t>
      </w:r>
      <w:r w:rsidR="005F1396">
        <w:rPr>
          <w:sz w:val="26"/>
          <w:szCs w:val="26"/>
        </w:rPr>
        <w:t xml:space="preserve">by email </w:t>
      </w:r>
      <w:r w:rsidR="00AB62B1">
        <w:rPr>
          <w:sz w:val="26"/>
          <w:szCs w:val="26"/>
        </w:rPr>
        <w:t xml:space="preserve">to </w:t>
      </w:r>
      <w:r w:rsidR="00C97B90">
        <w:rPr>
          <w:sz w:val="26"/>
          <w:szCs w:val="26"/>
        </w:rPr>
        <w:t xml:space="preserve">the </w:t>
      </w:r>
      <w:r w:rsidR="00033EEC">
        <w:rPr>
          <w:sz w:val="26"/>
          <w:szCs w:val="26"/>
        </w:rPr>
        <w:t xml:space="preserve">service list </w:t>
      </w:r>
      <w:r w:rsidRPr="001028A2">
        <w:rPr>
          <w:sz w:val="26"/>
          <w:szCs w:val="26"/>
        </w:rPr>
        <w:t>on November 2, 2021, in accordance with Cal. Pub. Util. Code § 311(g</w:t>
      </w:r>
      <w:r w:rsidR="00054D60">
        <w:rPr>
          <w:sz w:val="26"/>
          <w:szCs w:val="26"/>
        </w:rPr>
        <w:t>)</w:t>
      </w:r>
      <w:r w:rsidR="00465A5B">
        <w:rPr>
          <w:sz w:val="26"/>
          <w:szCs w:val="26"/>
        </w:rPr>
        <w:t>.</w:t>
      </w:r>
      <w:r w:rsidR="00054D60">
        <w:rPr>
          <w:sz w:val="26"/>
          <w:szCs w:val="26"/>
        </w:rPr>
        <w:t xml:space="preserve"> </w:t>
      </w:r>
      <w:r w:rsidR="00465A5B">
        <w:rPr>
          <w:sz w:val="26"/>
          <w:szCs w:val="26"/>
        </w:rPr>
        <w:t xml:space="preserve"> </w:t>
      </w:r>
      <w:r w:rsidR="00537E67">
        <w:rPr>
          <w:sz w:val="26"/>
          <w:szCs w:val="26"/>
        </w:rPr>
        <w:t xml:space="preserve">Comments were </w:t>
      </w:r>
      <w:r w:rsidRPr="001028A2">
        <w:rPr>
          <w:sz w:val="26"/>
          <w:szCs w:val="26"/>
        </w:rPr>
        <w:t xml:space="preserve">received </w:t>
      </w:r>
      <w:r w:rsidR="00537E67">
        <w:rPr>
          <w:sz w:val="26"/>
          <w:szCs w:val="26"/>
        </w:rPr>
        <w:t>from</w:t>
      </w:r>
      <w:r w:rsidR="002C69FE">
        <w:rPr>
          <w:sz w:val="26"/>
          <w:szCs w:val="26"/>
        </w:rPr>
        <w:t xml:space="preserve"> </w:t>
      </w:r>
      <w:r w:rsidR="00104B90">
        <w:rPr>
          <w:sz w:val="26"/>
          <w:szCs w:val="26"/>
        </w:rPr>
        <w:t>the County of Santa Barbara</w:t>
      </w:r>
      <w:r w:rsidR="00AB3379">
        <w:rPr>
          <w:sz w:val="26"/>
          <w:szCs w:val="26"/>
        </w:rPr>
        <w:t xml:space="preserve"> (Santa Barbara)</w:t>
      </w:r>
      <w:r w:rsidR="00104B90">
        <w:rPr>
          <w:sz w:val="26"/>
          <w:szCs w:val="26"/>
        </w:rPr>
        <w:t xml:space="preserve">, and jointly from The Utility Reform Network (TURN) and the </w:t>
      </w:r>
      <w:r w:rsidRPr="006C3017" w:rsidR="00104B90">
        <w:rPr>
          <w:sz w:val="26"/>
          <w:szCs w:val="26"/>
        </w:rPr>
        <w:t>Public Advocates Office at the California Public Utilities Commission (Cal Advocates)</w:t>
      </w:r>
      <w:r w:rsidR="00387997">
        <w:rPr>
          <w:sz w:val="26"/>
          <w:szCs w:val="26"/>
        </w:rPr>
        <w:t>.</w:t>
      </w:r>
    </w:p>
    <w:p w:rsidR="00521620" w:rsidP="00054D60" w:rsidRDefault="00521620" w14:paraId="060ABF14" w14:textId="6551070E">
      <w:pPr>
        <w:tabs>
          <w:tab w:val="right" w:pos="10080"/>
        </w:tabs>
        <w:rPr>
          <w:sz w:val="26"/>
          <w:szCs w:val="26"/>
        </w:rPr>
      </w:pPr>
    </w:p>
    <w:p w:rsidR="00B05CC9" w:rsidP="00AC4E43" w:rsidRDefault="00402DF0" w14:paraId="53A8073C" w14:textId="20B4022B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Santa Barbara recommended revisions to the </w:t>
      </w:r>
      <w:r w:rsidR="00DC0AA5">
        <w:rPr>
          <w:sz w:val="26"/>
          <w:szCs w:val="26"/>
        </w:rPr>
        <w:t xml:space="preserve">sections of the </w:t>
      </w:r>
      <w:r>
        <w:rPr>
          <w:sz w:val="26"/>
          <w:szCs w:val="26"/>
        </w:rPr>
        <w:t>A</w:t>
      </w:r>
      <w:r w:rsidR="00DC0AA5">
        <w:rPr>
          <w:sz w:val="26"/>
          <w:szCs w:val="26"/>
        </w:rPr>
        <w:t xml:space="preserve">dministrative </w:t>
      </w:r>
      <w:r>
        <w:rPr>
          <w:sz w:val="26"/>
          <w:szCs w:val="26"/>
        </w:rPr>
        <w:t>C</w:t>
      </w:r>
      <w:r w:rsidR="00DC0AA5">
        <w:rPr>
          <w:sz w:val="26"/>
          <w:szCs w:val="26"/>
        </w:rPr>
        <w:t xml:space="preserve">onsent Order and Agreement that address </w:t>
      </w:r>
      <w:r>
        <w:rPr>
          <w:sz w:val="26"/>
          <w:szCs w:val="26"/>
        </w:rPr>
        <w:t>Safety Measures, Community Engagement and Protection</w:t>
      </w:r>
      <w:r w:rsidR="00587302">
        <w:rPr>
          <w:sz w:val="26"/>
          <w:szCs w:val="26"/>
        </w:rPr>
        <w:t>, and</w:t>
      </w:r>
      <w:r>
        <w:rPr>
          <w:sz w:val="26"/>
          <w:szCs w:val="26"/>
        </w:rPr>
        <w:t xml:space="preserve"> Financial Contributions to Safety and Wildfire Mitigation Focused Non-Profit Organizations, such as requiring that these efforts be prioritized to occur within areas impacted by the 2017/2018 Southern California Fires, and that they be coordinated with emergency management and fire response agencies </w:t>
      </w:r>
      <w:r w:rsidR="00627780">
        <w:rPr>
          <w:sz w:val="26"/>
          <w:szCs w:val="26"/>
        </w:rPr>
        <w:t>in</w:t>
      </w:r>
      <w:r>
        <w:rPr>
          <w:sz w:val="26"/>
          <w:szCs w:val="26"/>
        </w:rPr>
        <w:t xml:space="preserve"> th</w:t>
      </w:r>
      <w:r w:rsidR="00627780">
        <w:rPr>
          <w:sz w:val="26"/>
          <w:szCs w:val="26"/>
        </w:rPr>
        <w:t xml:space="preserve">e impacted </w:t>
      </w:r>
      <w:r>
        <w:rPr>
          <w:sz w:val="26"/>
          <w:szCs w:val="26"/>
        </w:rPr>
        <w:t>areas.</w:t>
      </w:r>
      <w:r w:rsidRPr="006C2D80" w:rsidR="000E5734">
        <w:rPr>
          <w:rStyle w:val="FootnoteReference"/>
          <w:b/>
          <w:bCs/>
          <w:sz w:val="26"/>
          <w:szCs w:val="26"/>
          <w:u w:val="single"/>
        </w:rPr>
        <w:footnoteReference w:id="5"/>
      </w:r>
    </w:p>
    <w:p w:rsidR="00402DF0" w:rsidP="00AC4E43" w:rsidRDefault="00402DF0" w14:paraId="62FD33E9" w14:textId="77777777">
      <w:pPr>
        <w:pStyle w:val="Default"/>
        <w:rPr>
          <w:sz w:val="26"/>
          <w:szCs w:val="26"/>
        </w:rPr>
      </w:pPr>
    </w:p>
    <w:p w:rsidR="00640DE3" w:rsidP="00AC4E43" w:rsidRDefault="00640DE3" w14:paraId="141E58EA" w14:textId="4A9A6C5B">
      <w:pPr>
        <w:pStyle w:val="Default"/>
        <w:rPr>
          <w:sz w:val="26"/>
          <w:szCs w:val="26"/>
        </w:rPr>
      </w:pPr>
      <w:r>
        <w:rPr>
          <w:sz w:val="26"/>
          <w:szCs w:val="26"/>
        </w:rPr>
        <w:t>Santa Barbara also expressed concern that the Commission’s A</w:t>
      </w:r>
      <w:r w:rsidR="00DC0AA5">
        <w:rPr>
          <w:sz w:val="26"/>
          <w:szCs w:val="26"/>
        </w:rPr>
        <w:t xml:space="preserve">dministrative </w:t>
      </w:r>
      <w:r>
        <w:rPr>
          <w:sz w:val="26"/>
          <w:szCs w:val="26"/>
        </w:rPr>
        <w:t>C</w:t>
      </w:r>
      <w:r w:rsidR="00DC0AA5">
        <w:rPr>
          <w:sz w:val="26"/>
          <w:szCs w:val="26"/>
        </w:rPr>
        <w:t xml:space="preserve">onsent </w:t>
      </w:r>
      <w:r>
        <w:rPr>
          <w:sz w:val="26"/>
          <w:szCs w:val="26"/>
        </w:rPr>
        <w:t>O</w:t>
      </w:r>
      <w:r w:rsidR="00DC0AA5">
        <w:rPr>
          <w:sz w:val="26"/>
          <w:szCs w:val="26"/>
        </w:rPr>
        <w:t>rder</w:t>
      </w:r>
      <w:r>
        <w:rPr>
          <w:sz w:val="26"/>
          <w:szCs w:val="26"/>
        </w:rPr>
        <w:t xml:space="preserve"> process </w:t>
      </w:r>
      <w:r w:rsidR="00747C20">
        <w:rPr>
          <w:sz w:val="26"/>
          <w:szCs w:val="26"/>
        </w:rPr>
        <w:t xml:space="preserve">does not provide </w:t>
      </w:r>
      <w:r w:rsidR="00562921">
        <w:rPr>
          <w:sz w:val="26"/>
          <w:szCs w:val="26"/>
        </w:rPr>
        <w:t>an opportunity for early input from impacted communities or the same level of transparency as in past enforcement matters</w:t>
      </w:r>
      <w:r>
        <w:rPr>
          <w:sz w:val="26"/>
          <w:szCs w:val="26"/>
        </w:rPr>
        <w:t>.</w:t>
      </w:r>
      <w:r w:rsidRPr="006C2D80">
        <w:rPr>
          <w:rStyle w:val="FootnoteReference"/>
          <w:b/>
          <w:bCs/>
          <w:sz w:val="26"/>
          <w:szCs w:val="26"/>
          <w:u w:val="single"/>
        </w:rPr>
        <w:footnoteReference w:id="6"/>
      </w:r>
    </w:p>
    <w:p w:rsidR="00640DE3" w:rsidP="00AC4E43" w:rsidRDefault="00640DE3" w14:paraId="402EB1BF" w14:textId="77777777">
      <w:pPr>
        <w:pStyle w:val="Default"/>
        <w:rPr>
          <w:sz w:val="26"/>
          <w:szCs w:val="26"/>
        </w:rPr>
      </w:pPr>
    </w:p>
    <w:p w:rsidR="00AC4E43" w:rsidP="00AC4E43" w:rsidRDefault="00AC4E43" w14:paraId="4C3D8E57" w14:textId="0E5BB3BB">
      <w:pPr>
        <w:pStyle w:val="Default"/>
        <w:rPr>
          <w:sz w:val="26"/>
          <w:szCs w:val="26"/>
        </w:rPr>
      </w:pPr>
      <w:r>
        <w:rPr>
          <w:sz w:val="26"/>
          <w:szCs w:val="26"/>
        </w:rPr>
        <w:t>TURN and Cal Advocates argue</w:t>
      </w:r>
      <w:r w:rsidR="004128A5">
        <w:rPr>
          <w:sz w:val="26"/>
          <w:szCs w:val="26"/>
        </w:rPr>
        <w:t>d</w:t>
      </w:r>
      <w:r>
        <w:rPr>
          <w:sz w:val="26"/>
          <w:szCs w:val="26"/>
        </w:rPr>
        <w:t xml:space="preserve"> that the use of the A</w:t>
      </w:r>
      <w:r w:rsidR="00DC0AA5">
        <w:rPr>
          <w:sz w:val="26"/>
          <w:szCs w:val="26"/>
        </w:rPr>
        <w:t xml:space="preserve">dministrative </w:t>
      </w:r>
      <w:r>
        <w:rPr>
          <w:sz w:val="26"/>
          <w:szCs w:val="26"/>
        </w:rPr>
        <w:t>C</w:t>
      </w:r>
      <w:r w:rsidR="00DC0AA5">
        <w:rPr>
          <w:sz w:val="26"/>
          <w:szCs w:val="26"/>
        </w:rPr>
        <w:t xml:space="preserve">onsent </w:t>
      </w:r>
      <w:r>
        <w:rPr>
          <w:sz w:val="26"/>
          <w:szCs w:val="26"/>
        </w:rPr>
        <w:t>O</w:t>
      </w:r>
      <w:r w:rsidR="00DC0AA5">
        <w:rPr>
          <w:sz w:val="26"/>
          <w:szCs w:val="26"/>
        </w:rPr>
        <w:t>rder</w:t>
      </w:r>
      <w:r>
        <w:rPr>
          <w:sz w:val="26"/>
          <w:szCs w:val="26"/>
        </w:rPr>
        <w:t xml:space="preserve"> process for fire</w:t>
      </w:r>
      <w:r w:rsidR="00CB42AD">
        <w:rPr>
          <w:sz w:val="26"/>
          <w:szCs w:val="26"/>
        </w:rPr>
        <w:t>s</w:t>
      </w:r>
      <w:r>
        <w:rPr>
          <w:sz w:val="26"/>
          <w:szCs w:val="26"/>
        </w:rPr>
        <w:t xml:space="preserve"> of the severity of the 2017/2018 Southern California </w:t>
      </w:r>
      <w:r w:rsidR="007631B3">
        <w:rPr>
          <w:sz w:val="26"/>
          <w:szCs w:val="26"/>
        </w:rPr>
        <w:t xml:space="preserve">Fires </w:t>
      </w:r>
      <w:r>
        <w:rPr>
          <w:sz w:val="26"/>
          <w:szCs w:val="26"/>
        </w:rPr>
        <w:t xml:space="preserve">is inappropriate, and that the Commission should have used an Order Instituting Investigation (OII) to open a formal proceeding. </w:t>
      </w:r>
      <w:r w:rsidR="004D126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According to TURN and Cal Advocates, an OII would provide an </w:t>
      </w:r>
      <w:r w:rsidRPr="00191129">
        <w:rPr>
          <w:sz w:val="26"/>
          <w:szCs w:val="26"/>
        </w:rPr>
        <w:t xml:space="preserve">opportunity for </w:t>
      </w:r>
      <w:r>
        <w:rPr>
          <w:sz w:val="26"/>
          <w:szCs w:val="26"/>
        </w:rPr>
        <w:t xml:space="preserve">more parties </w:t>
      </w:r>
      <w:r w:rsidRPr="00191129">
        <w:rPr>
          <w:sz w:val="26"/>
          <w:szCs w:val="26"/>
        </w:rPr>
        <w:t xml:space="preserve">to participate in the review of </w:t>
      </w:r>
      <w:r>
        <w:rPr>
          <w:sz w:val="26"/>
          <w:szCs w:val="26"/>
        </w:rPr>
        <w:t>SCE</w:t>
      </w:r>
      <w:r w:rsidRPr="00191129">
        <w:rPr>
          <w:sz w:val="26"/>
          <w:szCs w:val="26"/>
        </w:rPr>
        <w:t xml:space="preserve">’s actions, and to weigh in on the appropriate fines, penalties, disallowances or other measures that should be imposed on </w:t>
      </w:r>
      <w:r>
        <w:rPr>
          <w:sz w:val="26"/>
          <w:szCs w:val="26"/>
        </w:rPr>
        <w:t>SCE.</w:t>
      </w:r>
      <w:r w:rsidRPr="006C2D80">
        <w:rPr>
          <w:rStyle w:val="FootnoteReference"/>
          <w:b/>
          <w:bCs/>
          <w:sz w:val="26"/>
          <w:szCs w:val="26"/>
          <w:u w:val="single"/>
        </w:rPr>
        <w:footnoteReference w:id="7"/>
      </w:r>
      <w:r>
        <w:rPr>
          <w:sz w:val="26"/>
          <w:szCs w:val="26"/>
        </w:rPr>
        <w:t xml:space="preserve"> </w:t>
      </w:r>
    </w:p>
    <w:p w:rsidR="00AC4E43" w:rsidP="00AC4E43" w:rsidRDefault="00AC4E43" w14:paraId="708A75EC" w14:textId="67B871D6">
      <w:pPr>
        <w:pStyle w:val="Default"/>
        <w:rPr>
          <w:sz w:val="26"/>
          <w:szCs w:val="26"/>
        </w:rPr>
      </w:pPr>
    </w:p>
    <w:p w:rsidRPr="001028A2" w:rsidR="00521620" w:rsidP="00AC4E43" w:rsidRDefault="00AC4E43" w14:paraId="7088850A" w14:textId="17BFE1EF">
      <w:pPr>
        <w:tabs>
          <w:tab w:val="right" w:pos="10080"/>
        </w:tabs>
        <w:rPr>
          <w:sz w:val="26"/>
          <w:szCs w:val="26"/>
        </w:rPr>
      </w:pPr>
      <w:r>
        <w:rPr>
          <w:sz w:val="26"/>
          <w:szCs w:val="26"/>
        </w:rPr>
        <w:t xml:space="preserve">TURN and Cal Advocates </w:t>
      </w:r>
      <w:r w:rsidR="004128A5">
        <w:rPr>
          <w:sz w:val="26"/>
          <w:szCs w:val="26"/>
        </w:rPr>
        <w:t xml:space="preserve">also </w:t>
      </w:r>
      <w:r>
        <w:rPr>
          <w:sz w:val="26"/>
          <w:szCs w:val="26"/>
        </w:rPr>
        <w:t>raise</w:t>
      </w:r>
      <w:r w:rsidR="004128A5">
        <w:rPr>
          <w:sz w:val="26"/>
          <w:szCs w:val="26"/>
        </w:rPr>
        <w:t>d</w:t>
      </w:r>
      <w:r>
        <w:rPr>
          <w:sz w:val="26"/>
          <w:szCs w:val="26"/>
        </w:rPr>
        <w:t xml:space="preserve"> other issues, including that the settlement is essentially a “black box” </w:t>
      </w:r>
      <w:r w:rsidR="00CC7B51">
        <w:rPr>
          <w:sz w:val="26"/>
          <w:szCs w:val="26"/>
        </w:rPr>
        <w:t xml:space="preserve">and </w:t>
      </w:r>
      <w:r>
        <w:rPr>
          <w:sz w:val="26"/>
          <w:szCs w:val="26"/>
        </w:rPr>
        <w:t>it</w:t>
      </w:r>
      <w:r w:rsidR="00CC7B51">
        <w:rPr>
          <w:sz w:val="26"/>
          <w:szCs w:val="26"/>
        </w:rPr>
        <w:t xml:space="preserve"> is </w:t>
      </w:r>
      <w:r>
        <w:rPr>
          <w:sz w:val="26"/>
          <w:szCs w:val="26"/>
        </w:rPr>
        <w:t>difficult to determine the basis for and reasonableness of the proposed settlement</w:t>
      </w:r>
      <w:r w:rsidR="00CC7B51">
        <w:rPr>
          <w:sz w:val="26"/>
          <w:szCs w:val="26"/>
        </w:rPr>
        <w:t xml:space="preserve"> and </w:t>
      </w:r>
      <w:r w:rsidR="00206078">
        <w:rPr>
          <w:sz w:val="26"/>
          <w:szCs w:val="26"/>
        </w:rPr>
        <w:t>its elements such as tax treatment</w:t>
      </w:r>
      <w:r>
        <w:rPr>
          <w:sz w:val="26"/>
          <w:szCs w:val="26"/>
        </w:rPr>
        <w:t xml:space="preserve">, and </w:t>
      </w:r>
      <w:r w:rsidR="0033025E">
        <w:rPr>
          <w:sz w:val="26"/>
          <w:szCs w:val="26"/>
        </w:rPr>
        <w:t xml:space="preserve">whether the </w:t>
      </w:r>
      <w:r w:rsidR="0033025E">
        <w:rPr>
          <w:sz w:val="26"/>
          <w:szCs w:val="26"/>
        </w:rPr>
        <w:lastRenderedPageBreak/>
        <w:t xml:space="preserve">proposed disallowance amount for third-party uninsured claims payments should be increased as a result of the </w:t>
      </w:r>
      <w:r w:rsidR="00206078">
        <w:rPr>
          <w:sz w:val="26"/>
          <w:szCs w:val="26"/>
        </w:rPr>
        <w:t xml:space="preserve">uncertainty regarding SCE’s prospects </w:t>
      </w:r>
      <w:r w:rsidR="0033025E">
        <w:rPr>
          <w:sz w:val="26"/>
          <w:szCs w:val="26"/>
        </w:rPr>
        <w:t xml:space="preserve">for recovering </w:t>
      </w:r>
      <w:r w:rsidR="007A3EC3">
        <w:rPr>
          <w:sz w:val="26"/>
          <w:szCs w:val="26"/>
        </w:rPr>
        <w:t xml:space="preserve">those costs </w:t>
      </w:r>
      <w:r w:rsidR="0033025E">
        <w:rPr>
          <w:sz w:val="26"/>
          <w:szCs w:val="26"/>
        </w:rPr>
        <w:t>in rates</w:t>
      </w:r>
      <w:r>
        <w:rPr>
          <w:sz w:val="26"/>
          <w:szCs w:val="26"/>
        </w:rPr>
        <w:t>.</w:t>
      </w:r>
      <w:r w:rsidRPr="006C2D80">
        <w:rPr>
          <w:rStyle w:val="FootnoteReference"/>
          <w:b/>
          <w:bCs/>
          <w:sz w:val="26"/>
          <w:szCs w:val="26"/>
          <w:u w:val="single"/>
        </w:rPr>
        <w:footnoteReference w:id="8"/>
      </w:r>
    </w:p>
    <w:p w:rsidR="00542E91" w:rsidP="00054D60" w:rsidRDefault="00542E91" w14:paraId="7687CF7E" w14:textId="7B751D83">
      <w:pPr>
        <w:tabs>
          <w:tab w:val="right" w:pos="10080"/>
        </w:tabs>
        <w:jc w:val="both"/>
        <w:rPr>
          <w:sz w:val="26"/>
          <w:szCs w:val="26"/>
        </w:rPr>
      </w:pPr>
    </w:p>
    <w:p w:rsidRPr="00885F8C" w:rsidR="00E24DE4" w:rsidP="00FC2DA6" w:rsidRDefault="00E24DE4" w14:paraId="56FA367B" w14:textId="46AB6A1E">
      <w:pPr>
        <w:rPr>
          <w:sz w:val="26"/>
          <w:szCs w:val="26"/>
        </w:rPr>
      </w:pPr>
      <w:r>
        <w:rPr>
          <w:sz w:val="26"/>
          <w:szCs w:val="26"/>
        </w:rPr>
        <w:t>Based on comments from TURN and Cal Advocates,</w:t>
      </w:r>
      <w:r w:rsidRPr="004D126A">
        <w:rPr>
          <w:rStyle w:val="FootnoteReference"/>
          <w:b/>
          <w:bCs/>
          <w:sz w:val="26"/>
          <w:szCs w:val="26"/>
          <w:u w:val="single"/>
        </w:rPr>
        <w:footnoteReference w:id="9"/>
      </w:r>
      <w:r>
        <w:rPr>
          <w:sz w:val="26"/>
          <w:szCs w:val="26"/>
        </w:rPr>
        <w:t xml:space="preserve"> SCE and SED agree to remove the following language in Paragraph 3.C. of the Administrative Consent Order and Agreement: “SED shall not participate as a party in any future cost recovery proceeding about SCE’s conduct related to the 2017/2018 Southern California Fires, nor shall it oppose any request by SCE to recover costs related to the 2017/2018 Southern California Fires in any future cost recovery proceeding.” </w:t>
      </w:r>
      <w:r w:rsidR="004D126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SCE and SED represent that their intention was not to bar SED from offering information and/or testimony in relevant proceedings about matters bearing on </w:t>
      </w:r>
      <w:r w:rsidR="004D126A">
        <w:rPr>
          <w:sz w:val="26"/>
          <w:szCs w:val="26"/>
        </w:rPr>
        <w:t>its</w:t>
      </w:r>
      <w:r>
        <w:rPr>
          <w:sz w:val="26"/>
          <w:szCs w:val="26"/>
        </w:rPr>
        <w:t xml:space="preserve"> expertise, which could be accomplished through means other than party participation.</w:t>
      </w:r>
      <w:r>
        <w:t xml:space="preserve"> </w:t>
      </w:r>
    </w:p>
    <w:p w:rsidR="00E24DE4" w:rsidP="00054D60" w:rsidRDefault="00E24DE4" w14:paraId="50CC7537" w14:textId="77777777">
      <w:pPr>
        <w:tabs>
          <w:tab w:val="right" w:pos="10080"/>
        </w:tabs>
        <w:jc w:val="both"/>
        <w:rPr>
          <w:sz w:val="26"/>
          <w:szCs w:val="26"/>
        </w:rPr>
      </w:pPr>
    </w:p>
    <w:p w:rsidRPr="001028A2" w:rsidR="00EC26BF" w:rsidP="00054D60" w:rsidRDefault="00587302" w14:paraId="0B963BF7" w14:textId="6E43B225">
      <w:pPr>
        <w:tabs>
          <w:tab w:val="right" w:pos="10080"/>
        </w:tabs>
        <w:jc w:val="both"/>
        <w:rPr>
          <w:sz w:val="26"/>
          <w:szCs w:val="26"/>
        </w:rPr>
      </w:pPr>
      <w:r>
        <w:rPr>
          <w:sz w:val="26"/>
          <w:szCs w:val="26"/>
        </w:rPr>
        <w:t>N</w:t>
      </w:r>
      <w:r w:rsidR="00EC26BF">
        <w:rPr>
          <w:sz w:val="26"/>
          <w:szCs w:val="26"/>
        </w:rPr>
        <w:t xml:space="preserve">o </w:t>
      </w:r>
      <w:r w:rsidR="00E24DE4">
        <w:rPr>
          <w:sz w:val="26"/>
          <w:szCs w:val="26"/>
        </w:rPr>
        <w:t xml:space="preserve">other </w:t>
      </w:r>
      <w:r w:rsidR="00EC26BF">
        <w:rPr>
          <w:sz w:val="26"/>
          <w:szCs w:val="26"/>
        </w:rPr>
        <w:t>changes to the Draft Resolution have been made in response to comments.</w:t>
      </w:r>
    </w:p>
    <w:p w:rsidRPr="001028A2" w:rsidR="003B1DBD" w:rsidP="003B1DBD" w:rsidRDefault="003B1DBD" w14:paraId="3CACAD12" w14:textId="77777777">
      <w:pPr>
        <w:tabs>
          <w:tab w:val="right" w:pos="10080"/>
        </w:tabs>
        <w:jc w:val="both"/>
        <w:rPr>
          <w:sz w:val="26"/>
          <w:szCs w:val="26"/>
        </w:rPr>
      </w:pPr>
    </w:p>
    <w:p w:rsidRPr="00054D60" w:rsidR="003B1DBD" w:rsidP="00054D60" w:rsidRDefault="003B1DBD" w14:paraId="47785B7D" w14:textId="092E38E3">
      <w:pPr>
        <w:tabs>
          <w:tab w:val="right" w:pos="10080"/>
        </w:tabs>
        <w:jc w:val="both"/>
        <w:rPr>
          <w:b/>
          <w:bCs/>
          <w:sz w:val="26"/>
          <w:szCs w:val="26"/>
          <w:u w:val="single"/>
        </w:rPr>
      </w:pPr>
      <w:r w:rsidRPr="00054D60">
        <w:rPr>
          <w:b/>
          <w:bCs/>
          <w:sz w:val="26"/>
          <w:szCs w:val="26"/>
          <w:u w:val="single"/>
        </w:rPr>
        <w:t>FINDINGS</w:t>
      </w:r>
      <w:r w:rsidRPr="00054D60" w:rsidR="00D86502">
        <w:rPr>
          <w:b/>
          <w:bCs/>
          <w:sz w:val="26"/>
          <w:szCs w:val="26"/>
          <w:u w:val="single"/>
        </w:rPr>
        <w:t xml:space="preserve"> AND CONCLUSIONS</w:t>
      </w:r>
    </w:p>
    <w:p w:rsidRPr="00054D60" w:rsidR="003B1DBD" w:rsidP="006C2D80" w:rsidRDefault="003B1DBD" w14:paraId="6F5A9CFB" w14:textId="77777777">
      <w:pPr>
        <w:tabs>
          <w:tab w:val="right" w:pos="10080"/>
        </w:tabs>
        <w:jc w:val="both"/>
        <w:rPr>
          <w:sz w:val="26"/>
          <w:szCs w:val="26"/>
        </w:rPr>
      </w:pPr>
    </w:p>
    <w:p w:rsidR="00CF1143" w:rsidP="00426552" w:rsidRDefault="009863B8" w14:paraId="7F10D435" w14:textId="1AC76D17">
      <w:pPr>
        <w:keepNext/>
        <w:numPr>
          <w:ilvl w:val="0"/>
          <w:numId w:val="1"/>
        </w:numPr>
        <w:tabs>
          <w:tab w:val="clear" w:pos="240"/>
        </w:tabs>
        <w:spacing w:after="120"/>
        <w:ind w:left="360" w:hanging="360"/>
        <w:rPr>
          <w:sz w:val="26"/>
          <w:szCs w:val="26"/>
        </w:rPr>
      </w:pPr>
      <w:r w:rsidRPr="009863B8">
        <w:rPr>
          <w:sz w:val="26"/>
          <w:szCs w:val="26"/>
        </w:rPr>
        <w:t>Resolution M-4846 authorized Commission staff to negotiate and propose an Administrative Consent Order to resolve a</w:t>
      </w:r>
      <w:r w:rsidR="00AC3E52">
        <w:rPr>
          <w:sz w:val="26"/>
          <w:szCs w:val="26"/>
        </w:rPr>
        <w:t>n</w:t>
      </w:r>
      <w:r w:rsidRPr="009863B8">
        <w:rPr>
          <w:sz w:val="26"/>
          <w:szCs w:val="26"/>
        </w:rPr>
        <w:t xml:space="preserve"> enforcement matter, subject to review and consideration by the Commission</w:t>
      </w:r>
      <w:r w:rsidR="00067468">
        <w:rPr>
          <w:sz w:val="26"/>
          <w:szCs w:val="26"/>
        </w:rPr>
        <w:t>.</w:t>
      </w:r>
    </w:p>
    <w:p w:rsidR="00E50E37" w:rsidP="00426552" w:rsidRDefault="000D0B12" w14:paraId="101AD73E" w14:textId="3D19E686">
      <w:pPr>
        <w:keepNext/>
        <w:numPr>
          <w:ilvl w:val="0"/>
          <w:numId w:val="1"/>
        </w:numPr>
        <w:tabs>
          <w:tab w:val="clear" w:pos="240"/>
        </w:tabs>
        <w:spacing w:after="120"/>
        <w:ind w:left="360" w:hanging="360"/>
        <w:rPr>
          <w:sz w:val="26"/>
          <w:szCs w:val="26"/>
        </w:rPr>
      </w:pPr>
      <w:r>
        <w:rPr>
          <w:sz w:val="26"/>
          <w:szCs w:val="26"/>
        </w:rPr>
        <w:t>SED and SCE have engaged in settlement negotiations and</w:t>
      </w:r>
      <w:r w:rsidR="00E50E37">
        <w:rPr>
          <w:sz w:val="26"/>
          <w:szCs w:val="26"/>
        </w:rPr>
        <w:t xml:space="preserve">, consistent with Resolution M-4846 and the Enforcement Policy, </w:t>
      </w:r>
      <w:r>
        <w:rPr>
          <w:sz w:val="26"/>
          <w:szCs w:val="26"/>
        </w:rPr>
        <w:t xml:space="preserve">have </w:t>
      </w:r>
      <w:r w:rsidR="00E50E37">
        <w:rPr>
          <w:sz w:val="26"/>
          <w:szCs w:val="26"/>
        </w:rPr>
        <w:t>memorialized their proposed settlement in the attached Administrative Consent Order and Agreement.</w:t>
      </w:r>
    </w:p>
    <w:p w:rsidRPr="001028A2" w:rsidR="003B1DBD" w:rsidP="00426552" w:rsidRDefault="00E50E37" w14:paraId="02452978" w14:textId="27F8F277">
      <w:pPr>
        <w:keepNext/>
        <w:numPr>
          <w:ilvl w:val="0"/>
          <w:numId w:val="1"/>
        </w:numPr>
        <w:tabs>
          <w:tab w:val="clear" w:pos="240"/>
        </w:tabs>
        <w:spacing w:after="120"/>
        <w:ind w:left="360" w:hanging="360"/>
        <w:rPr>
          <w:sz w:val="26"/>
          <w:szCs w:val="26"/>
        </w:rPr>
      </w:pPr>
      <w:r>
        <w:rPr>
          <w:sz w:val="26"/>
          <w:szCs w:val="26"/>
        </w:rPr>
        <w:t xml:space="preserve">SED and SCE have </w:t>
      </w:r>
      <w:r w:rsidR="000D0B12">
        <w:rPr>
          <w:sz w:val="26"/>
          <w:szCs w:val="26"/>
        </w:rPr>
        <w:t>agreed that</w:t>
      </w:r>
      <w:r w:rsidR="004D126A">
        <w:rPr>
          <w:sz w:val="26"/>
          <w:szCs w:val="26"/>
        </w:rPr>
        <w:t>, with their modifications to Paragraph 3.C. described herein, which we adopt,</w:t>
      </w:r>
      <w:r w:rsidR="000D0B12">
        <w:rPr>
          <w:sz w:val="26"/>
          <w:szCs w:val="26"/>
        </w:rPr>
        <w:t xml:space="preserve"> the attached Administrative Consent Order and Agreement resolves all issues related to SED’s investigations of </w:t>
      </w:r>
      <w:r w:rsidR="003D7807">
        <w:rPr>
          <w:sz w:val="26"/>
          <w:szCs w:val="26"/>
        </w:rPr>
        <w:t xml:space="preserve">and any enforcement action SED might have brought related to or arising from </w:t>
      </w:r>
      <w:r w:rsidR="000D0B12">
        <w:rPr>
          <w:sz w:val="26"/>
          <w:szCs w:val="26"/>
        </w:rPr>
        <w:t xml:space="preserve">the 2017/2018 Southern California Fires.  </w:t>
      </w:r>
    </w:p>
    <w:p w:rsidRPr="001028A2" w:rsidR="00311E0E" w:rsidP="00311E0E" w:rsidRDefault="00670537" w14:paraId="7873C06C" w14:textId="102C693A">
      <w:pPr>
        <w:numPr>
          <w:ilvl w:val="0"/>
          <w:numId w:val="1"/>
        </w:numPr>
        <w:tabs>
          <w:tab w:val="clear" w:pos="240"/>
        </w:tabs>
        <w:spacing w:after="120"/>
        <w:ind w:left="360" w:hanging="360"/>
        <w:rPr>
          <w:sz w:val="26"/>
          <w:szCs w:val="26"/>
        </w:rPr>
      </w:pPr>
      <w:r>
        <w:rPr>
          <w:sz w:val="26"/>
          <w:szCs w:val="26"/>
        </w:rPr>
        <w:t xml:space="preserve">The agreed-upon </w:t>
      </w:r>
      <w:r w:rsidR="00875254">
        <w:rPr>
          <w:sz w:val="26"/>
          <w:szCs w:val="26"/>
        </w:rPr>
        <w:t xml:space="preserve">fines, safety measures and disallowances </w:t>
      </w:r>
      <w:r>
        <w:rPr>
          <w:sz w:val="26"/>
          <w:szCs w:val="26"/>
        </w:rPr>
        <w:t xml:space="preserve">appropriately resolve all </w:t>
      </w:r>
      <w:r w:rsidR="007A6332">
        <w:rPr>
          <w:sz w:val="26"/>
          <w:szCs w:val="26"/>
        </w:rPr>
        <w:t>issues related to</w:t>
      </w:r>
      <w:r>
        <w:rPr>
          <w:sz w:val="26"/>
          <w:szCs w:val="26"/>
        </w:rPr>
        <w:t xml:space="preserve"> SED’s investigations</w:t>
      </w:r>
      <w:r w:rsidR="007A6332">
        <w:rPr>
          <w:sz w:val="26"/>
          <w:szCs w:val="26"/>
        </w:rPr>
        <w:t xml:space="preserve"> and any enforcement action SED may have brought</w:t>
      </w:r>
      <w:r>
        <w:rPr>
          <w:sz w:val="26"/>
          <w:szCs w:val="26"/>
        </w:rPr>
        <w:t>, are reasonable in light of the circumstances, consistent with the law, and in the public interest.</w:t>
      </w:r>
    </w:p>
    <w:p w:rsidRPr="001028A2" w:rsidR="003B1DBD" w:rsidP="001716EC" w:rsidRDefault="003B1DBD" w14:paraId="289BD70F" w14:textId="77777777">
      <w:pPr>
        <w:jc w:val="both"/>
        <w:rPr>
          <w:b/>
          <w:sz w:val="26"/>
          <w:szCs w:val="26"/>
        </w:rPr>
      </w:pPr>
    </w:p>
    <w:p w:rsidRPr="001028A2" w:rsidR="003B1DBD" w:rsidP="007E4C16" w:rsidRDefault="003B1DBD" w14:paraId="7D96260D" w14:textId="3A38DC79">
      <w:pPr>
        <w:keepNext/>
        <w:tabs>
          <w:tab w:val="left" w:pos="5040"/>
        </w:tabs>
        <w:jc w:val="both"/>
        <w:rPr>
          <w:sz w:val="26"/>
          <w:szCs w:val="26"/>
        </w:rPr>
      </w:pPr>
      <w:r w:rsidRPr="001028A2">
        <w:rPr>
          <w:b/>
          <w:sz w:val="26"/>
          <w:szCs w:val="26"/>
        </w:rPr>
        <w:t>THER</w:t>
      </w:r>
      <w:r w:rsidR="00DB4057">
        <w:rPr>
          <w:b/>
          <w:sz w:val="26"/>
          <w:szCs w:val="26"/>
        </w:rPr>
        <w:t>E</w:t>
      </w:r>
      <w:r w:rsidRPr="001028A2">
        <w:rPr>
          <w:b/>
          <w:sz w:val="26"/>
          <w:szCs w:val="26"/>
        </w:rPr>
        <w:t xml:space="preserve">FORE, IT IS ORDERED </w:t>
      </w:r>
      <w:r w:rsidRPr="001028A2">
        <w:rPr>
          <w:sz w:val="26"/>
          <w:szCs w:val="26"/>
        </w:rPr>
        <w:t>that:</w:t>
      </w:r>
    </w:p>
    <w:p w:rsidRPr="006C2D80" w:rsidR="003B1DBD" w:rsidP="006C2D80" w:rsidRDefault="003B1DBD" w14:paraId="043EB384" w14:textId="77777777">
      <w:pPr>
        <w:jc w:val="both"/>
        <w:rPr>
          <w:b/>
          <w:sz w:val="26"/>
          <w:szCs w:val="26"/>
        </w:rPr>
      </w:pPr>
    </w:p>
    <w:p w:rsidRPr="00A452EE" w:rsidR="004071F9" w:rsidP="00A452EE" w:rsidRDefault="00913017" w14:paraId="4860A245" w14:textId="79470E99">
      <w:pPr>
        <w:keepNext/>
        <w:numPr>
          <w:ilvl w:val="0"/>
          <w:numId w:val="5"/>
        </w:numPr>
        <w:tabs>
          <w:tab w:val="clear" w:pos="240"/>
        </w:tabs>
        <w:spacing w:after="120"/>
        <w:ind w:left="360" w:hanging="360"/>
        <w:rPr>
          <w:sz w:val="26"/>
          <w:szCs w:val="26"/>
        </w:rPr>
      </w:pPr>
      <w:r>
        <w:rPr>
          <w:sz w:val="26"/>
          <w:szCs w:val="26"/>
        </w:rPr>
        <w:t xml:space="preserve">The </w:t>
      </w:r>
      <w:r w:rsidR="00D66330">
        <w:rPr>
          <w:sz w:val="26"/>
          <w:szCs w:val="26"/>
        </w:rPr>
        <w:t xml:space="preserve">attached </w:t>
      </w:r>
      <w:r>
        <w:rPr>
          <w:sz w:val="26"/>
          <w:szCs w:val="26"/>
        </w:rPr>
        <w:t xml:space="preserve">Administrative Consent Order and Agreement between SED and SCE </w:t>
      </w:r>
      <w:r w:rsidR="00A452EE">
        <w:rPr>
          <w:sz w:val="26"/>
          <w:szCs w:val="26"/>
        </w:rPr>
        <w:t xml:space="preserve">relating to the </w:t>
      </w:r>
      <w:r w:rsidRPr="00A452EE" w:rsidR="00A452EE">
        <w:rPr>
          <w:sz w:val="26"/>
          <w:szCs w:val="26"/>
        </w:rPr>
        <w:t>2017/2018 Southern California Fires</w:t>
      </w:r>
      <w:r w:rsidR="00A452EE">
        <w:rPr>
          <w:sz w:val="26"/>
          <w:szCs w:val="26"/>
        </w:rPr>
        <w:t xml:space="preserve"> </w:t>
      </w:r>
      <w:r w:rsidRPr="00A452EE">
        <w:rPr>
          <w:sz w:val="26"/>
          <w:szCs w:val="26"/>
        </w:rPr>
        <w:t>is adopted</w:t>
      </w:r>
      <w:r w:rsidR="00D66330">
        <w:rPr>
          <w:sz w:val="26"/>
          <w:szCs w:val="26"/>
        </w:rPr>
        <w:t xml:space="preserve">, which shows the </w:t>
      </w:r>
      <w:r w:rsidR="00D66330">
        <w:rPr>
          <w:sz w:val="26"/>
          <w:szCs w:val="26"/>
        </w:rPr>
        <w:lastRenderedPageBreak/>
        <w:t>following sentence stricken from Paragraph 3.C.: “SED shall not participate as a party in any future cost recovery proceeding about SCE’s conduct related to the 2017/2018 Southern California Fires, nor shall it oppose any request by SCE to recover costs related to the 2017/2018 Southern California Fires in any future cost recovery proceeding.”</w:t>
      </w:r>
    </w:p>
    <w:p w:rsidRPr="004408C6" w:rsidR="004071F9" w:rsidP="004408C6" w:rsidRDefault="004408C6" w14:paraId="6D7FF497" w14:textId="0569BF55">
      <w:pPr>
        <w:numPr>
          <w:ilvl w:val="0"/>
          <w:numId w:val="5"/>
        </w:numPr>
        <w:tabs>
          <w:tab w:val="clear" w:pos="240"/>
        </w:tabs>
        <w:spacing w:after="120"/>
        <w:ind w:left="360" w:hanging="360"/>
        <w:rPr>
          <w:sz w:val="26"/>
          <w:szCs w:val="26"/>
        </w:rPr>
      </w:pPr>
      <w:r w:rsidRPr="001028A2">
        <w:rPr>
          <w:sz w:val="26"/>
          <w:szCs w:val="26"/>
        </w:rPr>
        <w:t xml:space="preserve">This </w:t>
      </w:r>
      <w:r>
        <w:rPr>
          <w:sz w:val="26"/>
          <w:szCs w:val="26"/>
        </w:rPr>
        <w:t>R</w:t>
      </w:r>
      <w:r w:rsidRPr="001028A2">
        <w:rPr>
          <w:sz w:val="26"/>
          <w:szCs w:val="26"/>
        </w:rPr>
        <w:t>esolution is effective today.</w:t>
      </w:r>
    </w:p>
    <w:p w:rsidRPr="001028A2" w:rsidR="003B1DBD" w:rsidP="00344784" w:rsidRDefault="003B1DBD" w14:paraId="417103B7" w14:textId="77777777">
      <w:pPr>
        <w:jc w:val="both"/>
        <w:rPr>
          <w:sz w:val="26"/>
          <w:szCs w:val="26"/>
        </w:rPr>
      </w:pPr>
    </w:p>
    <w:p w:rsidRPr="001028A2" w:rsidR="003B1DBD" w:rsidP="00344784" w:rsidRDefault="003B1DBD" w14:paraId="61E54CCC" w14:textId="729C190B">
      <w:pPr>
        <w:rPr>
          <w:sz w:val="26"/>
          <w:szCs w:val="26"/>
        </w:rPr>
      </w:pPr>
      <w:r w:rsidRPr="001028A2">
        <w:rPr>
          <w:sz w:val="26"/>
          <w:szCs w:val="26"/>
        </w:rPr>
        <w:t xml:space="preserve">I certify that the foregoing </w:t>
      </w:r>
      <w:r w:rsidRPr="001028A2" w:rsidR="006C0435">
        <w:rPr>
          <w:sz w:val="26"/>
          <w:szCs w:val="26"/>
        </w:rPr>
        <w:t>R</w:t>
      </w:r>
      <w:r w:rsidRPr="001028A2">
        <w:rPr>
          <w:sz w:val="26"/>
          <w:szCs w:val="26"/>
        </w:rPr>
        <w:t xml:space="preserve">esolution was adopted </w:t>
      </w:r>
      <w:r w:rsidRPr="001028A2" w:rsidR="006C0435">
        <w:rPr>
          <w:sz w:val="26"/>
          <w:szCs w:val="26"/>
        </w:rPr>
        <w:t xml:space="preserve">by </w:t>
      </w:r>
      <w:r w:rsidRPr="001028A2">
        <w:rPr>
          <w:sz w:val="26"/>
          <w:szCs w:val="26"/>
        </w:rPr>
        <w:t xml:space="preserve">the </w:t>
      </w:r>
      <w:r w:rsidRPr="001028A2" w:rsidR="006C0435">
        <w:rPr>
          <w:sz w:val="26"/>
          <w:szCs w:val="26"/>
        </w:rPr>
        <w:t xml:space="preserve">California </w:t>
      </w:r>
      <w:r w:rsidRPr="001028A2">
        <w:rPr>
          <w:sz w:val="26"/>
          <w:szCs w:val="26"/>
        </w:rPr>
        <w:t xml:space="preserve">Public Utilities Commission </w:t>
      </w:r>
      <w:r w:rsidRPr="001028A2" w:rsidR="006C0435">
        <w:rPr>
          <w:sz w:val="26"/>
          <w:szCs w:val="26"/>
        </w:rPr>
        <w:t>at its regular meeting</w:t>
      </w:r>
      <w:r w:rsidRPr="001028A2">
        <w:rPr>
          <w:sz w:val="26"/>
          <w:szCs w:val="26"/>
        </w:rPr>
        <w:t xml:space="preserve"> on </w:t>
      </w:r>
      <w:r w:rsidRPr="001028A2" w:rsidR="006C0435">
        <w:rPr>
          <w:sz w:val="26"/>
          <w:szCs w:val="26"/>
        </w:rPr>
        <w:t xml:space="preserve">December </w:t>
      </w:r>
      <w:r w:rsidR="007E4C16">
        <w:rPr>
          <w:sz w:val="26"/>
          <w:szCs w:val="26"/>
        </w:rPr>
        <w:t>16</w:t>
      </w:r>
      <w:r w:rsidRPr="001028A2" w:rsidR="006C0435">
        <w:rPr>
          <w:sz w:val="26"/>
          <w:szCs w:val="26"/>
        </w:rPr>
        <w:t xml:space="preserve">, 2021, and </w:t>
      </w:r>
      <w:r w:rsidRPr="001028A2">
        <w:rPr>
          <w:sz w:val="26"/>
          <w:szCs w:val="26"/>
        </w:rPr>
        <w:t xml:space="preserve">the following Commissioners </w:t>
      </w:r>
      <w:r w:rsidRPr="001028A2" w:rsidR="006C0435">
        <w:rPr>
          <w:sz w:val="26"/>
          <w:szCs w:val="26"/>
        </w:rPr>
        <w:t xml:space="preserve">approved </w:t>
      </w:r>
      <w:r w:rsidRPr="001028A2">
        <w:rPr>
          <w:sz w:val="26"/>
          <w:szCs w:val="26"/>
        </w:rPr>
        <w:t>favorabl</w:t>
      </w:r>
      <w:r w:rsidRPr="001028A2" w:rsidR="006C0435">
        <w:rPr>
          <w:sz w:val="26"/>
          <w:szCs w:val="26"/>
        </w:rPr>
        <w:t>y</w:t>
      </w:r>
      <w:r w:rsidRPr="001028A2">
        <w:rPr>
          <w:sz w:val="26"/>
          <w:szCs w:val="26"/>
        </w:rPr>
        <w:t xml:space="preserve"> thereon:</w:t>
      </w:r>
    </w:p>
    <w:p w:rsidRPr="001028A2" w:rsidR="009B7857" w:rsidP="00344784" w:rsidRDefault="009B7857" w14:paraId="15BBCAF3" w14:textId="11CE823E">
      <w:pPr>
        <w:rPr>
          <w:sz w:val="26"/>
          <w:szCs w:val="26"/>
        </w:rPr>
      </w:pPr>
    </w:p>
    <w:p w:rsidR="00054D60" w:rsidRDefault="00054D60" w14:paraId="3A674171" w14:textId="27A85707">
      <w:pPr>
        <w:rPr>
          <w:sz w:val="26"/>
          <w:szCs w:val="26"/>
        </w:rPr>
      </w:pPr>
    </w:p>
    <w:p w:rsidRPr="001028A2" w:rsidR="006D33B1" w:rsidP="00344784" w:rsidRDefault="006D33B1" w14:paraId="1AD97C77" w14:textId="77777777">
      <w:pPr>
        <w:rPr>
          <w:sz w:val="26"/>
          <w:szCs w:val="26"/>
        </w:rPr>
      </w:pPr>
    </w:p>
    <w:p w:rsidRPr="001028A2" w:rsidR="006C0435" w:rsidP="00054D60" w:rsidRDefault="006C0435" w14:paraId="0AECA7DA" w14:textId="77777777">
      <w:pPr>
        <w:tabs>
          <w:tab w:val="left" w:pos="9000"/>
        </w:tabs>
        <w:ind w:left="4320"/>
        <w:rPr>
          <w:rFonts w:eastAsia="Palatino Linotype"/>
          <w:sz w:val="26"/>
          <w:szCs w:val="26"/>
          <w:u w:val="single"/>
        </w:rPr>
      </w:pPr>
      <w:r w:rsidRPr="001028A2">
        <w:rPr>
          <w:rFonts w:eastAsia="Palatino Linotype"/>
          <w:sz w:val="26"/>
          <w:szCs w:val="26"/>
          <w:u w:val="single"/>
        </w:rPr>
        <w:tab/>
      </w:r>
    </w:p>
    <w:p w:rsidRPr="001028A2" w:rsidR="006C0435" w:rsidP="00054D60" w:rsidRDefault="006C0435" w14:paraId="33F0045A" w14:textId="77777777">
      <w:pPr>
        <w:ind w:left="5040"/>
        <w:rPr>
          <w:rFonts w:eastAsia="Palatino Linotype"/>
          <w:sz w:val="26"/>
          <w:szCs w:val="26"/>
        </w:rPr>
      </w:pPr>
      <w:r w:rsidRPr="001028A2">
        <w:rPr>
          <w:rFonts w:eastAsia="Palatino Linotype"/>
          <w:sz w:val="26"/>
          <w:szCs w:val="26"/>
        </w:rPr>
        <w:t xml:space="preserve">RACHEL PETERSON </w:t>
      </w:r>
    </w:p>
    <w:p w:rsidR="00492574" w:rsidP="00054D60" w:rsidRDefault="006C0435" w14:paraId="170326FA" w14:textId="4F29ABCE">
      <w:pPr>
        <w:ind w:left="5040"/>
        <w:rPr>
          <w:sz w:val="26"/>
          <w:szCs w:val="26"/>
        </w:rPr>
      </w:pPr>
      <w:r w:rsidRPr="001028A2">
        <w:rPr>
          <w:rFonts w:eastAsia="Palatino Linotype"/>
          <w:sz w:val="26"/>
          <w:szCs w:val="26"/>
        </w:rPr>
        <w:t>Executive Director</w:t>
      </w:r>
      <w:r w:rsidRPr="001028A2">
        <w:rPr>
          <w:sz w:val="26"/>
          <w:szCs w:val="26"/>
        </w:rPr>
        <w:t xml:space="preserve"> </w:t>
      </w:r>
    </w:p>
    <w:sectPr w:rsidR="00492574" w:rsidSect="00054D6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  <w:p>
      <w:r>
        <w:t xml:space="preserve"/>
      </w:r>
    </w:p>
    <w:p>
      <w:r>
        <w:t xml:space="preserve">Attachment 1: </w:t>
      </w:r>
    </w:p>
    <w:p>
      <w:hyperlink w:history="true" r:id="Rc368bbc28e8b4fc6">
        <w:r w:rsidRPr="00CB1292">
          <w:rPr>
            <w:rStyle w:val="Hyperlink"/>
            <w:color w:val="2E74B5" w:themeColor="accent1" w:themeShade="BF"/>
            <w:u w:val="single"/>
          </w:rPr>
          <w:t>Rev. 2 SED-5 Attachment - Administrative Consent Order and Agreement.pdf</w:t>
        </w:r>
      </w:hyperlink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383A6" w14:textId="77777777" w:rsidR="00EE2230" w:rsidRDefault="00EE2230">
      <w:r>
        <w:separator/>
      </w:r>
    </w:p>
  </w:endnote>
  <w:endnote w:type="continuationSeparator" w:id="0">
    <w:p w14:paraId="3E441F02" w14:textId="77777777" w:rsidR="00EE2230" w:rsidRDefault="00EE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6BB9C" w14:textId="77777777" w:rsidR="003B1DBD" w:rsidRPr="003B1DBD" w:rsidRDefault="003B1DBD" w:rsidP="003B1DBD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73919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1AAF5" w14:textId="00C750F9" w:rsidR="00170544" w:rsidRDefault="00A11105" w:rsidP="00170544">
        <w:pPr>
          <w:pStyle w:val="Footer"/>
        </w:pPr>
        <w:r w:rsidRPr="00A11105">
          <w:rPr>
            <w:sz w:val="18"/>
            <w:szCs w:val="18"/>
          </w:rPr>
          <w:t>430826684</w:t>
        </w:r>
        <w:r w:rsidR="00170544">
          <w:tab/>
        </w:r>
        <w:r w:rsidR="00170544">
          <w:fldChar w:fldCharType="begin"/>
        </w:r>
        <w:r w:rsidR="00170544">
          <w:instrText xml:space="preserve"> PAGE   \* MERGEFORMAT </w:instrText>
        </w:r>
        <w:r w:rsidR="00170544">
          <w:fldChar w:fldCharType="separate"/>
        </w:r>
        <w:r w:rsidR="00170544">
          <w:rPr>
            <w:noProof/>
          </w:rPr>
          <w:t>2</w:t>
        </w:r>
        <w:r w:rsidR="00170544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55038" w14:textId="77777777" w:rsidR="00EE2230" w:rsidRDefault="00EE2230">
      <w:r>
        <w:separator/>
      </w:r>
    </w:p>
  </w:footnote>
  <w:footnote w:type="continuationSeparator" w:id="0">
    <w:p w14:paraId="76B2EE67" w14:textId="77777777" w:rsidR="00EE2230" w:rsidRDefault="00EE2230">
      <w:r>
        <w:continuationSeparator/>
      </w:r>
    </w:p>
  </w:footnote>
  <w:footnote w:id="1">
    <w:p w14:paraId="247DDEEC" w14:textId="3DCC90CA" w:rsidR="00932423" w:rsidRPr="006C2D80" w:rsidRDefault="00932423" w:rsidP="006C2D80">
      <w:pPr>
        <w:pStyle w:val="FootnoteText"/>
        <w:spacing w:after="120" w:line="240" w:lineRule="exact"/>
        <w:rPr>
          <w:sz w:val="22"/>
          <w:szCs w:val="22"/>
        </w:rPr>
      </w:pPr>
      <w:r w:rsidRPr="006C2D80">
        <w:rPr>
          <w:rStyle w:val="FootnoteReference"/>
          <w:b/>
          <w:bCs/>
          <w:sz w:val="22"/>
          <w:szCs w:val="22"/>
          <w:u w:val="single"/>
        </w:rPr>
        <w:footnoteRef/>
      </w:r>
      <w:r w:rsidRPr="006C2D80">
        <w:rPr>
          <w:sz w:val="22"/>
          <w:szCs w:val="22"/>
        </w:rPr>
        <w:t xml:space="preserve"> </w:t>
      </w:r>
      <w:hyperlink r:id="rId1" w:history="1">
        <w:r w:rsidRPr="006C2D80">
          <w:rPr>
            <w:rStyle w:val="Hyperlink"/>
            <w:sz w:val="22"/>
            <w:szCs w:val="22"/>
          </w:rPr>
          <w:t>https://www.cpuc.ca.gov/industries-and-topics/wildfires/wildfires-staff-investigations</w:t>
        </w:r>
      </w:hyperlink>
    </w:p>
  </w:footnote>
  <w:footnote w:id="2">
    <w:p w14:paraId="66AF8EA2" w14:textId="69ED8AB1" w:rsidR="00333133" w:rsidRPr="006C2D80" w:rsidRDefault="00333133" w:rsidP="006C2D80">
      <w:pPr>
        <w:pStyle w:val="FootnoteText"/>
        <w:spacing w:after="120" w:line="240" w:lineRule="exact"/>
        <w:rPr>
          <w:sz w:val="22"/>
          <w:szCs w:val="22"/>
        </w:rPr>
      </w:pPr>
      <w:r w:rsidRPr="006C2D80">
        <w:rPr>
          <w:rStyle w:val="FootnoteReference"/>
          <w:b/>
          <w:bCs/>
          <w:sz w:val="22"/>
          <w:szCs w:val="22"/>
          <w:u w:val="single"/>
        </w:rPr>
        <w:footnoteRef/>
      </w:r>
      <w:r w:rsidRPr="006C2D80">
        <w:rPr>
          <w:sz w:val="22"/>
          <w:szCs w:val="22"/>
        </w:rPr>
        <w:t xml:space="preserve"> Resolution M-4846, Findings and Conclusions #8; Enforcement Policy</w:t>
      </w:r>
      <w:r w:rsidR="00B51D93" w:rsidRPr="006C2D80">
        <w:rPr>
          <w:sz w:val="22"/>
          <w:szCs w:val="22"/>
        </w:rPr>
        <w:t>, p. 11.</w:t>
      </w:r>
    </w:p>
  </w:footnote>
  <w:footnote w:id="3">
    <w:p w14:paraId="2EDB25F3" w14:textId="3809313C" w:rsidR="00BB6AC7" w:rsidRPr="006C2D80" w:rsidRDefault="00BB6AC7" w:rsidP="006C2D80">
      <w:pPr>
        <w:pStyle w:val="FootnoteText"/>
        <w:spacing w:after="120" w:line="240" w:lineRule="exact"/>
        <w:rPr>
          <w:sz w:val="22"/>
          <w:szCs w:val="22"/>
        </w:rPr>
      </w:pPr>
      <w:r w:rsidRPr="006C2D80">
        <w:rPr>
          <w:rStyle w:val="FootnoteReference"/>
          <w:b/>
          <w:bCs/>
          <w:sz w:val="22"/>
          <w:szCs w:val="22"/>
          <w:u w:val="single"/>
        </w:rPr>
        <w:footnoteRef/>
      </w:r>
      <w:r w:rsidRPr="006C2D80">
        <w:rPr>
          <w:sz w:val="22"/>
          <w:szCs w:val="22"/>
        </w:rPr>
        <w:t xml:space="preserve"> Enforcement Policy, p. 10.</w:t>
      </w:r>
    </w:p>
  </w:footnote>
  <w:footnote w:id="4">
    <w:p w14:paraId="12EAAA9E" w14:textId="2FEA4B71" w:rsidR="001C070D" w:rsidRPr="006C2D80" w:rsidRDefault="001C070D" w:rsidP="006C2D80">
      <w:pPr>
        <w:pStyle w:val="FootnoteText"/>
        <w:spacing w:after="120" w:line="240" w:lineRule="exact"/>
        <w:rPr>
          <w:sz w:val="22"/>
          <w:szCs w:val="22"/>
        </w:rPr>
      </w:pPr>
      <w:r w:rsidRPr="006C2D80">
        <w:rPr>
          <w:rStyle w:val="FootnoteReference"/>
          <w:b/>
          <w:bCs/>
          <w:sz w:val="22"/>
          <w:szCs w:val="22"/>
          <w:u w:val="single"/>
        </w:rPr>
        <w:footnoteRef/>
      </w:r>
      <w:r w:rsidRPr="006C2D80">
        <w:rPr>
          <w:sz w:val="22"/>
          <w:szCs w:val="22"/>
        </w:rPr>
        <w:t xml:space="preserve"> Enforcement Policy, p. 15.</w:t>
      </w:r>
    </w:p>
  </w:footnote>
  <w:footnote w:id="5">
    <w:p w14:paraId="2631A567" w14:textId="188D6B88" w:rsidR="000E5734" w:rsidRPr="006C2D80" w:rsidRDefault="000E5734" w:rsidP="006C2D80">
      <w:pPr>
        <w:pStyle w:val="FootnoteText"/>
        <w:spacing w:after="120" w:line="240" w:lineRule="exact"/>
        <w:rPr>
          <w:sz w:val="22"/>
          <w:szCs w:val="22"/>
        </w:rPr>
      </w:pPr>
      <w:r w:rsidRPr="006C2D80">
        <w:rPr>
          <w:rStyle w:val="FootnoteReference"/>
          <w:b/>
          <w:bCs/>
          <w:sz w:val="22"/>
          <w:szCs w:val="22"/>
        </w:rPr>
        <w:footnoteRef/>
      </w:r>
      <w:r w:rsidR="00016195" w:rsidRPr="006C2D80">
        <w:rPr>
          <w:sz w:val="22"/>
          <w:szCs w:val="22"/>
        </w:rPr>
        <w:t xml:space="preserve"> </w:t>
      </w:r>
      <w:r w:rsidRPr="006C2D80">
        <w:rPr>
          <w:sz w:val="22"/>
          <w:szCs w:val="22"/>
        </w:rPr>
        <w:t>Santa Barbara Comments at 1-3.</w:t>
      </w:r>
    </w:p>
  </w:footnote>
  <w:footnote w:id="6">
    <w:p w14:paraId="3128B05C" w14:textId="0063883C" w:rsidR="00640DE3" w:rsidRPr="006C2D80" w:rsidRDefault="00640DE3" w:rsidP="006C2D80">
      <w:pPr>
        <w:pStyle w:val="FootnoteText"/>
        <w:spacing w:after="120" w:line="240" w:lineRule="exact"/>
        <w:rPr>
          <w:sz w:val="22"/>
          <w:szCs w:val="22"/>
        </w:rPr>
      </w:pPr>
      <w:r w:rsidRPr="006C2D80">
        <w:rPr>
          <w:rStyle w:val="FootnoteReference"/>
          <w:b/>
          <w:bCs/>
          <w:sz w:val="22"/>
          <w:szCs w:val="22"/>
        </w:rPr>
        <w:footnoteRef/>
      </w:r>
      <w:r w:rsidRPr="006C2D80">
        <w:rPr>
          <w:sz w:val="22"/>
          <w:szCs w:val="22"/>
        </w:rPr>
        <w:t xml:space="preserve"> </w:t>
      </w:r>
      <w:r w:rsidR="00562921" w:rsidRPr="006C2D80">
        <w:rPr>
          <w:sz w:val="22"/>
          <w:szCs w:val="22"/>
        </w:rPr>
        <w:t>Santa Barbara Comments at 3</w:t>
      </w:r>
      <w:r w:rsidRPr="006C2D80">
        <w:rPr>
          <w:sz w:val="22"/>
          <w:szCs w:val="22"/>
        </w:rPr>
        <w:t>.</w:t>
      </w:r>
    </w:p>
  </w:footnote>
  <w:footnote w:id="7">
    <w:p w14:paraId="0557A099" w14:textId="77777777" w:rsidR="00AC4E43" w:rsidRPr="006C2D80" w:rsidRDefault="00AC4E43" w:rsidP="006C2D80">
      <w:pPr>
        <w:pStyle w:val="FootnoteText"/>
        <w:spacing w:after="120" w:line="240" w:lineRule="exact"/>
        <w:rPr>
          <w:sz w:val="22"/>
          <w:szCs w:val="22"/>
        </w:rPr>
      </w:pPr>
      <w:r w:rsidRPr="006C2D80">
        <w:rPr>
          <w:rStyle w:val="FootnoteReference"/>
          <w:b/>
          <w:bCs/>
          <w:sz w:val="22"/>
          <w:szCs w:val="22"/>
        </w:rPr>
        <w:footnoteRef/>
      </w:r>
      <w:r w:rsidRPr="006C2D80">
        <w:rPr>
          <w:sz w:val="22"/>
          <w:szCs w:val="22"/>
        </w:rPr>
        <w:t xml:space="preserve"> Joint Comments at 2-5.</w:t>
      </w:r>
    </w:p>
  </w:footnote>
  <w:footnote w:id="8">
    <w:p w14:paraId="0DB8D12C" w14:textId="0A19E276" w:rsidR="00AC4E43" w:rsidRPr="006C2D80" w:rsidRDefault="00AC4E43" w:rsidP="006C2D80">
      <w:pPr>
        <w:pStyle w:val="FootnoteText"/>
        <w:spacing w:after="120" w:line="240" w:lineRule="exact"/>
        <w:rPr>
          <w:sz w:val="22"/>
          <w:szCs w:val="22"/>
        </w:rPr>
      </w:pPr>
      <w:r w:rsidRPr="006C2D80">
        <w:rPr>
          <w:rStyle w:val="FootnoteReference"/>
          <w:b/>
          <w:bCs/>
          <w:sz w:val="22"/>
          <w:szCs w:val="22"/>
          <w:u w:val="single"/>
        </w:rPr>
        <w:footnoteRef/>
      </w:r>
      <w:r w:rsidRPr="006C2D80">
        <w:rPr>
          <w:sz w:val="22"/>
          <w:szCs w:val="22"/>
        </w:rPr>
        <w:t xml:space="preserve"> Joint Comments at </w:t>
      </w:r>
      <w:r w:rsidR="007A3EC3" w:rsidRPr="006C2D80">
        <w:rPr>
          <w:sz w:val="22"/>
          <w:szCs w:val="22"/>
        </w:rPr>
        <w:t>5</w:t>
      </w:r>
      <w:r w:rsidRPr="006C2D80">
        <w:rPr>
          <w:sz w:val="22"/>
          <w:szCs w:val="22"/>
        </w:rPr>
        <w:t>-1</w:t>
      </w:r>
      <w:r w:rsidR="007A3EC3" w:rsidRPr="006C2D80">
        <w:rPr>
          <w:sz w:val="22"/>
          <w:szCs w:val="22"/>
        </w:rPr>
        <w:t>0</w:t>
      </w:r>
      <w:r w:rsidRPr="006C2D80">
        <w:rPr>
          <w:sz w:val="22"/>
          <w:szCs w:val="22"/>
        </w:rPr>
        <w:t>.</w:t>
      </w:r>
    </w:p>
  </w:footnote>
  <w:footnote w:id="9">
    <w:p w14:paraId="61DACABA" w14:textId="77777777" w:rsidR="00E24DE4" w:rsidRPr="00E24DE4" w:rsidRDefault="00E24DE4" w:rsidP="00E24DE4">
      <w:pPr>
        <w:pStyle w:val="FootnoteText"/>
        <w:rPr>
          <w:sz w:val="22"/>
          <w:szCs w:val="22"/>
        </w:rPr>
      </w:pPr>
      <w:r w:rsidRPr="00E24DE4">
        <w:rPr>
          <w:rStyle w:val="FootnoteReference"/>
          <w:b/>
          <w:bCs/>
          <w:sz w:val="22"/>
          <w:szCs w:val="22"/>
          <w:u w:val="single"/>
        </w:rPr>
        <w:footnoteRef/>
      </w:r>
      <w:r w:rsidRPr="00E24DE4">
        <w:rPr>
          <w:sz w:val="22"/>
          <w:szCs w:val="22"/>
        </w:rPr>
        <w:t xml:space="preserve"> Joint Comments, p. 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C2500" w14:textId="2E056766" w:rsidR="003B1DBD" w:rsidRPr="00062D2A" w:rsidRDefault="003B1DBD" w:rsidP="00A647B5">
    <w:pPr>
      <w:pStyle w:val="Header"/>
      <w:tabs>
        <w:tab w:val="clear" w:pos="4320"/>
        <w:tab w:val="clear" w:pos="8640"/>
        <w:tab w:val="left" w:pos="4140"/>
        <w:tab w:val="right" w:pos="9360"/>
      </w:tabs>
      <w:rPr>
        <w:sz w:val="26"/>
        <w:szCs w:val="26"/>
      </w:rPr>
    </w:pPr>
    <w:r w:rsidRPr="00062D2A">
      <w:rPr>
        <w:sz w:val="26"/>
        <w:szCs w:val="26"/>
      </w:rPr>
      <w:t xml:space="preserve">Resolution </w:t>
    </w:r>
    <w:r w:rsidR="00062D2A" w:rsidRPr="00D05634">
      <w:rPr>
        <w:sz w:val="26"/>
        <w:szCs w:val="26"/>
      </w:rPr>
      <w:t>SED-5</w:t>
    </w:r>
    <w:r w:rsidRPr="00062D2A">
      <w:rPr>
        <w:sz w:val="26"/>
        <w:szCs w:val="26"/>
      </w:rPr>
      <w:tab/>
    </w:r>
    <w:r w:rsidRPr="00062D2A">
      <w:rPr>
        <w:b/>
        <w:sz w:val="26"/>
        <w:szCs w:val="26"/>
      </w:rPr>
      <w:t>DRAFT</w:t>
    </w:r>
    <w:r w:rsidR="00A647B5" w:rsidRPr="00062D2A">
      <w:rPr>
        <w:b/>
        <w:sz w:val="26"/>
        <w:szCs w:val="26"/>
      </w:rPr>
      <w:tab/>
    </w:r>
    <w:r w:rsidR="00054D60">
      <w:rPr>
        <w:sz w:val="28"/>
        <w:szCs w:val="28"/>
      </w:rPr>
      <w:t xml:space="preserve">December </w:t>
    </w:r>
    <w:r w:rsidR="007E4C16">
      <w:rPr>
        <w:sz w:val="28"/>
        <w:szCs w:val="28"/>
      </w:rPr>
      <w:t>16</w:t>
    </w:r>
    <w:r w:rsidR="00054D60">
      <w:rPr>
        <w:sz w:val="28"/>
        <w:szCs w:val="28"/>
      </w:rPr>
      <w:t>, 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D610C" w14:textId="3113448F" w:rsidR="00FD6D6B" w:rsidRDefault="008A2B28" w:rsidP="00FD6D6B">
    <w:pPr>
      <w:pStyle w:val="Header"/>
      <w:tabs>
        <w:tab w:val="clear" w:pos="4320"/>
        <w:tab w:val="clear" w:pos="8640"/>
        <w:tab w:val="left" w:pos="4140"/>
        <w:tab w:val="right" w:pos="9360"/>
      </w:tabs>
      <w:rPr>
        <w:sz w:val="28"/>
        <w:szCs w:val="28"/>
      </w:rPr>
    </w:pPr>
    <w:r>
      <w:rPr>
        <w:sz w:val="26"/>
        <w:szCs w:val="26"/>
      </w:rPr>
      <w:t>Resolution SED-5</w:t>
    </w:r>
    <w:r w:rsidR="00FD6D6B" w:rsidRPr="00062D2A">
      <w:rPr>
        <w:sz w:val="26"/>
        <w:szCs w:val="26"/>
      </w:rPr>
      <w:tab/>
    </w:r>
    <w:r w:rsidR="00FD6D6B" w:rsidRPr="00062D2A">
      <w:rPr>
        <w:b/>
        <w:sz w:val="26"/>
        <w:szCs w:val="26"/>
      </w:rPr>
      <w:t>DRAFT</w:t>
    </w:r>
    <w:r w:rsidR="00FD6D6B" w:rsidRPr="00062D2A">
      <w:rPr>
        <w:b/>
        <w:sz w:val="26"/>
        <w:szCs w:val="26"/>
      </w:rPr>
      <w:tab/>
    </w:r>
    <w:r w:rsidR="00CC50BB" w:rsidRPr="006B3188">
      <w:rPr>
        <w:sz w:val="28"/>
        <w:szCs w:val="28"/>
      </w:rPr>
      <w:t xml:space="preserve">Item </w:t>
    </w:r>
    <w:r w:rsidR="00773A4F">
      <w:rPr>
        <w:sz w:val="28"/>
        <w:szCs w:val="28"/>
      </w:rPr>
      <w:t>45</w:t>
    </w:r>
    <w:r w:rsidR="00CC50BB" w:rsidRPr="006B3188">
      <w:rPr>
        <w:sz w:val="28"/>
        <w:szCs w:val="28"/>
      </w:rPr>
      <w:t xml:space="preserve"> (Agenda #</w:t>
    </w:r>
    <w:r w:rsidR="00CC50BB">
      <w:rPr>
        <w:sz w:val="28"/>
        <w:szCs w:val="28"/>
      </w:rPr>
      <w:t xml:space="preserve"> </w:t>
    </w:r>
    <w:r w:rsidR="001F2ABD" w:rsidRPr="001F2ABD">
      <w:rPr>
        <w:sz w:val="28"/>
        <w:szCs w:val="28"/>
      </w:rPr>
      <w:t>20012</w:t>
    </w:r>
    <w:r w:rsidR="00CC50BB" w:rsidRPr="006B3188">
      <w:rPr>
        <w:sz w:val="28"/>
        <w:szCs w:val="28"/>
      </w:rPr>
      <w:t>)</w:t>
    </w:r>
  </w:p>
  <w:p w14:paraId="57549E74" w14:textId="7C537810" w:rsidR="008A2B28" w:rsidRDefault="008A2B28" w:rsidP="00FD6D6B">
    <w:pPr>
      <w:pStyle w:val="Header"/>
      <w:tabs>
        <w:tab w:val="clear" w:pos="4320"/>
        <w:tab w:val="clear" w:pos="8640"/>
        <w:tab w:val="left" w:pos="4140"/>
        <w:tab w:val="right" w:pos="9360"/>
      </w:tabs>
      <w:rPr>
        <w:sz w:val="28"/>
        <w:szCs w:val="28"/>
      </w:rPr>
    </w:pPr>
    <w:r>
      <w:rPr>
        <w:sz w:val="28"/>
        <w:szCs w:val="28"/>
      </w:rPr>
      <w:t>SED/MAP</w:t>
    </w:r>
    <w:r w:rsidR="006C2D80">
      <w:rPr>
        <w:sz w:val="28"/>
        <w:szCs w:val="28"/>
      </w:rPr>
      <w:tab/>
    </w:r>
    <w:r w:rsidR="006C2D80">
      <w:rPr>
        <w:sz w:val="28"/>
        <w:szCs w:val="28"/>
      </w:rPr>
      <w:tab/>
      <w:t xml:space="preserve">(Rev. </w:t>
    </w:r>
    <w:r w:rsidR="00773A4F">
      <w:rPr>
        <w:sz w:val="28"/>
        <w:szCs w:val="28"/>
      </w:rPr>
      <w:t>2</w:t>
    </w:r>
    <w:r w:rsidR="006C2D80">
      <w:rPr>
        <w:sz w:val="28"/>
        <w:szCs w:val="28"/>
      </w:rPr>
      <w:t>)</w:t>
    </w:r>
  </w:p>
  <w:p w14:paraId="6A419E82" w14:textId="45C134BE" w:rsidR="008A2B28" w:rsidRPr="00062D2A" w:rsidRDefault="006C2D80" w:rsidP="00FD6D6B">
    <w:pPr>
      <w:pStyle w:val="Header"/>
      <w:tabs>
        <w:tab w:val="clear" w:pos="4320"/>
        <w:tab w:val="clear" w:pos="8640"/>
        <w:tab w:val="left" w:pos="4140"/>
        <w:tab w:val="right" w:pos="9360"/>
      </w:tabs>
      <w:rPr>
        <w:sz w:val="26"/>
        <w:szCs w:val="26"/>
      </w:rPr>
    </w:pPr>
    <w:r>
      <w:rPr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1AEE"/>
    <w:multiLevelType w:val="hybridMultilevel"/>
    <w:tmpl w:val="D0CEE69C"/>
    <w:lvl w:ilvl="0" w:tplc="F44C94EC">
      <w:start w:val="1"/>
      <w:numFmt w:val="decimal"/>
      <w:lvlText w:val="%1."/>
      <w:lvlJc w:val="left"/>
      <w:pPr>
        <w:tabs>
          <w:tab w:val="num" w:pos="240"/>
        </w:tabs>
        <w:ind w:left="24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1AC07052"/>
    <w:multiLevelType w:val="hybridMultilevel"/>
    <w:tmpl w:val="992A8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D5C9C"/>
    <w:multiLevelType w:val="hybridMultilevel"/>
    <w:tmpl w:val="2180AC84"/>
    <w:lvl w:ilvl="0" w:tplc="496E4E4E">
      <w:start w:val="1"/>
      <w:numFmt w:val="decimal"/>
      <w:lvlText w:val="%1."/>
      <w:lvlJc w:val="left"/>
      <w:pPr>
        <w:tabs>
          <w:tab w:val="num" w:pos="240"/>
        </w:tabs>
        <w:ind w:left="24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77945"/>
    <w:multiLevelType w:val="hybridMultilevel"/>
    <w:tmpl w:val="2BFE11B0"/>
    <w:lvl w:ilvl="0" w:tplc="9938A792">
      <w:start w:val="1"/>
      <w:numFmt w:val="decimal"/>
      <w:lvlText w:val="%1."/>
      <w:lvlJc w:val="left"/>
      <w:pPr>
        <w:tabs>
          <w:tab w:val="num" w:pos="240"/>
        </w:tabs>
        <w:ind w:left="24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76BC62C1"/>
    <w:multiLevelType w:val="hybridMultilevel"/>
    <w:tmpl w:val="A43C32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BD"/>
    <w:rsid w:val="00002676"/>
    <w:rsid w:val="00003B52"/>
    <w:rsid w:val="0000410B"/>
    <w:rsid w:val="00005A55"/>
    <w:rsid w:val="00013029"/>
    <w:rsid w:val="00013DE0"/>
    <w:rsid w:val="00014683"/>
    <w:rsid w:val="000156EC"/>
    <w:rsid w:val="00016195"/>
    <w:rsid w:val="0001742D"/>
    <w:rsid w:val="00021C9C"/>
    <w:rsid w:val="00021D1D"/>
    <w:rsid w:val="00023A7C"/>
    <w:rsid w:val="00024AFF"/>
    <w:rsid w:val="000279D2"/>
    <w:rsid w:val="00033467"/>
    <w:rsid w:val="00033EEC"/>
    <w:rsid w:val="000405FD"/>
    <w:rsid w:val="0004177E"/>
    <w:rsid w:val="00042335"/>
    <w:rsid w:val="00045062"/>
    <w:rsid w:val="000462B4"/>
    <w:rsid w:val="00054D60"/>
    <w:rsid w:val="000559CD"/>
    <w:rsid w:val="00055A75"/>
    <w:rsid w:val="0006023A"/>
    <w:rsid w:val="00061C68"/>
    <w:rsid w:val="00062D2A"/>
    <w:rsid w:val="0006338B"/>
    <w:rsid w:val="00063659"/>
    <w:rsid w:val="00065CA3"/>
    <w:rsid w:val="00066B61"/>
    <w:rsid w:val="00067039"/>
    <w:rsid w:val="00067468"/>
    <w:rsid w:val="0007379A"/>
    <w:rsid w:val="00073EC5"/>
    <w:rsid w:val="00075B1E"/>
    <w:rsid w:val="00075FA1"/>
    <w:rsid w:val="00076162"/>
    <w:rsid w:val="00076B51"/>
    <w:rsid w:val="000771CB"/>
    <w:rsid w:val="00077CEE"/>
    <w:rsid w:val="000800CC"/>
    <w:rsid w:val="00082101"/>
    <w:rsid w:val="000825A6"/>
    <w:rsid w:val="000827F0"/>
    <w:rsid w:val="00084C73"/>
    <w:rsid w:val="00085712"/>
    <w:rsid w:val="000859EC"/>
    <w:rsid w:val="00087431"/>
    <w:rsid w:val="00087AFA"/>
    <w:rsid w:val="00092868"/>
    <w:rsid w:val="00092F18"/>
    <w:rsid w:val="00095037"/>
    <w:rsid w:val="000A059A"/>
    <w:rsid w:val="000A08C2"/>
    <w:rsid w:val="000A1D9F"/>
    <w:rsid w:val="000A2836"/>
    <w:rsid w:val="000A77DF"/>
    <w:rsid w:val="000B1EDE"/>
    <w:rsid w:val="000B3767"/>
    <w:rsid w:val="000B4D28"/>
    <w:rsid w:val="000B57FA"/>
    <w:rsid w:val="000B5A0D"/>
    <w:rsid w:val="000B7070"/>
    <w:rsid w:val="000C0B92"/>
    <w:rsid w:val="000C0BC3"/>
    <w:rsid w:val="000C2EB3"/>
    <w:rsid w:val="000C2FAB"/>
    <w:rsid w:val="000C6055"/>
    <w:rsid w:val="000C661F"/>
    <w:rsid w:val="000C70EF"/>
    <w:rsid w:val="000D0B12"/>
    <w:rsid w:val="000D11CA"/>
    <w:rsid w:val="000D1240"/>
    <w:rsid w:val="000D1C66"/>
    <w:rsid w:val="000D2598"/>
    <w:rsid w:val="000D460A"/>
    <w:rsid w:val="000D4A96"/>
    <w:rsid w:val="000D55C3"/>
    <w:rsid w:val="000E0402"/>
    <w:rsid w:val="000E0614"/>
    <w:rsid w:val="000E3EDA"/>
    <w:rsid w:val="000E4644"/>
    <w:rsid w:val="000E5734"/>
    <w:rsid w:val="000E75B5"/>
    <w:rsid w:val="000F0161"/>
    <w:rsid w:val="000F11B6"/>
    <w:rsid w:val="000F32F8"/>
    <w:rsid w:val="000F5608"/>
    <w:rsid w:val="001002EE"/>
    <w:rsid w:val="0010055A"/>
    <w:rsid w:val="00100C10"/>
    <w:rsid w:val="00100C5F"/>
    <w:rsid w:val="0010145A"/>
    <w:rsid w:val="00102405"/>
    <w:rsid w:val="001028A2"/>
    <w:rsid w:val="00103570"/>
    <w:rsid w:val="0010358E"/>
    <w:rsid w:val="00104186"/>
    <w:rsid w:val="00104B90"/>
    <w:rsid w:val="00110237"/>
    <w:rsid w:val="001103AD"/>
    <w:rsid w:val="00110B18"/>
    <w:rsid w:val="00110B51"/>
    <w:rsid w:val="00110BE0"/>
    <w:rsid w:val="00113B18"/>
    <w:rsid w:val="00116F74"/>
    <w:rsid w:val="00117B3E"/>
    <w:rsid w:val="00117ED0"/>
    <w:rsid w:val="001201C6"/>
    <w:rsid w:val="00121866"/>
    <w:rsid w:val="001222D7"/>
    <w:rsid w:val="001229E3"/>
    <w:rsid w:val="00122E8D"/>
    <w:rsid w:val="001246D2"/>
    <w:rsid w:val="00125853"/>
    <w:rsid w:val="001269A2"/>
    <w:rsid w:val="001269D6"/>
    <w:rsid w:val="001273CE"/>
    <w:rsid w:val="001276D7"/>
    <w:rsid w:val="001305B0"/>
    <w:rsid w:val="00131F8D"/>
    <w:rsid w:val="00135FA2"/>
    <w:rsid w:val="00140B72"/>
    <w:rsid w:val="00143642"/>
    <w:rsid w:val="00143BFA"/>
    <w:rsid w:val="0014653E"/>
    <w:rsid w:val="00146E26"/>
    <w:rsid w:val="00146F8B"/>
    <w:rsid w:val="0015046B"/>
    <w:rsid w:val="00153665"/>
    <w:rsid w:val="001566BE"/>
    <w:rsid w:val="0015670C"/>
    <w:rsid w:val="001618B7"/>
    <w:rsid w:val="00162B96"/>
    <w:rsid w:val="00163250"/>
    <w:rsid w:val="001640E9"/>
    <w:rsid w:val="001643B2"/>
    <w:rsid w:val="001662FB"/>
    <w:rsid w:val="00167A40"/>
    <w:rsid w:val="00170544"/>
    <w:rsid w:val="001716EC"/>
    <w:rsid w:val="00173D51"/>
    <w:rsid w:val="00174A2A"/>
    <w:rsid w:val="001766F3"/>
    <w:rsid w:val="00181A72"/>
    <w:rsid w:val="00182DB2"/>
    <w:rsid w:val="00182EBA"/>
    <w:rsid w:val="00184806"/>
    <w:rsid w:val="00185A5C"/>
    <w:rsid w:val="00185DF6"/>
    <w:rsid w:val="00187CB0"/>
    <w:rsid w:val="00190B50"/>
    <w:rsid w:val="00192D5B"/>
    <w:rsid w:val="00193202"/>
    <w:rsid w:val="00193255"/>
    <w:rsid w:val="00193448"/>
    <w:rsid w:val="00193DF5"/>
    <w:rsid w:val="00197F25"/>
    <w:rsid w:val="001A11BC"/>
    <w:rsid w:val="001A1B03"/>
    <w:rsid w:val="001A1E18"/>
    <w:rsid w:val="001A3951"/>
    <w:rsid w:val="001A57F1"/>
    <w:rsid w:val="001A62D9"/>
    <w:rsid w:val="001A6DE6"/>
    <w:rsid w:val="001B11E8"/>
    <w:rsid w:val="001B2F83"/>
    <w:rsid w:val="001B3E27"/>
    <w:rsid w:val="001B60C6"/>
    <w:rsid w:val="001C070D"/>
    <w:rsid w:val="001C26D0"/>
    <w:rsid w:val="001C306E"/>
    <w:rsid w:val="001C44DB"/>
    <w:rsid w:val="001D0707"/>
    <w:rsid w:val="001D1AFD"/>
    <w:rsid w:val="001D44F7"/>
    <w:rsid w:val="001D4A9D"/>
    <w:rsid w:val="001D4D97"/>
    <w:rsid w:val="001D5232"/>
    <w:rsid w:val="001D68DB"/>
    <w:rsid w:val="001D6FEB"/>
    <w:rsid w:val="001E03B0"/>
    <w:rsid w:val="001E3DF2"/>
    <w:rsid w:val="001E5083"/>
    <w:rsid w:val="001E703C"/>
    <w:rsid w:val="001F1A0F"/>
    <w:rsid w:val="001F2ABD"/>
    <w:rsid w:val="001F48E8"/>
    <w:rsid w:val="001F4906"/>
    <w:rsid w:val="001F5B8D"/>
    <w:rsid w:val="002012B2"/>
    <w:rsid w:val="00201DE8"/>
    <w:rsid w:val="00202B68"/>
    <w:rsid w:val="0020535F"/>
    <w:rsid w:val="00206078"/>
    <w:rsid w:val="00206249"/>
    <w:rsid w:val="00207E5D"/>
    <w:rsid w:val="002103DF"/>
    <w:rsid w:val="00211DF2"/>
    <w:rsid w:val="00214D4D"/>
    <w:rsid w:val="002156E5"/>
    <w:rsid w:val="00216FE5"/>
    <w:rsid w:val="00217FDE"/>
    <w:rsid w:val="002207C0"/>
    <w:rsid w:val="002215CC"/>
    <w:rsid w:val="0022674E"/>
    <w:rsid w:val="00226EED"/>
    <w:rsid w:val="00232130"/>
    <w:rsid w:val="00232764"/>
    <w:rsid w:val="002352F2"/>
    <w:rsid w:val="0023576C"/>
    <w:rsid w:val="00237742"/>
    <w:rsid w:val="0024057B"/>
    <w:rsid w:val="00242C36"/>
    <w:rsid w:val="00244AAB"/>
    <w:rsid w:val="00244B94"/>
    <w:rsid w:val="002452C7"/>
    <w:rsid w:val="00247D33"/>
    <w:rsid w:val="00251BF9"/>
    <w:rsid w:val="00251C41"/>
    <w:rsid w:val="00253F1A"/>
    <w:rsid w:val="00254648"/>
    <w:rsid w:val="00255A75"/>
    <w:rsid w:val="0026237F"/>
    <w:rsid w:val="00264221"/>
    <w:rsid w:val="00264D75"/>
    <w:rsid w:val="00264E2F"/>
    <w:rsid w:val="0026641C"/>
    <w:rsid w:val="00266D56"/>
    <w:rsid w:val="002672FD"/>
    <w:rsid w:val="002677E7"/>
    <w:rsid w:val="00270458"/>
    <w:rsid w:val="00270E32"/>
    <w:rsid w:val="00272CF9"/>
    <w:rsid w:val="00274665"/>
    <w:rsid w:val="0028078D"/>
    <w:rsid w:val="002810E1"/>
    <w:rsid w:val="00282263"/>
    <w:rsid w:val="00282D23"/>
    <w:rsid w:val="00283CB9"/>
    <w:rsid w:val="00286995"/>
    <w:rsid w:val="00290B24"/>
    <w:rsid w:val="00291E92"/>
    <w:rsid w:val="00294495"/>
    <w:rsid w:val="002965F6"/>
    <w:rsid w:val="00296AA4"/>
    <w:rsid w:val="00296B11"/>
    <w:rsid w:val="002A2154"/>
    <w:rsid w:val="002A3AE9"/>
    <w:rsid w:val="002A59E5"/>
    <w:rsid w:val="002A6A19"/>
    <w:rsid w:val="002A77D8"/>
    <w:rsid w:val="002A7D53"/>
    <w:rsid w:val="002B0A85"/>
    <w:rsid w:val="002B0E96"/>
    <w:rsid w:val="002B1B55"/>
    <w:rsid w:val="002B4810"/>
    <w:rsid w:val="002B6AD7"/>
    <w:rsid w:val="002C051F"/>
    <w:rsid w:val="002C1CB2"/>
    <w:rsid w:val="002C2D22"/>
    <w:rsid w:val="002C30BA"/>
    <w:rsid w:val="002C3563"/>
    <w:rsid w:val="002C4017"/>
    <w:rsid w:val="002C5C4D"/>
    <w:rsid w:val="002C6527"/>
    <w:rsid w:val="002C69FE"/>
    <w:rsid w:val="002D10C7"/>
    <w:rsid w:val="002D1F69"/>
    <w:rsid w:val="002D3441"/>
    <w:rsid w:val="002D5B98"/>
    <w:rsid w:val="002D6FB4"/>
    <w:rsid w:val="002E1C8A"/>
    <w:rsid w:val="002E3409"/>
    <w:rsid w:val="002E4377"/>
    <w:rsid w:val="002E600A"/>
    <w:rsid w:val="002E669B"/>
    <w:rsid w:val="002E76AF"/>
    <w:rsid w:val="002F0E02"/>
    <w:rsid w:val="002F0E17"/>
    <w:rsid w:val="002F28FD"/>
    <w:rsid w:val="002F36D7"/>
    <w:rsid w:val="002F4305"/>
    <w:rsid w:val="002F6439"/>
    <w:rsid w:val="002F6CEC"/>
    <w:rsid w:val="002F7682"/>
    <w:rsid w:val="002F79B6"/>
    <w:rsid w:val="00300046"/>
    <w:rsid w:val="003044BB"/>
    <w:rsid w:val="00305CEA"/>
    <w:rsid w:val="00306FC6"/>
    <w:rsid w:val="00307160"/>
    <w:rsid w:val="0030733F"/>
    <w:rsid w:val="00307C38"/>
    <w:rsid w:val="0031182A"/>
    <w:rsid w:val="00311E0E"/>
    <w:rsid w:val="003135A8"/>
    <w:rsid w:val="003141C7"/>
    <w:rsid w:val="00314C76"/>
    <w:rsid w:val="0032025F"/>
    <w:rsid w:val="00320809"/>
    <w:rsid w:val="00320F01"/>
    <w:rsid w:val="00325D76"/>
    <w:rsid w:val="0033025E"/>
    <w:rsid w:val="00332782"/>
    <w:rsid w:val="00332E3F"/>
    <w:rsid w:val="00333133"/>
    <w:rsid w:val="00333AC3"/>
    <w:rsid w:val="003351B8"/>
    <w:rsid w:val="00335508"/>
    <w:rsid w:val="0033784B"/>
    <w:rsid w:val="00337AAE"/>
    <w:rsid w:val="003425B6"/>
    <w:rsid w:val="003429CB"/>
    <w:rsid w:val="00343BA7"/>
    <w:rsid w:val="00344784"/>
    <w:rsid w:val="00353776"/>
    <w:rsid w:val="00354C4C"/>
    <w:rsid w:val="003617FD"/>
    <w:rsid w:val="0036307D"/>
    <w:rsid w:val="00364CDC"/>
    <w:rsid w:val="00365860"/>
    <w:rsid w:val="00365E36"/>
    <w:rsid w:val="00377A83"/>
    <w:rsid w:val="00377CE8"/>
    <w:rsid w:val="00381DF2"/>
    <w:rsid w:val="0038405A"/>
    <w:rsid w:val="003841F1"/>
    <w:rsid w:val="00384E20"/>
    <w:rsid w:val="0038504D"/>
    <w:rsid w:val="00385735"/>
    <w:rsid w:val="0038649F"/>
    <w:rsid w:val="003866DA"/>
    <w:rsid w:val="00386CB6"/>
    <w:rsid w:val="00387997"/>
    <w:rsid w:val="00392B8A"/>
    <w:rsid w:val="00393248"/>
    <w:rsid w:val="00394089"/>
    <w:rsid w:val="00394ACC"/>
    <w:rsid w:val="0039669C"/>
    <w:rsid w:val="003A0BC6"/>
    <w:rsid w:val="003A1AF8"/>
    <w:rsid w:val="003A3CF3"/>
    <w:rsid w:val="003A4A78"/>
    <w:rsid w:val="003A5008"/>
    <w:rsid w:val="003A55F7"/>
    <w:rsid w:val="003A5CB0"/>
    <w:rsid w:val="003A6C2D"/>
    <w:rsid w:val="003B19EF"/>
    <w:rsid w:val="003B1DBD"/>
    <w:rsid w:val="003B2A63"/>
    <w:rsid w:val="003B4995"/>
    <w:rsid w:val="003B642F"/>
    <w:rsid w:val="003B69FE"/>
    <w:rsid w:val="003C2281"/>
    <w:rsid w:val="003C4421"/>
    <w:rsid w:val="003C6FB3"/>
    <w:rsid w:val="003D08E5"/>
    <w:rsid w:val="003D16A6"/>
    <w:rsid w:val="003D17C3"/>
    <w:rsid w:val="003D1AE5"/>
    <w:rsid w:val="003D519C"/>
    <w:rsid w:val="003D6CA2"/>
    <w:rsid w:val="003D7151"/>
    <w:rsid w:val="003D7807"/>
    <w:rsid w:val="003D7FB4"/>
    <w:rsid w:val="003E0382"/>
    <w:rsid w:val="003E17DC"/>
    <w:rsid w:val="003E3266"/>
    <w:rsid w:val="003E3F4C"/>
    <w:rsid w:val="003E63D3"/>
    <w:rsid w:val="003E6A68"/>
    <w:rsid w:val="003E7A0E"/>
    <w:rsid w:val="003F32B9"/>
    <w:rsid w:val="003F33C2"/>
    <w:rsid w:val="003F6369"/>
    <w:rsid w:val="003F726F"/>
    <w:rsid w:val="00401BE8"/>
    <w:rsid w:val="00401CF4"/>
    <w:rsid w:val="00402DF0"/>
    <w:rsid w:val="00403EA9"/>
    <w:rsid w:val="004049C6"/>
    <w:rsid w:val="0040641C"/>
    <w:rsid w:val="0040671E"/>
    <w:rsid w:val="004071F9"/>
    <w:rsid w:val="0040798B"/>
    <w:rsid w:val="00410804"/>
    <w:rsid w:val="00410CD8"/>
    <w:rsid w:val="004128A5"/>
    <w:rsid w:val="00412F0C"/>
    <w:rsid w:val="00413F83"/>
    <w:rsid w:val="00414329"/>
    <w:rsid w:val="00416BCE"/>
    <w:rsid w:val="004208A4"/>
    <w:rsid w:val="00421933"/>
    <w:rsid w:val="00424A86"/>
    <w:rsid w:val="00426552"/>
    <w:rsid w:val="00430F6B"/>
    <w:rsid w:val="004313BE"/>
    <w:rsid w:val="00431E97"/>
    <w:rsid w:val="00432E27"/>
    <w:rsid w:val="00434E31"/>
    <w:rsid w:val="00434F84"/>
    <w:rsid w:val="00436872"/>
    <w:rsid w:val="00437A54"/>
    <w:rsid w:val="004405C8"/>
    <w:rsid w:val="004408C6"/>
    <w:rsid w:val="00441080"/>
    <w:rsid w:val="00442E54"/>
    <w:rsid w:val="00445F27"/>
    <w:rsid w:val="00447354"/>
    <w:rsid w:val="0044745E"/>
    <w:rsid w:val="00447757"/>
    <w:rsid w:val="0045248B"/>
    <w:rsid w:val="004525D5"/>
    <w:rsid w:val="00455698"/>
    <w:rsid w:val="00455B1A"/>
    <w:rsid w:val="004565FD"/>
    <w:rsid w:val="00456C0B"/>
    <w:rsid w:val="00460A96"/>
    <w:rsid w:val="00464AA3"/>
    <w:rsid w:val="00465A5B"/>
    <w:rsid w:val="00470B99"/>
    <w:rsid w:val="00471C19"/>
    <w:rsid w:val="0047228D"/>
    <w:rsid w:val="00473483"/>
    <w:rsid w:val="00475465"/>
    <w:rsid w:val="004756A6"/>
    <w:rsid w:val="004804B2"/>
    <w:rsid w:val="00480DAB"/>
    <w:rsid w:val="00481BE0"/>
    <w:rsid w:val="004850E3"/>
    <w:rsid w:val="0048741E"/>
    <w:rsid w:val="00487964"/>
    <w:rsid w:val="00487C1A"/>
    <w:rsid w:val="0049085A"/>
    <w:rsid w:val="00491DF0"/>
    <w:rsid w:val="00492574"/>
    <w:rsid w:val="00493F9A"/>
    <w:rsid w:val="00496A96"/>
    <w:rsid w:val="00497803"/>
    <w:rsid w:val="004A194F"/>
    <w:rsid w:val="004A4A27"/>
    <w:rsid w:val="004A592E"/>
    <w:rsid w:val="004A61AF"/>
    <w:rsid w:val="004A6351"/>
    <w:rsid w:val="004B0D49"/>
    <w:rsid w:val="004B2C64"/>
    <w:rsid w:val="004B301D"/>
    <w:rsid w:val="004B3623"/>
    <w:rsid w:val="004B4716"/>
    <w:rsid w:val="004B540E"/>
    <w:rsid w:val="004B57FD"/>
    <w:rsid w:val="004B5DA0"/>
    <w:rsid w:val="004B73AB"/>
    <w:rsid w:val="004C1E71"/>
    <w:rsid w:val="004C2098"/>
    <w:rsid w:val="004C2884"/>
    <w:rsid w:val="004C38FB"/>
    <w:rsid w:val="004C53D2"/>
    <w:rsid w:val="004C55AA"/>
    <w:rsid w:val="004C5D85"/>
    <w:rsid w:val="004D0355"/>
    <w:rsid w:val="004D0E78"/>
    <w:rsid w:val="004D0EA2"/>
    <w:rsid w:val="004D126A"/>
    <w:rsid w:val="004D2212"/>
    <w:rsid w:val="004D4CD4"/>
    <w:rsid w:val="004D5ACD"/>
    <w:rsid w:val="004D5FE9"/>
    <w:rsid w:val="004E017C"/>
    <w:rsid w:val="004E09D7"/>
    <w:rsid w:val="004F1B47"/>
    <w:rsid w:val="004F5439"/>
    <w:rsid w:val="004F5BD8"/>
    <w:rsid w:val="004F63CB"/>
    <w:rsid w:val="004F7125"/>
    <w:rsid w:val="005015BE"/>
    <w:rsid w:val="00502078"/>
    <w:rsid w:val="00504A6A"/>
    <w:rsid w:val="005101E4"/>
    <w:rsid w:val="005105A4"/>
    <w:rsid w:val="00510616"/>
    <w:rsid w:val="005119D4"/>
    <w:rsid w:val="005125F9"/>
    <w:rsid w:val="00514C74"/>
    <w:rsid w:val="00520C68"/>
    <w:rsid w:val="005214D8"/>
    <w:rsid w:val="00521620"/>
    <w:rsid w:val="005216E0"/>
    <w:rsid w:val="00522680"/>
    <w:rsid w:val="00523F76"/>
    <w:rsid w:val="00525A45"/>
    <w:rsid w:val="0052775A"/>
    <w:rsid w:val="00530433"/>
    <w:rsid w:val="00530884"/>
    <w:rsid w:val="00532A5E"/>
    <w:rsid w:val="00532A90"/>
    <w:rsid w:val="00536317"/>
    <w:rsid w:val="00537DD0"/>
    <w:rsid w:val="00537E67"/>
    <w:rsid w:val="00542D44"/>
    <w:rsid w:val="00542E7F"/>
    <w:rsid w:val="00542E91"/>
    <w:rsid w:val="005457A7"/>
    <w:rsid w:val="005457E1"/>
    <w:rsid w:val="005464AA"/>
    <w:rsid w:val="005465B5"/>
    <w:rsid w:val="005500D5"/>
    <w:rsid w:val="005542E8"/>
    <w:rsid w:val="00555C5A"/>
    <w:rsid w:val="00557C93"/>
    <w:rsid w:val="005602C2"/>
    <w:rsid w:val="00560555"/>
    <w:rsid w:val="0056163D"/>
    <w:rsid w:val="00561807"/>
    <w:rsid w:val="00562921"/>
    <w:rsid w:val="0056563B"/>
    <w:rsid w:val="00566A90"/>
    <w:rsid w:val="0056702C"/>
    <w:rsid w:val="00570A36"/>
    <w:rsid w:val="00571827"/>
    <w:rsid w:val="0057339F"/>
    <w:rsid w:val="00573BE1"/>
    <w:rsid w:val="00575067"/>
    <w:rsid w:val="00575BC4"/>
    <w:rsid w:val="0057732C"/>
    <w:rsid w:val="0058004F"/>
    <w:rsid w:val="00582907"/>
    <w:rsid w:val="00583768"/>
    <w:rsid w:val="00583885"/>
    <w:rsid w:val="005841B6"/>
    <w:rsid w:val="00586EE9"/>
    <w:rsid w:val="00587302"/>
    <w:rsid w:val="005911BA"/>
    <w:rsid w:val="00592345"/>
    <w:rsid w:val="00592EF8"/>
    <w:rsid w:val="005953D1"/>
    <w:rsid w:val="005966E8"/>
    <w:rsid w:val="005A04F5"/>
    <w:rsid w:val="005A0672"/>
    <w:rsid w:val="005A11DF"/>
    <w:rsid w:val="005A2607"/>
    <w:rsid w:val="005A2BB3"/>
    <w:rsid w:val="005A447C"/>
    <w:rsid w:val="005A4649"/>
    <w:rsid w:val="005A480F"/>
    <w:rsid w:val="005A4A84"/>
    <w:rsid w:val="005A5ED2"/>
    <w:rsid w:val="005B10B7"/>
    <w:rsid w:val="005B149E"/>
    <w:rsid w:val="005B3BCE"/>
    <w:rsid w:val="005C0244"/>
    <w:rsid w:val="005C14FC"/>
    <w:rsid w:val="005C21A8"/>
    <w:rsid w:val="005C2F37"/>
    <w:rsid w:val="005C3120"/>
    <w:rsid w:val="005C6667"/>
    <w:rsid w:val="005D1F85"/>
    <w:rsid w:val="005D5790"/>
    <w:rsid w:val="005D5D73"/>
    <w:rsid w:val="005D7462"/>
    <w:rsid w:val="005E18AA"/>
    <w:rsid w:val="005E2630"/>
    <w:rsid w:val="005E35C5"/>
    <w:rsid w:val="005E5539"/>
    <w:rsid w:val="005F1396"/>
    <w:rsid w:val="005F2048"/>
    <w:rsid w:val="005F481B"/>
    <w:rsid w:val="005F53EC"/>
    <w:rsid w:val="005F586A"/>
    <w:rsid w:val="005F73CD"/>
    <w:rsid w:val="006000AA"/>
    <w:rsid w:val="00601112"/>
    <w:rsid w:val="006011D9"/>
    <w:rsid w:val="0060266F"/>
    <w:rsid w:val="00602AD5"/>
    <w:rsid w:val="006047C8"/>
    <w:rsid w:val="00604FD5"/>
    <w:rsid w:val="006102BA"/>
    <w:rsid w:val="00611B10"/>
    <w:rsid w:val="00613BA2"/>
    <w:rsid w:val="00614E4B"/>
    <w:rsid w:val="006150A9"/>
    <w:rsid w:val="00615B1A"/>
    <w:rsid w:val="00620177"/>
    <w:rsid w:val="006230BA"/>
    <w:rsid w:val="00623EA6"/>
    <w:rsid w:val="00625DB3"/>
    <w:rsid w:val="006264FD"/>
    <w:rsid w:val="006265AF"/>
    <w:rsid w:val="00627780"/>
    <w:rsid w:val="0063092E"/>
    <w:rsid w:val="006319A8"/>
    <w:rsid w:val="00632B48"/>
    <w:rsid w:val="00634567"/>
    <w:rsid w:val="0063634A"/>
    <w:rsid w:val="00640DE3"/>
    <w:rsid w:val="006420F3"/>
    <w:rsid w:val="00642FFA"/>
    <w:rsid w:val="0064661A"/>
    <w:rsid w:val="00651727"/>
    <w:rsid w:val="00653237"/>
    <w:rsid w:val="00654010"/>
    <w:rsid w:val="00655D56"/>
    <w:rsid w:val="006602E7"/>
    <w:rsid w:val="00661E9E"/>
    <w:rsid w:val="00662D96"/>
    <w:rsid w:val="00670537"/>
    <w:rsid w:val="00675476"/>
    <w:rsid w:val="00675ED4"/>
    <w:rsid w:val="0068148A"/>
    <w:rsid w:val="006841F0"/>
    <w:rsid w:val="00686BEF"/>
    <w:rsid w:val="00686C01"/>
    <w:rsid w:val="00690387"/>
    <w:rsid w:val="00690E20"/>
    <w:rsid w:val="006932F6"/>
    <w:rsid w:val="00693B4A"/>
    <w:rsid w:val="00694EBF"/>
    <w:rsid w:val="00695ECC"/>
    <w:rsid w:val="00695F7D"/>
    <w:rsid w:val="006A21B1"/>
    <w:rsid w:val="006A2DC0"/>
    <w:rsid w:val="006A5A78"/>
    <w:rsid w:val="006A6806"/>
    <w:rsid w:val="006A7D90"/>
    <w:rsid w:val="006B2C08"/>
    <w:rsid w:val="006B329B"/>
    <w:rsid w:val="006B5441"/>
    <w:rsid w:val="006B69B2"/>
    <w:rsid w:val="006B74FF"/>
    <w:rsid w:val="006B7B58"/>
    <w:rsid w:val="006C03CE"/>
    <w:rsid w:val="006C0435"/>
    <w:rsid w:val="006C240B"/>
    <w:rsid w:val="006C2D80"/>
    <w:rsid w:val="006C4293"/>
    <w:rsid w:val="006C56A9"/>
    <w:rsid w:val="006C730B"/>
    <w:rsid w:val="006C7B18"/>
    <w:rsid w:val="006D33B1"/>
    <w:rsid w:val="006D33B6"/>
    <w:rsid w:val="006D3AA6"/>
    <w:rsid w:val="006D3CAE"/>
    <w:rsid w:val="006D7C7C"/>
    <w:rsid w:val="006D7F98"/>
    <w:rsid w:val="006E0E9F"/>
    <w:rsid w:val="006E2E6D"/>
    <w:rsid w:val="006E3152"/>
    <w:rsid w:val="006E38C7"/>
    <w:rsid w:val="006E5E46"/>
    <w:rsid w:val="006F05C2"/>
    <w:rsid w:val="006F0947"/>
    <w:rsid w:val="006F2FE5"/>
    <w:rsid w:val="006F36FE"/>
    <w:rsid w:val="006F49F6"/>
    <w:rsid w:val="006F4D57"/>
    <w:rsid w:val="006F52F1"/>
    <w:rsid w:val="006F5337"/>
    <w:rsid w:val="006F6321"/>
    <w:rsid w:val="006F748C"/>
    <w:rsid w:val="006F7AB8"/>
    <w:rsid w:val="0070015F"/>
    <w:rsid w:val="00704901"/>
    <w:rsid w:val="00706A85"/>
    <w:rsid w:val="00706FC5"/>
    <w:rsid w:val="00712675"/>
    <w:rsid w:val="00714EB2"/>
    <w:rsid w:val="007175FE"/>
    <w:rsid w:val="00717889"/>
    <w:rsid w:val="00722F91"/>
    <w:rsid w:val="00722FB3"/>
    <w:rsid w:val="00723302"/>
    <w:rsid w:val="00723905"/>
    <w:rsid w:val="00724759"/>
    <w:rsid w:val="00726883"/>
    <w:rsid w:val="0073171B"/>
    <w:rsid w:val="00732EAA"/>
    <w:rsid w:val="0073310E"/>
    <w:rsid w:val="007349B8"/>
    <w:rsid w:val="00736EEF"/>
    <w:rsid w:val="0074116E"/>
    <w:rsid w:val="0074556C"/>
    <w:rsid w:val="00745B57"/>
    <w:rsid w:val="0074602E"/>
    <w:rsid w:val="00746D9D"/>
    <w:rsid w:val="00747C20"/>
    <w:rsid w:val="0075279F"/>
    <w:rsid w:val="00761132"/>
    <w:rsid w:val="007627F3"/>
    <w:rsid w:val="00762859"/>
    <w:rsid w:val="007631B3"/>
    <w:rsid w:val="00767241"/>
    <w:rsid w:val="00767CF4"/>
    <w:rsid w:val="00771F09"/>
    <w:rsid w:val="00773A4F"/>
    <w:rsid w:val="00774E0A"/>
    <w:rsid w:val="0077509A"/>
    <w:rsid w:val="00776993"/>
    <w:rsid w:val="007778BE"/>
    <w:rsid w:val="007813FC"/>
    <w:rsid w:val="0078344D"/>
    <w:rsid w:val="00783975"/>
    <w:rsid w:val="00785B06"/>
    <w:rsid w:val="00790C13"/>
    <w:rsid w:val="007911DA"/>
    <w:rsid w:val="00791840"/>
    <w:rsid w:val="00792928"/>
    <w:rsid w:val="0079326B"/>
    <w:rsid w:val="007947D9"/>
    <w:rsid w:val="007972AA"/>
    <w:rsid w:val="007A22B5"/>
    <w:rsid w:val="007A3D24"/>
    <w:rsid w:val="007A3EC3"/>
    <w:rsid w:val="007A6332"/>
    <w:rsid w:val="007A7030"/>
    <w:rsid w:val="007A71A0"/>
    <w:rsid w:val="007B187C"/>
    <w:rsid w:val="007B36F7"/>
    <w:rsid w:val="007B41CE"/>
    <w:rsid w:val="007B43E9"/>
    <w:rsid w:val="007B4CCE"/>
    <w:rsid w:val="007B5D39"/>
    <w:rsid w:val="007C01F3"/>
    <w:rsid w:val="007C132B"/>
    <w:rsid w:val="007C2985"/>
    <w:rsid w:val="007C29C1"/>
    <w:rsid w:val="007C2F49"/>
    <w:rsid w:val="007C345C"/>
    <w:rsid w:val="007C4CEC"/>
    <w:rsid w:val="007C5062"/>
    <w:rsid w:val="007C514A"/>
    <w:rsid w:val="007C558F"/>
    <w:rsid w:val="007D065A"/>
    <w:rsid w:val="007D0B1F"/>
    <w:rsid w:val="007D25B5"/>
    <w:rsid w:val="007D2C67"/>
    <w:rsid w:val="007D3920"/>
    <w:rsid w:val="007D3C37"/>
    <w:rsid w:val="007D3F5C"/>
    <w:rsid w:val="007D464D"/>
    <w:rsid w:val="007E0B87"/>
    <w:rsid w:val="007E0E3E"/>
    <w:rsid w:val="007E380E"/>
    <w:rsid w:val="007E4C16"/>
    <w:rsid w:val="007E5635"/>
    <w:rsid w:val="007E666E"/>
    <w:rsid w:val="007E6926"/>
    <w:rsid w:val="007F02B3"/>
    <w:rsid w:val="007F1BE4"/>
    <w:rsid w:val="007F5E6D"/>
    <w:rsid w:val="007F7F69"/>
    <w:rsid w:val="008004CD"/>
    <w:rsid w:val="00801313"/>
    <w:rsid w:val="00801471"/>
    <w:rsid w:val="008021DB"/>
    <w:rsid w:val="0080435C"/>
    <w:rsid w:val="00804A0D"/>
    <w:rsid w:val="00804BD7"/>
    <w:rsid w:val="00804D5E"/>
    <w:rsid w:val="00805512"/>
    <w:rsid w:val="00805FD6"/>
    <w:rsid w:val="00806691"/>
    <w:rsid w:val="00812FA8"/>
    <w:rsid w:val="00814701"/>
    <w:rsid w:val="00814E1E"/>
    <w:rsid w:val="00815068"/>
    <w:rsid w:val="008207C7"/>
    <w:rsid w:val="00823D04"/>
    <w:rsid w:val="00824D51"/>
    <w:rsid w:val="00826988"/>
    <w:rsid w:val="00827D88"/>
    <w:rsid w:val="00830034"/>
    <w:rsid w:val="00830F69"/>
    <w:rsid w:val="00832108"/>
    <w:rsid w:val="00833E06"/>
    <w:rsid w:val="00834C44"/>
    <w:rsid w:val="00835641"/>
    <w:rsid w:val="00835A29"/>
    <w:rsid w:val="00835F90"/>
    <w:rsid w:val="00836861"/>
    <w:rsid w:val="0083724E"/>
    <w:rsid w:val="00841DC2"/>
    <w:rsid w:val="0084416A"/>
    <w:rsid w:val="008469D5"/>
    <w:rsid w:val="008472AE"/>
    <w:rsid w:val="008505A1"/>
    <w:rsid w:val="008523BB"/>
    <w:rsid w:val="008552B4"/>
    <w:rsid w:val="00862617"/>
    <w:rsid w:val="00865756"/>
    <w:rsid w:val="008659B5"/>
    <w:rsid w:val="00870485"/>
    <w:rsid w:val="0087174D"/>
    <w:rsid w:val="008722AB"/>
    <w:rsid w:val="00874149"/>
    <w:rsid w:val="00875254"/>
    <w:rsid w:val="008758BC"/>
    <w:rsid w:val="0087606D"/>
    <w:rsid w:val="00876619"/>
    <w:rsid w:val="00876D20"/>
    <w:rsid w:val="00877FB6"/>
    <w:rsid w:val="0088098E"/>
    <w:rsid w:val="008811DC"/>
    <w:rsid w:val="00881DAD"/>
    <w:rsid w:val="00881EA8"/>
    <w:rsid w:val="008840D1"/>
    <w:rsid w:val="0088475C"/>
    <w:rsid w:val="00884F26"/>
    <w:rsid w:val="00884F68"/>
    <w:rsid w:val="008855FD"/>
    <w:rsid w:val="00885F8C"/>
    <w:rsid w:val="00886625"/>
    <w:rsid w:val="00887A5F"/>
    <w:rsid w:val="00893952"/>
    <w:rsid w:val="00894BFD"/>
    <w:rsid w:val="00895099"/>
    <w:rsid w:val="008964F2"/>
    <w:rsid w:val="00897054"/>
    <w:rsid w:val="008A0BE7"/>
    <w:rsid w:val="008A16B2"/>
    <w:rsid w:val="008A2B28"/>
    <w:rsid w:val="008A4A25"/>
    <w:rsid w:val="008A5134"/>
    <w:rsid w:val="008A77F3"/>
    <w:rsid w:val="008A7FF2"/>
    <w:rsid w:val="008B1240"/>
    <w:rsid w:val="008B5956"/>
    <w:rsid w:val="008B7E67"/>
    <w:rsid w:val="008C1785"/>
    <w:rsid w:val="008C21C9"/>
    <w:rsid w:val="008C2670"/>
    <w:rsid w:val="008C3B07"/>
    <w:rsid w:val="008C5AB7"/>
    <w:rsid w:val="008C7435"/>
    <w:rsid w:val="008D016C"/>
    <w:rsid w:val="008D1410"/>
    <w:rsid w:val="008D1E4D"/>
    <w:rsid w:val="008D2F68"/>
    <w:rsid w:val="008D5A37"/>
    <w:rsid w:val="008D7A56"/>
    <w:rsid w:val="008D7BE6"/>
    <w:rsid w:val="008E4153"/>
    <w:rsid w:val="008E44B5"/>
    <w:rsid w:val="008E6E9A"/>
    <w:rsid w:val="008F303C"/>
    <w:rsid w:val="008F3E58"/>
    <w:rsid w:val="008F7740"/>
    <w:rsid w:val="008F7AF4"/>
    <w:rsid w:val="009030CB"/>
    <w:rsid w:val="00904831"/>
    <w:rsid w:val="00905594"/>
    <w:rsid w:val="00905F9C"/>
    <w:rsid w:val="00907850"/>
    <w:rsid w:val="00913017"/>
    <w:rsid w:val="009132F6"/>
    <w:rsid w:val="009145E2"/>
    <w:rsid w:val="00914F1A"/>
    <w:rsid w:val="00917373"/>
    <w:rsid w:val="00920722"/>
    <w:rsid w:val="00921164"/>
    <w:rsid w:val="00922C60"/>
    <w:rsid w:val="00922C8E"/>
    <w:rsid w:val="00922DD2"/>
    <w:rsid w:val="009262FF"/>
    <w:rsid w:val="009275F3"/>
    <w:rsid w:val="009279C8"/>
    <w:rsid w:val="00930BA0"/>
    <w:rsid w:val="00930F1C"/>
    <w:rsid w:val="00930F93"/>
    <w:rsid w:val="00932423"/>
    <w:rsid w:val="00932D8C"/>
    <w:rsid w:val="00933608"/>
    <w:rsid w:val="009358B4"/>
    <w:rsid w:val="00935E50"/>
    <w:rsid w:val="009360B7"/>
    <w:rsid w:val="00936508"/>
    <w:rsid w:val="009367A2"/>
    <w:rsid w:val="00940145"/>
    <w:rsid w:val="00941A31"/>
    <w:rsid w:val="00944152"/>
    <w:rsid w:val="0094449E"/>
    <w:rsid w:val="00944609"/>
    <w:rsid w:val="00944FEA"/>
    <w:rsid w:val="00945345"/>
    <w:rsid w:val="00950BBE"/>
    <w:rsid w:val="00951BC6"/>
    <w:rsid w:val="0095266D"/>
    <w:rsid w:val="0095267C"/>
    <w:rsid w:val="009530D6"/>
    <w:rsid w:val="0095337D"/>
    <w:rsid w:val="00954E74"/>
    <w:rsid w:val="00956000"/>
    <w:rsid w:val="00956129"/>
    <w:rsid w:val="0095677D"/>
    <w:rsid w:val="009567BE"/>
    <w:rsid w:val="00956990"/>
    <w:rsid w:val="00962F7C"/>
    <w:rsid w:val="00964D03"/>
    <w:rsid w:val="009650D4"/>
    <w:rsid w:val="00966A5C"/>
    <w:rsid w:val="0096772C"/>
    <w:rsid w:val="00972DEE"/>
    <w:rsid w:val="0097528D"/>
    <w:rsid w:val="00975ECF"/>
    <w:rsid w:val="009765DF"/>
    <w:rsid w:val="0098337A"/>
    <w:rsid w:val="009836CA"/>
    <w:rsid w:val="0098374E"/>
    <w:rsid w:val="009863B8"/>
    <w:rsid w:val="00987E10"/>
    <w:rsid w:val="00992861"/>
    <w:rsid w:val="00994E11"/>
    <w:rsid w:val="009979BA"/>
    <w:rsid w:val="009A0643"/>
    <w:rsid w:val="009A19CA"/>
    <w:rsid w:val="009A1D50"/>
    <w:rsid w:val="009A317A"/>
    <w:rsid w:val="009A3D15"/>
    <w:rsid w:val="009A68B6"/>
    <w:rsid w:val="009A6A5E"/>
    <w:rsid w:val="009B1FAF"/>
    <w:rsid w:val="009B2C5D"/>
    <w:rsid w:val="009B7857"/>
    <w:rsid w:val="009C0068"/>
    <w:rsid w:val="009C1673"/>
    <w:rsid w:val="009C1E88"/>
    <w:rsid w:val="009C1F5C"/>
    <w:rsid w:val="009C2505"/>
    <w:rsid w:val="009C3D7C"/>
    <w:rsid w:val="009C48E3"/>
    <w:rsid w:val="009D1C51"/>
    <w:rsid w:val="009D1D7D"/>
    <w:rsid w:val="009D2719"/>
    <w:rsid w:val="009D2B72"/>
    <w:rsid w:val="009D573D"/>
    <w:rsid w:val="009E0332"/>
    <w:rsid w:val="009E1427"/>
    <w:rsid w:val="009E30B4"/>
    <w:rsid w:val="009E5238"/>
    <w:rsid w:val="009F342E"/>
    <w:rsid w:val="009F3B34"/>
    <w:rsid w:val="00A0034F"/>
    <w:rsid w:val="00A02644"/>
    <w:rsid w:val="00A02965"/>
    <w:rsid w:val="00A0313D"/>
    <w:rsid w:val="00A03543"/>
    <w:rsid w:val="00A10583"/>
    <w:rsid w:val="00A110FF"/>
    <w:rsid w:val="00A11105"/>
    <w:rsid w:val="00A112B6"/>
    <w:rsid w:val="00A11A44"/>
    <w:rsid w:val="00A1213F"/>
    <w:rsid w:val="00A124E3"/>
    <w:rsid w:val="00A13596"/>
    <w:rsid w:val="00A16C01"/>
    <w:rsid w:val="00A22C86"/>
    <w:rsid w:val="00A2416E"/>
    <w:rsid w:val="00A304DB"/>
    <w:rsid w:val="00A308C0"/>
    <w:rsid w:val="00A3147E"/>
    <w:rsid w:val="00A31ED5"/>
    <w:rsid w:val="00A326B0"/>
    <w:rsid w:val="00A327D5"/>
    <w:rsid w:val="00A334F4"/>
    <w:rsid w:val="00A34799"/>
    <w:rsid w:val="00A35255"/>
    <w:rsid w:val="00A37945"/>
    <w:rsid w:val="00A37AFF"/>
    <w:rsid w:val="00A37CDD"/>
    <w:rsid w:val="00A40BDC"/>
    <w:rsid w:val="00A452EE"/>
    <w:rsid w:val="00A5018C"/>
    <w:rsid w:val="00A50961"/>
    <w:rsid w:val="00A5131C"/>
    <w:rsid w:val="00A515AB"/>
    <w:rsid w:val="00A539C9"/>
    <w:rsid w:val="00A547B0"/>
    <w:rsid w:val="00A54F67"/>
    <w:rsid w:val="00A61631"/>
    <w:rsid w:val="00A616A3"/>
    <w:rsid w:val="00A622F6"/>
    <w:rsid w:val="00A632DD"/>
    <w:rsid w:val="00A633DD"/>
    <w:rsid w:val="00A644F5"/>
    <w:rsid w:val="00A647B5"/>
    <w:rsid w:val="00A655F7"/>
    <w:rsid w:val="00A70342"/>
    <w:rsid w:val="00A743D9"/>
    <w:rsid w:val="00A750C8"/>
    <w:rsid w:val="00A7520A"/>
    <w:rsid w:val="00A75E46"/>
    <w:rsid w:val="00A8215B"/>
    <w:rsid w:val="00A83962"/>
    <w:rsid w:val="00A840AE"/>
    <w:rsid w:val="00A843E5"/>
    <w:rsid w:val="00A8710A"/>
    <w:rsid w:val="00A87A39"/>
    <w:rsid w:val="00A90AFA"/>
    <w:rsid w:val="00A910BF"/>
    <w:rsid w:val="00A939A6"/>
    <w:rsid w:val="00A95450"/>
    <w:rsid w:val="00AA011F"/>
    <w:rsid w:val="00AA2180"/>
    <w:rsid w:val="00AA60C1"/>
    <w:rsid w:val="00AB2438"/>
    <w:rsid w:val="00AB3379"/>
    <w:rsid w:val="00AB3838"/>
    <w:rsid w:val="00AB62B1"/>
    <w:rsid w:val="00AC0F48"/>
    <w:rsid w:val="00AC1090"/>
    <w:rsid w:val="00AC11B1"/>
    <w:rsid w:val="00AC3E52"/>
    <w:rsid w:val="00AC4E43"/>
    <w:rsid w:val="00AC6F36"/>
    <w:rsid w:val="00AD0F72"/>
    <w:rsid w:val="00AD10F8"/>
    <w:rsid w:val="00AD29EB"/>
    <w:rsid w:val="00AD2DC9"/>
    <w:rsid w:val="00AD3192"/>
    <w:rsid w:val="00AD4848"/>
    <w:rsid w:val="00AD51FF"/>
    <w:rsid w:val="00AD79F2"/>
    <w:rsid w:val="00AE00DF"/>
    <w:rsid w:val="00AE301E"/>
    <w:rsid w:val="00AE3F78"/>
    <w:rsid w:val="00AE4CC2"/>
    <w:rsid w:val="00AE61FB"/>
    <w:rsid w:val="00AE628A"/>
    <w:rsid w:val="00AE6320"/>
    <w:rsid w:val="00AE6929"/>
    <w:rsid w:val="00AF171E"/>
    <w:rsid w:val="00AF2B07"/>
    <w:rsid w:val="00AF3586"/>
    <w:rsid w:val="00AF4194"/>
    <w:rsid w:val="00AF7658"/>
    <w:rsid w:val="00AF7F41"/>
    <w:rsid w:val="00B01586"/>
    <w:rsid w:val="00B03420"/>
    <w:rsid w:val="00B03E3E"/>
    <w:rsid w:val="00B048CB"/>
    <w:rsid w:val="00B058CF"/>
    <w:rsid w:val="00B05CC9"/>
    <w:rsid w:val="00B0638C"/>
    <w:rsid w:val="00B10711"/>
    <w:rsid w:val="00B159F6"/>
    <w:rsid w:val="00B17D45"/>
    <w:rsid w:val="00B17FE8"/>
    <w:rsid w:val="00B207F1"/>
    <w:rsid w:val="00B21A86"/>
    <w:rsid w:val="00B22338"/>
    <w:rsid w:val="00B24BD4"/>
    <w:rsid w:val="00B25EFF"/>
    <w:rsid w:val="00B32514"/>
    <w:rsid w:val="00B338B4"/>
    <w:rsid w:val="00B33F21"/>
    <w:rsid w:val="00B34B5D"/>
    <w:rsid w:val="00B34C03"/>
    <w:rsid w:val="00B35B3A"/>
    <w:rsid w:val="00B36491"/>
    <w:rsid w:val="00B4029E"/>
    <w:rsid w:val="00B41A0A"/>
    <w:rsid w:val="00B43C47"/>
    <w:rsid w:val="00B43E05"/>
    <w:rsid w:val="00B45172"/>
    <w:rsid w:val="00B475F5"/>
    <w:rsid w:val="00B47808"/>
    <w:rsid w:val="00B51D93"/>
    <w:rsid w:val="00B53483"/>
    <w:rsid w:val="00B54130"/>
    <w:rsid w:val="00B56C70"/>
    <w:rsid w:val="00B61C31"/>
    <w:rsid w:val="00B64787"/>
    <w:rsid w:val="00B64AF2"/>
    <w:rsid w:val="00B65D45"/>
    <w:rsid w:val="00B66F91"/>
    <w:rsid w:val="00B6739A"/>
    <w:rsid w:val="00B67B0D"/>
    <w:rsid w:val="00B72F1B"/>
    <w:rsid w:val="00B75490"/>
    <w:rsid w:val="00B7583E"/>
    <w:rsid w:val="00B761D5"/>
    <w:rsid w:val="00B762B2"/>
    <w:rsid w:val="00B76929"/>
    <w:rsid w:val="00B77B88"/>
    <w:rsid w:val="00B833B0"/>
    <w:rsid w:val="00B835BE"/>
    <w:rsid w:val="00B836FA"/>
    <w:rsid w:val="00B867EA"/>
    <w:rsid w:val="00B87FA8"/>
    <w:rsid w:val="00B90CC6"/>
    <w:rsid w:val="00B924E4"/>
    <w:rsid w:val="00B95DA8"/>
    <w:rsid w:val="00B97E53"/>
    <w:rsid w:val="00BA2905"/>
    <w:rsid w:val="00BA508B"/>
    <w:rsid w:val="00BA62B5"/>
    <w:rsid w:val="00BA6453"/>
    <w:rsid w:val="00BB0AC5"/>
    <w:rsid w:val="00BB0C66"/>
    <w:rsid w:val="00BB45B6"/>
    <w:rsid w:val="00BB63B2"/>
    <w:rsid w:val="00BB6AC7"/>
    <w:rsid w:val="00BC082C"/>
    <w:rsid w:val="00BC151D"/>
    <w:rsid w:val="00BC19C1"/>
    <w:rsid w:val="00BC1C58"/>
    <w:rsid w:val="00BC1E3D"/>
    <w:rsid w:val="00BC4ADD"/>
    <w:rsid w:val="00BC4EB8"/>
    <w:rsid w:val="00BC7A95"/>
    <w:rsid w:val="00BD10B4"/>
    <w:rsid w:val="00BD16E8"/>
    <w:rsid w:val="00BD3059"/>
    <w:rsid w:val="00BD5B72"/>
    <w:rsid w:val="00BE070D"/>
    <w:rsid w:val="00BE29BB"/>
    <w:rsid w:val="00BE2A3F"/>
    <w:rsid w:val="00BE348A"/>
    <w:rsid w:val="00BE4846"/>
    <w:rsid w:val="00BE64FE"/>
    <w:rsid w:val="00BE6751"/>
    <w:rsid w:val="00BE6D93"/>
    <w:rsid w:val="00BF13CB"/>
    <w:rsid w:val="00BF1CE0"/>
    <w:rsid w:val="00BF27C9"/>
    <w:rsid w:val="00BF28A8"/>
    <w:rsid w:val="00BF326B"/>
    <w:rsid w:val="00BF51B2"/>
    <w:rsid w:val="00BF5275"/>
    <w:rsid w:val="00BF59FD"/>
    <w:rsid w:val="00BF71E4"/>
    <w:rsid w:val="00BF7BE3"/>
    <w:rsid w:val="00C0032C"/>
    <w:rsid w:val="00C03110"/>
    <w:rsid w:val="00C07BE2"/>
    <w:rsid w:val="00C11734"/>
    <w:rsid w:val="00C125BE"/>
    <w:rsid w:val="00C13190"/>
    <w:rsid w:val="00C13382"/>
    <w:rsid w:val="00C14CD7"/>
    <w:rsid w:val="00C17559"/>
    <w:rsid w:val="00C17959"/>
    <w:rsid w:val="00C2054C"/>
    <w:rsid w:val="00C21B6B"/>
    <w:rsid w:val="00C2281D"/>
    <w:rsid w:val="00C23A69"/>
    <w:rsid w:val="00C24388"/>
    <w:rsid w:val="00C261DB"/>
    <w:rsid w:val="00C272CA"/>
    <w:rsid w:val="00C27827"/>
    <w:rsid w:val="00C32B8B"/>
    <w:rsid w:val="00C34B9C"/>
    <w:rsid w:val="00C34C23"/>
    <w:rsid w:val="00C35D87"/>
    <w:rsid w:val="00C42C89"/>
    <w:rsid w:val="00C441A2"/>
    <w:rsid w:val="00C45B92"/>
    <w:rsid w:val="00C469BA"/>
    <w:rsid w:val="00C47086"/>
    <w:rsid w:val="00C51CF9"/>
    <w:rsid w:val="00C54D23"/>
    <w:rsid w:val="00C56731"/>
    <w:rsid w:val="00C57230"/>
    <w:rsid w:val="00C62631"/>
    <w:rsid w:val="00C642A6"/>
    <w:rsid w:val="00C653F6"/>
    <w:rsid w:val="00C70A4E"/>
    <w:rsid w:val="00C70D56"/>
    <w:rsid w:val="00C70DA2"/>
    <w:rsid w:val="00C71333"/>
    <w:rsid w:val="00C714D1"/>
    <w:rsid w:val="00C720C2"/>
    <w:rsid w:val="00C72D36"/>
    <w:rsid w:val="00C75555"/>
    <w:rsid w:val="00C76B58"/>
    <w:rsid w:val="00C77022"/>
    <w:rsid w:val="00C859A5"/>
    <w:rsid w:val="00C85E2B"/>
    <w:rsid w:val="00C8699E"/>
    <w:rsid w:val="00C86F49"/>
    <w:rsid w:val="00C87049"/>
    <w:rsid w:val="00C87A8B"/>
    <w:rsid w:val="00C90225"/>
    <w:rsid w:val="00C91C6E"/>
    <w:rsid w:val="00C930EC"/>
    <w:rsid w:val="00C93390"/>
    <w:rsid w:val="00C93D78"/>
    <w:rsid w:val="00C97B90"/>
    <w:rsid w:val="00CA0613"/>
    <w:rsid w:val="00CA0FEA"/>
    <w:rsid w:val="00CA2659"/>
    <w:rsid w:val="00CA2B5D"/>
    <w:rsid w:val="00CA3675"/>
    <w:rsid w:val="00CA3A6F"/>
    <w:rsid w:val="00CA43A4"/>
    <w:rsid w:val="00CA7B4F"/>
    <w:rsid w:val="00CA7DE3"/>
    <w:rsid w:val="00CB0476"/>
    <w:rsid w:val="00CB061E"/>
    <w:rsid w:val="00CB11A9"/>
    <w:rsid w:val="00CB42AD"/>
    <w:rsid w:val="00CB49B9"/>
    <w:rsid w:val="00CB6550"/>
    <w:rsid w:val="00CB678D"/>
    <w:rsid w:val="00CB7109"/>
    <w:rsid w:val="00CB7206"/>
    <w:rsid w:val="00CB7813"/>
    <w:rsid w:val="00CC2DE2"/>
    <w:rsid w:val="00CC3EF6"/>
    <w:rsid w:val="00CC4974"/>
    <w:rsid w:val="00CC50BB"/>
    <w:rsid w:val="00CC5F1B"/>
    <w:rsid w:val="00CC7B51"/>
    <w:rsid w:val="00CD0CCE"/>
    <w:rsid w:val="00CD1F39"/>
    <w:rsid w:val="00CD2A77"/>
    <w:rsid w:val="00CD2DF4"/>
    <w:rsid w:val="00CD3C65"/>
    <w:rsid w:val="00CD4572"/>
    <w:rsid w:val="00CD464D"/>
    <w:rsid w:val="00CD51DF"/>
    <w:rsid w:val="00CD7401"/>
    <w:rsid w:val="00CD7E73"/>
    <w:rsid w:val="00CE39E2"/>
    <w:rsid w:val="00CE4D3A"/>
    <w:rsid w:val="00CE7678"/>
    <w:rsid w:val="00CF008F"/>
    <w:rsid w:val="00CF0C48"/>
    <w:rsid w:val="00CF0ECD"/>
    <w:rsid w:val="00CF1143"/>
    <w:rsid w:val="00CF1974"/>
    <w:rsid w:val="00D0027E"/>
    <w:rsid w:val="00D0158A"/>
    <w:rsid w:val="00D0215D"/>
    <w:rsid w:val="00D02736"/>
    <w:rsid w:val="00D05035"/>
    <w:rsid w:val="00D05634"/>
    <w:rsid w:val="00D066D8"/>
    <w:rsid w:val="00D1018A"/>
    <w:rsid w:val="00D149D4"/>
    <w:rsid w:val="00D15098"/>
    <w:rsid w:val="00D1775C"/>
    <w:rsid w:val="00D207ED"/>
    <w:rsid w:val="00D23A75"/>
    <w:rsid w:val="00D23BE5"/>
    <w:rsid w:val="00D24D67"/>
    <w:rsid w:val="00D25179"/>
    <w:rsid w:val="00D261C3"/>
    <w:rsid w:val="00D26C41"/>
    <w:rsid w:val="00D275F4"/>
    <w:rsid w:val="00D320D6"/>
    <w:rsid w:val="00D33C36"/>
    <w:rsid w:val="00D33EFE"/>
    <w:rsid w:val="00D3639F"/>
    <w:rsid w:val="00D40243"/>
    <w:rsid w:val="00D405AC"/>
    <w:rsid w:val="00D41787"/>
    <w:rsid w:val="00D424BC"/>
    <w:rsid w:val="00D444E0"/>
    <w:rsid w:val="00D45639"/>
    <w:rsid w:val="00D4579A"/>
    <w:rsid w:val="00D45963"/>
    <w:rsid w:val="00D477D1"/>
    <w:rsid w:val="00D5091E"/>
    <w:rsid w:val="00D51A00"/>
    <w:rsid w:val="00D525BD"/>
    <w:rsid w:val="00D53805"/>
    <w:rsid w:val="00D54FAC"/>
    <w:rsid w:val="00D564BD"/>
    <w:rsid w:val="00D571F6"/>
    <w:rsid w:val="00D60769"/>
    <w:rsid w:val="00D60C94"/>
    <w:rsid w:val="00D6240A"/>
    <w:rsid w:val="00D63652"/>
    <w:rsid w:val="00D657C4"/>
    <w:rsid w:val="00D66330"/>
    <w:rsid w:val="00D66957"/>
    <w:rsid w:val="00D676FA"/>
    <w:rsid w:val="00D71ABC"/>
    <w:rsid w:val="00D71F27"/>
    <w:rsid w:val="00D75C91"/>
    <w:rsid w:val="00D76086"/>
    <w:rsid w:val="00D766C2"/>
    <w:rsid w:val="00D76995"/>
    <w:rsid w:val="00D80D62"/>
    <w:rsid w:val="00D80F1C"/>
    <w:rsid w:val="00D840C3"/>
    <w:rsid w:val="00D863D3"/>
    <w:rsid w:val="00D86502"/>
    <w:rsid w:val="00D90311"/>
    <w:rsid w:val="00D91FFE"/>
    <w:rsid w:val="00D93A70"/>
    <w:rsid w:val="00D960C5"/>
    <w:rsid w:val="00D96183"/>
    <w:rsid w:val="00D96B5A"/>
    <w:rsid w:val="00D96F63"/>
    <w:rsid w:val="00D97E4A"/>
    <w:rsid w:val="00D97EA6"/>
    <w:rsid w:val="00DA6C03"/>
    <w:rsid w:val="00DA7F3A"/>
    <w:rsid w:val="00DA7FCC"/>
    <w:rsid w:val="00DB128F"/>
    <w:rsid w:val="00DB20C3"/>
    <w:rsid w:val="00DB303E"/>
    <w:rsid w:val="00DB39CA"/>
    <w:rsid w:val="00DB4057"/>
    <w:rsid w:val="00DB4E25"/>
    <w:rsid w:val="00DC081C"/>
    <w:rsid w:val="00DC0AA5"/>
    <w:rsid w:val="00DC1CFE"/>
    <w:rsid w:val="00DC219E"/>
    <w:rsid w:val="00DC2B68"/>
    <w:rsid w:val="00DC2CB8"/>
    <w:rsid w:val="00DC3BBC"/>
    <w:rsid w:val="00DC4011"/>
    <w:rsid w:val="00DD056F"/>
    <w:rsid w:val="00DD0908"/>
    <w:rsid w:val="00DD1BDD"/>
    <w:rsid w:val="00DD1E1F"/>
    <w:rsid w:val="00DD2B50"/>
    <w:rsid w:val="00DD3076"/>
    <w:rsid w:val="00DD364A"/>
    <w:rsid w:val="00DD4065"/>
    <w:rsid w:val="00DD439B"/>
    <w:rsid w:val="00DD481F"/>
    <w:rsid w:val="00DD5204"/>
    <w:rsid w:val="00DD54BE"/>
    <w:rsid w:val="00DD56F2"/>
    <w:rsid w:val="00DD6BAA"/>
    <w:rsid w:val="00DE1A4E"/>
    <w:rsid w:val="00DE31DE"/>
    <w:rsid w:val="00DE3DD4"/>
    <w:rsid w:val="00DE571E"/>
    <w:rsid w:val="00DE5987"/>
    <w:rsid w:val="00DE7CEE"/>
    <w:rsid w:val="00DF074E"/>
    <w:rsid w:val="00DF2B46"/>
    <w:rsid w:val="00DF31F1"/>
    <w:rsid w:val="00DF37D8"/>
    <w:rsid w:val="00DF3D56"/>
    <w:rsid w:val="00DF487E"/>
    <w:rsid w:val="00DF491C"/>
    <w:rsid w:val="00E02AE5"/>
    <w:rsid w:val="00E06623"/>
    <w:rsid w:val="00E066B1"/>
    <w:rsid w:val="00E06E9D"/>
    <w:rsid w:val="00E07F03"/>
    <w:rsid w:val="00E133F8"/>
    <w:rsid w:val="00E143BB"/>
    <w:rsid w:val="00E1474E"/>
    <w:rsid w:val="00E15B85"/>
    <w:rsid w:val="00E1764E"/>
    <w:rsid w:val="00E2059B"/>
    <w:rsid w:val="00E209A5"/>
    <w:rsid w:val="00E22E65"/>
    <w:rsid w:val="00E24DE4"/>
    <w:rsid w:val="00E2551A"/>
    <w:rsid w:val="00E27FE9"/>
    <w:rsid w:val="00E31FC0"/>
    <w:rsid w:val="00E32273"/>
    <w:rsid w:val="00E33039"/>
    <w:rsid w:val="00E330A5"/>
    <w:rsid w:val="00E3628A"/>
    <w:rsid w:val="00E36EEC"/>
    <w:rsid w:val="00E377E7"/>
    <w:rsid w:val="00E43153"/>
    <w:rsid w:val="00E43879"/>
    <w:rsid w:val="00E43E7C"/>
    <w:rsid w:val="00E46CCD"/>
    <w:rsid w:val="00E50E37"/>
    <w:rsid w:val="00E548A3"/>
    <w:rsid w:val="00E561AC"/>
    <w:rsid w:val="00E5693B"/>
    <w:rsid w:val="00E57DCB"/>
    <w:rsid w:val="00E616CA"/>
    <w:rsid w:val="00E6505B"/>
    <w:rsid w:val="00E67157"/>
    <w:rsid w:val="00E6721F"/>
    <w:rsid w:val="00E67A7D"/>
    <w:rsid w:val="00E70EB7"/>
    <w:rsid w:val="00E71BA4"/>
    <w:rsid w:val="00E72AE1"/>
    <w:rsid w:val="00E73A34"/>
    <w:rsid w:val="00E73BEC"/>
    <w:rsid w:val="00E75305"/>
    <w:rsid w:val="00E76F0E"/>
    <w:rsid w:val="00E77E37"/>
    <w:rsid w:val="00E826A2"/>
    <w:rsid w:val="00E82B8B"/>
    <w:rsid w:val="00E82EDC"/>
    <w:rsid w:val="00E8416F"/>
    <w:rsid w:val="00E844FF"/>
    <w:rsid w:val="00E8462A"/>
    <w:rsid w:val="00E84B06"/>
    <w:rsid w:val="00E86BB3"/>
    <w:rsid w:val="00E87D00"/>
    <w:rsid w:val="00E92997"/>
    <w:rsid w:val="00E92DB5"/>
    <w:rsid w:val="00E934E1"/>
    <w:rsid w:val="00E93B63"/>
    <w:rsid w:val="00EA0225"/>
    <w:rsid w:val="00EA0F20"/>
    <w:rsid w:val="00EA2A63"/>
    <w:rsid w:val="00EA30C5"/>
    <w:rsid w:val="00EA384C"/>
    <w:rsid w:val="00EA50AF"/>
    <w:rsid w:val="00EA5B59"/>
    <w:rsid w:val="00EA713B"/>
    <w:rsid w:val="00EA76B5"/>
    <w:rsid w:val="00EB02FA"/>
    <w:rsid w:val="00EB49EA"/>
    <w:rsid w:val="00EB5B64"/>
    <w:rsid w:val="00EB68D5"/>
    <w:rsid w:val="00EB7A5C"/>
    <w:rsid w:val="00EB7DD4"/>
    <w:rsid w:val="00EC00BC"/>
    <w:rsid w:val="00EC0DBD"/>
    <w:rsid w:val="00EC119F"/>
    <w:rsid w:val="00EC26BF"/>
    <w:rsid w:val="00EC66E8"/>
    <w:rsid w:val="00EC6B1D"/>
    <w:rsid w:val="00EC6F2C"/>
    <w:rsid w:val="00ED0159"/>
    <w:rsid w:val="00ED0969"/>
    <w:rsid w:val="00ED0AAD"/>
    <w:rsid w:val="00ED39E7"/>
    <w:rsid w:val="00ED4A32"/>
    <w:rsid w:val="00ED5E0D"/>
    <w:rsid w:val="00ED65D0"/>
    <w:rsid w:val="00EE2230"/>
    <w:rsid w:val="00EE4556"/>
    <w:rsid w:val="00EE6185"/>
    <w:rsid w:val="00EE64EC"/>
    <w:rsid w:val="00EF1812"/>
    <w:rsid w:val="00EF1AF9"/>
    <w:rsid w:val="00EF206A"/>
    <w:rsid w:val="00EF2A4B"/>
    <w:rsid w:val="00EF4640"/>
    <w:rsid w:val="00EF564C"/>
    <w:rsid w:val="00EF5812"/>
    <w:rsid w:val="00EF71AC"/>
    <w:rsid w:val="00EF7317"/>
    <w:rsid w:val="00F0157E"/>
    <w:rsid w:val="00F0232C"/>
    <w:rsid w:val="00F03620"/>
    <w:rsid w:val="00F0482E"/>
    <w:rsid w:val="00F04BDE"/>
    <w:rsid w:val="00F07939"/>
    <w:rsid w:val="00F1083B"/>
    <w:rsid w:val="00F130B8"/>
    <w:rsid w:val="00F1546E"/>
    <w:rsid w:val="00F1619A"/>
    <w:rsid w:val="00F16642"/>
    <w:rsid w:val="00F172F9"/>
    <w:rsid w:val="00F17ECF"/>
    <w:rsid w:val="00F20815"/>
    <w:rsid w:val="00F223A5"/>
    <w:rsid w:val="00F229D3"/>
    <w:rsid w:val="00F238CA"/>
    <w:rsid w:val="00F25D8F"/>
    <w:rsid w:val="00F26BDC"/>
    <w:rsid w:val="00F3099B"/>
    <w:rsid w:val="00F40843"/>
    <w:rsid w:val="00F42234"/>
    <w:rsid w:val="00F43419"/>
    <w:rsid w:val="00F43D76"/>
    <w:rsid w:val="00F43DEC"/>
    <w:rsid w:val="00F43EA8"/>
    <w:rsid w:val="00F45897"/>
    <w:rsid w:val="00F47278"/>
    <w:rsid w:val="00F508DF"/>
    <w:rsid w:val="00F54F34"/>
    <w:rsid w:val="00F57454"/>
    <w:rsid w:val="00F61362"/>
    <w:rsid w:val="00F616A7"/>
    <w:rsid w:val="00F62444"/>
    <w:rsid w:val="00F62F3D"/>
    <w:rsid w:val="00F638CB"/>
    <w:rsid w:val="00F64824"/>
    <w:rsid w:val="00F6531E"/>
    <w:rsid w:val="00F667C0"/>
    <w:rsid w:val="00F66A7D"/>
    <w:rsid w:val="00F6773A"/>
    <w:rsid w:val="00F67E95"/>
    <w:rsid w:val="00F73828"/>
    <w:rsid w:val="00F76BBE"/>
    <w:rsid w:val="00F80633"/>
    <w:rsid w:val="00F811B8"/>
    <w:rsid w:val="00F82ADB"/>
    <w:rsid w:val="00F864FF"/>
    <w:rsid w:val="00F87AC5"/>
    <w:rsid w:val="00F90839"/>
    <w:rsid w:val="00F91676"/>
    <w:rsid w:val="00F91A3A"/>
    <w:rsid w:val="00F94874"/>
    <w:rsid w:val="00F95759"/>
    <w:rsid w:val="00F97097"/>
    <w:rsid w:val="00F9714B"/>
    <w:rsid w:val="00F97153"/>
    <w:rsid w:val="00F97890"/>
    <w:rsid w:val="00FA187C"/>
    <w:rsid w:val="00FA3534"/>
    <w:rsid w:val="00FA48EF"/>
    <w:rsid w:val="00FA4A50"/>
    <w:rsid w:val="00FA4B80"/>
    <w:rsid w:val="00FB2297"/>
    <w:rsid w:val="00FB2F1F"/>
    <w:rsid w:val="00FB2F7A"/>
    <w:rsid w:val="00FB2FFC"/>
    <w:rsid w:val="00FC1C2D"/>
    <w:rsid w:val="00FC25F0"/>
    <w:rsid w:val="00FC2DA6"/>
    <w:rsid w:val="00FC3380"/>
    <w:rsid w:val="00FC4A99"/>
    <w:rsid w:val="00FC5AE4"/>
    <w:rsid w:val="00FC6AE0"/>
    <w:rsid w:val="00FD0EB3"/>
    <w:rsid w:val="00FD2C11"/>
    <w:rsid w:val="00FD51D3"/>
    <w:rsid w:val="00FD6727"/>
    <w:rsid w:val="00FD6D6B"/>
    <w:rsid w:val="00FE0ACE"/>
    <w:rsid w:val="00FE3A1B"/>
    <w:rsid w:val="00FE3A48"/>
    <w:rsid w:val="00FE3FF9"/>
    <w:rsid w:val="00FE4EF8"/>
    <w:rsid w:val="00FE512A"/>
    <w:rsid w:val="00FE5EC0"/>
    <w:rsid w:val="00FE7712"/>
    <w:rsid w:val="00FF10D4"/>
    <w:rsid w:val="00FF18C8"/>
    <w:rsid w:val="00FF1DD6"/>
    <w:rsid w:val="00FF429E"/>
    <w:rsid w:val="00FF5205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07C3E5"/>
  <w15:chartTrackingRefBased/>
  <w15:docId w15:val="{A35F15C1-9D4D-46F3-91FB-4812A1313F7B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1D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1DB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3B1DBD"/>
    <w:pPr>
      <w:jc w:val="center"/>
    </w:pPr>
    <w:rPr>
      <w:rFonts w:ascii="Helvetica" w:hAnsi="Helvetica"/>
      <w:b/>
      <w:szCs w:val="20"/>
    </w:rPr>
  </w:style>
  <w:style w:type="paragraph" w:styleId="Footer">
    <w:name w:val="footer"/>
    <w:basedOn w:val="Normal"/>
    <w:link w:val="FooterChar"/>
    <w:uiPriority w:val="99"/>
    <w:rsid w:val="003B1D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B1DBD"/>
  </w:style>
  <w:style w:type="table" w:styleId="TableGrid">
    <w:name w:val="Table Grid"/>
    <w:basedOn w:val="TableNormal"/>
    <w:rsid w:val="009B7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28A2"/>
    <w:pPr>
      <w:ind w:left="720"/>
      <w:contextualSpacing/>
    </w:pPr>
  </w:style>
  <w:style w:type="paragraph" w:customStyle="1" w:styleId="Default">
    <w:name w:val="Default"/>
    <w:rsid w:val="002357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3331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33133"/>
  </w:style>
  <w:style w:type="character" w:styleId="FootnoteReference">
    <w:name w:val="footnote reference"/>
    <w:basedOn w:val="DefaultParagraphFont"/>
    <w:rsid w:val="00333133"/>
    <w:rPr>
      <w:vertAlign w:val="superscript"/>
    </w:rPr>
  </w:style>
  <w:style w:type="character" w:styleId="CommentReference">
    <w:name w:val="annotation reference"/>
    <w:basedOn w:val="DefaultParagraphFont"/>
    <w:rsid w:val="008C21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21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21C9"/>
  </w:style>
  <w:style w:type="paragraph" w:styleId="CommentSubject">
    <w:name w:val="annotation subject"/>
    <w:basedOn w:val="CommentText"/>
    <w:next w:val="CommentText"/>
    <w:link w:val="CommentSubjectChar"/>
    <w:rsid w:val="008C2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21C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170544"/>
    <w:rPr>
      <w:sz w:val="24"/>
      <w:szCs w:val="24"/>
    </w:rPr>
  </w:style>
  <w:style w:type="character" w:styleId="Hyperlink">
    <w:name w:val="Hyperlink"/>
    <w:basedOn w:val="DefaultParagraphFont"/>
    <w:rsid w:val="00E43E7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10145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A19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docs.cpuc.ca.gov/PublishedDocs/Published/G000/M430/K850/430850802.pdf" TargetMode="External" Id="Rc368bbc28e8b4fc6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puc.ca.gov/industries-and-topics/wildfires/wildfires-staff-investig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A881D-0B1C-4FF9-8820-6E35FAA60F76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1486</ap:Words>
  <ap:Characters>8474</ap:Characters>
  <ap:Application>Microsoft Office Word</ap:Application>
  <ap:DocSecurity>0</ap:DocSecurity>
  <ap:Lines>70</ap:Lines>
  <ap:Paragraphs>19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PUBLIC UTILITIES COMMISSION OF THE STATE OF CALIFORNIA</vt:lpstr>
    </vt:vector>
  </ap:TitlesOfParts>
  <ap:Company/>
  <ap:LinksUpToDate>false</ap:LinksUpToDate>
  <ap:CharactersWithSpaces>9941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2021-11-29T22:45:00Z</cp:lastPrinted>
  <dcterms:created xsi:type="dcterms:W3CDTF">2021-12-13T13:33:47Z</dcterms:created>
  <dcterms:modified xsi:type="dcterms:W3CDTF">2021-12-13T13:33:47Z</dcterms:modified>
</cp:coreProperties>
</file>