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B1367" w:rsidR="00895123" w:rsidRDefault="001C163E" w14:paraId="209AA0F3" w14:textId="230B7856">
      <w:pPr>
        <w:pStyle w:val="Title"/>
        <w:outlineLvl w:val="0"/>
        <w:rPr>
          <w:b w:val="0"/>
          <w:sz w:val="26"/>
          <w:szCs w:val="26"/>
        </w:rPr>
      </w:pPr>
      <w:r w:rsidRPr="000B1367">
        <w:rPr>
          <w:b w:val="0"/>
          <w:sz w:val="26"/>
          <w:szCs w:val="26"/>
        </w:rPr>
        <w:t>P</w:t>
      </w:r>
      <w:r w:rsidRPr="000B1367" w:rsidR="00895123">
        <w:rPr>
          <w:b w:val="0"/>
          <w:sz w:val="26"/>
          <w:szCs w:val="26"/>
        </w:rPr>
        <w:t>UBLIC UTILITIES COMMISSION OF THE STATE OF CALIFORNIA</w:t>
      </w:r>
    </w:p>
    <w:p w:rsidRPr="00AD7DF9" w:rsidR="00895123" w:rsidRDefault="00895123" w14:paraId="671D40E6" w14:textId="77777777">
      <w:pPr>
        <w:rPr>
          <w:sz w:val="26"/>
        </w:rPr>
      </w:pPr>
    </w:p>
    <w:p w:rsidR="00776AAF" w:rsidP="00055B74" w:rsidRDefault="00895123" w14:paraId="2F4F0936" w14:textId="67141D0F">
      <w:pPr>
        <w:pStyle w:val="Date"/>
        <w:jc w:val="left"/>
        <w:rPr>
          <w:szCs w:val="26"/>
        </w:rPr>
      </w:pPr>
      <w:r w:rsidRPr="00AD7DF9">
        <w:t>Legal Division</w:t>
      </w:r>
      <w:r w:rsidRPr="00AD7DF9">
        <w:rPr>
          <w:szCs w:val="26"/>
        </w:rPr>
        <w:tab/>
      </w:r>
      <w:r w:rsidRPr="00AD7DF9">
        <w:rPr>
          <w:szCs w:val="26"/>
        </w:rPr>
        <w:tab/>
      </w:r>
      <w:r w:rsidRPr="00AD7DF9">
        <w:rPr>
          <w:szCs w:val="26"/>
        </w:rPr>
        <w:tab/>
      </w:r>
      <w:r w:rsidRPr="00AD7DF9">
        <w:rPr>
          <w:szCs w:val="26"/>
        </w:rPr>
        <w:tab/>
      </w:r>
      <w:r w:rsidRPr="00AD7DF9">
        <w:rPr>
          <w:szCs w:val="26"/>
        </w:rPr>
        <w:tab/>
      </w:r>
      <w:r w:rsidRPr="00AD7DF9">
        <w:rPr>
          <w:szCs w:val="26"/>
        </w:rPr>
        <w:tab/>
      </w:r>
      <w:r w:rsidRPr="00AD7DF9">
        <w:rPr>
          <w:szCs w:val="26"/>
        </w:rPr>
        <w:tab/>
      </w:r>
      <w:r w:rsidRPr="00AD7DF9" w:rsidR="00776AAF">
        <w:rPr>
          <w:szCs w:val="26"/>
        </w:rPr>
        <w:t>Resolution No.:  L-</w:t>
      </w:r>
      <w:r w:rsidR="00776AAF">
        <w:rPr>
          <w:szCs w:val="26"/>
        </w:rPr>
        <w:t>615</w:t>
      </w:r>
    </w:p>
    <w:p w:rsidR="00055B74" w:rsidP="00055B74" w:rsidRDefault="00055B74" w14:paraId="4603A512" w14:textId="77777777">
      <w:pPr>
        <w:pStyle w:val="Date"/>
        <w:ind w:left="5760" w:firstLine="720"/>
        <w:jc w:val="left"/>
        <w:rPr>
          <w:szCs w:val="26"/>
        </w:rPr>
      </w:pPr>
      <w:r>
        <w:rPr>
          <w:szCs w:val="26"/>
        </w:rPr>
        <w:t>February 24, 2022</w:t>
      </w:r>
    </w:p>
    <w:p w:rsidRPr="00AD7DF9" w:rsidR="00571F79" w:rsidRDefault="00571F79" w14:paraId="7B0C01D6" w14:textId="5DAF55E0">
      <w:pPr>
        <w:pStyle w:val="Date"/>
        <w:jc w:val="left"/>
        <w:rPr>
          <w:szCs w:val="26"/>
        </w:rPr>
      </w:pPr>
    </w:p>
    <w:p w:rsidRPr="00027F28" w:rsidR="00895123" w:rsidRDefault="00895123" w14:paraId="27BCD6C1" w14:textId="77777777">
      <w:pPr>
        <w:pStyle w:val="Title"/>
        <w:outlineLvl w:val="0"/>
        <w:rPr>
          <w:sz w:val="26"/>
          <w:szCs w:val="26"/>
          <w:u w:val="single"/>
        </w:rPr>
      </w:pPr>
      <w:r w:rsidRPr="00027F28">
        <w:rPr>
          <w:sz w:val="26"/>
          <w:szCs w:val="26"/>
          <w:u w:val="single"/>
        </w:rPr>
        <w:t>R E S O L U T I O N</w:t>
      </w:r>
    </w:p>
    <w:p w:rsidRPr="00AD7DF9" w:rsidR="00895123" w:rsidRDefault="00895123" w14:paraId="12876695" w14:textId="77777777">
      <w:pPr>
        <w:rPr>
          <w:b/>
          <w:sz w:val="26"/>
          <w:u w:val="single"/>
        </w:rPr>
      </w:pPr>
    </w:p>
    <w:p w:rsidR="003435AA" w:rsidP="003C5E63" w:rsidRDefault="00895123" w14:paraId="6F772C01" w14:textId="371822A9">
      <w:pPr>
        <w:pStyle w:val="Quotation"/>
        <w:spacing w:after="0"/>
        <w:ind w:left="450" w:right="540"/>
        <w:rPr>
          <w:b/>
          <w:szCs w:val="26"/>
        </w:rPr>
      </w:pPr>
      <w:r w:rsidRPr="00AD7DF9">
        <w:rPr>
          <w:b/>
        </w:rPr>
        <w:t xml:space="preserve">RESOLUTION </w:t>
      </w:r>
      <w:r w:rsidR="00FF134E">
        <w:rPr>
          <w:b/>
        </w:rPr>
        <w:t xml:space="preserve">RESPONDING TO APPEAL </w:t>
      </w:r>
      <w:r w:rsidR="00281BDD">
        <w:rPr>
          <w:b/>
        </w:rPr>
        <w:t xml:space="preserve">OF PRA #19-664 </w:t>
      </w:r>
      <w:r w:rsidR="00FF134E">
        <w:rPr>
          <w:b/>
        </w:rPr>
        <w:t xml:space="preserve">AND </w:t>
      </w:r>
      <w:r w:rsidRPr="00AD7DF9">
        <w:rPr>
          <w:b/>
        </w:rPr>
        <w:t xml:space="preserve">AUTHORIZING DISCLOSURE OF RECORDS OF THE CALIFORNIA PUBLIC UTILITIES COMMISSION SAFETY </w:t>
      </w:r>
      <w:r w:rsidRPr="00AD7DF9" w:rsidR="001C3502">
        <w:rPr>
          <w:b/>
        </w:rPr>
        <w:t xml:space="preserve">AND ENFORCEMENT </w:t>
      </w:r>
      <w:r w:rsidRPr="00AD7DF9">
        <w:rPr>
          <w:b/>
        </w:rPr>
        <w:t xml:space="preserve">DIVISION’S INVESTIGATION OF </w:t>
      </w:r>
      <w:r w:rsidR="00751599">
        <w:rPr>
          <w:b/>
        </w:rPr>
        <w:t>THE 2018 CAMP FIRE</w:t>
      </w:r>
    </w:p>
    <w:p w:rsidRPr="00AD7DF9" w:rsidR="00895123" w:rsidP="005F0BC6" w:rsidRDefault="00DE27A8" w14:paraId="79474C1F" w14:textId="162A0F07">
      <w:pPr>
        <w:pStyle w:val="TOC1"/>
        <w:keepNext w:val="0"/>
        <w:widowControl w:val="0"/>
        <w:suppressAutoHyphens w:val="0"/>
        <w:spacing w:before="240" w:after="240"/>
        <w:rPr>
          <w:szCs w:val="26"/>
        </w:rPr>
      </w:pPr>
      <w:r>
        <w:rPr>
          <w:szCs w:val="26"/>
        </w:rPr>
        <w:t>SUMMARY</w:t>
      </w:r>
    </w:p>
    <w:p w:rsidRPr="00A42A8B" w:rsidR="00A42A8B" w:rsidP="00A42A8B" w:rsidRDefault="00A46B63" w14:paraId="2915BA5D" w14:textId="0BE01E83">
      <w:pPr>
        <w:rPr>
          <w:sz w:val="26"/>
          <w:szCs w:val="26"/>
        </w:rPr>
      </w:pPr>
      <w:bookmarkStart w:name="OLE_LINK3" w:id="0"/>
      <w:bookmarkStart w:name="OLE_LINK4" w:id="1"/>
      <w:r>
        <w:rPr>
          <w:sz w:val="26"/>
          <w:szCs w:val="26"/>
        </w:rPr>
        <w:t xml:space="preserve">Brandon Rittiman </w:t>
      </w:r>
      <w:r w:rsidR="0091357D">
        <w:rPr>
          <w:sz w:val="26"/>
          <w:szCs w:val="26"/>
        </w:rPr>
        <w:t xml:space="preserve">(Rittiman”) </w:t>
      </w:r>
      <w:r>
        <w:rPr>
          <w:sz w:val="26"/>
          <w:szCs w:val="26"/>
        </w:rPr>
        <w:t>submitted a records request under the California Public Record Act (CPRA)</w:t>
      </w:r>
      <w:r w:rsidR="007B7198">
        <w:rPr>
          <w:sz w:val="26"/>
          <w:szCs w:val="26"/>
        </w:rPr>
        <w:t xml:space="preserve"> </w:t>
      </w:r>
      <w:r w:rsidR="0091357D">
        <w:rPr>
          <w:sz w:val="26"/>
          <w:szCs w:val="26"/>
        </w:rPr>
        <w:t xml:space="preserve">to the </w:t>
      </w:r>
      <w:r w:rsidRPr="00AD7DF9" w:rsidR="00AF21CF">
        <w:rPr>
          <w:sz w:val="26"/>
          <w:szCs w:val="26"/>
        </w:rPr>
        <w:t>California Public Utilities Commission (“Commission”)</w:t>
      </w:r>
      <w:r w:rsidR="007B7198">
        <w:rPr>
          <w:sz w:val="26"/>
          <w:szCs w:val="26"/>
        </w:rPr>
        <w:t>,</w:t>
      </w:r>
      <w:r w:rsidRPr="007B7198" w:rsidR="007B7198">
        <w:rPr>
          <w:sz w:val="26"/>
          <w:szCs w:val="26"/>
        </w:rPr>
        <w:t xml:space="preserve"> </w:t>
      </w:r>
      <w:r w:rsidR="007B7198">
        <w:rPr>
          <w:sz w:val="26"/>
          <w:szCs w:val="26"/>
        </w:rPr>
        <w:t xml:space="preserve">PRA #19-664, </w:t>
      </w:r>
      <w:r>
        <w:rPr>
          <w:sz w:val="26"/>
          <w:szCs w:val="26"/>
        </w:rPr>
        <w:t xml:space="preserve">seeking records of the </w:t>
      </w:r>
      <w:r w:rsidRPr="00AD7DF9">
        <w:rPr>
          <w:sz w:val="26"/>
          <w:szCs w:val="26"/>
        </w:rPr>
        <w:t>Commission</w:t>
      </w:r>
      <w:r w:rsidR="00620643">
        <w:rPr>
          <w:sz w:val="26"/>
          <w:szCs w:val="26"/>
        </w:rPr>
        <w:t>’s</w:t>
      </w:r>
      <w:r w:rsidRPr="00AD7DF9">
        <w:rPr>
          <w:sz w:val="26"/>
          <w:szCs w:val="26"/>
        </w:rPr>
        <w:t xml:space="preserve"> </w:t>
      </w:r>
      <w:r>
        <w:rPr>
          <w:sz w:val="26"/>
          <w:szCs w:val="26"/>
        </w:rPr>
        <w:t xml:space="preserve">Safety and Enforcement Division’s (SED’s) investigation of the 2018 Camp Fire. </w:t>
      </w:r>
      <w:r w:rsidR="00525E7A">
        <w:rPr>
          <w:sz w:val="26"/>
          <w:szCs w:val="26"/>
        </w:rPr>
        <w:t>However, the Commission ha</w:t>
      </w:r>
      <w:r w:rsidR="00077301">
        <w:rPr>
          <w:sz w:val="26"/>
          <w:szCs w:val="26"/>
        </w:rPr>
        <w:t>s</w:t>
      </w:r>
      <w:r w:rsidR="00525E7A">
        <w:rPr>
          <w:sz w:val="26"/>
          <w:szCs w:val="26"/>
        </w:rPr>
        <w:t xml:space="preserve"> not yet authorized disclosure of SED’s Camp Fire investigation records in accord</w:t>
      </w:r>
      <w:r w:rsidR="00620643">
        <w:rPr>
          <w:sz w:val="26"/>
          <w:szCs w:val="26"/>
        </w:rPr>
        <w:t>ance</w:t>
      </w:r>
      <w:r w:rsidR="00525E7A">
        <w:rPr>
          <w:sz w:val="26"/>
          <w:szCs w:val="26"/>
        </w:rPr>
        <w:t xml:space="preserve"> with its standard practices under Commission Resolution L-436</w:t>
      </w:r>
      <w:r w:rsidR="007B7198">
        <w:rPr>
          <w:sz w:val="26"/>
          <w:szCs w:val="26"/>
        </w:rPr>
        <w:t>,</w:t>
      </w:r>
      <w:r w:rsidR="00AF21CF">
        <w:rPr>
          <w:sz w:val="26"/>
          <w:szCs w:val="26"/>
        </w:rPr>
        <w:t xml:space="preserve"> which </w:t>
      </w:r>
      <w:r w:rsidR="00525E7A">
        <w:rPr>
          <w:sz w:val="26"/>
          <w:szCs w:val="26"/>
        </w:rPr>
        <w:t xml:space="preserve">limits staff’s ability to disclose </w:t>
      </w:r>
      <w:r w:rsidR="0045001E">
        <w:rPr>
          <w:sz w:val="26"/>
          <w:szCs w:val="26"/>
        </w:rPr>
        <w:t>investigation records</w:t>
      </w:r>
      <w:r w:rsidR="00525E7A">
        <w:rPr>
          <w:sz w:val="26"/>
          <w:szCs w:val="26"/>
        </w:rPr>
        <w:t xml:space="preserve"> without Commission authorization. </w:t>
      </w:r>
      <w:r w:rsidR="00EE5B3D">
        <w:rPr>
          <w:sz w:val="26"/>
          <w:szCs w:val="26"/>
        </w:rPr>
        <w:t xml:space="preserve">In response to </w:t>
      </w:r>
      <w:r w:rsidR="00D056E1">
        <w:rPr>
          <w:sz w:val="26"/>
          <w:szCs w:val="26"/>
        </w:rPr>
        <w:t>PRA #19-664</w:t>
      </w:r>
      <w:r w:rsidR="00EE5B3D">
        <w:rPr>
          <w:sz w:val="26"/>
          <w:szCs w:val="26"/>
        </w:rPr>
        <w:t xml:space="preserve"> t</w:t>
      </w:r>
      <w:r w:rsidRPr="00A42A8B" w:rsidR="00A42A8B">
        <w:rPr>
          <w:sz w:val="26"/>
          <w:szCs w:val="26"/>
        </w:rPr>
        <w:t xml:space="preserve">he Commission’s Legal Division (Legal Division) informed </w:t>
      </w:r>
      <w:r w:rsidR="0091357D">
        <w:rPr>
          <w:sz w:val="26"/>
          <w:szCs w:val="26"/>
        </w:rPr>
        <w:t xml:space="preserve">Rittiman </w:t>
      </w:r>
      <w:r w:rsidRPr="00A42A8B" w:rsidR="00A42A8B">
        <w:rPr>
          <w:sz w:val="26"/>
          <w:szCs w:val="26"/>
        </w:rPr>
        <w:t>that</w:t>
      </w:r>
      <w:r w:rsidR="00EE5B3D">
        <w:rPr>
          <w:sz w:val="26"/>
          <w:szCs w:val="26"/>
        </w:rPr>
        <w:t>,</w:t>
      </w:r>
      <w:r w:rsidRPr="00EE5B3D" w:rsidR="00EE5B3D">
        <w:rPr>
          <w:sz w:val="26"/>
          <w:szCs w:val="26"/>
        </w:rPr>
        <w:t xml:space="preserve"> </w:t>
      </w:r>
      <w:r w:rsidRPr="00A42A8B" w:rsidR="00EE5B3D">
        <w:rPr>
          <w:sz w:val="26"/>
          <w:szCs w:val="26"/>
        </w:rPr>
        <w:t xml:space="preserve">pursuant to Resolution L-436, </w:t>
      </w:r>
      <w:r w:rsidRPr="00A42A8B" w:rsidR="00A42A8B">
        <w:rPr>
          <w:sz w:val="26"/>
          <w:szCs w:val="26"/>
        </w:rPr>
        <w:t xml:space="preserve">staff could not make SED’s investigation records public without the formal approval of the full Commission. </w:t>
      </w:r>
      <w:r w:rsidR="00620643">
        <w:rPr>
          <w:sz w:val="26"/>
          <w:szCs w:val="26"/>
        </w:rPr>
        <w:t>Rittiman</w:t>
      </w:r>
      <w:r w:rsidR="00706F7A">
        <w:rPr>
          <w:sz w:val="26"/>
          <w:szCs w:val="26"/>
        </w:rPr>
        <w:t xml:space="preserve"> </w:t>
      </w:r>
      <w:r w:rsidRPr="00A42A8B" w:rsidR="00A42A8B">
        <w:rPr>
          <w:sz w:val="26"/>
          <w:szCs w:val="26"/>
        </w:rPr>
        <w:t>formally appealed the denial of the request.</w:t>
      </w:r>
      <w:r w:rsidR="00EE5B3D">
        <w:rPr>
          <w:sz w:val="26"/>
          <w:szCs w:val="26"/>
        </w:rPr>
        <w:t xml:space="preserve"> </w:t>
      </w:r>
      <w:r w:rsidRPr="00A42A8B" w:rsidR="00A42A8B">
        <w:rPr>
          <w:sz w:val="26"/>
          <w:szCs w:val="26"/>
        </w:rPr>
        <w:t>In accordance with Commission General Order (G.O.) 66</w:t>
      </w:r>
      <w:r w:rsidRPr="00A42A8B" w:rsidR="00A42A8B">
        <w:rPr>
          <w:sz w:val="26"/>
          <w:szCs w:val="26"/>
        </w:rPr>
        <w:noBreakHyphen/>
        <w:t xml:space="preserve">D § 6, this resolution responds to </w:t>
      </w:r>
      <w:r w:rsidR="00FD05E3">
        <w:rPr>
          <w:sz w:val="26"/>
          <w:szCs w:val="26"/>
        </w:rPr>
        <w:t>the</w:t>
      </w:r>
      <w:r w:rsidRPr="00A42A8B" w:rsidR="00A42A8B">
        <w:rPr>
          <w:sz w:val="26"/>
          <w:szCs w:val="26"/>
        </w:rPr>
        <w:t xml:space="preserve"> appeal of the denial of information requested in PRA #19-664. This resolution authorizes the release of SED’s investigation records from the 2018 Camp Fire with certain limitations as noted below.</w:t>
      </w:r>
    </w:p>
    <w:p w:rsidR="00A42A8B" w:rsidP="00525E7A" w:rsidRDefault="00A42A8B" w14:paraId="2E949792" w14:textId="77777777">
      <w:pPr>
        <w:rPr>
          <w:sz w:val="26"/>
          <w:szCs w:val="26"/>
        </w:rPr>
      </w:pPr>
    </w:p>
    <w:p w:rsidRPr="00C62038" w:rsidR="00C62038" w:rsidP="00C62038" w:rsidRDefault="00C62038" w14:paraId="207DA1AD" w14:textId="0FA7031C">
      <w:pPr>
        <w:rPr>
          <w:b/>
          <w:bCs/>
          <w:sz w:val="26"/>
          <w:szCs w:val="26"/>
          <w:u w:val="single"/>
        </w:rPr>
      </w:pPr>
      <w:r w:rsidRPr="00C62038">
        <w:rPr>
          <w:b/>
          <w:bCs/>
          <w:sz w:val="26"/>
          <w:szCs w:val="26"/>
          <w:u w:val="single"/>
        </w:rPr>
        <w:t>BACKGROUND</w:t>
      </w:r>
    </w:p>
    <w:p w:rsidRPr="00C62038" w:rsidR="00C62038" w:rsidP="00C62038" w:rsidRDefault="00C62038" w14:paraId="0EB02F89" w14:textId="77777777">
      <w:pPr>
        <w:rPr>
          <w:sz w:val="26"/>
          <w:szCs w:val="26"/>
        </w:rPr>
      </w:pPr>
    </w:p>
    <w:p w:rsidR="00525E7A" w:rsidP="00C62038" w:rsidRDefault="00100FD3" w14:paraId="58AC2455" w14:textId="42D78A0B">
      <w:pPr>
        <w:rPr>
          <w:sz w:val="26"/>
          <w:szCs w:val="26"/>
        </w:rPr>
      </w:pPr>
      <w:r>
        <w:rPr>
          <w:sz w:val="26"/>
          <w:szCs w:val="26"/>
        </w:rPr>
        <w:t xml:space="preserve">On </w:t>
      </w:r>
      <w:r w:rsidR="002F3524">
        <w:rPr>
          <w:sz w:val="26"/>
          <w:szCs w:val="26"/>
        </w:rPr>
        <w:t xml:space="preserve">December 10, 2019 </w:t>
      </w:r>
      <w:r w:rsidRPr="00C62038" w:rsidR="00C62038">
        <w:rPr>
          <w:sz w:val="26"/>
          <w:szCs w:val="26"/>
        </w:rPr>
        <w:t xml:space="preserve">Rittiman </w:t>
      </w:r>
      <w:r w:rsidR="00D056E1">
        <w:rPr>
          <w:sz w:val="26"/>
          <w:szCs w:val="26"/>
        </w:rPr>
        <w:t>submitted</w:t>
      </w:r>
      <w:r w:rsidRPr="00C62038" w:rsidR="00C62038">
        <w:rPr>
          <w:sz w:val="26"/>
          <w:szCs w:val="26"/>
        </w:rPr>
        <w:t xml:space="preserve"> PRA #19-664</w:t>
      </w:r>
      <w:r w:rsidR="00971510">
        <w:rPr>
          <w:sz w:val="26"/>
          <w:szCs w:val="26"/>
        </w:rPr>
        <w:t xml:space="preserve"> which sought:</w:t>
      </w:r>
      <w:r w:rsidR="00C62038">
        <w:rPr>
          <w:sz w:val="26"/>
          <w:szCs w:val="26"/>
        </w:rPr>
        <w:t xml:space="preserve">  </w:t>
      </w:r>
    </w:p>
    <w:p w:rsidRPr="00F47740" w:rsidR="00F47740" w:rsidP="00F47740" w:rsidRDefault="00F47740" w14:paraId="64A7A106" w14:textId="77777777">
      <w:pPr>
        <w:ind w:left="720" w:right="2160"/>
        <w:rPr>
          <w:sz w:val="24"/>
          <w:szCs w:val="24"/>
          <w:lang w:val="en"/>
        </w:rPr>
      </w:pPr>
    </w:p>
    <w:p w:rsidRPr="00F47740" w:rsidR="00F47740" w:rsidP="00F47740" w:rsidRDefault="00F47740" w14:paraId="0DD95620" w14:textId="77777777">
      <w:pPr>
        <w:numPr>
          <w:ilvl w:val="0"/>
          <w:numId w:val="7"/>
        </w:numPr>
        <w:ind w:left="1080" w:right="2160"/>
        <w:rPr>
          <w:sz w:val="24"/>
          <w:szCs w:val="24"/>
          <w:lang w:val="en"/>
        </w:rPr>
      </w:pPr>
      <w:r w:rsidRPr="00F47740">
        <w:rPr>
          <w:sz w:val="24"/>
          <w:szCs w:val="24"/>
          <w:lang w:val="en"/>
        </w:rPr>
        <w:t>All records, images, and files related to CPUC data request SED-003, as referenced in footnote 78 of the SED report titled “I.19-06-015 Appendix A SED Camp Fire Investigation Report REDACTED.pdf”</w:t>
      </w:r>
    </w:p>
    <w:p w:rsidRPr="00F47740" w:rsidR="00F47740" w:rsidP="00F47740" w:rsidRDefault="00F47740" w14:paraId="65C9AF29" w14:textId="77777777">
      <w:pPr>
        <w:ind w:left="1080" w:right="2160"/>
        <w:rPr>
          <w:sz w:val="24"/>
          <w:szCs w:val="24"/>
          <w:lang w:val="en"/>
        </w:rPr>
      </w:pPr>
    </w:p>
    <w:p w:rsidR="0049218C" w:rsidP="0066791F" w:rsidRDefault="0049218C" w14:paraId="5440E4E7" w14:textId="199155F9">
      <w:pPr>
        <w:rPr>
          <w:sz w:val="26"/>
          <w:szCs w:val="26"/>
        </w:rPr>
      </w:pPr>
      <w:r>
        <w:rPr>
          <w:sz w:val="26"/>
          <w:szCs w:val="26"/>
        </w:rPr>
        <w:t xml:space="preserve">In </w:t>
      </w:r>
      <w:r w:rsidR="0091357D">
        <w:rPr>
          <w:sz w:val="26"/>
          <w:szCs w:val="26"/>
        </w:rPr>
        <w:t xml:space="preserve">response to PRA </w:t>
      </w:r>
      <w:r w:rsidR="004D5FA6">
        <w:rPr>
          <w:sz w:val="26"/>
          <w:szCs w:val="26"/>
        </w:rPr>
        <w:t>#19</w:t>
      </w:r>
      <w:r w:rsidR="00BC4D06">
        <w:rPr>
          <w:sz w:val="26"/>
          <w:szCs w:val="26"/>
        </w:rPr>
        <w:t xml:space="preserve">-664 </w:t>
      </w:r>
      <w:r w:rsidR="0091357D">
        <w:rPr>
          <w:sz w:val="26"/>
          <w:szCs w:val="26"/>
        </w:rPr>
        <w:t>on J</w:t>
      </w:r>
      <w:r w:rsidR="001C15D4">
        <w:rPr>
          <w:sz w:val="26"/>
          <w:szCs w:val="26"/>
        </w:rPr>
        <w:t>une 16, 2021</w:t>
      </w:r>
      <w:r w:rsidR="00431823">
        <w:rPr>
          <w:sz w:val="26"/>
          <w:szCs w:val="26"/>
        </w:rPr>
        <w:t xml:space="preserve"> the Legal Division</w:t>
      </w:r>
      <w:r w:rsidR="00E13627">
        <w:rPr>
          <w:sz w:val="26"/>
          <w:szCs w:val="26"/>
        </w:rPr>
        <w:t xml:space="preserve"> </w:t>
      </w:r>
      <w:r>
        <w:rPr>
          <w:sz w:val="26"/>
          <w:szCs w:val="26"/>
        </w:rPr>
        <w:t xml:space="preserve">informed </w:t>
      </w:r>
      <w:r w:rsidR="004D5FA6">
        <w:rPr>
          <w:sz w:val="26"/>
          <w:szCs w:val="26"/>
        </w:rPr>
        <w:t>Rittiman</w:t>
      </w:r>
      <w:r>
        <w:rPr>
          <w:sz w:val="26"/>
          <w:szCs w:val="26"/>
        </w:rPr>
        <w:t xml:space="preserve"> that</w:t>
      </w:r>
      <w:r w:rsidR="00431823">
        <w:rPr>
          <w:sz w:val="26"/>
          <w:szCs w:val="26"/>
        </w:rPr>
        <w:t xml:space="preserve"> </w:t>
      </w:r>
      <w:r w:rsidR="00FE3E79">
        <w:rPr>
          <w:sz w:val="26"/>
          <w:szCs w:val="26"/>
        </w:rPr>
        <w:t>the records</w:t>
      </w:r>
      <w:r w:rsidR="001C15D4">
        <w:rPr>
          <w:sz w:val="26"/>
          <w:szCs w:val="26"/>
        </w:rPr>
        <w:t xml:space="preserve"> </w:t>
      </w:r>
      <w:r w:rsidR="00FE3E79">
        <w:rPr>
          <w:sz w:val="26"/>
          <w:szCs w:val="26"/>
        </w:rPr>
        <w:t>requested were</w:t>
      </w:r>
      <w:r w:rsidRPr="00971510" w:rsidR="00971510">
        <w:rPr>
          <w:sz w:val="26"/>
          <w:szCs w:val="26"/>
        </w:rPr>
        <w:t xml:space="preserve"> SED’s investigation records from SED’s investigation of the 2018 Camp Fire </w:t>
      </w:r>
      <w:r w:rsidR="00971510">
        <w:rPr>
          <w:sz w:val="26"/>
          <w:szCs w:val="26"/>
        </w:rPr>
        <w:t xml:space="preserve">and </w:t>
      </w:r>
      <w:r w:rsidR="00431823">
        <w:rPr>
          <w:sz w:val="26"/>
          <w:szCs w:val="26"/>
        </w:rPr>
        <w:t xml:space="preserve">pursuant to Resolution L-436 </w:t>
      </w:r>
      <w:r w:rsidRPr="00AD7DF9">
        <w:rPr>
          <w:sz w:val="26"/>
          <w:szCs w:val="26"/>
        </w:rPr>
        <w:t xml:space="preserve">staff could not make </w:t>
      </w:r>
      <w:r>
        <w:rPr>
          <w:sz w:val="26"/>
          <w:szCs w:val="26"/>
        </w:rPr>
        <w:t>SED’s</w:t>
      </w:r>
      <w:r w:rsidRPr="00AD7DF9">
        <w:rPr>
          <w:sz w:val="26"/>
          <w:szCs w:val="26"/>
        </w:rPr>
        <w:t xml:space="preserve"> investigation records public without the formal approval of the full Commission.</w:t>
      </w:r>
      <w:r>
        <w:rPr>
          <w:sz w:val="26"/>
          <w:szCs w:val="26"/>
        </w:rPr>
        <w:t xml:space="preserve"> </w:t>
      </w:r>
    </w:p>
    <w:p w:rsidR="0049218C" w:rsidP="0066791F" w:rsidRDefault="0049218C" w14:paraId="3580DECF" w14:textId="60FAD689">
      <w:pPr>
        <w:rPr>
          <w:sz w:val="26"/>
          <w:szCs w:val="26"/>
        </w:rPr>
      </w:pPr>
    </w:p>
    <w:p w:rsidR="00F17B79" w:rsidP="00F17B79" w:rsidRDefault="00F47740" w14:paraId="0530DC89" w14:textId="25BF0485">
      <w:pPr>
        <w:rPr>
          <w:rStyle w:val="LineNumber"/>
          <w:szCs w:val="26"/>
        </w:rPr>
      </w:pPr>
      <w:bookmarkStart w:name="_Hlk86241795" w:id="2"/>
      <w:bookmarkEnd w:id="0"/>
      <w:bookmarkEnd w:id="1"/>
      <w:r>
        <w:rPr>
          <w:sz w:val="26"/>
          <w:szCs w:val="26"/>
        </w:rPr>
        <w:t xml:space="preserve">On </w:t>
      </w:r>
      <w:r w:rsidR="001C15D4">
        <w:rPr>
          <w:sz w:val="26"/>
          <w:szCs w:val="26"/>
        </w:rPr>
        <w:t>June 23, 2021</w:t>
      </w:r>
      <w:r>
        <w:rPr>
          <w:sz w:val="26"/>
          <w:szCs w:val="26"/>
        </w:rPr>
        <w:t xml:space="preserve"> </w:t>
      </w:r>
      <w:r w:rsidR="00B3410B">
        <w:rPr>
          <w:sz w:val="26"/>
          <w:szCs w:val="26"/>
        </w:rPr>
        <w:t>Rittiman appeal</w:t>
      </w:r>
      <w:r>
        <w:rPr>
          <w:sz w:val="26"/>
          <w:szCs w:val="26"/>
        </w:rPr>
        <w:t>ed</w:t>
      </w:r>
      <w:r w:rsidR="00B3410B">
        <w:rPr>
          <w:sz w:val="26"/>
          <w:szCs w:val="26"/>
        </w:rPr>
        <w:t xml:space="preserve"> the Legal Division’s denial of access to the records request</w:t>
      </w:r>
      <w:r w:rsidR="00C21377">
        <w:rPr>
          <w:sz w:val="26"/>
          <w:szCs w:val="26"/>
        </w:rPr>
        <w:t>ed in</w:t>
      </w:r>
      <w:r w:rsidR="00F17B79">
        <w:rPr>
          <w:rStyle w:val="LineNumber"/>
          <w:szCs w:val="26"/>
        </w:rPr>
        <w:t xml:space="preserve"> PRA #19-664.</w:t>
      </w:r>
      <w:r w:rsidR="00A24D4E">
        <w:rPr>
          <w:rStyle w:val="LineNumber"/>
          <w:szCs w:val="26"/>
        </w:rPr>
        <w:t xml:space="preserve"> </w:t>
      </w:r>
      <w:r w:rsidR="00F17B79">
        <w:rPr>
          <w:rStyle w:val="LineNumber"/>
          <w:szCs w:val="26"/>
        </w:rPr>
        <w:t>As part of that appeal Rittiman challenged PG&amp;E’s confidentiality designations, as follows</w:t>
      </w:r>
    </w:p>
    <w:p w:rsidR="00F17B79" w:rsidP="00F17B79" w:rsidRDefault="00F17B79" w14:paraId="3E89242C" w14:textId="77777777">
      <w:pPr>
        <w:rPr>
          <w:rStyle w:val="LineNumber"/>
          <w:szCs w:val="26"/>
        </w:rPr>
      </w:pPr>
    </w:p>
    <w:p w:rsidRPr="001C6828" w:rsidR="00F17B79" w:rsidP="00F17B79" w:rsidRDefault="00F17B79" w14:paraId="2E3D92DD" w14:textId="77777777">
      <w:pPr>
        <w:ind w:left="720" w:right="720"/>
        <w:rPr>
          <w:rStyle w:val="LineNumber"/>
          <w:szCs w:val="26"/>
        </w:rPr>
      </w:pPr>
      <w:r w:rsidRPr="001C6828">
        <w:rPr>
          <w:rStyle w:val="LineNumber"/>
          <w:szCs w:val="26"/>
        </w:rPr>
        <w:t>Third, without a log of records and exemptions, I cannot assess whether PG&amp;E's</w:t>
      </w:r>
      <w:r>
        <w:rPr>
          <w:rStyle w:val="LineNumber"/>
          <w:szCs w:val="26"/>
        </w:rPr>
        <w:t xml:space="preserve"> </w:t>
      </w:r>
      <w:r w:rsidRPr="001C6828">
        <w:rPr>
          <w:rStyle w:val="LineNumber"/>
          <w:szCs w:val="26"/>
        </w:rPr>
        <w:t>“confidentiality” designations would still apply to my request, given the narrowed scope</w:t>
      </w:r>
      <w:r>
        <w:rPr>
          <w:rStyle w:val="LineNumber"/>
          <w:szCs w:val="26"/>
        </w:rPr>
        <w:t xml:space="preserve"> </w:t>
      </w:r>
      <w:r w:rsidRPr="001C6828">
        <w:rPr>
          <w:rStyle w:val="LineNumber"/>
          <w:szCs w:val="26"/>
        </w:rPr>
        <w:t>mentioned above. To the extent PG&amp;E has designated certain responsive records as</w:t>
      </w:r>
      <w:r>
        <w:rPr>
          <w:rStyle w:val="LineNumber"/>
          <w:szCs w:val="26"/>
        </w:rPr>
        <w:t xml:space="preserve"> </w:t>
      </w:r>
      <w:r w:rsidRPr="001C6828">
        <w:rPr>
          <w:rStyle w:val="LineNumber"/>
          <w:szCs w:val="26"/>
        </w:rPr>
        <w:t>“confidential,” Section 583 of the Public Utilities Code authorizes the CPUC to disclose these</w:t>
      </w:r>
      <w:r>
        <w:rPr>
          <w:rStyle w:val="LineNumber"/>
          <w:szCs w:val="26"/>
        </w:rPr>
        <w:t xml:space="preserve"> </w:t>
      </w:r>
      <w:r w:rsidRPr="001C6828">
        <w:rPr>
          <w:rStyle w:val="LineNumber"/>
          <w:szCs w:val="26"/>
        </w:rPr>
        <w:t>records. Indeed, Section 583 provides that records shared with the Commission by public</w:t>
      </w:r>
      <w:r>
        <w:rPr>
          <w:rStyle w:val="LineNumber"/>
          <w:szCs w:val="26"/>
        </w:rPr>
        <w:t xml:space="preserve"> </w:t>
      </w:r>
      <w:r w:rsidRPr="001C6828">
        <w:rPr>
          <w:rStyle w:val="LineNumber"/>
          <w:szCs w:val="26"/>
        </w:rPr>
        <w:t>utilities may be disclosed to the public “on order of the commission, or by the commission or a</w:t>
      </w:r>
      <w:r>
        <w:rPr>
          <w:rStyle w:val="LineNumber"/>
          <w:szCs w:val="26"/>
        </w:rPr>
        <w:t xml:space="preserve"> </w:t>
      </w:r>
      <w:r w:rsidRPr="001C6828">
        <w:rPr>
          <w:rStyle w:val="LineNumber"/>
          <w:szCs w:val="26"/>
        </w:rPr>
        <w:t>commissioner in the course of a hearing or proceeding.” Because the public interest in these</w:t>
      </w:r>
      <w:r>
        <w:rPr>
          <w:rStyle w:val="LineNumber"/>
          <w:szCs w:val="26"/>
        </w:rPr>
        <w:t xml:space="preserve"> </w:t>
      </w:r>
      <w:r w:rsidRPr="001C6828">
        <w:rPr>
          <w:rStyle w:val="LineNumber"/>
          <w:szCs w:val="26"/>
        </w:rPr>
        <w:t>investigative records outweighs any “confidentiality” concerns raised by PG&amp;E, the public</w:t>
      </w:r>
      <w:r>
        <w:rPr>
          <w:rStyle w:val="LineNumber"/>
          <w:szCs w:val="26"/>
        </w:rPr>
        <w:t xml:space="preserve"> </w:t>
      </w:r>
      <w:r w:rsidRPr="001C6828">
        <w:rPr>
          <w:rStyle w:val="LineNumber"/>
          <w:szCs w:val="26"/>
        </w:rPr>
        <w:t>utility that started the deadliest wildfire in state history through criminally reckless behavior</w:t>
      </w:r>
      <w:r>
        <w:rPr>
          <w:rStyle w:val="LineNumber"/>
          <w:szCs w:val="26"/>
        </w:rPr>
        <w:t xml:space="preserve"> </w:t>
      </w:r>
      <w:r w:rsidRPr="001C6828">
        <w:rPr>
          <w:rStyle w:val="LineNumber"/>
          <w:szCs w:val="26"/>
        </w:rPr>
        <w:t xml:space="preserve">and multiple regulatory violations, the Commission should disclose them promptly. </w:t>
      </w:r>
    </w:p>
    <w:p w:rsidR="0049218C" w:rsidP="00B36D2A" w:rsidRDefault="0049218C" w14:paraId="04E64740" w14:textId="0B37EAD3">
      <w:pPr>
        <w:rPr>
          <w:sz w:val="26"/>
          <w:szCs w:val="26"/>
        </w:rPr>
      </w:pPr>
    </w:p>
    <w:p w:rsidR="00B36D2A" w:rsidP="00B36D2A" w:rsidRDefault="00195A84" w14:paraId="556939CE" w14:textId="78C44E1D">
      <w:pPr>
        <w:rPr>
          <w:sz w:val="26"/>
          <w:szCs w:val="26"/>
        </w:rPr>
      </w:pPr>
      <w:r>
        <w:rPr>
          <w:sz w:val="26"/>
          <w:szCs w:val="26"/>
        </w:rPr>
        <w:t>I</w:t>
      </w:r>
      <w:r w:rsidRPr="00AD7DF9">
        <w:rPr>
          <w:sz w:val="26"/>
          <w:szCs w:val="26"/>
        </w:rPr>
        <w:t xml:space="preserve">n accord with </w:t>
      </w:r>
      <w:r w:rsidR="006D6948">
        <w:rPr>
          <w:sz w:val="26"/>
          <w:szCs w:val="26"/>
        </w:rPr>
        <w:t xml:space="preserve">the requirements of </w:t>
      </w:r>
      <w:r w:rsidRPr="00AD7DF9">
        <w:rPr>
          <w:sz w:val="26"/>
          <w:szCs w:val="26"/>
        </w:rPr>
        <w:t>G.O. 66</w:t>
      </w:r>
      <w:r w:rsidRPr="00AD7DF9">
        <w:rPr>
          <w:sz w:val="26"/>
          <w:szCs w:val="26"/>
        </w:rPr>
        <w:noBreakHyphen/>
        <w:t>D</w:t>
      </w:r>
      <w:r>
        <w:rPr>
          <w:sz w:val="26"/>
          <w:szCs w:val="26"/>
        </w:rPr>
        <w:t>, t</w:t>
      </w:r>
      <w:r w:rsidRPr="00AD7DF9" w:rsidR="00935FE2">
        <w:rPr>
          <w:sz w:val="26"/>
          <w:szCs w:val="26"/>
        </w:rPr>
        <w:t>h</w:t>
      </w:r>
      <w:r w:rsidRPr="00AD7DF9" w:rsidR="00593321">
        <w:rPr>
          <w:sz w:val="26"/>
          <w:szCs w:val="26"/>
        </w:rPr>
        <w:t>is resolution respond</w:t>
      </w:r>
      <w:r w:rsidR="00581449">
        <w:rPr>
          <w:sz w:val="26"/>
          <w:szCs w:val="26"/>
        </w:rPr>
        <w:t>s</w:t>
      </w:r>
      <w:r w:rsidRPr="00AD7DF9" w:rsidR="00593321">
        <w:rPr>
          <w:sz w:val="26"/>
          <w:szCs w:val="26"/>
        </w:rPr>
        <w:t xml:space="preserve"> to </w:t>
      </w:r>
      <w:r w:rsidR="00D056E1">
        <w:rPr>
          <w:sz w:val="26"/>
          <w:szCs w:val="26"/>
        </w:rPr>
        <w:t xml:space="preserve">the </w:t>
      </w:r>
      <w:r w:rsidR="001141A0">
        <w:rPr>
          <w:sz w:val="26"/>
          <w:szCs w:val="26"/>
        </w:rPr>
        <w:t>appeal of the denial of information</w:t>
      </w:r>
      <w:r w:rsidR="00F45E76">
        <w:rPr>
          <w:sz w:val="26"/>
          <w:szCs w:val="26"/>
        </w:rPr>
        <w:t xml:space="preserve"> requested </w:t>
      </w:r>
      <w:r w:rsidR="001141A0">
        <w:rPr>
          <w:sz w:val="26"/>
          <w:szCs w:val="26"/>
        </w:rPr>
        <w:t xml:space="preserve">in </w:t>
      </w:r>
      <w:r w:rsidR="00281BDD">
        <w:rPr>
          <w:sz w:val="26"/>
          <w:szCs w:val="26"/>
        </w:rPr>
        <w:t>PRA #19-664</w:t>
      </w:r>
      <w:r w:rsidRPr="00AD7DF9" w:rsidR="00593321">
        <w:rPr>
          <w:sz w:val="26"/>
          <w:szCs w:val="26"/>
        </w:rPr>
        <w:t>.</w:t>
      </w:r>
      <w:r w:rsidRPr="00AD7DF9" w:rsidR="00B36D2A">
        <w:rPr>
          <w:sz w:val="26"/>
          <w:szCs w:val="26"/>
        </w:rPr>
        <w:t xml:space="preserve"> </w:t>
      </w:r>
      <w:r w:rsidRPr="00AD7DF9" w:rsidR="00B36D2A">
        <w:rPr>
          <w:rStyle w:val="LineNumber"/>
          <w:szCs w:val="26"/>
        </w:rPr>
        <w:t xml:space="preserve">This resolution authorizes the release of </w:t>
      </w:r>
      <w:r w:rsidR="002E1F29">
        <w:rPr>
          <w:sz w:val="26"/>
          <w:szCs w:val="26"/>
        </w:rPr>
        <w:t>SED’s investigation records from the 2018 Camp Fire</w:t>
      </w:r>
      <w:r w:rsidR="001C6828">
        <w:rPr>
          <w:sz w:val="26"/>
          <w:szCs w:val="26"/>
        </w:rPr>
        <w:t xml:space="preserve"> with certain limitations</w:t>
      </w:r>
      <w:r w:rsidR="00C87E72">
        <w:rPr>
          <w:sz w:val="26"/>
          <w:szCs w:val="26"/>
        </w:rPr>
        <w:t xml:space="preserve"> as noted below</w:t>
      </w:r>
      <w:r w:rsidR="002E1F29">
        <w:rPr>
          <w:sz w:val="26"/>
          <w:szCs w:val="26"/>
        </w:rPr>
        <w:t>.</w:t>
      </w:r>
    </w:p>
    <w:p w:rsidR="00100FD3" w:rsidP="00B36D2A" w:rsidRDefault="00100FD3" w14:paraId="3ECA6C0B" w14:textId="732C11E0">
      <w:pPr>
        <w:rPr>
          <w:sz w:val="26"/>
          <w:szCs w:val="26"/>
        </w:rPr>
      </w:pPr>
    </w:p>
    <w:p w:rsidR="00C34360" w:rsidP="00C34360" w:rsidRDefault="00D4631A" w14:paraId="5442EC01" w14:textId="028EA5E5">
      <w:pPr>
        <w:rPr>
          <w:b/>
          <w:bCs/>
          <w:sz w:val="26"/>
          <w:szCs w:val="26"/>
          <w:u w:val="single"/>
        </w:rPr>
      </w:pPr>
      <w:r>
        <w:rPr>
          <w:b/>
          <w:bCs/>
          <w:sz w:val="26"/>
          <w:szCs w:val="26"/>
          <w:u w:val="single"/>
        </w:rPr>
        <w:t>KEY DATES</w:t>
      </w:r>
    </w:p>
    <w:p w:rsidR="00C34360" w:rsidP="00C34360" w:rsidRDefault="00C34360" w14:paraId="2664D395" w14:textId="77777777">
      <w:pPr>
        <w:rPr>
          <w:b/>
          <w:bCs/>
          <w:sz w:val="26"/>
          <w:szCs w:val="26"/>
          <w:u w:val="single"/>
        </w:rPr>
      </w:pPr>
    </w:p>
    <w:p w:rsidRPr="00EE3042" w:rsidR="00C34360" w:rsidP="00571F79" w:rsidRDefault="00C34360" w14:paraId="0515C037" w14:textId="531015D9">
      <w:pPr>
        <w:pStyle w:val="ListParagraph"/>
        <w:numPr>
          <w:ilvl w:val="0"/>
          <w:numId w:val="10"/>
        </w:numPr>
        <w:spacing w:after="120"/>
        <w:contextualSpacing w:val="0"/>
        <w:rPr>
          <w:sz w:val="26"/>
          <w:szCs w:val="26"/>
        </w:rPr>
      </w:pPr>
      <w:r w:rsidRPr="00EE3042">
        <w:rPr>
          <w:sz w:val="26"/>
          <w:szCs w:val="26"/>
        </w:rPr>
        <w:t>December 10, 2019</w:t>
      </w:r>
      <w:r w:rsidR="00876C47">
        <w:rPr>
          <w:sz w:val="26"/>
          <w:szCs w:val="26"/>
        </w:rPr>
        <w:t xml:space="preserve">: </w:t>
      </w:r>
      <w:r w:rsidRPr="00EE3042">
        <w:rPr>
          <w:sz w:val="26"/>
          <w:szCs w:val="26"/>
        </w:rPr>
        <w:t xml:space="preserve">Rittiman </w:t>
      </w:r>
      <w:r w:rsidR="00EE3042">
        <w:rPr>
          <w:sz w:val="26"/>
          <w:szCs w:val="26"/>
        </w:rPr>
        <w:t>submits</w:t>
      </w:r>
      <w:r w:rsidRPr="00EE3042">
        <w:rPr>
          <w:sz w:val="26"/>
          <w:szCs w:val="26"/>
        </w:rPr>
        <w:t xml:space="preserve"> PRA #19-664</w:t>
      </w:r>
      <w:r w:rsidR="00EE3042">
        <w:rPr>
          <w:sz w:val="26"/>
          <w:szCs w:val="26"/>
        </w:rPr>
        <w:t xml:space="preserve"> to the Commission</w:t>
      </w:r>
      <w:r w:rsidRPr="00EE3042">
        <w:rPr>
          <w:sz w:val="26"/>
          <w:szCs w:val="26"/>
        </w:rPr>
        <w:t>.</w:t>
      </w:r>
    </w:p>
    <w:p w:rsidRPr="00EE3042" w:rsidR="00C34360" w:rsidP="00571F79" w:rsidRDefault="00C34360" w14:paraId="32FC0A38" w14:textId="7A3FBA90">
      <w:pPr>
        <w:pStyle w:val="ListParagraph"/>
        <w:numPr>
          <w:ilvl w:val="0"/>
          <w:numId w:val="10"/>
        </w:numPr>
        <w:spacing w:after="120"/>
        <w:contextualSpacing w:val="0"/>
        <w:rPr>
          <w:sz w:val="26"/>
          <w:szCs w:val="26"/>
        </w:rPr>
      </w:pPr>
      <w:r w:rsidRPr="00EE3042">
        <w:rPr>
          <w:sz w:val="26"/>
          <w:szCs w:val="26"/>
        </w:rPr>
        <w:t>June 16, 202</w:t>
      </w:r>
      <w:r w:rsidR="00BB0233">
        <w:rPr>
          <w:sz w:val="26"/>
          <w:szCs w:val="26"/>
        </w:rPr>
        <w:t>1</w:t>
      </w:r>
      <w:r w:rsidR="00876C47">
        <w:rPr>
          <w:sz w:val="26"/>
          <w:szCs w:val="26"/>
        </w:rPr>
        <w:t xml:space="preserve">: </w:t>
      </w:r>
      <w:r w:rsidRPr="00EE3042">
        <w:rPr>
          <w:sz w:val="26"/>
          <w:szCs w:val="26"/>
        </w:rPr>
        <w:t xml:space="preserve">Legal Division </w:t>
      </w:r>
      <w:r w:rsidR="00EE3042">
        <w:rPr>
          <w:sz w:val="26"/>
          <w:szCs w:val="26"/>
        </w:rPr>
        <w:t xml:space="preserve">denies the information requested in </w:t>
      </w:r>
      <w:r w:rsidRPr="00EE3042">
        <w:rPr>
          <w:sz w:val="26"/>
          <w:szCs w:val="26"/>
        </w:rPr>
        <w:t>PRA #19-664.</w:t>
      </w:r>
    </w:p>
    <w:p w:rsidRPr="00EE3042" w:rsidR="00C34360" w:rsidP="00571F79" w:rsidRDefault="00C34360" w14:paraId="0A2CB77D" w14:textId="3AEA835C">
      <w:pPr>
        <w:pStyle w:val="ListParagraph"/>
        <w:numPr>
          <w:ilvl w:val="0"/>
          <w:numId w:val="10"/>
        </w:numPr>
        <w:spacing w:after="120"/>
        <w:contextualSpacing w:val="0"/>
        <w:rPr>
          <w:sz w:val="26"/>
          <w:szCs w:val="26"/>
        </w:rPr>
      </w:pPr>
      <w:r w:rsidRPr="00EE3042">
        <w:rPr>
          <w:sz w:val="26"/>
          <w:szCs w:val="26"/>
        </w:rPr>
        <w:t>June 23, 2021</w:t>
      </w:r>
      <w:r w:rsidR="00876C47">
        <w:rPr>
          <w:sz w:val="26"/>
          <w:szCs w:val="26"/>
        </w:rPr>
        <w:t xml:space="preserve">: </w:t>
      </w:r>
      <w:r w:rsidRPr="00EE3042" w:rsidR="003955F2">
        <w:rPr>
          <w:sz w:val="26"/>
          <w:szCs w:val="26"/>
        </w:rPr>
        <w:t>Rittiman appeals denial of information sought in PRA #19-664.</w:t>
      </w:r>
    </w:p>
    <w:bookmarkEnd w:id="2"/>
    <w:p w:rsidRPr="00AD7DF9" w:rsidR="00C21377" w:rsidP="00C21377" w:rsidRDefault="00C21377" w14:paraId="4D61E555" w14:textId="77777777">
      <w:pPr>
        <w:pStyle w:val="BodyText"/>
        <w:spacing w:before="240" w:after="240"/>
        <w:outlineLvl w:val="0"/>
        <w:rPr>
          <w:b/>
          <w:szCs w:val="26"/>
          <w:u w:val="single"/>
        </w:rPr>
      </w:pPr>
      <w:r w:rsidRPr="00AD7DF9">
        <w:rPr>
          <w:b/>
          <w:szCs w:val="26"/>
          <w:u w:val="single"/>
        </w:rPr>
        <w:t xml:space="preserve">DISCUSSION </w:t>
      </w:r>
    </w:p>
    <w:p w:rsidR="00C21377" w:rsidP="00C21377" w:rsidRDefault="00C21377" w14:paraId="3FA7DD5F" w14:textId="79E52C35">
      <w:pPr>
        <w:rPr>
          <w:rStyle w:val="LineNumber"/>
          <w:szCs w:val="26"/>
        </w:rPr>
      </w:pPr>
      <w:r w:rsidRPr="00AD7DF9">
        <w:rPr>
          <w:sz w:val="26"/>
          <w:szCs w:val="26"/>
        </w:rPr>
        <w:t>The records</w:t>
      </w:r>
      <w:r>
        <w:rPr>
          <w:sz w:val="26"/>
          <w:szCs w:val="26"/>
        </w:rPr>
        <w:t xml:space="preserve"> requested by Rittiman in PRA #19-664 </w:t>
      </w:r>
      <w:r w:rsidRPr="00AD7DF9">
        <w:rPr>
          <w:sz w:val="26"/>
          <w:szCs w:val="26"/>
        </w:rPr>
        <w:t>are “public records” as defined by the California Public Records Act (“CPRA”).</w:t>
      </w:r>
      <w:r w:rsidRPr="003F7459">
        <w:rPr>
          <w:rStyle w:val="FootnoteReference"/>
          <w:b/>
          <w:sz w:val="26"/>
          <w:szCs w:val="26"/>
          <w:u w:val="single"/>
        </w:rPr>
        <w:footnoteReference w:id="1"/>
      </w:r>
      <w:r w:rsidRPr="003F7459">
        <w:rPr>
          <w:sz w:val="26"/>
          <w:szCs w:val="26"/>
        </w:rPr>
        <w:t xml:space="preserve"> </w:t>
      </w:r>
      <w:r w:rsidRPr="00AD7DF9">
        <w:rPr>
          <w:sz w:val="26"/>
          <w:szCs w:val="26"/>
        </w:rPr>
        <w:t xml:space="preserve">The California Constitution, the CPRA, and discovery law favor disclosure of public records. </w:t>
      </w:r>
      <w:r w:rsidRPr="00AD7DF9">
        <w:rPr>
          <w:rStyle w:val="LineNumber"/>
          <w:szCs w:val="26"/>
        </w:rPr>
        <w:t>The public has a constitutional right to access most government information.</w:t>
      </w:r>
      <w:r w:rsidRPr="00AD7DF9">
        <w:rPr>
          <w:rStyle w:val="FootnoteReference"/>
          <w:b/>
          <w:sz w:val="26"/>
          <w:szCs w:val="26"/>
          <w:u w:val="single"/>
        </w:rPr>
        <w:footnoteReference w:id="2"/>
      </w:r>
      <w:r w:rsidRPr="00AD7DF9">
        <w:rPr>
          <w:sz w:val="26"/>
          <w:szCs w:val="26"/>
        </w:rPr>
        <w:t xml:space="preserve"> </w:t>
      </w:r>
      <w:r w:rsidRPr="00AD7DF9">
        <w:rPr>
          <w:rStyle w:val="LineNumber"/>
          <w:szCs w:val="26"/>
        </w:rPr>
        <w:t>Statutes, court rules, and other authority granting access to information must be broadly construed if they further the people’s right of access, and narrowly construed if they limit the right of access.</w:t>
      </w:r>
      <w:r w:rsidRPr="00AD7DF9">
        <w:rPr>
          <w:rStyle w:val="FootnoteReference"/>
          <w:b/>
          <w:sz w:val="26"/>
          <w:szCs w:val="26"/>
          <w:u w:val="single"/>
        </w:rPr>
        <w:footnoteReference w:id="3"/>
      </w:r>
      <w:r w:rsidRPr="00AD7DF9">
        <w:rPr>
          <w:rStyle w:val="LineNumber"/>
          <w:szCs w:val="26"/>
        </w:rPr>
        <w:t xml:space="preserve"> New statutes, court rules, </w:t>
      </w:r>
      <w:r w:rsidRPr="00AD7DF9">
        <w:rPr>
          <w:rStyle w:val="LineNumber"/>
          <w:szCs w:val="26"/>
        </w:rPr>
        <w:lastRenderedPageBreak/>
        <w:t>or other authority that limit the right of access must be adopted with findings demonstrating the interest protected by the limitation and the need to protect that interest.</w:t>
      </w:r>
      <w:r w:rsidRPr="00AD7DF9">
        <w:rPr>
          <w:rStyle w:val="FootnoteReference"/>
          <w:b/>
          <w:sz w:val="26"/>
          <w:szCs w:val="26"/>
          <w:u w:val="single"/>
        </w:rPr>
        <w:footnoteReference w:id="4"/>
      </w:r>
    </w:p>
    <w:p w:rsidRPr="00AD7DF9" w:rsidR="00C21377" w:rsidP="00C21377" w:rsidRDefault="00C21377" w14:paraId="25E46A24" w14:textId="77777777">
      <w:pPr>
        <w:rPr>
          <w:rStyle w:val="LineNumber"/>
          <w:szCs w:val="26"/>
        </w:rPr>
      </w:pPr>
    </w:p>
    <w:p w:rsidRPr="00AD7DF9" w:rsidR="00C21377" w:rsidP="00C21377" w:rsidRDefault="00C21377" w14:paraId="46C8BEBE" w14:textId="1B40EA2E">
      <w:pPr>
        <w:rPr>
          <w:szCs w:val="26"/>
        </w:rPr>
      </w:pPr>
      <w:r w:rsidRPr="00AD7DF9">
        <w:rPr>
          <w:rStyle w:val="LineNumber"/>
          <w:szCs w:val="26"/>
        </w:rPr>
        <w:t>The Commission has exercised its discretion under Cal. Pub. Util. Code § 583 and implemented its responsibility under Cal. Gov’t. Code § 6253.4(a) by adopting guidelines for public access to Commission records. G</w:t>
      </w:r>
      <w:r>
        <w:rPr>
          <w:rStyle w:val="LineNumber"/>
          <w:szCs w:val="26"/>
        </w:rPr>
        <w:t>.O.</w:t>
      </w:r>
      <w:r w:rsidRPr="00AD7DF9">
        <w:rPr>
          <w:rStyle w:val="LineNumber"/>
          <w:szCs w:val="26"/>
        </w:rPr>
        <w:t xml:space="preserve"> 66-D took effect on </w:t>
      </w:r>
      <w:r>
        <w:rPr>
          <w:rStyle w:val="LineNumber"/>
          <w:szCs w:val="26"/>
        </w:rPr>
        <w:t xml:space="preserve">January 1, </w:t>
      </w:r>
      <w:r w:rsidRPr="00AD7DF9">
        <w:rPr>
          <w:rStyle w:val="LineNumber"/>
          <w:szCs w:val="26"/>
        </w:rPr>
        <w:t>2018</w:t>
      </w:r>
      <w:r>
        <w:rPr>
          <w:rStyle w:val="LineNumber"/>
          <w:szCs w:val="26"/>
        </w:rPr>
        <w:t>. It</w:t>
      </w:r>
      <w:r w:rsidRPr="00AD7DF9">
        <w:rPr>
          <w:rStyle w:val="LineNumber"/>
          <w:szCs w:val="26"/>
        </w:rPr>
        <w:t xml:space="preserve"> describes the manner in which information must be submitted to the Commission in order to be treated as confidential.</w:t>
      </w:r>
      <w:r w:rsidR="007F61ED">
        <w:rPr>
          <w:rStyle w:val="LineNumber"/>
          <w:szCs w:val="26"/>
        </w:rPr>
        <w:t xml:space="preserve"> </w:t>
      </w:r>
      <w:r w:rsidRPr="00AD7DF9">
        <w:rPr>
          <w:rStyle w:val="LineNumber"/>
          <w:szCs w:val="26"/>
        </w:rPr>
        <w:t>However, Commission Resolution L-436 describes the manner in which Commission investigation records will be made public.</w:t>
      </w:r>
    </w:p>
    <w:p w:rsidRPr="00AD7DF9" w:rsidR="00C21377" w:rsidP="00C21377" w:rsidRDefault="00C21377" w14:paraId="1E4A6CCC" w14:textId="77777777">
      <w:pPr>
        <w:pStyle w:val="BodyText"/>
        <w:spacing w:after="0"/>
        <w:rPr>
          <w:szCs w:val="26"/>
        </w:rPr>
      </w:pPr>
    </w:p>
    <w:p w:rsidR="00C21377" w:rsidP="00C21377" w:rsidRDefault="00C21377" w14:paraId="283C858F" w14:textId="77777777">
      <w:pPr>
        <w:pStyle w:val="BodyText"/>
        <w:spacing w:after="0"/>
        <w:rPr>
          <w:szCs w:val="26"/>
        </w:rPr>
      </w:pPr>
      <w:r w:rsidRPr="00AD7DF9">
        <w:rPr>
          <w:szCs w:val="26"/>
        </w:rPr>
        <w:t>Resolution L-436 limits Commission staff’s ability to disclose Commission investigation records in the absence of disclosure during a proceeding</w:t>
      </w:r>
      <w:r>
        <w:rPr>
          <w:szCs w:val="26"/>
        </w:rPr>
        <w:t xml:space="preserve"> or </w:t>
      </w:r>
      <w:r w:rsidRPr="00AD7DF9">
        <w:rPr>
          <w:szCs w:val="26"/>
        </w:rPr>
        <w:t>a Commission order authorizing disclosure</w:t>
      </w:r>
      <w:r>
        <w:rPr>
          <w:szCs w:val="26"/>
        </w:rPr>
        <w:t xml:space="preserve">. Resolution L-436 authorizes the disclosure of certain Commission generated investigation reports and correspondence once an investigation is closed, but limits disclosure of information provided by utilities, in the absence of Commission authorization. </w:t>
      </w:r>
      <w:r w:rsidRPr="00AD7DF9">
        <w:rPr>
          <w:szCs w:val="26"/>
        </w:rPr>
        <w:t>As a result, Commission staff denies most initial requests and subpoenas for investigation records</w:t>
      </w:r>
      <w:r>
        <w:rPr>
          <w:szCs w:val="26"/>
        </w:rPr>
        <w:t xml:space="preserve">, especially while investigations remain open. </w:t>
      </w:r>
    </w:p>
    <w:p w:rsidRPr="00AD7DF9" w:rsidR="00C21377" w:rsidP="00C21377" w:rsidRDefault="00C21377" w14:paraId="34DC8250" w14:textId="77777777">
      <w:pPr>
        <w:pStyle w:val="BodyText"/>
        <w:spacing w:after="0"/>
        <w:rPr>
          <w:szCs w:val="26"/>
        </w:rPr>
      </w:pPr>
    </w:p>
    <w:p w:rsidR="00C21377" w:rsidP="00C21377" w:rsidRDefault="00C21377" w14:paraId="0A7FF5DB" w14:textId="629F83C8">
      <w:pPr>
        <w:pStyle w:val="BodyText"/>
        <w:spacing w:after="0"/>
        <w:rPr>
          <w:rStyle w:val="LineNumber"/>
          <w:szCs w:val="26"/>
        </w:rPr>
      </w:pPr>
      <w:r w:rsidRPr="00AD7DF9">
        <w:rPr>
          <w:rStyle w:val="LineNumber"/>
          <w:szCs w:val="26"/>
        </w:rPr>
        <w:t>There is no statute forbidding disclosure of the Commission’s safety investigation records. Nevertheless,</w:t>
      </w:r>
      <w:r w:rsidR="008A4CF9">
        <w:rPr>
          <w:rStyle w:val="LineNumber"/>
          <w:szCs w:val="26"/>
        </w:rPr>
        <w:t xml:space="preserve"> </w:t>
      </w:r>
      <w:r w:rsidRPr="00AD7DF9">
        <w:rPr>
          <w:rStyle w:val="LineNumber"/>
          <w:szCs w:val="26"/>
        </w:rPr>
        <w:t xml:space="preserve">with certain exceptions for incident reports filed with the Commission, we generally refrain from making most accident investigation records public until Commission staff’s investigation of the incident is complete. Commission staff and management </w:t>
      </w:r>
      <w:r>
        <w:rPr>
          <w:rStyle w:val="LineNumber"/>
          <w:szCs w:val="26"/>
        </w:rPr>
        <w:t>must</w:t>
      </w:r>
      <w:r w:rsidRPr="00AD7DF9">
        <w:rPr>
          <w:rStyle w:val="LineNumber"/>
          <w:szCs w:val="26"/>
        </w:rPr>
        <w:t xml:space="preserve"> be able to engage in confidential deliberations regarding an incident investigation without concern for the litigation interests of plaintiffs</w:t>
      </w:r>
      <w:r w:rsidR="00563E15">
        <w:rPr>
          <w:rStyle w:val="LineNumber"/>
          <w:szCs w:val="26"/>
        </w:rPr>
        <w:t xml:space="preserve">, </w:t>
      </w:r>
      <w:r w:rsidRPr="00AD7DF9">
        <w:rPr>
          <w:rStyle w:val="LineNumber"/>
          <w:szCs w:val="26"/>
        </w:rPr>
        <w:t>regulated entities</w:t>
      </w:r>
      <w:r w:rsidR="00563E15">
        <w:rPr>
          <w:rStyle w:val="LineNumber"/>
          <w:szCs w:val="26"/>
        </w:rPr>
        <w:t>, or other parties</w:t>
      </w:r>
      <w:r w:rsidRPr="00AD7DF9">
        <w:rPr>
          <w:rStyle w:val="LineNumber"/>
          <w:szCs w:val="26"/>
        </w:rPr>
        <w:t>.</w:t>
      </w:r>
    </w:p>
    <w:p w:rsidRPr="00AD7DF9" w:rsidR="00C21377" w:rsidP="00C21377" w:rsidRDefault="00C21377" w14:paraId="6A078E46" w14:textId="77777777">
      <w:pPr>
        <w:pStyle w:val="BodyText"/>
        <w:spacing w:after="0"/>
        <w:rPr>
          <w:rStyle w:val="LineNumber"/>
          <w:szCs w:val="26"/>
        </w:rPr>
      </w:pPr>
    </w:p>
    <w:p w:rsidR="00C21377" w:rsidP="00C21377" w:rsidRDefault="00C21377" w14:paraId="3EEA0AB7" w14:textId="38B0F976">
      <w:pPr>
        <w:pStyle w:val="BodyText"/>
        <w:widowControl w:val="0"/>
        <w:spacing w:after="0"/>
        <w:rPr>
          <w:szCs w:val="26"/>
        </w:rPr>
      </w:pPr>
      <w:r w:rsidRPr="00AD7DF9">
        <w:rPr>
          <w:szCs w:val="26"/>
        </w:rPr>
        <w:t>The Commission has ordered disclosure of records concerning completed safety incident investigations on numerous occasions.</w:t>
      </w:r>
      <w:r w:rsidRPr="00AD7DF9">
        <w:rPr>
          <w:rStyle w:val="FootnoteReference"/>
          <w:b/>
          <w:szCs w:val="26"/>
          <w:u w:val="single"/>
        </w:rPr>
        <w:footnoteReference w:id="5"/>
      </w:r>
      <w:r w:rsidRPr="00AD7DF9">
        <w:rPr>
          <w:rStyle w:val="FootnoteReference"/>
          <w:szCs w:val="26"/>
          <w:vertAlign w:val="baseline"/>
        </w:rPr>
        <w:t xml:space="preserve"> </w:t>
      </w:r>
      <w:r w:rsidRPr="00AD7DF9">
        <w:rPr>
          <w:szCs w:val="26"/>
        </w:rPr>
        <w:t>Disclosure of such records does not interfere with its investigations, and may lead to discovery of admissible evidence and aid in the resolution of litigation regarding the accident or incident under investigation.</w:t>
      </w:r>
      <w:r w:rsidRPr="00AD7DF9">
        <w:rPr>
          <w:rStyle w:val="FootnoteReference"/>
          <w:b/>
          <w:szCs w:val="26"/>
          <w:u w:val="single"/>
        </w:rPr>
        <w:footnoteReference w:id="6"/>
      </w:r>
      <w:r w:rsidRPr="00AD7DF9">
        <w:rPr>
          <w:rStyle w:val="FootnoteReference"/>
          <w:szCs w:val="26"/>
          <w:vertAlign w:val="baseline"/>
        </w:rPr>
        <w:t xml:space="preserve"> </w:t>
      </w:r>
      <w:r w:rsidRPr="00AD7DF9">
        <w:rPr>
          <w:szCs w:val="26"/>
        </w:rPr>
        <w:t>Most of these resolutions responded to disclosure requests and/or subpoenas from individuals involved in electric or gas utility accidents or incidents, the families of such individuals, the legal representatives of such individuals or families, or the legal representatives of a defendant, or potential defendant, in litigation related to an accident or incident.</w:t>
      </w:r>
    </w:p>
    <w:p w:rsidR="00C21377" w:rsidP="00C21377" w:rsidRDefault="00C21377" w14:paraId="193F5815" w14:textId="77777777">
      <w:pPr>
        <w:rPr>
          <w:sz w:val="26"/>
          <w:szCs w:val="26"/>
        </w:rPr>
      </w:pPr>
      <w:r w:rsidRPr="00593B12">
        <w:rPr>
          <w:sz w:val="26"/>
          <w:szCs w:val="26"/>
        </w:rPr>
        <w:lastRenderedPageBreak/>
        <w:t>The Commission investigation of the incident is complete</w:t>
      </w:r>
      <w:r>
        <w:rPr>
          <w:sz w:val="26"/>
          <w:szCs w:val="26"/>
        </w:rPr>
        <w:t>. T</w:t>
      </w:r>
      <w:r w:rsidRPr="00593B12">
        <w:rPr>
          <w:sz w:val="26"/>
          <w:szCs w:val="26"/>
        </w:rPr>
        <w:t>herefore, the public interest favors disclosure of the requested Commission’s investigation</w:t>
      </w:r>
      <w:r>
        <w:rPr>
          <w:sz w:val="26"/>
          <w:szCs w:val="26"/>
        </w:rPr>
        <w:t xml:space="preserve"> records. </w:t>
      </w:r>
      <w:r w:rsidRPr="00AD7DF9">
        <w:rPr>
          <w:sz w:val="26"/>
          <w:szCs w:val="26"/>
        </w:rPr>
        <w:t>We will not authorize disclosure of our entire investigation records</w:t>
      </w:r>
      <w:r>
        <w:rPr>
          <w:sz w:val="26"/>
          <w:szCs w:val="26"/>
        </w:rPr>
        <w:t xml:space="preserve">, however.  In accord with our standard practices, we </w:t>
      </w:r>
      <w:r w:rsidRPr="00AD7DF9">
        <w:rPr>
          <w:sz w:val="26"/>
          <w:szCs w:val="26"/>
        </w:rPr>
        <w:t>will withhold records, or portions of records,</w:t>
      </w:r>
      <w:r>
        <w:rPr>
          <w:sz w:val="26"/>
          <w:szCs w:val="26"/>
        </w:rPr>
        <w:t xml:space="preserve"> that</w:t>
      </w:r>
      <w:r w:rsidRPr="00AD7DF9">
        <w:rPr>
          <w:sz w:val="26"/>
          <w:szCs w:val="26"/>
        </w:rPr>
        <w:t xml:space="preserve"> contain information subject to </w:t>
      </w:r>
      <w:r>
        <w:rPr>
          <w:sz w:val="26"/>
          <w:szCs w:val="26"/>
        </w:rPr>
        <w:t xml:space="preserve">Commission held privileges such as </w:t>
      </w:r>
      <w:r w:rsidRPr="00AD7DF9">
        <w:rPr>
          <w:sz w:val="26"/>
          <w:szCs w:val="26"/>
        </w:rPr>
        <w:t xml:space="preserve">our attorney-client privilege; attorney work product doctrine; official information privilege; and deliberative process privilege; as well as portions of records </w:t>
      </w:r>
      <w:r>
        <w:rPr>
          <w:sz w:val="26"/>
          <w:szCs w:val="26"/>
        </w:rPr>
        <w:t>that</w:t>
      </w:r>
      <w:r w:rsidRPr="00AD7DF9">
        <w:rPr>
          <w:sz w:val="26"/>
          <w:szCs w:val="26"/>
        </w:rPr>
        <w:t xml:space="preserve"> contain confidential personal information, </w:t>
      </w:r>
      <w:r>
        <w:rPr>
          <w:sz w:val="26"/>
          <w:szCs w:val="26"/>
        </w:rPr>
        <w:t xml:space="preserve">to the extent we determine that </w:t>
      </w:r>
      <w:r w:rsidRPr="00AD7DF9">
        <w:rPr>
          <w:sz w:val="26"/>
          <w:szCs w:val="26"/>
        </w:rPr>
        <w:t xml:space="preserve">the disclosure of </w:t>
      </w:r>
      <w:r>
        <w:rPr>
          <w:sz w:val="26"/>
          <w:szCs w:val="26"/>
        </w:rPr>
        <w:t xml:space="preserve">such information </w:t>
      </w:r>
      <w:r w:rsidRPr="00AD7DF9">
        <w:rPr>
          <w:sz w:val="26"/>
          <w:szCs w:val="26"/>
        </w:rPr>
        <w:t>would constitute an unwarranted invasion of personal privacy</w:t>
      </w:r>
      <w:r>
        <w:rPr>
          <w:sz w:val="26"/>
          <w:szCs w:val="26"/>
        </w:rPr>
        <w:t>,</w:t>
      </w:r>
      <w:r>
        <w:rPr>
          <w:rStyle w:val="FootnoteReference"/>
          <w:sz w:val="26"/>
          <w:szCs w:val="26"/>
        </w:rPr>
        <w:footnoteReference w:id="7"/>
      </w:r>
      <w:r>
        <w:rPr>
          <w:sz w:val="26"/>
          <w:szCs w:val="26"/>
        </w:rPr>
        <w:t xml:space="preserve"> </w:t>
      </w:r>
      <w:r w:rsidRPr="00AD7DF9">
        <w:rPr>
          <w:sz w:val="26"/>
          <w:szCs w:val="26"/>
        </w:rPr>
        <w:t xml:space="preserve">or </w:t>
      </w:r>
      <w:r>
        <w:rPr>
          <w:sz w:val="26"/>
          <w:szCs w:val="26"/>
        </w:rPr>
        <w:t>that</w:t>
      </w:r>
      <w:r w:rsidRPr="00AD7DF9">
        <w:rPr>
          <w:sz w:val="26"/>
          <w:szCs w:val="26"/>
        </w:rPr>
        <w:t xml:space="preserve"> may be subject to other exemptions, privileges, or similar limitations on disclosure which we find applicable and necessary to assert.</w:t>
      </w:r>
      <w:r>
        <w:rPr>
          <w:sz w:val="26"/>
          <w:szCs w:val="26"/>
        </w:rPr>
        <w:t xml:space="preserve"> </w:t>
      </w:r>
    </w:p>
    <w:p w:rsidR="00C21377" w:rsidP="00C21377" w:rsidRDefault="00C21377" w14:paraId="2E22E5A3" w14:textId="77777777">
      <w:pPr>
        <w:pStyle w:val="BodyText"/>
        <w:spacing w:after="0"/>
        <w:rPr>
          <w:rStyle w:val="LineNumber"/>
          <w:szCs w:val="26"/>
        </w:rPr>
      </w:pPr>
    </w:p>
    <w:p w:rsidR="00C21377" w:rsidP="00A01A80" w:rsidRDefault="00C21377" w14:paraId="0BD0670C" w14:textId="1891B9A0">
      <w:pPr>
        <w:pStyle w:val="BodyText"/>
        <w:spacing w:after="0"/>
        <w:contextualSpacing/>
        <w:rPr>
          <w:szCs w:val="26"/>
        </w:rPr>
      </w:pPr>
      <w:r w:rsidRPr="00F94A67">
        <w:rPr>
          <w:szCs w:val="26"/>
        </w:rPr>
        <w:t>In wildfire investigations such as the investigation of the Camp Fire, we may enter into nondisclosure agreements with the California Department of Forestry and Fire Protection (“CAL FIRE”) and other local government entities, because such agreements permit staff to share records with these agencies, and to receive records and information from them, pursuant to Cal. Gov’t. Code § 6254.5(e), without waiving rights to assert CPRA exemptions in response to CPRA requests. Information acquired in confidence by each agency, and not disclosed to the public, is also protected against disclosure in response to subpoenas and other discovery by the Cal. Evid. Code § 1040 official information privilege. We will refrain from disclosing records subject to such agreements, except to the extent disclosure may be consistent with such agreements.</w:t>
      </w:r>
      <w:r w:rsidRPr="00F94A67">
        <w:rPr>
          <w:szCs w:val="26"/>
          <w:vertAlign w:val="superscript"/>
        </w:rPr>
        <w:footnoteReference w:id="8"/>
      </w:r>
      <w:r w:rsidRPr="00F94A67">
        <w:rPr>
          <w:szCs w:val="26"/>
        </w:rPr>
        <w:t xml:space="preserve"> </w:t>
      </w:r>
    </w:p>
    <w:p w:rsidR="00A01A80" w:rsidP="00A01A80" w:rsidRDefault="00A01A80" w14:paraId="29DFF4F5" w14:textId="77777777">
      <w:pPr>
        <w:pStyle w:val="BodyText"/>
        <w:spacing w:after="0"/>
        <w:contextualSpacing/>
        <w:rPr>
          <w:szCs w:val="26"/>
        </w:rPr>
      </w:pPr>
    </w:p>
    <w:p w:rsidR="00D11FF7" w:rsidP="00A01A80" w:rsidRDefault="00C21377" w14:paraId="7EA47F5C" w14:textId="40E2E67A">
      <w:pPr>
        <w:pStyle w:val="BodyText"/>
        <w:spacing w:after="0"/>
        <w:contextualSpacing/>
        <w:rPr>
          <w:szCs w:val="26"/>
        </w:rPr>
      </w:pPr>
      <w:r>
        <w:rPr>
          <w:szCs w:val="26"/>
        </w:rPr>
        <w:t xml:space="preserve">We now </w:t>
      </w:r>
      <w:r w:rsidR="004D63E3">
        <w:rPr>
          <w:szCs w:val="26"/>
        </w:rPr>
        <w:t>specifically</w:t>
      </w:r>
      <w:r>
        <w:rPr>
          <w:szCs w:val="26"/>
        </w:rPr>
        <w:t xml:space="preserve"> address PRA 19-664 </w:t>
      </w:r>
      <w:r w:rsidR="004D63E3">
        <w:rPr>
          <w:szCs w:val="26"/>
        </w:rPr>
        <w:t xml:space="preserve">because </w:t>
      </w:r>
      <w:r>
        <w:rPr>
          <w:szCs w:val="26"/>
        </w:rPr>
        <w:t xml:space="preserve">there are certain matters unique to </w:t>
      </w:r>
      <w:r w:rsidR="004D63E3">
        <w:rPr>
          <w:szCs w:val="26"/>
        </w:rPr>
        <w:t>this</w:t>
      </w:r>
      <w:r>
        <w:rPr>
          <w:szCs w:val="26"/>
        </w:rPr>
        <w:t xml:space="preserve"> request that require further explanation.</w:t>
      </w:r>
      <w:r w:rsidR="00A452DC">
        <w:rPr>
          <w:szCs w:val="26"/>
        </w:rPr>
        <w:t xml:space="preserve"> These matters relate to the provisions in G</w:t>
      </w:r>
      <w:r w:rsidR="00F34DF8">
        <w:rPr>
          <w:szCs w:val="26"/>
        </w:rPr>
        <w:t>.O.</w:t>
      </w:r>
      <w:r w:rsidR="00A452DC">
        <w:rPr>
          <w:szCs w:val="26"/>
        </w:rPr>
        <w:t xml:space="preserve"> 66-D that limit Legal Division disclosure of records subject to </w:t>
      </w:r>
      <w:r w:rsidR="004B3632">
        <w:rPr>
          <w:szCs w:val="26"/>
        </w:rPr>
        <w:t xml:space="preserve">confidentiality claims </w:t>
      </w:r>
      <w:r w:rsidR="00711D73">
        <w:rPr>
          <w:szCs w:val="26"/>
        </w:rPr>
        <w:t xml:space="preserve">associated with records </w:t>
      </w:r>
      <w:r w:rsidR="004B3632">
        <w:rPr>
          <w:szCs w:val="26"/>
        </w:rPr>
        <w:t xml:space="preserve">submitted </w:t>
      </w:r>
      <w:r w:rsidR="00711D73">
        <w:rPr>
          <w:szCs w:val="26"/>
        </w:rPr>
        <w:t xml:space="preserve">to the Commission.  </w:t>
      </w:r>
    </w:p>
    <w:p w:rsidR="00571F79" w:rsidRDefault="00571F79" w14:paraId="0F7569BD" w14:textId="44857629">
      <w:pPr>
        <w:rPr>
          <w:sz w:val="26"/>
          <w:szCs w:val="26"/>
        </w:rPr>
      </w:pPr>
      <w:r>
        <w:rPr>
          <w:szCs w:val="26"/>
        </w:rPr>
        <w:br w:type="page"/>
      </w:r>
    </w:p>
    <w:p w:rsidRPr="00AB3050" w:rsidR="00D11FF7" w:rsidP="00A01A80" w:rsidRDefault="00D11FF7" w14:paraId="0E3C9989" w14:textId="377B5C04">
      <w:pPr>
        <w:pStyle w:val="BodyText"/>
        <w:spacing w:after="0"/>
        <w:contextualSpacing/>
        <w:rPr>
          <w:b/>
          <w:bCs/>
          <w:szCs w:val="26"/>
          <w:u w:val="single"/>
        </w:rPr>
      </w:pPr>
      <w:r w:rsidRPr="00AB3050">
        <w:rPr>
          <w:b/>
          <w:bCs/>
          <w:szCs w:val="26"/>
          <w:u w:val="single"/>
        </w:rPr>
        <w:lastRenderedPageBreak/>
        <w:t>G</w:t>
      </w:r>
      <w:r w:rsidRPr="00AB3050" w:rsidR="00F34DF8">
        <w:rPr>
          <w:b/>
          <w:bCs/>
          <w:szCs w:val="26"/>
          <w:u w:val="single"/>
        </w:rPr>
        <w:t>.O. 66-D</w:t>
      </w:r>
    </w:p>
    <w:p w:rsidR="00D11FF7" w:rsidP="00A01A80" w:rsidRDefault="00D11FF7" w14:paraId="3C0427AF" w14:textId="77777777">
      <w:pPr>
        <w:pStyle w:val="BodyText"/>
        <w:spacing w:after="0"/>
        <w:contextualSpacing/>
        <w:rPr>
          <w:szCs w:val="26"/>
        </w:rPr>
      </w:pPr>
    </w:p>
    <w:p w:rsidR="00F46D4D" w:rsidP="00A01A80" w:rsidRDefault="00711D73" w14:paraId="6E81B307" w14:textId="24222F57">
      <w:pPr>
        <w:pStyle w:val="BodyText"/>
        <w:spacing w:after="0"/>
        <w:contextualSpacing/>
        <w:rPr>
          <w:szCs w:val="26"/>
        </w:rPr>
      </w:pPr>
      <w:r>
        <w:rPr>
          <w:szCs w:val="26"/>
        </w:rPr>
        <w:t xml:space="preserve">General Order 66-D </w:t>
      </w:r>
      <w:r w:rsidR="00FE1A8C">
        <w:rPr>
          <w:szCs w:val="26"/>
        </w:rPr>
        <w:t xml:space="preserve">§ 3.2 sets forth </w:t>
      </w:r>
      <w:r w:rsidR="00246200">
        <w:rPr>
          <w:szCs w:val="26"/>
        </w:rPr>
        <w:t>procedural rules for seeking confidential treatment of information submitted to the Commission</w:t>
      </w:r>
      <w:r w:rsidR="00805565">
        <w:rPr>
          <w:szCs w:val="26"/>
        </w:rPr>
        <w:t xml:space="preserve"> outside </w:t>
      </w:r>
      <w:r w:rsidR="002A260B">
        <w:rPr>
          <w:szCs w:val="26"/>
        </w:rPr>
        <w:t>a formal Commission proceeding</w:t>
      </w:r>
      <w:r w:rsidR="00B83E02">
        <w:rPr>
          <w:szCs w:val="26"/>
        </w:rPr>
        <w:t>,</w:t>
      </w:r>
      <w:r w:rsidRPr="00571F79" w:rsidR="002A407C">
        <w:rPr>
          <w:rStyle w:val="FootnoteReference"/>
          <w:b/>
          <w:bCs/>
          <w:szCs w:val="26"/>
          <w:u w:val="single"/>
        </w:rPr>
        <w:footnoteReference w:id="9"/>
      </w:r>
      <w:r w:rsidR="001950C8">
        <w:rPr>
          <w:szCs w:val="26"/>
        </w:rPr>
        <w:t xml:space="preserve"> </w:t>
      </w:r>
      <w:r w:rsidR="00193F14">
        <w:rPr>
          <w:szCs w:val="26"/>
        </w:rPr>
        <w:t xml:space="preserve">which </w:t>
      </w:r>
      <w:r w:rsidR="00FD6758">
        <w:rPr>
          <w:szCs w:val="26"/>
        </w:rPr>
        <w:t>state</w:t>
      </w:r>
      <w:r w:rsidR="00B83E02">
        <w:rPr>
          <w:szCs w:val="26"/>
        </w:rPr>
        <w:t>s</w:t>
      </w:r>
      <w:r w:rsidR="00FD6758">
        <w:rPr>
          <w:szCs w:val="26"/>
        </w:rPr>
        <w:t xml:space="preserve"> in part that: </w:t>
      </w:r>
      <w:r w:rsidR="001950C8">
        <w:rPr>
          <w:szCs w:val="26"/>
        </w:rPr>
        <w:t xml:space="preserve"> </w:t>
      </w:r>
    </w:p>
    <w:p w:rsidR="00F46D4D" w:rsidP="00A01A80" w:rsidRDefault="00F46D4D" w14:paraId="1387807C" w14:textId="77777777">
      <w:pPr>
        <w:pStyle w:val="BodyText"/>
        <w:spacing w:after="0"/>
        <w:contextualSpacing/>
        <w:rPr>
          <w:szCs w:val="26"/>
        </w:rPr>
      </w:pPr>
    </w:p>
    <w:p w:rsidR="006F3106" w:rsidP="00571F79" w:rsidRDefault="00F46D4D" w14:paraId="421F058B" w14:textId="77777777">
      <w:pPr>
        <w:pStyle w:val="BodyText"/>
        <w:ind w:left="720" w:right="720"/>
        <w:contextualSpacing/>
        <w:rPr>
          <w:szCs w:val="26"/>
        </w:rPr>
      </w:pPr>
      <w:r w:rsidRPr="00F46D4D">
        <w:rPr>
          <w:szCs w:val="26"/>
        </w:rPr>
        <w:t xml:space="preserve">An information submitter bears the burden of proving the reasons why the Commission shall withhold any information, or any portion thereof, from the public. To request confidential treatment of information submitted to the Commission, an information submitter must satisfy all of the following requirements: </w:t>
      </w:r>
    </w:p>
    <w:p w:rsidRPr="00F46D4D" w:rsidR="00F46D4D" w:rsidP="00193F14" w:rsidRDefault="00F46D4D" w14:paraId="441D2766" w14:textId="73E5634A">
      <w:pPr>
        <w:pStyle w:val="BodyText"/>
        <w:ind w:left="360" w:right="360"/>
        <w:contextualSpacing/>
        <w:rPr>
          <w:szCs w:val="26"/>
        </w:rPr>
      </w:pPr>
      <w:r w:rsidRPr="00F46D4D">
        <w:rPr>
          <w:szCs w:val="26"/>
        </w:rPr>
        <w:t xml:space="preserve"> </w:t>
      </w:r>
    </w:p>
    <w:p w:rsidR="00F46D4D" w:rsidP="00571F79" w:rsidRDefault="00F46D4D" w14:paraId="2D7D467A" w14:textId="2DF0D071">
      <w:pPr>
        <w:pStyle w:val="BodyText"/>
        <w:ind w:left="1080" w:right="1440" w:hanging="360"/>
        <w:contextualSpacing/>
        <w:rPr>
          <w:szCs w:val="26"/>
        </w:rPr>
      </w:pPr>
      <w:r w:rsidRPr="00F46D4D">
        <w:rPr>
          <w:szCs w:val="26"/>
        </w:rPr>
        <w:t xml:space="preserve">a) </w:t>
      </w:r>
      <w:r w:rsidR="00FD6758">
        <w:rPr>
          <w:szCs w:val="26"/>
        </w:rPr>
        <w:t xml:space="preserve"> </w:t>
      </w:r>
      <w:r w:rsidRPr="00F46D4D">
        <w:rPr>
          <w:szCs w:val="26"/>
        </w:rPr>
        <w:t xml:space="preserve">If confidential treatment is sought for any portion of information, the information submitter must designate each page, section, or field, or any portion thereof, as confidential. If only a certain portion of information is claimed to be confidential, then only that portion rather than the entire submission should be designated as confidential. </w:t>
      </w:r>
    </w:p>
    <w:p w:rsidRPr="00F46D4D" w:rsidR="00A67C20" w:rsidP="00571F79" w:rsidRDefault="00A67C20" w14:paraId="0A79421D" w14:textId="77777777">
      <w:pPr>
        <w:pStyle w:val="BodyText"/>
        <w:ind w:left="1080" w:right="1440" w:hanging="360"/>
        <w:contextualSpacing/>
        <w:rPr>
          <w:szCs w:val="26"/>
        </w:rPr>
      </w:pPr>
    </w:p>
    <w:p w:rsidR="00F46D4D" w:rsidP="00571F79" w:rsidRDefault="00F46D4D" w14:paraId="7D028C75" w14:textId="715F7BDD">
      <w:pPr>
        <w:pStyle w:val="BodyText"/>
        <w:spacing w:after="0"/>
        <w:ind w:left="1080" w:right="1440" w:hanging="360"/>
        <w:contextualSpacing/>
        <w:rPr>
          <w:szCs w:val="26"/>
        </w:rPr>
      </w:pPr>
      <w:r w:rsidRPr="00F46D4D">
        <w:rPr>
          <w:szCs w:val="26"/>
        </w:rPr>
        <w:t xml:space="preserve">b) </w:t>
      </w:r>
      <w:r w:rsidR="00FD6758">
        <w:rPr>
          <w:szCs w:val="26"/>
        </w:rPr>
        <w:t xml:space="preserve"> </w:t>
      </w:r>
      <w:r w:rsidRPr="00F46D4D">
        <w:rPr>
          <w:szCs w:val="26"/>
        </w:rPr>
        <w:t>Specify the basis for the Commission to provide confidential treatment with specific citation to an applicable provision of the CPRA.</w:t>
      </w:r>
      <w:r w:rsidR="004500C4">
        <w:rPr>
          <w:szCs w:val="26"/>
        </w:rPr>
        <w:t xml:space="preserve"> …</w:t>
      </w:r>
      <w:r w:rsidR="006C677A">
        <w:rPr>
          <w:szCs w:val="26"/>
        </w:rPr>
        <w:t xml:space="preserve"> </w:t>
      </w:r>
      <w:r w:rsidRPr="00571F79" w:rsidR="00DC290D">
        <w:rPr>
          <w:rStyle w:val="FootnoteReference"/>
          <w:b/>
          <w:bCs/>
          <w:szCs w:val="26"/>
          <w:u w:val="single"/>
        </w:rPr>
        <w:footnoteReference w:id="10"/>
      </w:r>
      <w:r w:rsidR="006C677A">
        <w:rPr>
          <w:szCs w:val="26"/>
        </w:rPr>
        <w:t xml:space="preserve"> </w:t>
      </w:r>
    </w:p>
    <w:p w:rsidR="00F46D4D" w:rsidP="00571F79" w:rsidRDefault="00F46D4D" w14:paraId="77DFBB8A" w14:textId="77777777">
      <w:pPr>
        <w:pStyle w:val="BodyText"/>
        <w:spacing w:after="0"/>
        <w:ind w:left="1080" w:right="1440"/>
        <w:contextualSpacing/>
        <w:rPr>
          <w:szCs w:val="26"/>
        </w:rPr>
      </w:pPr>
    </w:p>
    <w:p w:rsidR="00F46D4D" w:rsidP="00571F79" w:rsidRDefault="006C677A" w14:paraId="48493F5A" w14:textId="4471C057">
      <w:pPr>
        <w:pStyle w:val="BodyText"/>
        <w:spacing w:after="0"/>
        <w:ind w:left="1080" w:right="1440" w:hanging="360"/>
        <w:contextualSpacing/>
        <w:rPr>
          <w:szCs w:val="26"/>
        </w:rPr>
      </w:pPr>
      <w:r>
        <w:rPr>
          <w:szCs w:val="26"/>
        </w:rPr>
        <w:t xml:space="preserve">c) </w:t>
      </w:r>
      <w:r w:rsidR="00FD6758">
        <w:rPr>
          <w:szCs w:val="26"/>
        </w:rPr>
        <w:t xml:space="preserve"> </w:t>
      </w:r>
      <w:r w:rsidRPr="004500C4" w:rsidR="004500C4">
        <w:rPr>
          <w:szCs w:val="26"/>
        </w:rPr>
        <w:t xml:space="preserve">Provide a declaration in support of the legal authority cited in Section 3.2(b) of this GO signed by an officer of the information submitter or by an employee or agent designated by an officer. </w:t>
      </w:r>
      <w:r>
        <w:rPr>
          <w:szCs w:val="26"/>
        </w:rPr>
        <w:t>….</w:t>
      </w:r>
    </w:p>
    <w:p w:rsidR="00D7738D" w:rsidP="00A01A80" w:rsidRDefault="00D7738D" w14:paraId="2709CB08" w14:textId="3DBEAA41">
      <w:pPr>
        <w:pStyle w:val="BodyText"/>
        <w:spacing w:after="0"/>
        <w:contextualSpacing/>
        <w:rPr>
          <w:szCs w:val="26"/>
        </w:rPr>
      </w:pPr>
    </w:p>
    <w:p w:rsidR="00D7738D" w:rsidP="00A01A80" w:rsidRDefault="00D7738D" w14:paraId="569649DE" w14:textId="2280878F">
      <w:pPr>
        <w:pStyle w:val="BodyText"/>
        <w:spacing w:after="0"/>
        <w:contextualSpacing/>
        <w:rPr>
          <w:szCs w:val="26"/>
        </w:rPr>
      </w:pPr>
      <w:r>
        <w:rPr>
          <w:szCs w:val="26"/>
        </w:rPr>
        <w:t>G.O. 66-D §</w:t>
      </w:r>
      <w:r w:rsidR="002E3ECD">
        <w:rPr>
          <w:szCs w:val="26"/>
        </w:rPr>
        <w:t xml:space="preserve"> 5.2 provides that:</w:t>
      </w:r>
    </w:p>
    <w:p w:rsidR="002E3ECD" w:rsidP="00A01A80" w:rsidRDefault="002E3ECD" w14:paraId="37DD3D36" w14:textId="77777777">
      <w:pPr>
        <w:pStyle w:val="BodyText"/>
        <w:spacing w:after="0"/>
        <w:contextualSpacing/>
        <w:rPr>
          <w:szCs w:val="26"/>
        </w:rPr>
      </w:pPr>
    </w:p>
    <w:p w:rsidR="00D7738D" w:rsidP="00571F79" w:rsidRDefault="00D7738D" w14:paraId="3A4163B2" w14:textId="39677525">
      <w:pPr>
        <w:pStyle w:val="BodyText"/>
        <w:spacing w:after="0"/>
        <w:ind w:left="720" w:right="720"/>
        <w:contextualSpacing/>
        <w:rPr>
          <w:szCs w:val="26"/>
        </w:rPr>
      </w:pPr>
      <w:r w:rsidRPr="00D7738D">
        <w:rPr>
          <w:szCs w:val="26"/>
        </w:rPr>
        <w:t>Information submitted to the Commission with no claim of confidentiality at all may be released to the public without further action by the Commission, unless the Commission withholds the information per an exemption of the CPRA. This provision applies regardless of the date the information was submitted to the Commission. Information created by the Commission may be released to the public without further action by the Commission, unless the Commission withholds the information per an exemption of the CPRA.</w:t>
      </w:r>
    </w:p>
    <w:p w:rsidR="003A43A9" w:rsidP="004841D8" w:rsidRDefault="002E3ECD" w14:paraId="5AB4FD18" w14:textId="1584D3ED">
      <w:pPr>
        <w:pStyle w:val="BodyText"/>
        <w:contextualSpacing/>
        <w:rPr>
          <w:szCs w:val="26"/>
        </w:rPr>
      </w:pPr>
      <w:r>
        <w:rPr>
          <w:szCs w:val="26"/>
        </w:rPr>
        <w:lastRenderedPageBreak/>
        <w:t xml:space="preserve">G.O. 66-D § </w:t>
      </w:r>
      <w:r w:rsidR="00C02440">
        <w:rPr>
          <w:szCs w:val="26"/>
        </w:rPr>
        <w:t>5.5</w:t>
      </w:r>
      <w:r w:rsidR="00F90624">
        <w:rPr>
          <w:szCs w:val="26"/>
        </w:rPr>
        <w:t xml:space="preserve"> provides that if the Commission receives information submitted with a claim of confidentiality </w:t>
      </w:r>
      <w:r w:rsidR="00A561DB">
        <w:rPr>
          <w:szCs w:val="26"/>
        </w:rPr>
        <w:t>that satisfies the requirements of G.O. 66-</w:t>
      </w:r>
      <w:r w:rsidR="00805565">
        <w:rPr>
          <w:szCs w:val="26"/>
        </w:rPr>
        <w:t>D § 3.2</w:t>
      </w:r>
      <w:r w:rsidR="00DC3665">
        <w:rPr>
          <w:szCs w:val="26"/>
        </w:rPr>
        <w:t>, the Legal Division will determine whether the information submitter has established a lawful basis for confidentiality</w:t>
      </w:r>
      <w:r w:rsidR="001272FE">
        <w:rPr>
          <w:szCs w:val="26"/>
        </w:rPr>
        <w:t>.</w:t>
      </w:r>
      <w:r w:rsidRPr="0005277C" w:rsidR="007934E7">
        <w:rPr>
          <w:rStyle w:val="FootnoteReference"/>
          <w:b/>
          <w:bCs/>
          <w:szCs w:val="26"/>
          <w:u w:val="single"/>
        </w:rPr>
        <w:footnoteReference w:id="11"/>
      </w:r>
      <w:r w:rsidR="001272FE">
        <w:rPr>
          <w:szCs w:val="26"/>
        </w:rPr>
        <w:t xml:space="preserve"> If</w:t>
      </w:r>
      <w:r w:rsidR="00A322C9">
        <w:rPr>
          <w:szCs w:val="26"/>
        </w:rPr>
        <w:t xml:space="preserve"> the Legal Division determines that the information submitter has established a l</w:t>
      </w:r>
      <w:r w:rsidR="00DE1881">
        <w:rPr>
          <w:szCs w:val="26"/>
        </w:rPr>
        <w:t>a</w:t>
      </w:r>
      <w:r w:rsidR="00A322C9">
        <w:rPr>
          <w:szCs w:val="26"/>
        </w:rPr>
        <w:t xml:space="preserve">wful basis for confidential treatment, </w:t>
      </w:r>
      <w:bookmarkStart w:name="_Hlk86262955" w:id="3"/>
      <w:r w:rsidR="00A322C9">
        <w:rPr>
          <w:szCs w:val="26"/>
        </w:rPr>
        <w:t xml:space="preserve">it will </w:t>
      </w:r>
      <w:r w:rsidR="008D36B3">
        <w:rPr>
          <w:szCs w:val="26"/>
        </w:rPr>
        <w:t xml:space="preserve">so </w:t>
      </w:r>
      <w:r w:rsidR="00DE1881">
        <w:rPr>
          <w:szCs w:val="26"/>
        </w:rPr>
        <w:t>inform requester</w:t>
      </w:r>
      <w:r w:rsidR="001F17A9">
        <w:rPr>
          <w:szCs w:val="26"/>
        </w:rPr>
        <w:t>s see</w:t>
      </w:r>
      <w:r w:rsidR="008D36B3">
        <w:rPr>
          <w:szCs w:val="26"/>
        </w:rPr>
        <w:t xml:space="preserve">king information subject </w:t>
      </w:r>
      <w:r w:rsidR="00350F5D">
        <w:rPr>
          <w:szCs w:val="26"/>
        </w:rPr>
        <w:t xml:space="preserve">to the confidentiality claim </w:t>
      </w:r>
      <w:r w:rsidR="00DE1881">
        <w:rPr>
          <w:szCs w:val="26"/>
        </w:rPr>
        <w:t xml:space="preserve">and not </w:t>
      </w:r>
      <w:r w:rsidR="00A322C9">
        <w:rPr>
          <w:szCs w:val="26"/>
        </w:rPr>
        <w:t>release the information</w:t>
      </w:r>
      <w:bookmarkEnd w:id="3"/>
      <w:r w:rsidR="003A7CD0">
        <w:rPr>
          <w:szCs w:val="26"/>
        </w:rPr>
        <w:t>.</w:t>
      </w:r>
      <w:r w:rsidRPr="0005277C" w:rsidR="000F263B">
        <w:rPr>
          <w:rStyle w:val="FootnoteReference"/>
          <w:b/>
          <w:bCs/>
          <w:szCs w:val="26"/>
          <w:u w:val="single"/>
        </w:rPr>
        <w:footnoteReference w:id="12"/>
      </w:r>
      <w:r w:rsidR="003A7CD0">
        <w:rPr>
          <w:szCs w:val="26"/>
        </w:rPr>
        <w:t xml:space="preserve"> </w:t>
      </w:r>
      <w:r w:rsidR="00207A16">
        <w:rPr>
          <w:szCs w:val="26"/>
        </w:rPr>
        <w:t xml:space="preserve">Similarly, if </w:t>
      </w:r>
      <w:r w:rsidR="00350F5D">
        <w:rPr>
          <w:szCs w:val="26"/>
        </w:rPr>
        <w:t xml:space="preserve">a records requester seeks </w:t>
      </w:r>
      <w:r w:rsidR="000F2B97">
        <w:rPr>
          <w:szCs w:val="26"/>
        </w:rPr>
        <w:t xml:space="preserve">information created by the </w:t>
      </w:r>
      <w:r w:rsidR="00373A89">
        <w:rPr>
          <w:szCs w:val="26"/>
        </w:rPr>
        <w:t xml:space="preserve">Commission, and the Legal Division </w:t>
      </w:r>
      <w:r w:rsidR="000F2B97">
        <w:rPr>
          <w:szCs w:val="26"/>
        </w:rPr>
        <w:t xml:space="preserve">finds a lawful basis to withhold the information, </w:t>
      </w:r>
      <w:r w:rsidRPr="003A43A9" w:rsidR="003A43A9">
        <w:rPr>
          <w:szCs w:val="26"/>
        </w:rPr>
        <w:t>it will so inform requesters seeking information subject to the confidentiality claim and not release the information</w:t>
      </w:r>
      <w:r w:rsidR="003A43A9">
        <w:rPr>
          <w:szCs w:val="26"/>
        </w:rPr>
        <w:t>.</w:t>
      </w:r>
      <w:r w:rsidRPr="0005277C" w:rsidR="005F635A">
        <w:rPr>
          <w:rStyle w:val="FootnoteReference"/>
          <w:b/>
          <w:bCs/>
          <w:szCs w:val="26"/>
          <w:u w:val="single"/>
        </w:rPr>
        <w:footnoteReference w:id="13"/>
      </w:r>
      <w:r w:rsidR="003A43A9">
        <w:rPr>
          <w:szCs w:val="26"/>
        </w:rPr>
        <w:t xml:space="preserve"> In either event, </w:t>
      </w:r>
      <w:r w:rsidR="00F451F6">
        <w:rPr>
          <w:szCs w:val="26"/>
        </w:rPr>
        <w:t>the Legal Division will:</w:t>
      </w:r>
    </w:p>
    <w:p w:rsidR="00F451F6" w:rsidP="004841D8" w:rsidRDefault="00F451F6" w14:paraId="552AD98F" w14:textId="67E9155E">
      <w:pPr>
        <w:pStyle w:val="BodyText"/>
        <w:contextualSpacing/>
        <w:rPr>
          <w:szCs w:val="26"/>
        </w:rPr>
      </w:pPr>
    </w:p>
    <w:p w:rsidRPr="004841D8" w:rsidR="004841D8" w:rsidP="0005277C" w:rsidRDefault="00452F13" w14:paraId="64D0FF7A" w14:textId="423BAE94">
      <w:pPr>
        <w:pStyle w:val="BodyText"/>
        <w:ind w:left="720" w:right="1440"/>
        <w:contextualSpacing/>
        <w:rPr>
          <w:szCs w:val="26"/>
        </w:rPr>
      </w:pPr>
      <w:r>
        <w:rPr>
          <w:szCs w:val="26"/>
        </w:rPr>
        <w:t xml:space="preserve">comply with the CPRA by </w:t>
      </w:r>
      <w:r w:rsidRPr="004841D8" w:rsidR="004841D8">
        <w:rPr>
          <w:szCs w:val="26"/>
        </w:rPr>
        <w:t>providing the requestor with enough detail about the withheld information so that the requestor broadly understands what is being withheld and why, without disclosing confidential information.</w:t>
      </w:r>
      <w:r w:rsidR="00AE5E0A">
        <w:rPr>
          <w:szCs w:val="26"/>
        </w:rPr>
        <w:t xml:space="preserve"> </w:t>
      </w:r>
      <w:r w:rsidRPr="004841D8" w:rsidR="004841D8">
        <w:rPr>
          <w:szCs w:val="26"/>
        </w:rPr>
        <w:t xml:space="preserve"> If a CPRA request is denied in whole or in part, the requestor may appeal to the Commission for reconsideration by submitting a Public Information Appeal Form within ten days of receiving notice that a CPRA request has been denied in whole or in part. The Public Information Appeal Form may state the reasons why the information should be released.</w:t>
      </w:r>
      <w:r w:rsidRPr="0005277C" w:rsidR="004C310C">
        <w:rPr>
          <w:rStyle w:val="FootnoteReference"/>
          <w:b/>
          <w:bCs/>
          <w:szCs w:val="26"/>
          <w:u w:val="single"/>
        </w:rPr>
        <w:footnoteReference w:id="14"/>
      </w:r>
      <w:r w:rsidRPr="004841D8" w:rsidR="004841D8">
        <w:rPr>
          <w:szCs w:val="26"/>
        </w:rPr>
        <w:t xml:space="preserve">  </w:t>
      </w:r>
    </w:p>
    <w:p w:rsidR="00F90624" w:rsidP="00A01A80" w:rsidRDefault="00F90624" w14:paraId="7E20D488" w14:textId="40E5CBFA">
      <w:pPr>
        <w:pStyle w:val="BodyText"/>
        <w:spacing w:after="0"/>
        <w:contextualSpacing/>
        <w:rPr>
          <w:szCs w:val="26"/>
        </w:rPr>
      </w:pPr>
    </w:p>
    <w:p w:rsidR="00195FB2" w:rsidP="00A01A80" w:rsidRDefault="00015ABA" w14:paraId="321CA466" w14:textId="2B75CBD9">
      <w:pPr>
        <w:pStyle w:val="BodyText"/>
        <w:spacing w:after="0"/>
        <w:contextualSpacing/>
        <w:rPr>
          <w:szCs w:val="26"/>
        </w:rPr>
      </w:pPr>
      <w:r w:rsidRPr="00F90624">
        <w:rPr>
          <w:szCs w:val="26"/>
        </w:rPr>
        <w:t>If, however, the Legal Division does not believe a confidentiality claim submitted to the Commission has presented a lawful basis for confidential treatment, it must prepare a draft resolution addressing the confidential</w:t>
      </w:r>
      <w:r w:rsidR="00C83338">
        <w:rPr>
          <w:szCs w:val="26"/>
        </w:rPr>
        <w:t>ity</w:t>
      </w:r>
      <w:r w:rsidRPr="00F90624">
        <w:rPr>
          <w:szCs w:val="26"/>
        </w:rPr>
        <w:t xml:space="preserve"> claim and obtain Commission authorization for disclosure before the information at issue may be disclosed.</w:t>
      </w:r>
      <w:r w:rsidRPr="0005277C">
        <w:rPr>
          <w:b/>
          <w:bCs/>
          <w:szCs w:val="26"/>
          <w:u w:val="single"/>
          <w:vertAlign w:val="superscript"/>
        </w:rPr>
        <w:footnoteReference w:id="15"/>
      </w:r>
      <w:r w:rsidRPr="00F90624">
        <w:rPr>
          <w:szCs w:val="26"/>
        </w:rPr>
        <w:t xml:space="preserve">  </w:t>
      </w:r>
    </w:p>
    <w:p w:rsidR="00195FB2" w:rsidP="00A01A80" w:rsidRDefault="00195FB2" w14:paraId="77E524D0" w14:textId="77777777">
      <w:pPr>
        <w:pStyle w:val="BodyText"/>
        <w:spacing w:after="0"/>
        <w:contextualSpacing/>
        <w:rPr>
          <w:szCs w:val="26"/>
        </w:rPr>
      </w:pPr>
    </w:p>
    <w:p w:rsidR="00E8229B" w:rsidP="0040769E" w:rsidRDefault="00E8229B" w14:paraId="7DE50162" w14:textId="51E337CE">
      <w:pPr>
        <w:pStyle w:val="BodyText"/>
        <w:spacing w:after="0"/>
        <w:rPr>
          <w:szCs w:val="26"/>
        </w:rPr>
      </w:pPr>
      <w:r w:rsidRPr="00E8229B">
        <w:rPr>
          <w:szCs w:val="26"/>
        </w:rPr>
        <w:t>When responding to records requests, the Commission itself is responsible for making independent determinations regarding the disclosure or withholding of Commission records, and the CPRA prohibits agencies from delegating this task to others.</w:t>
      </w:r>
      <w:r w:rsidRPr="0005277C">
        <w:rPr>
          <w:b/>
          <w:bCs/>
          <w:szCs w:val="26"/>
          <w:u w:val="single"/>
          <w:vertAlign w:val="superscript"/>
        </w:rPr>
        <w:footnoteReference w:id="16"/>
      </w:r>
      <w:r w:rsidRPr="00E8229B">
        <w:rPr>
          <w:szCs w:val="26"/>
        </w:rPr>
        <w:t xml:space="preserve"> Thus, the Commission cannot lawfully simply rely on submitted confidentiality claims as a basis for withholding records, or portions of records.</w:t>
      </w:r>
      <w:r w:rsidRPr="0005277C" w:rsidR="005C007E">
        <w:rPr>
          <w:rStyle w:val="FootnoteReference"/>
          <w:b/>
          <w:bCs/>
          <w:szCs w:val="26"/>
          <w:u w:val="single"/>
        </w:rPr>
        <w:footnoteReference w:id="17"/>
      </w:r>
      <w:r w:rsidRPr="00E8229B">
        <w:rPr>
          <w:szCs w:val="26"/>
        </w:rPr>
        <w:t xml:space="preserve"> Rather, the Commission must make its </w:t>
      </w:r>
      <w:r w:rsidRPr="00E8229B">
        <w:rPr>
          <w:szCs w:val="26"/>
        </w:rPr>
        <w:lastRenderedPageBreak/>
        <w:t xml:space="preserve">own independent determinations and be prepared to defend those determinations in court, if challenged. Such determinations require both careful legal analysis and the thoughtful evaluation of the public interests served by disclosing or withholding Commission records, or portions of records.  </w:t>
      </w:r>
    </w:p>
    <w:p w:rsidRPr="00E8229B" w:rsidR="008B6538" w:rsidP="005B3D6F" w:rsidRDefault="008B6538" w14:paraId="24C17023" w14:textId="77777777">
      <w:pPr>
        <w:pStyle w:val="BodyText"/>
        <w:spacing w:after="0"/>
        <w:rPr>
          <w:szCs w:val="26"/>
        </w:rPr>
      </w:pPr>
    </w:p>
    <w:p w:rsidR="00E8229B" w:rsidP="00F029B4" w:rsidRDefault="00E8229B" w14:paraId="3B7F7869" w14:textId="58BDC15D">
      <w:pPr>
        <w:pStyle w:val="BodyText"/>
        <w:spacing w:after="0"/>
        <w:rPr>
          <w:szCs w:val="26"/>
        </w:rPr>
      </w:pPr>
      <w:r w:rsidRPr="00E8229B">
        <w:rPr>
          <w:szCs w:val="26"/>
        </w:rPr>
        <w:t xml:space="preserve">The CPRA requires the Commission to disclose public records in response to public records requests unless the records are subject to one or more specific CPRA exemptions or the Commission determines that, </w:t>
      </w:r>
      <w:r w:rsidR="00601FE8">
        <w:rPr>
          <w:szCs w:val="26"/>
        </w:rPr>
        <w:t>“</w:t>
      </w:r>
      <w:r w:rsidRPr="00E8229B">
        <w:rPr>
          <w:szCs w:val="26"/>
        </w:rPr>
        <w:t>on the facts of the particular case, the public interest served by withholding records clearly outweighs the public interests served by disclosure.</w:t>
      </w:r>
      <w:r w:rsidR="0039076A">
        <w:rPr>
          <w:szCs w:val="26"/>
        </w:rPr>
        <w:t>”</w:t>
      </w:r>
      <w:r w:rsidRPr="0005277C" w:rsidR="006F25AB">
        <w:rPr>
          <w:rStyle w:val="FootnoteReference"/>
          <w:b/>
          <w:bCs/>
          <w:szCs w:val="26"/>
          <w:u w:val="single"/>
        </w:rPr>
        <w:footnoteReference w:id="18"/>
      </w:r>
      <w:r w:rsidRPr="00E8229B">
        <w:rPr>
          <w:szCs w:val="26"/>
        </w:rPr>
        <w:t xml:space="preserve"> The fact that a particular CPRA exemption may potentially apply to a particular record or portion of a record is not a requirement that the Commission withhold the record or portion of record on the basis of the exemption</w:t>
      </w:r>
      <w:r w:rsidR="00621F98">
        <w:rPr>
          <w:szCs w:val="26"/>
        </w:rPr>
        <w:t xml:space="preserve">.  </w:t>
      </w:r>
      <w:r w:rsidR="00A01C60">
        <w:rPr>
          <w:szCs w:val="26"/>
        </w:rPr>
        <w:t xml:space="preserve">“Unless a record is subject to a </w:t>
      </w:r>
      <w:r w:rsidR="004D72A1">
        <w:rPr>
          <w:szCs w:val="26"/>
        </w:rPr>
        <w:t xml:space="preserve">law prohibiting disclosure, </w:t>
      </w:r>
      <w:r w:rsidRPr="00E8229B">
        <w:rPr>
          <w:szCs w:val="26"/>
        </w:rPr>
        <w:t xml:space="preserve"> CPRA exemptions are </w:t>
      </w:r>
      <w:r w:rsidR="00E60A2A">
        <w:rPr>
          <w:szCs w:val="26"/>
        </w:rPr>
        <w:t>permissive, not mandatory</w:t>
      </w:r>
      <w:r w:rsidR="00CB38CF">
        <w:rPr>
          <w:szCs w:val="26"/>
        </w:rPr>
        <w:t>; they allow nondisclosure but do not prohibit disclosure</w:t>
      </w:r>
      <w:r w:rsidR="002A01DF">
        <w:rPr>
          <w:szCs w:val="26"/>
        </w:rPr>
        <w:t>”.</w:t>
      </w:r>
      <w:r w:rsidRPr="00E8229B">
        <w:rPr>
          <w:szCs w:val="26"/>
        </w:rPr>
        <w:t xml:space="preserve">; an agency may cite an exemption as a basis for withholding records, but is not compelled to do so, and agencies are free to adopt policies providing greater access to </w:t>
      </w:r>
      <w:r w:rsidR="00D01577">
        <w:rPr>
          <w:szCs w:val="26"/>
        </w:rPr>
        <w:t>“</w:t>
      </w:r>
      <w:r w:rsidRPr="004964F2" w:rsidR="004964F2">
        <w:rPr>
          <w:szCs w:val="26"/>
        </w:rPr>
        <w:t>its records concerning the administration of the agency to public inspection, unless disclosure is otherwise prohibited by law.</w:t>
      </w:r>
      <w:r w:rsidR="00D01577">
        <w:rPr>
          <w:szCs w:val="26"/>
        </w:rPr>
        <w:t>”</w:t>
      </w:r>
      <w:r w:rsidRPr="0005277C" w:rsidR="004964F2">
        <w:rPr>
          <w:rStyle w:val="FootnoteReference"/>
          <w:b/>
          <w:bCs/>
          <w:szCs w:val="26"/>
          <w:u w:val="single"/>
        </w:rPr>
        <w:footnoteReference w:id="19"/>
      </w:r>
      <w:r w:rsidRPr="00E8229B">
        <w:rPr>
          <w:szCs w:val="26"/>
        </w:rPr>
        <w:t xml:space="preserve"> </w:t>
      </w:r>
    </w:p>
    <w:p w:rsidRPr="00E8229B" w:rsidR="00F029B4" w:rsidP="00F029B4" w:rsidRDefault="00F029B4" w14:paraId="2D9CF001" w14:textId="77777777">
      <w:pPr>
        <w:pStyle w:val="BodyText"/>
        <w:spacing w:after="0"/>
        <w:rPr>
          <w:szCs w:val="26"/>
        </w:rPr>
      </w:pPr>
    </w:p>
    <w:p w:rsidR="00E8229B" w:rsidP="00594286" w:rsidRDefault="00E8229B" w14:paraId="09FEB526" w14:textId="3165F757">
      <w:pPr>
        <w:pStyle w:val="BodyText"/>
        <w:spacing w:after="0"/>
        <w:rPr>
          <w:szCs w:val="26"/>
        </w:rPr>
      </w:pPr>
      <w:r w:rsidRPr="00E8229B">
        <w:rPr>
          <w:szCs w:val="26"/>
        </w:rPr>
        <w:lastRenderedPageBreak/>
        <w:t>Certain CPRA exemptions</w:t>
      </w:r>
      <w:r w:rsidRPr="0005277C" w:rsidR="00490E5A">
        <w:rPr>
          <w:rStyle w:val="FootnoteReference"/>
          <w:b/>
          <w:bCs/>
          <w:szCs w:val="26"/>
          <w:u w:val="single"/>
        </w:rPr>
        <w:footnoteReference w:id="20"/>
      </w:r>
      <w:r w:rsidRPr="00E8229B">
        <w:rPr>
          <w:szCs w:val="26"/>
        </w:rPr>
        <w:t xml:space="preserve"> and Cal. Evid Code privileges</w:t>
      </w:r>
      <w:r w:rsidRPr="0005277C" w:rsidR="00BD3992">
        <w:rPr>
          <w:rStyle w:val="FootnoteReference"/>
          <w:b/>
          <w:bCs/>
          <w:szCs w:val="26"/>
          <w:u w:val="single"/>
        </w:rPr>
        <w:footnoteReference w:id="21"/>
      </w:r>
      <w:r w:rsidRPr="00E8229B">
        <w:rPr>
          <w:szCs w:val="26"/>
        </w:rPr>
        <w:t xml:space="preserve"> expressly require a balancing of public interests for and against disclosure, and others inherently require </w:t>
      </w:r>
      <w:r w:rsidR="00C151BE">
        <w:rPr>
          <w:szCs w:val="26"/>
        </w:rPr>
        <w:t>specific subst</w:t>
      </w:r>
      <w:r w:rsidR="00E6443A">
        <w:rPr>
          <w:szCs w:val="26"/>
        </w:rPr>
        <w:t>antive</w:t>
      </w:r>
      <w:r w:rsidRPr="00E8229B">
        <w:rPr>
          <w:szCs w:val="26"/>
        </w:rPr>
        <w:t xml:space="preserve"> determinations</w:t>
      </w:r>
      <w:r w:rsidR="00643B5E">
        <w:rPr>
          <w:szCs w:val="26"/>
        </w:rPr>
        <w:t>.</w:t>
      </w:r>
      <w:r w:rsidRPr="0005277C" w:rsidR="00874F65">
        <w:rPr>
          <w:rStyle w:val="FootnoteReference"/>
          <w:b/>
          <w:bCs/>
          <w:szCs w:val="26"/>
          <w:u w:val="single"/>
        </w:rPr>
        <w:footnoteReference w:id="22"/>
      </w:r>
      <w:r w:rsidRPr="00E8229B">
        <w:rPr>
          <w:szCs w:val="26"/>
        </w:rPr>
        <w:t xml:space="preserve"> It might well be said that any </w:t>
      </w:r>
      <w:r w:rsidR="00574C69">
        <w:rPr>
          <w:szCs w:val="26"/>
        </w:rPr>
        <w:t>agency</w:t>
      </w:r>
      <w:r w:rsidRPr="00E8229B">
        <w:rPr>
          <w:szCs w:val="26"/>
        </w:rPr>
        <w:t xml:space="preserve"> determination to assert any CPRA exemption as a basis for withholding records involve</w:t>
      </w:r>
      <w:r w:rsidR="001673BA">
        <w:rPr>
          <w:szCs w:val="26"/>
        </w:rPr>
        <w:t>s</w:t>
      </w:r>
      <w:r w:rsidRPr="00E8229B">
        <w:rPr>
          <w:szCs w:val="26"/>
        </w:rPr>
        <w:t xml:space="preserve"> a</w:t>
      </w:r>
      <w:r w:rsidR="0005698A">
        <w:rPr>
          <w:szCs w:val="26"/>
        </w:rPr>
        <w:t xml:space="preserve"> several </w:t>
      </w:r>
      <w:r w:rsidRPr="00E8229B">
        <w:rPr>
          <w:szCs w:val="26"/>
        </w:rPr>
        <w:t xml:space="preserve">part evaluation. First, </w:t>
      </w:r>
      <w:r w:rsidR="007C0F1F">
        <w:rPr>
          <w:szCs w:val="26"/>
        </w:rPr>
        <w:t xml:space="preserve">one </w:t>
      </w:r>
      <w:r w:rsidR="006C3CB7">
        <w:rPr>
          <w:szCs w:val="26"/>
        </w:rPr>
        <w:t>must</w:t>
      </w:r>
      <w:r w:rsidRPr="00E8229B">
        <w:rPr>
          <w:szCs w:val="26"/>
        </w:rPr>
        <w:t xml:space="preserve"> determine whether the asserted authority for confidential treatment, in the form of a CPRA exemption, a Cal. Evid. Code privilege, statute prohibiting disclosure of certain information, or other authority </w:t>
      </w:r>
      <w:r w:rsidR="00502AE0">
        <w:rPr>
          <w:szCs w:val="26"/>
        </w:rPr>
        <w:t>clearly</w:t>
      </w:r>
      <w:r w:rsidRPr="00E8229B">
        <w:rPr>
          <w:szCs w:val="26"/>
        </w:rPr>
        <w:t xml:space="preserve"> </w:t>
      </w:r>
      <w:r w:rsidR="006C3CB7">
        <w:rPr>
          <w:szCs w:val="26"/>
        </w:rPr>
        <w:t xml:space="preserve">or potentially </w:t>
      </w:r>
      <w:r w:rsidRPr="00E8229B">
        <w:rPr>
          <w:szCs w:val="26"/>
        </w:rPr>
        <w:t xml:space="preserve">applies to the specific information at issue and could potentially form the basis for a Commission decision to withhold records or portions of records. </w:t>
      </w:r>
      <w:r w:rsidR="00C875F8">
        <w:rPr>
          <w:szCs w:val="26"/>
        </w:rPr>
        <w:t>Second, i</w:t>
      </w:r>
      <w:r w:rsidRPr="00E8229B">
        <w:rPr>
          <w:szCs w:val="26"/>
        </w:rPr>
        <w:t xml:space="preserve">f the CPRA exemption and/or other authority requires a balancing of public interests for and against disclosure, or a </w:t>
      </w:r>
      <w:r w:rsidR="00EF26BB">
        <w:rPr>
          <w:szCs w:val="26"/>
        </w:rPr>
        <w:t xml:space="preserve">specific substantive </w:t>
      </w:r>
      <w:r w:rsidRPr="00E8229B">
        <w:rPr>
          <w:szCs w:val="26"/>
        </w:rPr>
        <w:t xml:space="preserve">determination as to the impact of disclosure, </w:t>
      </w:r>
      <w:r w:rsidR="0090797A">
        <w:rPr>
          <w:szCs w:val="26"/>
        </w:rPr>
        <w:t>a balancing of interests and/or s</w:t>
      </w:r>
      <w:r w:rsidR="00EF26BB">
        <w:rPr>
          <w:szCs w:val="26"/>
        </w:rPr>
        <w:t xml:space="preserve">pecific </w:t>
      </w:r>
      <w:r w:rsidR="00594286">
        <w:rPr>
          <w:szCs w:val="26"/>
        </w:rPr>
        <w:t>substantive</w:t>
      </w:r>
      <w:r w:rsidR="0090797A">
        <w:rPr>
          <w:szCs w:val="26"/>
        </w:rPr>
        <w:t xml:space="preserve"> determination is required.</w:t>
      </w:r>
      <w:r w:rsidR="00EA1E3A">
        <w:rPr>
          <w:szCs w:val="26"/>
        </w:rPr>
        <w:t xml:space="preserve"> </w:t>
      </w:r>
      <w:r w:rsidR="0075304F">
        <w:rPr>
          <w:szCs w:val="26"/>
        </w:rPr>
        <w:t xml:space="preserve">Third, </w:t>
      </w:r>
      <w:r w:rsidR="00A34487">
        <w:rPr>
          <w:szCs w:val="26"/>
        </w:rPr>
        <w:t xml:space="preserve">it is often necessary or useful to </w:t>
      </w:r>
      <w:r w:rsidR="00DF02D0">
        <w:rPr>
          <w:szCs w:val="26"/>
        </w:rPr>
        <w:t>see whether the Commission has previously made a determination regarding the public status or confidential nature of the specific information subject t</w:t>
      </w:r>
      <w:r w:rsidR="006C4C20">
        <w:rPr>
          <w:szCs w:val="26"/>
        </w:rPr>
        <w:t xml:space="preserve">o a confidentiality claim, since </w:t>
      </w:r>
      <w:r w:rsidR="00182DF6">
        <w:rPr>
          <w:szCs w:val="26"/>
        </w:rPr>
        <w:t>such prior ac</w:t>
      </w:r>
      <w:r w:rsidR="006C4C20">
        <w:rPr>
          <w:szCs w:val="26"/>
        </w:rPr>
        <w:t>t</w:t>
      </w:r>
      <w:r w:rsidR="00182DF6">
        <w:rPr>
          <w:szCs w:val="26"/>
        </w:rPr>
        <w:t xml:space="preserve">ion may guide </w:t>
      </w:r>
      <w:r w:rsidR="006D57F4">
        <w:rPr>
          <w:szCs w:val="26"/>
        </w:rPr>
        <w:t>a current determination</w:t>
      </w:r>
      <w:r w:rsidR="00026C22">
        <w:rPr>
          <w:szCs w:val="26"/>
        </w:rPr>
        <w:t>.</w:t>
      </w:r>
      <w:r w:rsidRPr="0005277C" w:rsidR="00657843">
        <w:rPr>
          <w:rStyle w:val="FootnoteReference"/>
          <w:b/>
          <w:bCs/>
          <w:szCs w:val="26"/>
          <w:u w:val="single"/>
        </w:rPr>
        <w:footnoteReference w:id="23"/>
      </w:r>
      <w:r w:rsidR="00657843">
        <w:rPr>
          <w:szCs w:val="26"/>
        </w:rPr>
        <w:t xml:space="preserve"> </w:t>
      </w:r>
      <w:r w:rsidR="000B51E7">
        <w:rPr>
          <w:szCs w:val="26"/>
        </w:rPr>
        <w:t>H</w:t>
      </w:r>
      <w:r w:rsidRPr="00963401" w:rsidR="00963401">
        <w:rPr>
          <w:szCs w:val="26"/>
        </w:rPr>
        <w:t xml:space="preserve">owever, unless </w:t>
      </w:r>
      <w:r w:rsidR="000B51E7">
        <w:rPr>
          <w:szCs w:val="26"/>
        </w:rPr>
        <w:t xml:space="preserve">the Commission </w:t>
      </w:r>
      <w:r w:rsidRPr="00963401" w:rsidR="00963401">
        <w:rPr>
          <w:szCs w:val="26"/>
        </w:rPr>
        <w:t xml:space="preserve">definitively makes a class of records public or confidential, </w:t>
      </w:r>
      <w:r w:rsidR="00AD3A03">
        <w:rPr>
          <w:szCs w:val="26"/>
        </w:rPr>
        <w:t>or issues a decision making specifi</w:t>
      </w:r>
      <w:r w:rsidR="00201DB4">
        <w:rPr>
          <w:szCs w:val="26"/>
        </w:rPr>
        <w:t xml:space="preserve">c records in a specific proceeding confidential, </w:t>
      </w:r>
      <w:r w:rsidRPr="00963401" w:rsidR="00963401">
        <w:rPr>
          <w:szCs w:val="26"/>
        </w:rPr>
        <w:t>the fact that one or more decisions accord confidential status to individual records does not require the provision of confidential treatment to similar records in other situations.</w:t>
      </w:r>
      <w:r w:rsidR="00201DB4">
        <w:rPr>
          <w:rStyle w:val="FootnoteReference"/>
          <w:szCs w:val="26"/>
        </w:rPr>
        <w:footnoteReference w:id="24"/>
      </w:r>
      <w:r w:rsidRPr="00963401" w:rsidR="00963401">
        <w:rPr>
          <w:szCs w:val="26"/>
        </w:rPr>
        <w:t xml:space="preserve"> </w:t>
      </w:r>
      <w:r w:rsidR="003C6988">
        <w:rPr>
          <w:szCs w:val="26"/>
        </w:rPr>
        <w:t xml:space="preserve">Fourth, </w:t>
      </w:r>
      <w:r w:rsidRPr="00E8229B">
        <w:rPr>
          <w:szCs w:val="26"/>
        </w:rPr>
        <w:t xml:space="preserve">the Commission should determine whether, in the </w:t>
      </w:r>
      <w:r w:rsidRPr="00E8229B">
        <w:rPr>
          <w:szCs w:val="26"/>
        </w:rPr>
        <w:lastRenderedPageBreak/>
        <w:t>final analysis, it believes its interests, and the public’s interests, would be better records, or by the Commission’s re</w:t>
      </w:r>
      <w:r w:rsidR="000C3602">
        <w:rPr>
          <w:szCs w:val="26"/>
        </w:rPr>
        <w:t>fraining</w:t>
      </w:r>
      <w:r w:rsidRPr="00E8229B">
        <w:rPr>
          <w:szCs w:val="26"/>
        </w:rPr>
        <w:t xml:space="preserve"> from asserting the exemption or other </w:t>
      </w:r>
      <w:r w:rsidRPr="00E8229B" w:rsidR="005B3D6F">
        <w:rPr>
          <w:szCs w:val="26"/>
        </w:rPr>
        <w:t xml:space="preserve">served by the Commission’s assertion of the potentially applicable CPRA exemption or other basis for withholding </w:t>
      </w:r>
      <w:r w:rsidRPr="00E8229B">
        <w:rPr>
          <w:szCs w:val="26"/>
        </w:rPr>
        <w:t xml:space="preserve">authority.  </w:t>
      </w:r>
    </w:p>
    <w:p w:rsidR="005B3D6F" w:rsidP="005B3D6F" w:rsidRDefault="005B3D6F" w14:paraId="3BCF8CF7" w14:textId="77777777">
      <w:pPr>
        <w:pStyle w:val="BodyText"/>
        <w:spacing w:after="0"/>
        <w:rPr>
          <w:szCs w:val="26"/>
        </w:rPr>
      </w:pPr>
    </w:p>
    <w:p w:rsidR="00E8229B" w:rsidP="00594286" w:rsidRDefault="00E8229B" w14:paraId="1D3BB47E" w14:textId="1451767C">
      <w:pPr>
        <w:pStyle w:val="BodyText"/>
        <w:spacing w:after="0"/>
        <w:rPr>
          <w:szCs w:val="26"/>
        </w:rPr>
      </w:pPr>
      <w:r w:rsidRPr="00E8229B">
        <w:rPr>
          <w:szCs w:val="26"/>
        </w:rPr>
        <w:t>Judicial decisions regarding the CPRA frequently note that one of the fundamental reasons for the CPRA, and for the provisions in the California Constitution similarly requiring that most government records be open to the public,</w:t>
      </w:r>
      <w:r w:rsidRPr="0005277C" w:rsidR="003C282E">
        <w:rPr>
          <w:rStyle w:val="FootnoteReference"/>
          <w:b/>
          <w:bCs/>
          <w:szCs w:val="26"/>
          <w:u w:val="single"/>
        </w:rPr>
        <w:footnoteReference w:id="25"/>
      </w:r>
      <w:r w:rsidRPr="00E8229B">
        <w:rPr>
          <w:szCs w:val="26"/>
        </w:rPr>
        <w:t xml:space="preserve"> is that people are entitled to access most governmental records concerning the conduct of the people’s business to assure them that the government and its officials are not corrupt, spending money wastefully, or otherwise acting against the genuine interests of the public, and that the government is carrying out its regulatory and other obligations appropriately and fairly.</w:t>
      </w:r>
      <w:r w:rsidRPr="0005277C">
        <w:rPr>
          <w:b/>
          <w:bCs/>
          <w:szCs w:val="26"/>
          <w:u w:val="single"/>
          <w:vertAlign w:val="superscript"/>
        </w:rPr>
        <w:footnoteReference w:id="26"/>
      </w:r>
      <w:r w:rsidRPr="00E8229B">
        <w:rPr>
          <w:szCs w:val="26"/>
        </w:rPr>
        <w:t xml:space="preserve"> To the extent the public is interested in evaluating the actions of a regulatory agency, the actions the agency takes with regard to those it regulates is a key element of such evaluations. Such evaluations of necessity require that regulatory agency records and information obtained from regulated entities be broadly accessible to the public so the public can understand how the agency implements its regulatory responsibilities, e.g., how it implements constitutional and statutory obligations, whether it treats similarly situated entities similarly and without favoritism, whether its activities might be considered too soft-hearted or too heavy handed, </w:t>
      </w:r>
      <w:r w:rsidR="009B1DD2">
        <w:rPr>
          <w:szCs w:val="26"/>
        </w:rPr>
        <w:t>and so on.</w:t>
      </w:r>
      <w:r w:rsidRPr="00E8229B">
        <w:rPr>
          <w:szCs w:val="26"/>
        </w:rPr>
        <w:t xml:space="preserve">  </w:t>
      </w:r>
    </w:p>
    <w:p w:rsidRPr="00E8229B" w:rsidR="005B3D6F" w:rsidP="005B3D6F" w:rsidRDefault="005B3D6F" w14:paraId="09EC2B8A" w14:textId="77777777">
      <w:pPr>
        <w:pStyle w:val="BodyText"/>
        <w:spacing w:after="0"/>
        <w:rPr>
          <w:szCs w:val="26"/>
        </w:rPr>
      </w:pPr>
    </w:p>
    <w:p w:rsidR="00E8229B" w:rsidP="0005277C" w:rsidRDefault="00E8229B" w14:paraId="7AF5EC76" w14:textId="3B0C0FF3">
      <w:pPr>
        <w:pStyle w:val="BodyText"/>
        <w:spacing w:after="0"/>
        <w:rPr>
          <w:szCs w:val="26"/>
        </w:rPr>
      </w:pPr>
      <w:r w:rsidRPr="00E8229B">
        <w:rPr>
          <w:szCs w:val="26"/>
        </w:rPr>
        <w:t>CPRA cases often find that the greater the light particular information may shed on the actions of an agency, the greater the public interest in disclosure</w:t>
      </w:r>
      <w:r w:rsidR="00247432">
        <w:rPr>
          <w:szCs w:val="26"/>
        </w:rPr>
        <w:t>.</w:t>
      </w:r>
      <w:r w:rsidRPr="0005277C" w:rsidR="00F84E9B">
        <w:rPr>
          <w:rStyle w:val="FootnoteReference"/>
          <w:b/>
          <w:bCs/>
          <w:szCs w:val="26"/>
          <w:u w:val="single"/>
        </w:rPr>
        <w:footnoteReference w:id="27"/>
      </w:r>
      <w:r w:rsidR="00247432">
        <w:rPr>
          <w:szCs w:val="26"/>
        </w:rPr>
        <w:t xml:space="preserve"> </w:t>
      </w:r>
      <w:r w:rsidR="001A43BC">
        <w:rPr>
          <w:szCs w:val="26"/>
        </w:rPr>
        <w:t>There are</w:t>
      </w:r>
      <w:r w:rsidR="00FD344D">
        <w:rPr>
          <w:szCs w:val="26"/>
        </w:rPr>
        <w:t xml:space="preserve">, however, </w:t>
      </w:r>
      <w:r w:rsidRPr="00E8229B">
        <w:rPr>
          <w:szCs w:val="26"/>
        </w:rPr>
        <w:lastRenderedPageBreak/>
        <w:t xml:space="preserve">situations in which specific information in an agency’s records may be of great interest to a particular requester, but </w:t>
      </w:r>
      <w:r w:rsidR="009B09A7">
        <w:rPr>
          <w:szCs w:val="26"/>
        </w:rPr>
        <w:t xml:space="preserve">in </w:t>
      </w:r>
      <w:r w:rsidRPr="00E8229B">
        <w:rPr>
          <w:szCs w:val="26"/>
        </w:rPr>
        <w:t>which</w:t>
      </w:r>
      <w:r w:rsidR="009B09A7">
        <w:rPr>
          <w:szCs w:val="26"/>
        </w:rPr>
        <w:t xml:space="preserve"> the disclosure of the information </w:t>
      </w:r>
      <w:r w:rsidRPr="00E8229B">
        <w:rPr>
          <w:szCs w:val="26"/>
        </w:rPr>
        <w:t>would shed no great or important light on the agenc</w:t>
      </w:r>
      <w:r w:rsidR="000E0B51">
        <w:rPr>
          <w:szCs w:val="26"/>
        </w:rPr>
        <w:t>y’s</w:t>
      </w:r>
      <w:r w:rsidRPr="00E8229B">
        <w:rPr>
          <w:szCs w:val="26"/>
        </w:rPr>
        <w:t xml:space="preserve"> actions and implementation of its regulatory activities</w:t>
      </w:r>
      <w:r w:rsidR="00561B03">
        <w:rPr>
          <w:szCs w:val="26"/>
        </w:rPr>
        <w:t>.</w:t>
      </w:r>
      <w:r w:rsidRPr="0005277C" w:rsidR="002154F9">
        <w:rPr>
          <w:rStyle w:val="FootnoteReference"/>
          <w:b/>
          <w:bCs/>
          <w:szCs w:val="26"/>
          <w:u w:val="single"/>
        </w:rPr>
        <w:footnoteReference w:id="28"/>
      </w:r>
      <w:r w:rsidR="0058481B">
        <w:rPr>
          <w:szCs w:val="26"/>
        </w:rPr>
        <w:t xml:space="preserve">  </w:t>
      </w:r>
      <w:bookmarkStart w:name="_Hlk86311658" w:id="7"/>
      <w:r w:rsidR="000B7B48">
        <w:rPr>
          <w:szCs w:val="26"/>
        </w:rPr>
        <w:t xml:space="preserve">  </w:t>
      </w:r>
      <w:r w:rsidR="00FD12CA">
        <w:rPr>
          <w:szCs w:val="26"/>
        </w:rPr>
        <w:t xml:space="preserve">  </w:t>
      </w:r>
      <w:r w:rsidR="00C63185">
        <w:rPr>
          <w:szCs w:val="26"/>
        </w:rPr>
        <w:t xml:space="preserve">  </w:t>
      </w:r>
      <w:r w:rsidRPr="00E8229B">
        <w:rPr>
          <w:szCs w:val="26"/>
        </w:rPr>
        <w:t xml:space="preserve">    </w:t>
      </w:r>
      <w:bookmarkEnd w:id="7"/>
    </w:p>
    <w:p w:rsidRPr="00E8229B" w:rsidR="0005277C" w:rsidP="0005277C" w:rsidRDefault="0005277C" w14:paraId="58CC9F23" w14:textId="77777777">
      <w:pPr>
        <w:pStyle w:val="BodyText"/>
        <w:spacing w:after="0"/>
        <w:rPr>
          <w:szCs w:val="26"/>
        </w:rPr>
      </w:pPr>
    </w:p>
    <w:p w:rsidR="00E8229B" w:rsidP="00247432" w:rsidRDefault="004716F0" w14:paraId="477D575D" w14:textId="446B0B86">
      <w:pPr>
        <w:pStyle w:val="BodyText"/>
        <w:spacing w:after="0"/>
        <w:rPr>
          <w:b/>
          <w:bCs/>
          <w:szCs w:val="26"/>
          <w:u w:val="single"/>
        </w:rPr>
      </w:pPr>
      <w:r w:rsidRPr="00247432">
        <w:rPr>
          <w:b/>
          <w:bCs/>
          <w:szCs w:val="26"/>
          <w:u w:val="single"/>
        </w:rPr>
        <w:t xml:space="preserve">PRA </w:t>
      </w:r>
      <w:r w:rsidRPr="00247432" w:rsidR="00247432">
        <w:rPr>
          <w:b/>
          <w:bCs/>
          <w:szCs w:val="26"/>
          <w:u w:val="single"/>
        </w:rPr>
        <w:t>#19-664</w:t>
      </w:r>
    </w:p>
    <w:p w:rsidRPr="00247432" w:rsidR="005B3D6F" w:rsidP="00247432" w:rsidRDefault="005B3D6F" w14:paraId="59A5FBAE" w14:textId="77777777">
      <w:pPr>
        <w:pStyle w:val="BodyText"/>
        <w:spacing w:after="0"/>
        <w:rPr>
          <w:b/>
          <w:bCs/>
          <w:szCs w:val="26"/>
          <w:u w:val="single"/>
        </w:rPr>
      </w:pPr>
    </w:p>
    <w:p w:rsidR="00A24B4C" w:rsidP="005B3D6F" w:rsidRDefault="00A24B4C" w14:paraId="7E2CCBE9" w14:textId="5E19B113">
      <w:pPr>
        <w:pStyle w:val="BodyText"/>
        <w:spacing w:after="0"/>
        <w:rPr>
          <w:szCs w:val="26"/>
        </w:rPr>
      </w:pPr>
      <w:r w:rsidRPr="00A24B4C">
        <w:rPr>
          <w:szCs w:val="26"/>
        </w:rPr>
        <w:t xml:space="preserve">PRA 19-664 requested: </w:t>
      </w:r>
    </w:p>
    <w:p w:rsidRPr="00A24B4C" w:rsidR="005B3D6F" w:rsidP="005B3D6F" w:rsidRDefault="005B3D6F" w14:paraId="1AAB0D88" w14:textId="77777777">
      <w:pPr>
        <w:pStyle w:val="BodyText"/>
        <w:spacing w:after="0"/>
        <w:rPr>
          <w:szCs w:val="26"/>
        </w:rPr>
      </w:pPr>
    </w:p>
    <w:p w:rsidR="005B5E8D" w:rsidP="0005277C" w:rsidRDefault="00A24B4C" w14:paraId="33EBB452" w14:textId="74B37DFD">
      <w:pPr>
        <w:pStyle w:val="BodyText"/>
        <w:spacing w:after="0"/>
        <w:ind w:left="720" w:right="1440"/>
        <w:rPr>
          <w:szCs w:val="26"/>
        </w:rPr>
      </w:pPr>
      <w:r w:rsidRPr="00A24B4C">
        <w:rPr>
          <w:szCs w:val="26"/>
        </w:rPr>
        <w:t xml:space="preserve">All records, images, and files related to CPUC data request SED-003, as referenced in footnote 78 of the SED report titled </w:t>
      </w:r>
      <w:r w:rsidR="0005277C">
        <w:rPr>
          <w:szCs w:val="26"/>
        </w:rPr>
        <w:br/>
      </w:r>
      <w:r w:rsidRPr="00A24B4C">
        <w:rPr>
          <w:szCs w:val="26"/>
        </w:rPr>
        <w:t>“I.19-06-015 Appendix A SED Camp Fire Investigation Report REDACTED.pdf”</w:t>
      </w:r>
    </w:p>
    <w:p w:rsidR="005B3D6F" w:rsidP="005B3D6F" w:rsidRDefault="005B3D6F" w14:paraId="4C44BAEF" w14:textId="77777777">
      <w:pPr>
        <w:pStyle w:val="BodyText"/>
        <w:spacing w:after="0"/>
        <w:rPr>
          <w:szCs w:val="26"/>
        </w:rPr>
      </w:pPr>
    </w:p>
    <w:p w:rsidR="00A24B4C" w:rsidP="005B3D6F" w:rsidRDefault="00A24B4C" w14:paraId="1C542262" w14:textId="2682376A">
      <w:pPr>
        <w:pStyle w:val="BodyText"/>
        <w:spacing w:after="0"/>
        <w:rPr>
          <w:szCs w:val="26"/>
        </w:rPr>
      </w:pPr>
      <w:r w:rsidRPr="00A24B4C">
        <w:rPr>
          <w:szCs w:val="26"/>
        </w:rPr>
        <w:t xml:space="preserve">The documents requested </w:t>
      </w:r>
      <w:r w:rsidR="008F20A5">
        <w:rPr>
          <w:szCs w:val="26"/>
        </w:rPr>
        <w:t>a</w:t>
      </w:r>
      <w:r w:rsidRPr="00A24B4C">
        <w:rPr>
          <w:szCs w:val="26"/>
        </w:rPr>
        <w:t>re PG&amp;E narrative responses and documents produced to SED as part of SED’s investigation of the 2018 Camp Fire</w:t>
      </w:r>
      <w:r w:rsidR="00C83338">
        <w:rPr>
          <w:szCs w:val="26"/>
        </w:rPr>
        <w:t>:</w:t>
      </w:r>
      <w:r w:rsidRPr="00A24B4C">
        <w:rPr>
          <w:szCs w:val="26"/>
        </w:rPr>
        <w:t xml:space="preserve"> specifically, various documents PG&amp;E submitted to SED in response to Data Request SED-003.</w:t>
      </w:r>
    </w:p>
    <w:p w:rsidRPr="00A24B4C" w:rsidR="005B3D6F" w:rsidP="005B3D6F" w:rsidRDefault="005B3D6F" w14:paraId="3C38CAE8" w14:textId="77777777">
      <w:pPr>
        <w:pStyle w:val="BodyText"/>
        <w:spacing w:after="0"/>
        <w:rPr>
          <w:szCs w:val="26"/>
        </w:rPr>
      </w:pPr>
    </w:p>
    <w:p w:rsidR="00A24B4C" w:rsidP="005B3D6F" w:rsidRDefault="00A24B4C" w14:paraId="4D3BB420" w14:textId="4B7A8919">
      <w:pPr>
        <w:pStyle w:val="BodyText"/>
        <w:spacing w:after="0"/>
        <w:rPr>
          <w:szCs w:val="26"/>
        </w:rPr>
      </w:pPr>
      <w:r w:rsidRPr="00A24B4C">
        <w:rPr>
          <w:szCs w:val="26"/>
        </w:rPr>
        <w:t>Our further review of the requested records, made during our review of Rittiman</w:t>
      </w:r>
      <w:r w:rsidR="00426446">
        <w:rPr>
          <w:szCs w:val="26"/>
        </w:rPr>
        <w:t>’s</w:t>
      </w:r>
      <w:r w:rsidRPr="00A24B4C">
        <w:rPr>
          <w:szCs w:val="26"/>
        </w:rPr>
        <w:t xml:space="preserve"> appeal of Legal Division’s initial denial of access to the requested records, reveals that PG&amp;E did not submit a confidentiality claim consistent with the requirements of G</w:t>
      </w:r>
      <w:r w:rsidR="00C34DD6">
        <w:rPr>
          <w:szCs w:val="26"/>
        </w:rPr>
        <w:t xml:space="preserve">.O. </w:t>
      </w:r>
      <w:r w:rsidRPr="00A24B4C">
        <w:rPr>
          <w:szCs w:val="26"/>
        </w:rPr>
        <w:t>66-D when providing records in response to Data Request SED-003.</w:t>
      </w:r>
      <w:r w:rsidR="00C83338">
        <w:rPr>
          <w:szCs w:val="26"/>
        </w:rPr>
        <w:t xml:space="preserve"> </w:t>
      </w:r>
      <w:r w:rsidRPr="00A24B4C">
        <w:rPr>
          <w:szCs w:val="26"/>
        </w:rPr>
        <w:t>Thus, pursuant to G</w:t>
      </w:r>
      <w:r w:rsidR="00C34DD6">
        <w:rPr>
          <w:szCs w:val="26"/>
        </w:rPr>
        <w:t>.O.</w:t>
      </w:r>
      <w:r w:rsidRPr="00A24B4C">
        <w:rPr>
          <w:szCs w:val="26"/>
        </w:rPr>
        <w:t xml:space="preserve">66-D </w:t>
      </w:r>
      <w:r w:rsidR="00C34DD6">
        <w:rPr>
          <w:szCs w:val="26"/>
        </w:rPr>
        <w:t xml:space="preserve">§ </w:t>
      </w:r>
      <w:r w:rsidR="0081003A">
        <w:rPr>
          <w:szCs w:val="26"/>
        </w:rPr>
        <w:t xml:space="preserve">5.2, </w:t>
      </w:r>
      <w:r w:rsidRPr="00A24B4C">
        <w:rPr>
          <w:szCs w:val="26"/>
        </w:rPr>
        <w:t>such records could be disclosed with no further Commission action.</w:t>
      </w:r>
      <w:r w:rsidRPr="0005277C">
        <w:rPr>
          <w:b/>
          <w:bCs/>
          <w:szCs w:val="26"/>
          <w:u w:val="single"/>
          <w:vertAlign w:val="superscript"/>
        </w:rPr>
        <w:footnoteReference w:id="29"/>
      </w:r>
    </w:p>
    <w:p w:rsidRPr="00A24B4C" w:rsidR="005B3D6F" w:rsidP="00594286" w:rsidRDefault="005B3D6F" w14:paraId="67430063" w14:textId="77777777">
      <w:pPr>
        <w:pStyle w:val="BodyText"/>
        <w:spacing w:after="0"/>
        <w:rPr>
          <w:szCs w:val="26"/>
        </w:rPr>
      </w:pPr>
    </w:p>
    <w:p w:rsidR="00A24B4C" w:rsidP="0005277C" w:rsidRDefault="00A24B4C" w14:paraId="10C4832F" w14:textId="73CA0289">
      <w:pPr>
        <w:pStyle w:val="BodyText"/>
        <w:spacing w:after="0"/>
        <w:rPr>
          <w:szCs w:val="26"/>
        </w:rPr>
      </w:pPr>
      <w:r w:rsidRPr="00A24B4C">
        <w:rPr>
          <w:szCs w:val="26"/>
        </w:rPr>
        <w:t xml:space="preserve">We note, however, that a few responsive records include telephone numbers of PG&amp;E customers, or of private individuals not associated with a utility, utility contractor, or governmental entity, who submitted fire information to the utility. We believe that the public disclosure of these particular telephone numbers would add little to the public’s understanding of the actions of PG&amp;E and the Commission regarding the Camp Fire, and that disclosure of these customer telephone numbers and similar personal telephone </w:t>
      </w:r>
      <w:r w:rsidRPr="00A24B4C">
        <w:rPr>
          <w:szCs w:val="26"/>
        </w:rPr>
        <w:lastRenderedPageBreak/>
        <w:t>numbers in response to records requests would constitute an unwarranted invasion of personal privacy. Such information is exempt from mandatory disclosure in response to records requests pursuant to Cal. Gov. Code § 6254(c), which exempts: “Personnel, medical, and similar files, the disclosure of which would constitute an unwarranted invasion of personal privacy.”</w:t>
      </w:r>
    </w:p>
    <w:p w:rsidRPr="00A24B4C" w:rsidR="0005277C" w:rsidP="0005277C" w:rsidRDefault="0005277C" w14:paraId="27D03F0D" w14:textId="77777777">
      <w:pPr>
        <w:pStyle w:val="BodyText"/>
        <w:spacing w:after="0"/>
        <w:rPr>
          <w:szCs w:val="26"/>
        </w:rPr>
      </w:pPr>
    </w:p>
    <w:p w:rsidRPr="00060BD6" w:rsidR="00060BD6" w:rsidP="0005277C" w:rsidRDefault="00060BD6" w14:paraId="3B50AD08" w14:textId="62CE8901">
      <w:pPr>
        <w:pStyle w:val="BodyText1Noindent"/>
        <w:tabs>
          <w:tab w:val="left" w:pos="5835"/>
        </w:tabs>
      </w:pPr>
      <w:r w:rsidRPr="00060BD6">
        <w:t xml:space="preserve">Nonetheless, we will exercise our own independent judgment regarding the disclosure of our records in response to records requests, and withhold the telephone numbers of utility customers, and of individuals who reported trouble to PG&amp;E, to the extent such information is included within the records responsive to the </w:t>
      </w:r>
      <w:r w:rsidR="00453CE2">
        <w:t>records requests PRA #19-664</w:t>
      </w:r>
      <w:r w:rsidRPr="00060BD6">
        <w:t xml:space="preserve">. In our view, the disclosure of such information to the public would constitute an unwarranted invasion of personal privacy. </w:t>
      </w:r>
      <w:r w:rsidR="00B10CA2">
        <w:t xml:space="preserve">Cal. </w:t>
      </w:r>
      <w:r w:rsidRPr="00060BD6">
        <w:t xml:space="preserve">Gov. Code </w:t>
      </w:r>
      <w:r w:rsidR="00B10CA2">
        <w:t>§</w:t>
      </w:r>
      <w:r w:rsidRPr="00060BD6">
        <w:t xml:space="preserve"> 6254(c) exempts from mandatory disclosure in response to records requests: “Personnel, medical, and similar files, the disclosure of which would constitute an unwarranted invasion of personal privacy.” We believe the disclosure of such phone numbers would shed little or no light on the Commission’s conduct of the people’s business and its investigation of the Camp Fire.</w:t>
      </w:r>
      <w:r w:rsidRPr="0005277C" w:rsidR="00381222">
        <w:rPr>
          <w:rStyle w:val="FootnoteReference"/>
          <w:b/>
          <w:bCs/>
          <w:u w:val="single"/>
        </w:rPr>
        <w:footnoteReference w:id="30"/>
      </w:r>
      <w:r w:rsidRPr="00060BD6">
        <w:t xml:space="preserve">  </w:t>
      </w:r>
    </w:p>
    <w:p w:rsidRPr="00060BD6" w:rsidR="00060BD6" w:rsidP="00060BD6" w:rsidRDefault="00060BD6" w14:paraId="210AD065" w14:textId="77777777">
      <w:pPr>
        <w:pStyle w:val="BodyText1Noindent"/>
        <w:tabs>
          <w:tab w:val="left" w:pos="5835"/>
        </w:tabs>
      </w:pPr>
    </w:p>
    <w:p w:rsidR="00060BD6" w:rsidP="00060BD6" w:rsidRDefault="00060BD6" w14:paraId="19A4C306" w14:textId="263B13DC">
      <w:pPr>
        <w:pStyle w:val="BodyText1Noindent"/>
        <w:widowControl w:val="0"/>
        <w:tabs>
          <w:tab w:val="left" w:pos="5835"/>
        </w:tabs>
      </w:pPr>
      <w:r w:rsidRPr="00060BD6">
        <w:t>Since Public Records Act exemptions have no effect on discovery,</w:t>
      </w:r>
      <w:r w:rsidRPr="0005277C">
        <w:rPr>
          <w:b/>
          <w:bCs/>
          <w:u w:val="single"/>
          <w:vertAlign w:val="superscript"/>
        </w:rPr>
        <w:footnoteReference w:id="31"/>
      </w:r>
      <w:r w:rsidRPr="00060BD6">
        <w:t xml:space="preserve"> and since it is </w:t>
      </w:r>
      <w:r w:rsidRPr="00060BD6">
        <w:lastRenderedPageBreak/>
        <w:t xml:space="preserve">foreseeable that the Commission might receive subpoenas seeking similar records, we note that the Cal. Evid. Code § 1040 official information privilege provides a lawful basis for the Commission to refrain from disclosing certain information acquired in confidence by the Commission where disclosure is prohibited by federal or state law, or where there is a need for confidentiality that outweighs the necessity for disclosure in the interests of justice. The conditional official information privilege in Cal. Evid. Code § 1040 (b)(2) which requires a careful balancing of the public interests served by disclosing or withholding information can, where appropriate, justify withholding records in response to subpoenas (and in response to CPRA requests, since it can support assertion of the </w:t>
      </w:r>
      <w:r w:rsidR="00776D05">
        <w:t xml:space="preserve">Cal. </w:t>
      </w:r>
      <w:r w:rsidRPr="00060BD6">
        <w:t>Gov. Code § 6254(k) exemption.)</w:t>
      </w:r>
      <w:r w:rsidRPr="00060BD6">
        <w:rPr>
          <w:b/>
          <w:bCs/>
          <w:u w:val="single"/>
          <w:vertAlign w:val="superscript"/>
        </w:rPr>
        <w:footnoteReference w:id="32"/>
      </w:r>
      <w:r w:rsidRPr="00060BD6">
        <w:t xml:space="preserve"> We find that in the particular circumstances at issue here, there is a necessity for maintaining the confidentiality of the telephone numbers of PG&amp;E customers, and members of the public who reported Camp Fire related information to PG&amp;E, that outweighs the necessity for disclosure of such information in the interests of justice, and assert our </w:t>
      </w:r>
      <w:r w:rsidR="00776D05">
        <w:t xml:space="preserve">Cal. </w:t>
      </w:r>
      <w:r w:rsidRPr="00060BD6">
        <w:t xml:space="preserve">Evid. Code </w:t>
      </w:r>
      <w:r w:rsidR="00776D05">
        <w:t>§</w:t>
      </w:r>
      <w:r w:rsidRPr="00060BD6">
        <w:t xml:space="preserve"> 1040(b)(2) official information exemption as an additional basis for withholding the telephone numbers identified above. Such information is exempt from disclosure in response to records requests, pursuant to </w:t>
      </w:r>
      <w:r w:rsidR="00776D05">
        <w:t xml:space="preserve">Cal. </w:t>
      </w:r>
      <w:r w:rsidRPr="00060BD6">
        <w:t xml:space="preserve">Gov. Code </w:t>
      </w:r>
      <w:r w:rsidR="00776D05">
        <w:t>§</w:t>
      </w:r>
      <w:r w:rsidRPr="00060BD6">
        <w:t xml:space="preserve"> 6254(k), which exempts: “Records, the disclosure of which is exempted or prohibited pursuant to federal or state law, including, but not limited to, provisions of the Evidence Code relating to privileges.”</w:t>
      </w:r>
    </w:p>
    <w:p w:rsidR="00060BD6" w:rsidP="004D23DE" w:rsidRDefault="00060BD6" w14:paraId="3987D307" w14:textId="77777777">
      <w:pPr>
        <w:pStyle w:val="BodyText1Noindent"/>
        <w:widowControl w:val="0"/>
        <w:tabs>
          <w:tab w:val="left" w:pos="5835"/>
        </w:tabs>
      </w:pPr>
    </w:p>
    <w:p w:rsidRPr="00E01E27" w:rsidR="00E01E27" w:rsidP="004D23DE" w:rsidRDefault="00117960" w14:paraId="152D3714" w14:textId="77777777">
      <w:pPr>
        <w:pStyle w:val="BodyText1Noindent"/>
        <w:widowControl w:val="0"/>
        <w:tabs>
          <w:tab w:val="left" w:pos="5835"/>
        </w:tabs>
        <w:rPr>
          <w:b/>
          <w:bCs/>
          <w:u w:val="single"/>
        </w:rPr>
      </w:pPr>
      <w:r w:rsidRPr="00E01E27">
        <w:rPr>
          <w:b/>
          <w:bCs/>
          <w:u w:val="single"/>
        </w:rPr>
        <w:t>Conclusion</w:t>
      </w:r>
    </w:p>
    <w:p w:rsidR="00D21D92" w:rsidP="004D23DE" w:rsidRDefault="00D21D92" w14:paraId="1F5A8ABE" w14:textId="0ED286F5">
      <w:pPr>
        <w:pStyle w:val="BodyText1Noindent"/>
        <w:widowControl w:val="0"/>
        <w:tabs>
          <w:tab w:val="left" w:pos="5835"/>
        </w:tabs>
      </w:pPr>
    </w:p>
    <w:p w:rsidRPr="00117960" w:rsidR="00117960" w:rsidP="00117960" w:rsidRDefault="00117960" w14:paraId="3AF8F125" w14:textId="2D9D01FF">
      <w:pPr>
        <w:pStyle w:val="BodyText1Noindent"/>
        <w:tabs>
          <w:tab w:val="left" w:pos="5835"/>
        </w:tabs>
      </w:pPr>
      <w:r w:rsidRPr="00117960">
        <w:t>In this case, SED’s investigation of the Camp Fire is closed, thus the public interest in nondisclosure is not supported by PG&amp;E’s request for confidential treatment. Conversely, the public interest in disclosure is supported by the public’s right to know what occurred in the 2018 Camp Fire. Upon balancing these factors, we find the public’s interests will be better served by disclosing, rather than withholding, the documents PG&amp;E marked confidential when it submitted them to the SED in its investigation of the 2018 Camp Fire</w:t>
      </w:r>
      <w:r w:rsidR="00367D29">
        <w:t>, with certain limitations as discussed above</w:t>
      </w:r>
      <w:r w:rsidRPr="00117960">
        <w:t>.</w:t>
      </w:r>
    </w:p>
    <w:p w:rsidRPr="00117960" w:rsidR="00117960" w:rsidP="00117960" w:rsidRDefault="00117960" w14:paraId="7B47E0E5" w14:textId="77777777">
      <w:pPr>
        <w:pStyle w:val="BodyText1Noindent"/>
      </w:pPr>
    </w:p>
    <w:p w:rsidRPr="00117960" w:rsidR="00117960" w:rsidP="00117960" w:rsidRDefault="00117960" w14:paraId="0F8BA3D6" w14:textId="77777777">
      <w:pPr>
        <w:pStyle w:val="BodyText1Noindent"/>
        <w:tabs>
          <w:tab w:val="left" w:pos="5835"/>
        </w:tabs>
      </w:pPr>
      <w:r w:rsidRPr="00117960">
        <w:t>The Commission will delay disclosure of any documents identified by PG&amp;E as confidential for 30 days from the effective date of this Resolution to allow PG&amp;E to apply for rehearing of this Resolution if it chooses to do so. Documents not identified as confidential by PG&amp;E will be released immediately upon the Resolution’s effective date.</w:t>
      </w:r>
    </w:p>
    <w:p w:rsidR="00117960" w:rsidP="004D23DE" w:rsidRDefault="00117960" w14:paraId="3033EDA1" w14:textId="53300EFB">
      <w:pPr>
        <w:pStyle w:val="BodyText1Noindent"/>
        <w:widowControl w:val="0"/>
        <w:tabs>
          <w:tab w:val="left" w:pos="5835"/>
        </w:tabs>
      </w:pPr>
    </w:p>
    <w:p w:rsidRPr="00117960" w:rsidR="00117960" w:rsidP="00117960" w:rsidRDefault="00117960" w14:paraId="51440696" w14:textId="77777777">
      <w:pPr>
        <w:pStyle w:val="BodyText1Noindent"/>
        <w:tabs>
          <w:tab w:val="left" w:pos="5835"/>
        </w:tabs>
        <w:rPr>
          <w:b/>
          <w:u w:val="single"/>
        </w:rPr>
      </w:pPr>
      <w:r w:rsidRPr="00117960">
        <w:rPr>
          <w:b/>
          <w:u w:val="single"/>
        </w:rPr>
        <w:t>COMMENTS ON DRAFT RESOLUTION</w:t>
      </w:r>
    </w:p>
    <w:p w:rsidRPr="00117960" w:rsidR="00117960" w:rsidP="00117960" w:rsidRDefault="00117960" w14:paraId="39BD973D" w14:textId="77777777">
      <w:pPr>
        <w:pStyle w:val="BodyText1Noindent"/>
        <w:tabs>
          <w:tab w:val="left" w:pos="5835"/>
        </w:tabs>
        <w:rPr>
          <w:b/>
          <w:u w:val="single"/>
        </w:rPr>
      </w:pPr>
    </w:p>
    <w:p w:rsidR="00117960" w:rsidP="00117960" w:rsidRDefault="00117960" w14:paraId="2A010A1C" w14:textId="185DA776">
      <w:pPr>
        <w:pStyle w:val="BodyText1Noindent"/>
        <w:tabs>
          <w:tab w:val="left" w:pos="5835"/>
        </w:tabs>
      </w:pPr>
      <w:r w:rsidRPr="00117960">
        <w:t xml:space="preserve">In accordance with Cal. Pub. Util. Code § 311(g), the Draft Resolution was mailed to the parties on </w:t>
      </w:r>
      <w:r w:rsidR="00FB7F70">
        <w:t>January 21, 2022.</w:t>
      </w:r>
      <w:r w:rsidRPr="00117960">
        <w:t xml:space="preserve"> </w:t>
      </w:r>
      <w:r w:rsidR="00DB67C2">
        <w:t xml:space="preserve"> </w:t>
      </w:r>
      <w:r w:rsidRPr="00117960">
        <w:t>Comments were filed</w:t>
      </w:r>
      <w:r w:rsidR="00CE6427">
        <w:t xml:space="preserve"> on </w:t>
      </w:r>
      <w:r w:rsidR="00FB7F70">
        <w:t>________________.</w:t>
      </w:r>
    </w:p>
    <w:p w:rsidR="00FB7F70" w:rsidP="00117960" w:rsidRDefault="00FB7F70" w14:paraId="6C747AEB" w14:textId="4B9C7E7C">
      <w:pPr>
        <w:pStyle w:val="BodyText1Noindent"/>
        <w:tabs>
          <w:tab w:val="left" w:pos="5835"/>
        </w:tabs>
      </w:pPr>
    </w:p>
    <w:p w:rsidR="00117960" w:rsidP="00117960" w:rsidRDefault="00117960" w14:paraId="04ED97D6" w14:textId="1E30FE64">
      <w:pPr>
        <w:pStyle w:val="BodyText1Noindent"/>
        <w:tabs>
          <w:tab w:val="left" w:pos="5835"/>
        </w:tabs>
        <w:rPr>
          <w:b/>
          <w:bCs/>
          <w:u w:val="single"/>
        </w:rPr>
      </w:pPr>
      <w:r w:rsidRPr="00117960">
        <w:rPr>
          <w:b/>
          <w:bCs/>
          <w:u w:val="single"/>
        </w:rPr>
        <w:lastRenderedPageBreak/>
        <w:t xml:space="preserve">FINDINGS OF FACT </w:t>
      </w:r>
    </w:p>
    <w:p w:rsidRPr="00117960" w:rsidR="00F64083" w:rsidP="00117960" w:rsidRDefault="00F64083" w14:paraId="589C10ED" w14:textId="77777777">
      <w:pPr>
        <w:pStyle w:val="BodyText1Noindent"/>
        <w:tabs>
          <w:tab w:val="left" w:pos="5835"/>
        </w:tabs>
        <w:rPr>
          <w:b/>
          <w:bCs/>
          <w:u w:val="single"/>
        </w:rPr>
      </w:pPr>
    </w:p>
    <w:p w:rsidRPr="00117960" w:rsidR="00117960" w:rsidP="0005277C" w:rsidRDefault="00145620" w14:paraId="29E6A10B" w14:textId="31714B9D">
      <w:pPr>
        <w:pStyle w:val="BodyText1Noindent"/>
        <w:numPr>
          <w:ilvl w:val="0"/>
          <w:numId w:val="1"/>
        </w:numPr>
        <w:tabs>
          <w:tab w:val="clear" w:pos="1095"/>
        </w:tabs>
        <w:spacing w:after="120"/>
        <w:ind w:left="360"/>
      </w:pPr>
      <w:r>
        <w:t xml:space="preserve">On December 10, 2019 </w:t>
      </w:r>
      <w:r w:rsidR="00BA0FC0">
        <w:t xml:space="preserve">Rittiman submitted </w:t>
      </w:r>
      <w:r w:rsidRPr="00117960">
        <w:t>PRA #19-664</w:t>
      </w:r>
      <w:r w:rsidRPr="00117960" w:rsidR="00117960">
        <w:t xml:space="preserve">, </w:t>
      </w:r>
      <w:r>
        <w:t>which requested</w:t>
      </w:r>
      <w:r w:rsidRPr="00117960" w:rsidR="00117960">
        <w:t xml:space="preserve"> SED’s investigation records for SED’s investigation of the 2018 Camp Fire. </w:t>
      </w:r>
    </w:p>
    <w:p w:rsidRPr="00117960" w:rsidR="00117960" w:rsidP="0005277C" w:rsidRDefault="00BA0FC0" w14:paraId="0FBCF499" w14:textId="5406AFB4">
      <w:pPr>
        <w:pStyle w:val="BodyText1Noindent"/>
        <w:widowControl w:val="0"/>
        <w:numPr>
          <w:ilvl w:val="0"/>
          <w:numId w:val="1"/>
        </w:numPr>
        <w:tabs>
          <w:tab w:val="clear" w:pos="1095"/>
        </w:tabs>
        <w:spacing w:after="120"/>
        <w:ind w:left="360"/>
      </w:pPr>
      <w:r>
        <w:t xml:space="preserve">In response to PRA #19-664 </w:t>
      </w:r>
      <w:r w:rsidR="00F006C2">
        <w:t>on</w:t>
      </w:r>
      <w:r>
        <w:t xml:space="preserve"> </w:t>
      </w:r>
      <w:r w:rsidR="00145620">
        <w:t xml:space="preserve">June 16, 2021 </w:t>
      </w:r>
      <w:r w:rsidRPr="00117960" w:rsidR="00117960">
        <w:t>Commission staff denied access to SED’s investigation records for SED’s investigation of the 2018 Camp Fire in the absence of a Commission order authorizing disclosure.</w:t>
      </w:r>
    </w:p>
    <w:p w:rsidRPr="00117960" w:rsidR="00117960" w:rsidP="0005277C" w:rsidRDefault="000859CC" w14:paraId="27498EED" w14:textId="7D934B3F">
      <w:pPr>
        <w:pStyle w:val="BodyText1Noindent"/>
        <w:numPr>
          <w:ilvl w:val="0"/>
          <w:numId w:val="1"/>
        </w:numPr>
        <w:tabs>
          <w:tab w:val="clear" w:pos="1095"/>
        </w:tabs>
        <w:spacing w:after="120"/>
        <w:ind w:left="360"/>
      </w:pPr>
      <w:r>
        <w:t xml:space="preserve">On June 23, 2021 </w:t>
      </w:r>
      <w:r w:rsidRPr="00117960" w:rsidR="00117960">
        <w:t>Rittiman appealed of the denial of information requested in PRA #19-664.</w:t>
      </w:r>
    </w:p>
    <w:p w:rsidR="00117960" w:rsidP="0005277C" w:rsidRDefault="00117960" w14:paraId="4BFCE57A" w14:textId="376FB070">
      <w:pPr>
        <w:pStyle w:val="BodyText1Noindent"/>
        <w:widowControl w:val="0"/>
        <w:numPr>
          <w:ilvl w:val="0"/>
          <w:numId w:val="1"/>
        </w:numPr>
        <w:tabs>
          <w:tab w:val="clear" w:pos="1095"/>
        </w:tabs>
        <w:spacing w:after="120"/>
        <w:ind w:left="360"/>
      </w:pPr>
      <w:r w:rsidRPr="00117960">
        <w:t xml:space="preserve">The Commission’s investigation of the </w:t>
      </w:r>
      <w:r w:rsidR="000859CC">
        <w:t>2018 Camp Fire</w:t>
      </w:r>
      <w:r w:rsidRPr="00117960">
        <w:t xml:space="preserve"> is complete. Therefore, the public interest favors disclosure of the requested Commission’s investigation records, with the exception of any personal information, the disclosure of which would constitute an unwarranted invasion of personal privacy, any information which is subject to the Commission’s lawyer-client or other Commission-held privilege.</w:t>
      </w:r>
    </w:p>
    <w:p w:rsidRPr="00117960" w:rsidR="00E01E27" w:rsidP="00E01E27" w:rsidRDefault="00E01E27" w14:paraId="3CF399E9" w14:textId="77777777">
      <w:pPr>
        <w:pStyle w:val="BodyText1Noindent"/>
        <w:widowControl w:val="0"/>
        <w:tabs>
          <w:tab w:val="left" w:pos="5835"/>
        </w:tabs>
        <w:ind w:left="735"/>
      </w:pPr>
    </w:p>
    <w:p w:rsidR="00117960" w:rsidP="00117960" w:rsidRDefault="00117960" w14:paraId="3FFC48D2" w14:textId="01107398">
      <w:pPr>
        <w:pStyle w:val="BodyText1Noindent"/>
        <w:tabs>
          <w:tab w:val="left" w:pos="5835"/>
        </w:tabs>
        <w:rPr>
          <w:b/>
          <w:u w:val="single"/>
        </w:rPr>
      </w:pPr>
      <w:r w:rsidRPr="00117960">
        <w:rPr>
          <w:b/>
          <w:u w:val="single"/>
        </w:rPr>
        <w:t xml:space="preserve">CONCLUSIONS OF LAW </w:t>
      </w:r>
    </w:p>
    <w:p w:rsidRPr="00117960" w:rsidR="00E01E27" w:rsidP="00117960" w:rsidRDefault="00E01E27" w14:paraId="6F2F448A" w14:textId="77777777">
      <w:pPr>
        <w:pStyle w:val="BodyText1Noindent"/>
        <w:tabs>
          <w:tab w:val="left" w:pos="5835"/>
        </w:tabs>
        <w:rPr>
          <w:b/>
          <w:u w:val="single"/>
        </w:rPr>
      </w:pPr>
    </w:p>
    <w:p w:rsidRPr="00117960" w:rsidR="00117960" w:rsidP="0005277C" w:rsidRDefault="00117960" w14:paraId="4C826F6A" w14:textId="6A5A1DAA">
      <w:pPr>
        <w:pStyle w:val="BodyText1Noindent"/>
        <w:widowControl w:val="0"/>
        <w:numPr>
          <w:ilvl w:val="0"/>
          <w:numId w:val="2"/>
        </w:numPr>
        <w:tabs>
          <w:tab w:val="clear" w:pos="720"/>
        </w:tabs>
        <w:spacing w:after="120"/>
        <w:ind w:left="360"/>
      </w:pPr>
      <w:r w:rsidRPr="00117960">
        <w:t xml:space="preserve">The documents </w:t>
      </w:r>
      <w:r w:rsidR="00F64083">
        <w:t xml:space="preserve">requested </w:t>
      </w:r>
      <w:r w:rsidRPr="00117960">
        <w:t xml:space="preserve">in </w:t>
      </w:r>
      <w:r w:rsidR="00F64083">
        <w:t>PRA #19-664</w:t>
      </w:r>
      <w:r w:rsidRPr="00117960">
        <w:t xml:space="preserve"> are public records as defined by Cal. Gov’t. Code § 6250, et seq.</w:t>
      </w:r>
    </w:p>
    <w:p w:rsidRPr="00117960" w:rsidR="00117960" w:rsidP="0005277C" w:rsidRDefault="00117960" w14:paraId="42F90827" w14:textId="77777777">
      <w:pPr>
        <w:pStyle w:val="BodyText1Noindent"/>
        <w:widowControl w:val="0"/>
        <w:numPr>
          <w:ilvl w:val="0"/>
          <w:numId w:val="2"/>
        </w:numPr>
        <w:tabs>
          <w:tab w:val="clear" w:pos="720"/>
        </w:tabs>
        <w:spacing w:after="120"/>
        <w:ind w:left="360"/>
      </w:pPr>
      <w:r w:rsidRPr="00117960">
        <w:t>The California Constitution favors disclosure of governmental records by, among other things, stating that the people have the right of access to information concerning the conduct of the peoples’ business, and therefore, the meetings of public bodies and the writings of public officials and agencies shall be open to public scrutiny. Furthermore, the California Constitution also requires that statutes, court rules, and other authority favoring disclosure be broadly construed, and that statutes, court rules, and other authority limiting disclosure be construed narrowly; and that any new statutes, court rules, or other authority limiting disclosure be supported by findings determining the interest served by keeping information from the public and the need to protect that interest. Cal. Const. Article I, §§ 3(b)(1) and (2).</w:t>
      </w:r>
    </w:p>
    <w:p w:rsidRPr="00117960" w:rsidR="00117960" w:rsidP="0005277C" w:rsidRDefault="00117960" w14:paraId="66BAA76B" w14:textId="45A53469">
      <w:pPr>
        <w:pStyle w:val="BodyText1Noindent"/>
        <w:widowControl w:val="0"/>
        <w:numPr>
          <w:ilvl w:val="0"/>
          <w:numId w:val="2"/>
        </w:numPr>
        <w:tabs>
          <w:tab w:val="clear" w:pos="720"/>
        </w:tabs>
        <w:spacing w:after="120"/>
        <w:ind w:left="360"/>
      </w:pPr>
      <w:r w:rsidRPr="00117960">
        <w:t>The CPRA favors disclosure of records.</w:t>
      </w:r>
    </w:p>
    <w:p w:rsidRPr="00117960" w:rsidR="00117960" w:rsidP="0005277C" w:rsidRDefault="00117960" w14:paraId="21B59940" w14:textId="77777777">
      <w:pPr>
        <w:pStyle w:val="BodyText1Noindent"/>
        <w:widowControl w:val="0"/>
        <w:numPr>
          <w:ilvl w:val="0"/>
          <w:numId w:val="2"/>
        </w:numPr>
        <w:tabs>
          <w:tab w:val="clear" w:pos="720"/>
        </w:tabs>
        <w:spacing w:after="120"/>
        <w:ind w:left="360"/>
      </w:pPr>
      <w:r w:rsidRPr="00117960">
        <w:t>Justification for withholding a public record in response to a CPRA request must be based on specific exemptions in the CPRA or upon a showing that, on the facts of a particular case, the public interest in nondisclosure clearly outweighs the public interest in disclosure. Cal. Gov’t. Code § 6255.</w:t>
      </w:r>
    </w:p>
    <w:p w:rsidRPr="00117960" w:rsidR="00117960" w:rsidP="0005277C" w:rsidRDefault="00117960" w14:paraId="4EC4FCDF" w14:textId="77777777">
      <w:pPr>
        <w:pStyle w:val="BodyText1Noindent"/>
        <w:widowControl w:val="0"/>
        <w:numPr>
          <w:ilvl w:val="0"/>
          <w:numId w:val="2"/>
        </w:numPr>
        <w:tabs>
          <w:tab w:val="clear" w:pos="720"/>
        </w:tabs>
        <w:spacing w:after="120"/>
        <w:ind w:left="360"/>
      </w:pPr>
      <w:r w:rsidRPr="00117960">
        <w:t>Cal. Gov’t Code § 6254(c) exempts from mandatory disclosure personal information, the disclosure of which would constitute an unwarranted invasion of personal privacy.</w:t>
      </w:r>
    </w:p>
    <w:p w:rsidRPr="00117960" w:rsidR="00117960" w:rsidP="0005277C" w:rsidRDefault="00117960" w14:paraId="7625E1EE" w14:textId="77777777">
      <w:pPr>
        <w:pStyle w:val="BodyText1Noindent"/>
        <w:widowControl w:val="0"/>
        <w:numPr>
          <w:ilvl w:val="0"/>
          <w:numId w:val="2"/>
        </w:numPr>
        <w:tabs>
          <w:tab w:val="clear" w:pos="720"/>
        </w:tabs>
        <w:spacing w:after="120"/>
        <w:ind w:left="360"/>
      </w:pPr>
      <w:r w:rsidRPr="00117960">
        <w:t>Cal. Gov’t Code § 6254(k) exempts from disclosure records, the disclosure of which is exempted or prohibited pursuant to federal or state law, including, but not limited to, provisions of the Evidence Code relating to privilege.</w:t>
      </w:r>
    </w:p>
    <w:p w:rsidRPr="00117960" w:rsidR="00117960" w:rsidP="0005277C" w:rsidRDefault="00117960" w14:paraId="26596F62" w14:textId="6753C08A">
      <w:pPr>
        <w:pStyle w:val="BodyText1Noindent"/>
        <w:widowControl w:val="0"/>
        <w:numPr>
          <w:ilvl w:val="0"/>
          <w:numId w:val="2"/>
        </w:numPr>
        <w:tabs>
          <w:tab w:val="clear" w:pos="720"/>
        </w:tabs>
        <w:spacing w:after="120"/>
        <w:ind w:left="360"/>
      </w:pPr>
      <w:r w:rsidRPr="00117960">
        <w:lastRenderedPageBreak/>
        <w:t>The Commission has exercised its discretion under Cal. Pub. Util. Code § 583 to limit Commission staff disclosure of investigation records in the absence of formal action by the Commission</w:t>
      </w:r>
      <w:r w:rsidR="002B3DFE">
        <w:t xml:space="preserve">, in </w:t>
      </w:r>
      <w:r w:rsidRPr="00117960">
        <w:t xml:space="preserve">Resolution L-436. </w:t>
      </w:r>
    </w:p>
    <w:p w:rsidRPr="00117960" w:rsidR="00117960" w:rsidP="0005277C" w:rsidRDefault="00117960" w14:paraId="5012C942" w14:textId="77777777">
      <w:pPr>
        <w:pStyle w:val="BodyText1Noindent"/>
        <w:widowControl w:val="0"/>
        <w:numPr>
          <w:ilvl w:val="0"/>
          <w:numId w:val="2"/>
        </w:numPr>
        <w:tabs>
          <w:tab w:val="clear" w:pos="720"/>
        </w:tabs>
        <w:spacing w:after="120"/>
        <w:ind w:left="360"/>
      </w:pPr>
      <w:r w:rsidRPr="00117960">
        <w:t>Cal. Pub. Util. Code § 583 does not limit the Commission’s ability to order disclosure of records.</w:t>
      </w:r>
    </w:p>
    <w:p w:rsidRPr="00117960" w:rsidR="00117960" w:rsidP="0005277C" w:rsidRDefault="00117960" w14:paraId="7BBFCDD4" w14:textId="77777777">
      <w:pPr>
        <w:pStyle w:val="BodyText1Noindent"/>
        <w:widowControl w:val="0"/>
        <w:numPr>
          <w:ilvl w:val="0"/>
          <w:numId w:val="2"/>
        </w:numPr>
        <w:tabs>
          <w:tab w:val="clear" w:pos="720"/>
        </w:tabs>
        <w:spacing w:after="120"/>
        <w:ind w:left="360"/>
      </w:pPr>
      <w:r w:rsidRPr="00117960">
        <w:t>Cal. Pub. Util. Code § 315 prohibits the introduction of accident reports filed with the Commission, or orders and recommendations issued by the Commission, “as evidence in any action for damages based on or arising out of such loss of life, or injury to person or property.”</w:t>
      </w:r>
    </w:p>
    <w:p w:rsidR="00232430" w:rsidP="00117960" w:rsidRDefault="00232430" w14:paraId="6F102B23" w14:textId="77777777">
      <w:pPr>
        <w:pStyle w:val="BodyText1Noindent"/>
        <w:tabs>
          <w:tab w:val="left" w:pos="5835"/>
        </w:tabs>
        <w:rPr>
          <w:b/>
          <w:u w:val="single"/>
        </w:rPr>
      </w:pPr>
    </w:p>
    <w:p w:rsidR="00117960" w:rsidP="00117960" w:rsidRDefault="00117960" w14:paraId="08482A97" w14:textId="51A982EA">
      <w:pPr>
        <w:pStyle w:val="BodyText1Noindent"/>
        <w:tabs>
          <w:tab w:val="left" w:pos="5835"/>
        </w:tabs>
        <w:rPr>
          <w:b/>
          <w:u w:val="single"/>
        </w:rPr>
      </w:pPr>
      <w:r w:rsidRPr="00117960">
        <w:rPr>
          <w:b/>
          <w:u w:val="single"/>
        </w:rPr>
        <w:t>ORDER</w:t>
      </w:r>
    </w:p>
    <w:p w:rsidRPr="00117960" w:rsidR="00232430" w:rsidP="00117960" w:rsidRDefault="00232430" w14:paraId="4734DA5A" w14:textId="77777777">
      <w:pPr>
        <w:pStyle w:val="BodyText1Noindent"/>
        <w:tabs>
          <w:tab w:val="left" w:pos="5835"/>
        </w:tabs>
        <w:rPr>
          <w:b/>
          <w:u w:val="single"/>
        </w:rPr>
      </w:pPr>
    </w:p>
    <w:p w:rsidRPr="00117960" w:rsidR="00117960" w:rsidP="00DD70ED" w:rsidRDefault="00117960" w14:paraId="53969DF9" w14:textId="77777777">
      <w:pPr>
        <w:pStyle w:val="BodyText1Noindent"/>
        <w:numPr>
          <w:ilvl w:val="0"/>
          <w:numId w:val="3"/>
        </w:numPr>
        <w:tabs>
          <w:tab w:val="clear" w:pos="720"/>
        </w:tabs>
        <w:spacing w:after="120"/>
        <w:ind w:left="360"/>
      </w:pPr>
      <w:r w:rsidRPr="00117960">
        <w:t>The request for disclosure of SED’s investigation records for the 2018 Camp Fire is granted, with the exception of any personal information, the disclosure of which would constitute an unwarranted invasion of personal privacy, or any information which is subject to the Commission’s attorney-client or other Commission-held privilege or similar lawful limitation on disclosure asserted by the Commission.</w:t>
      </w:r>
    </w:p>
    <w:p w:rsidR="0005277C" w:rsidP="00DD70ED" w:rsidRDefault="00117960" w14:paraId="541C5258" w14:textId="77777777">
      <w:pPr>
        <w:pStyle w:val="BodyText1Noindent"/>
        <w:numPr>
          <w:ilvl w:val="0"/>
          <w:numId w:val="3"/>
        </w:numPr>
        <w:tabs>
          <w:tab w:val="clear" w:pos="720"/>
        </w:tabs>
        <w:spacing w:after="120"/>
        <w:ind w:left="360"/>
      </w:pPr>
      <w:r w:rsidRPr="00117960">
        <w:t>Documents not identified as confidential by PG&amp;E will be disclosed as of the effective date of this order. Documents</w:t>
      </w:r>
      <w:r w:rsidR="00297FBB">
        <w:t xml:space="preserve">, or portions of documents, </w:t>
      </w:r>
      <w:r w:rsidRPr="00117960">
        <w:t xml:space="preserve">identified as confidential by PG&amp;E will be held for 30 days from the effective date of this order and disclosed at that time unless a rehearing application addressing these confidentiality claims is filed within this 30-day period. </w:t>
      </w:r>
    </w:p>
    <w:p w:rsidRPr="00117960" w:rsidR="00117960" w:rsidP="00DD70ED" w:rsidRDefault="00117960" w14:paraId="66868775" w14:textId="71FF9AE5">
      <w:pPr>
        <w:pStyle w:val="BodyText1Noindent"/>
        <w:numPr>
          <w:ilvl w:val="0"/>
          <w:numId w:val="3"/>
        </w:numPr>
        <w:tabs>
          <w:tab w:val="clear" w:pos="720"/>
        </w:tabs>
        <w:spacing w:after="120"/>
        <w:ind w:left="360"/>
      </w:pPr>
      <w:r w:rsidRPr="00117960">
        <w:t>The effective date of this order is today.</w:t>
      </w:r>
    </w:p>
    <w:p w:rsidR="002B3DFE" w:rsidP="00117960" w:rsidRDefault="002B3DFE" w14:paraId="64800D2C" w14:textId="77777777">
      <w:pPr>
        <w:pStyle w:val="BodyText1Noindent"/>
        <w:widowControl w:val="0"/>
        <w:tabs>
          <w:tab w:val="left" w:pos="5835"/>
        </w:tabs>
      </w:pPr>
    </w:p>
    <w:p w:rsidRPr="00117960" w:rsidR="00117960" w:rsidP="00117960" w:rsidRDefault="00117960" w14:paraId="520787F1" w14:textId="7FAFF5FE">
      <w:pPr>
        <w:pStyle w:val="BodyText1Noindent"/>
        <w:widowControl w:val="0"/>
        <w:tabs>
          <w:tab w:val="left" w:pos="5835"/>
        </w:tabs>
      </w:pPr>
      <w:r w:rsidRPr="00117960">
        <w:t>I certify that the foregoing Resolution was adopted by the California Public Utilities Commission at its regular meeting of</w:t>
      </w:r>
      <w:r w:rsidR="00DD70ED">
        <w:t xml:space="preserve"> February 24,</w:t>
      </w:r>
      <w:r w:rsidRPr="00117960">
        <w:t xml:space="preserve"> 202</w:t>
      </w:r>
      <w:r w:rsidR="00DD70ED">
        <w:t>2</w:t>
      </w:r>
      <w:r w:rsidRPr="00117960">
        <w:t>, and the following Commissioners approved favorably thereon:</w:t>
      </w:r>
    </w:p>
    <w:p w:rsidR="00117960" w:rsidP="00117960" w:rsidRDefault="00117960" w14:paraId="05F70CBC" w14:textId="19E7610F">
      <w:pPr>
        <w:pStyle w:val="BodyText1Noindent"/>
        <w:widowControl w:val="0"/>
        <w:tabs>
          <w:tab w:val="left" w:pos="5835"/>
        </w:tabs>
      </w:pPr>
    </w:p>
    <w:p w:rsidR="00DD70ED" w:rsidP="00117960" w:rsidRDefault="00DD70ED" w14:paraId="1A5B86C5" w14:textId="7F8AD5CA">
      <w:pPr>
        <w:pStyle w:val="BodyText1Noindent"/>
        <w:widowControl w:val="0"/>
        <w:tabs>
          <w:tab w:val="left" w:pos="5835"/>
        </w:tabs>
      </w:pPr>
    </w:p>
    <w:p w:rsidRPr="00117960" w:rsidR="00DD70ED" w:rsidP="00117960" w:rsidRDefault="00DD70ED" w14:paraId="0C389B93" w14:textId="77777777">
      <w:pPr>
        <w:pStyle w:val="BodyText1Noindent"/>
        <w:widowControl w:val="0"/>
        <w:tabs>
          <w:tab w:val="left" w:pos="5835"/>
        </w:tabs>
      </w:pPr>
    </w:p>
    <w:tbl>
      <w:tblPr>
        <w:tblW w:w="3780" w:type="dxa"/>
        <w:tblInd w:w="4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780"/>
      </w:tblGrid>
      <w:tr w:rsidRPr="00117960" w:rsidR="00117960" w:rsidTr="003F2E90" w14:paraId="42291690" w14:textId="77777777">
        <w:tc>
          <w:tcPr>
            <w:tcW w:w="3780" w:type="dxa"/>
            <w:tcBorders>
              <w:top w:val="single" w:color="auto" w:sz="4" w:space="0"/>
              <w:left w:val="nil"/>
              <w:bottom w:val="nil"/>
              <w:right w:val="nil"/>
            </w:tcBorders>
            <w:shd w:val="clear" w:color="auto" w:fill="auto"/>
          </w:tcPr>
          <w:p w:rsidRPr="00117960" w:rsidR="00117960" w:rsidP="00DD70ED" w:rsidRDefault="00117960" w14:paraId="5D6DA39C" w14:textId="444E010B">
            <w:pPr>
              <w:pStyle w:val="BodyText1Noindent"/>
              <w:widowControl w:val="0"/>
              <w:tabs>
                <w:tab w:val="left" w:pos="5835"/>
              </w:tabs>
              <w:jc w:val="center"/>
            </w:pPr>
            <w:r w:rsidRPr="00117960">
              <w:t>Rachel Peterson,</w:t>
            </w:r>
          </w:p>
          <w:p w:rsidRPr="00117960" w:rsidR="00117960" w:rsidP="00DD70ED" w:rsidRDefault="00117960" w14:paraId="522A7721" w14:textId="77777777">
            <w:pPr>
              <w:pStyle w:val="BodyText1Noindent"/>
              <w:widowControl w:val="0"/>
              <w:tabs>
                <w:tab w:val="left" w:pos="5835"/>
              </w:tabs>
              <w:jc w:val="center"/>
            </w:pPr>
            <w:r w:rsidRPr="00117960">
              <w:t>Executive Director</w:t>
            </w:r>
          </w:p>
        </w:tc>
      </w:tr>
    </w:tbl>
    <w:p w:rsidRPr="00117960" w:rsidR="00117960" w:rsidP="00117960" w:rsidRDefault="00117960" w14:paraId="3D536988" w14:textId="77777777">
      <w:pPr>
        <w:pStyle w:val="BodyText1Noindent"/>
        <w:widowControl w:val="0"/>
        <w:tabs>
          <w:tab w:val="left" w:pos="5835"/>
        </w:tabs>
      </w:pPr>
    </w:p>
    <w:p w:rsidRPr="00117960" w:rsidR="00117960" w:rsidP="00117960" w:rsidRDefault="00117960" w14:paraId="73A5C852" w14:textId="77777777">
      <w:pPr>
        <w:pStyle w:val="BodyText1Noindent"/>
        <w:widowControl w:val="0"/>
        <w:tabs>
          <w:tab w:val="left" w:pos="5835"/>
        </w:tabs>
      </w:pPr>
    </w:p>
    <w:sectPr w:rsidRPr="00117960" w:rsidR="00117960" w:rsidSect="00127363">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A80EE" w14:textId="77777777" w:rsidR="00275943" w:rsidRDefault="00275943">
      <w:r>
        <w:separator/>
      </w:r>
    </w:p>
  </w:endnote>
  <w:endnote w:type="continuationSeparator" w:id="0">
    <w:p w14:paraId="68317165" w14:textId="77777777" w:rsidR="00275943" w:rsidRDefault="00275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B848" w14:textId="77777777" w:rsidR="002E1ACB" w:rsidRDefault="002E1A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E27733" w14:textId="77777777" w:rsidR="002E1ACB" w:rsidRDefault="002E1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531824"/>
      <w:docPartObj>
        <w:docPartGallery w:val="Page Numbers (Bottom of Page)"/>
        <w:docPartUnique/>
      </w:docPartObj>
    </w:sdtPr>
    <w:sdtEndPr>
      <w:rPr>
        <w:noProof/>
        <w:sz w:val="22"/>
        <w:szCs w:val="22"/>
      </w:rPr>
    </w:sdtEndPr>
    <w:sdtContent>
      <w:p w14:paraId="68D9B216" w14:textId="2D7D96B6" w:rsidR="00E45216" w:rsidRPr="00E45216" w:rsidRDefault="00AD1208" w:rsidP="00AD1208">
        <w:pPr>
          <w:pStyle w:val="Footer"/>
          <w:rPr>
            <w:sz w:val="22"/>
            <w:szCs w:val="22"/>
          </w:rPr>
        </w:pPr>
        <w:r>
          <w:rPr>
            <w:sz w:val="18"/>
            <w:szCs w:val="18"/>
          </w:rPr>
          <w:tab/>
        </w:r>
        <w:r w:rsidR="00E45216" w:rsidRPr="00E45216">
          <w:rPr>
            <w:sz w:val="22"/>
            <w:szCs w:val="22"/>
          </w:rPr>
          <w:fldChar w:fldCharType="begin"/>
        </w:r>
        <w:r w:rsidR="00E45216" w:rsidRPr="00E45216">
          <w:rPr>
            <w:sz w:val="22"/>
            <w:szCs w:val="22"/>
          </w:rPr>
          <w:instrText xml:space="preserve"> PAGE   \* MERGEFORMAT </w:instrText>
        </w:r>
        <w:r w:rsidR="00E45216" w:rsidRPr="00E45216">
          <w:rPr>
            <w:sz w:val="22"/>
            <w:szCs w:val="22"/>
          </w:rPr>
          <w:fldChar w:fldCharType="separate"/>
        </w:r>
        <w:r w:rsidR="00E45216" w:rsidRPr="00E45216">
          <w:rPr>
            <w:noProof/>
            <w:sz w:val="22"/>
            <w:szCs w:val="22"/>
          </w:rPr>
          <w:t>2</w:t>
        </w:r>
        <w:r w:rsidR="00E45216" w:rsidRPr="00E45216">
          <w:rPr>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383513230"/>
      <w:docPartObj>
        <w:docPartGallery w:val="Page Numbers (Bottom of Page)"/>
        <w:docPartUnique/>
      </w:docPartObj>
    </w:sdtPr>
    <w:sdtEndPr>
      <w:rPr>
        <w:noProof/>
      </w:rPr>
    </w:sdtEndPr>
    <w:sdtContent>
      <w:p w14:paraId="39CF478B" w14:textId="4AB6D8C2" w:rsidR="00E45216" w:rsidRPr="00E45216" w:rsidRDefault="0018110B" w:rsidP="00AD1208">
        <w:pPr>
          <w:pStyle w:val="Footer"/>
          <w:rPr>
            <w:sz w:val="22"/>
            <w:szCs w:val="22"/>
          </w:rPr>
        </w:pPr>
        <w:r w:rsidRPr="0018110B">
          <w:rPr>
            <w:sz w:val="18"/>
            <w:szCs w:val="18"/>
          </w:rPr>
          <w:t>439130774</w:t>
        </w:r>
        <w:r w:rsidR="00AD1208">
          <w:rPr>
            <w:sz w:val="22"/>
            <w:szCs w:val="22"/>
          </w:rPr>
          <w:tab/>
        </w:r>
        <w:r w:rsidR="00E45216" w:rsidRPr="00E45216">
          <w:rPr>
            <w:sz w:val="22"/>
            <w:szCs w:val="22"/>
          </w:rPr>
          <w:fldChar w:fldCharType="begin"/>
        </w:r>
        <w:r w:rsidR="00E45216" w:rsidRPr="00E45216">
          <w:rPr>
            <w:sz w:val="22"/>
            <w:szCs w:val="22"/>
          </w:rPr>
          <w:instrText xml:space="preserve"> PAGE   \* MERGEFORMAT </w:instrText>
        </w:r>
        <w:r w:rsidR="00E45216" w:rsidRPr="00E45216">
          <w:rPr>
            <w:sz w:val="22"/>
            <w:szCs w:val="22"/>
          </w:rPr>
          <w:fldChar w:fldCharType="separate"/>
        </w:r>
        <w:r w:rsidR="00E45216" w:rsidRPr="00E45216">
          <w:rPr>
            <w:noProof/>
            <w:sz w:val="22"/>
            <w:szCs w:val="22"/>
          </w:rPr>
          <w:t>2</w:t>
        </w:r>
        <w:r w:rsidR="00E45216" w:rsidRPr="00E45216">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E3C79" w14:textId="77777777" w:rsidR="00275943" w:rsidRDefault="00275943">
      <w:r>
        <w:separator/>
      </w:r>
    </w:p>
  </w:footnote>
  <w:footnote w:type="continuationSeparator" w:id="0">
    <w:p w14:paraId="640A843F" w14:textId="77777777" w:rsidR="00275943" w:rsidRDefault="00275943">
      <w:r>
        <w:continuationSeparator/>
      </w:r>
    </w:p>
  </w:footnote>
  <w:footnote w:id="1">
    <w:p w14:paraId="152740B0" w14:textId="77777777" w:rsidR="00C21377" w:rsidRPr="0005277C" w:rsidRDefault="00C21377" w:rsidP="00571F79">
      <w:pPr>
        <w:pStyle w:val="FootnoteText"/>
        <w:spacing w:after="120" w:line="240" w:lineRule="exact"/>
        <w:ind w:right="0"/>
        <w:rPr>
          <w:sz w:val="24"/>
          <w:szCs w:val="24"/>
        </w:rPr>
      </w:pPr>
      <w:r w:rsidRPr="0005277C">
        <w:rPr>
          <w:rStyle w:val="FootnoteReference"/>
          <w:b/>
          <w:sz w:val="24"/>
          <w:szCs w:val="24"/>
          <w:u w:val="single"/>
        </w:rPr>
        <w:footnoteRef/>
      </w:r>
      <w:r w:rsidRPr="0005277C">
        <w:rPr>
          <w:sz w:val="24"/>
          <w:szCs w:val="24"/>
        </w:rPr>
        <w:t xml:space="preserve"> Cal. Gov’t. Code § 6250, </w:t>
      </w:r>
      <w:r w:rsidRPr="0005277C">
        <w:rPr>
          <w:i/>
          <w:sz w:val="24"/>
          <w:szCs w:val="24"/>
        </w:rPr>
        <w:t>et seq</w:t>
      </w:r>
      <w:r w:rsidRPr="0005277C">
        <w:rPr>
          <w:sz w:val="24"/>
          <w:szCs w:val="24"/>
        </w:rPr>
        <w:t>.</w:t>
      </w:r>
    </w:p>
  </w:footnote>
  <w:footnote w:id="2">
    <w:p w14:paraId="1DE965D9" w14:textId="77777777" w:rsidR="00C21377" w:rsidRPr="0005277C" w:rsidRDefault="00C21377" w:rsidP="00571F79">
      <w:pPr>
        <w:pStyle w:val="FootnoteText"/>
        <w:spacing w:after="120" w:line="240" w:lineRule="exact"/>
        <w:ind w:right="0"/>
        <w:rPr>
          <w:sz w:val="24"/>
          <w:szCs w:val="24"/>
        </w:rPr>
      </w:pPr>
      <w:r w:rsidRPr="0005277C">
        <w:rPr>
          <w:rStyle w:val="FootnoteReference"/>
          <w:b/>
          <w:sz w:val="24"/>
          <w:szCs w:val="24"/>
          <w:u w:val="single"/>
        </w:rPr>
        <w:footnoteRef/>
      </w:r>
      <w:r w:rsidRPr="0005277C">
        <w:rPr>
          <w:rStyle w:val="FootnoteReference"/>
          <w:sz w:val="24"/>
          <w:szCs w:val="24"/>
          <w:vertAlign w:val="baseline"/>
        </w:rPr>
        <w:t xml:space="preserve"> </w:t>
      </w:r>
      <w:r w:rsidRPr="0005277C">
        <w:rPr>
          <w:sz w:val="24"/>
          <w:szCs w:val="24"/>
        </w:rPr>
        <w:t>Cal. Const. Article I, § 3(b)(1).</w:t>
      </w:r>
    </w:p>
  </w:footnote>
  <w:footnote w:id="3">
    <w:p w14:paraId="1DF4FB5E" w14:textId="77777777" w:rsidR="00C21377" w:rsidRPr="0005277C" w:rsidRDefault="00C21377" w:rsidP="00571F79">
      <w:pPr>
        <w:pStyle w:val="FootnoteText"/>
        <w:spacing w:after="120" w:line="240" w:lineRule="exact"/>
        <w:ind w:right="0"/>
        <w:rPr>
          <w:sz w:val="24"/>
          <w:szCs w:val="24"/>
        </w:rPr>
      </w:pPr>
      <w:r w:rsidRPr="0005277C">
        <w:rPr>
          <w:rStyle w:val="FootnoteReference"/>
          <w:b/>
          <w:sz w:val="24"/>
          <w:szCs w:val="24"/>
          <w:u w:val="single"/>
        </w:rPr>
        <w:footnoteRef/>
      </w:r>
      <w:r w:rsidRPr="0005277C">
        <w:rPr>
          <w:sz w:val="24"/>
          <w:szCs w:val="24"/>
        </w:rPr>
        <w:t xml:space="preserve"> Cal. Const. Article I, § 3(b)(2).</w:t>
      </w:r>
    </w:p>
  </w:footnote>
  <w:footnote w:id="4">
    <w:p w14:paraId="5A5C0E34" w14:textId="77777777" w:rsidR="00C21377" w:rsidRPr="0005277C" w:rsidRDefault="00C21377" w:rsidP="00571F79">
      <w:pPr>
        <w:pStyle w:val="FootnoteText"/>
        <w:spacing w:after="120" w:line="240" w:lineRule="exact"/>
        <w:ind w:right="0"/>
        <w:rPr>
          <w:i/>
          <w:sz w:val="24"/>
          <w:szCs w:val="24"/>
        </w:rPr>
      </w:pPr>
      <w:r w:rsidRPr="0005277C">
        <w:rPr>
          <w:rStyle w:val="FootnoteReference"/>
          <w:b/>
          <w:sz w:val="24"/>
          <w:szCs w:val="24"/>
          <w:u w:val="single"/>
        </w:rPr>
        <w:footnoteRef/>
      </w:r>
      <w:r w:rsidRPr="0005277C">
        <w:rPr>
          <w:rStyle w:val="FootnoteReference"/>
          <w:sz w:val="24"/>
          <w:szCs w:val="24"/>
          <w:vertAlign w:val="baseline"/>
        </w:rPr>
        <w:t xml:space="preserve"> </w:t>
      </w:r>
      <w:r w:rsidRPr="0005277C">
        <w:rPr>
          <w:i/>
          <w:sz w:val="24"/>
          <w:szCs w:val="24"/>
        </w:rPr>
        <w:t>Id.</w:t>
      </w:r>
    </w:p>
  </w:footnote>
  <w:footnote w:id="5">
    <w:p w14:paraId="1899BE8E" w14:textId="77777777" w:rsidR="00C21377" w:rsidRPr="0005277C" w:rsidRDefault="00C21377" w:rsidP="00571F79">
      <w:pPr>
        <w:pStyle w:val="FootnoteText"/>
        <w:spacing w:after="120" w:line="240" w:lineRule="exact"/>
        <w:ind w:right="0"/>
        <w:rPr>
          <w:sz w:val="24"/>
          <w:szCs w:val="24"/>
        </w:rPr>
      </w:pPr>
      <w:r w:rsidRPr="0005277C">
        <w:rPr>
          <w:rStyle w:val="FootnoteReference"/>
          <w:b/>
          <w:sz w:val="24"/>
          <w:szCs w:val="24"/>
          <w:u w:val="single"/>
        </w:rPr>
        <w:footnoteRef/>
      </w:r>
      <w:r w:rsidRPr="0005277C">
        <w:rPr>
          <w:sz w:val="24"/>
          <w:szCs w:val="24"/>
        </w:rPr>
        <w:t xml:space="preserve"> Where appropriate, the Commission has redacted portions of investigation records which contain confidential personal information, the disclosure of which would constitute an unwarranted invasion of privacy, and other exempt or privileged information.  </w:t>
      </w:r>
    </w:p>
  </w:footnote>
  <w:footnote w:id="6">
    <w:p w14:paraId="5D300302" w14:textId="77777777" w:rsidR="00C21377" w:rsidRPr="0005277C" w:rsidRDefault="00C21377" w:rsidP="00571F79">
      <w:pPr>
        <w:pStyle w:val="FootnoteText"/>
        <w:spacing w:after="120" w:line="240" w:lineRule="exact"/>
        <w:ind w:right="0"/>
        <w:rPr>
          <w:sz w:val="24"/>
          <w:szCs w:val="24"/>
        </w:rPr>
      </w:pPr>
      <w:r w:rsidRPr="0005277C">
        <w:rPr>
          <w:rStyle w:val="FootnoteReference"/>
          <w:b/>
          <w:sz w:val="24"/>
          <w:szCs w:val="24"/>
          <w:u w:val="single"/>
        </w:rPr>
        <w:footnoteRef/>
      </w:r>
      <w:r w:rsidRPr="0005277C">
        <w:rPr>
          <w:rStyle w:val="FootnoteReference"/>
          <w:sz w:val="24"/>
          <w:szCs w:val="24"/>
          <w:vertAlign w:val="baseline"/>
        </w:rPr>
        <w:t xml:space="preserve"> </w:t>
      </w:r>
      <w:r w:rsidRPr="0005277C">
        <w:rPr>
          <w:i/>
          <w:sz w:val="24"/>
          <w:szCs w:val="24"/>
        </w:rPr>
        <w:t xml:space="preserve">See, e.g., </w:t>
      </w:r>
      <w:r w:rsidRPr="0005277C">
        <w:rPr>
          <w:sz w:val="24"/>
          <w:szCs w:val="24"/>
        </w:rPr>
        <w:t xml:space="preserve">Commission Resolutions L-240 </w:t>
      </w:r>
      <w:r w:rsidRPr="0005277C">
        <w:rPr>
          <w:i/>
          <w:iCs/>
          <w:sz w:val="24"/>
          <w:szCs w:val="24"/>
        </w:rPr>
        <w:t>Re San Diego Gas &amp; Electric Company</w:t>
      </w:r>
      <w:r w:rsidRPr="0005277C">
        <w:rPr>
          <w:sz w:val="24"/>
          <w:szCs w:val="24"/>
        </w:rPr>
        <w:t xml:space="preserve">, rehearing denied in Decision 93-05-020, (1993) 49 P.U.C. 2d 241; L-309 </w:t>
      </w:r>
      <w:r w:rsidRPr="0005277C">
        <w:rPr>
          <w:i/>
          <w:sz w:val="24"/>
          <w:szCs w:val="24"/>
        </w:rPr>
        <w:t>Re Corona</w:t>
      </w:r>
      <w:r w:rsidRPr="0005277C">
        <w:rPr>
          <w:sz w:val="24"/>
          <w:szCs w:val="24"/>
        </w:rPr>
        <w:t xml:space="preserve"> (December 18, 2003); L-320 </w:t>
      </w:r>
      <w:r w:rsidRPr="0005277C">
        <w:rPr>
          <w:i/>
          <w:sz w:val="24"/>
          <w:szCs w:val="24"/>
        </w:rPr>
        <w:t>Re Knutson</w:t>
      </w:r>
      <w:r w:rsidRPr="0005277C">
        <w:rPr>
          <w:sz w:val="24"/>
          <w:szCs w:val="24"/>
        </w:rPr>
        <w:t xml:space="preserve"> (August 25, 2005).</w:t>
      </w:r>
    </w:p>
  </w:footnote>
  <w:footnote w:id="7">
    <w:p w14:paraId="3F64F398" w14:textId="20CD93EE" w:rsidR="00C21377" w:rsidRPr="0005277C" w:rsidRDefault="00C21377" w:rsidP="00571F79">
      <w:pPr>
        <w:pStyle w:val="FootnoteText"/>
        <w:spacing w:after="120" w:line="240" w:lineRule="exact"/>
        <w:ind w:right="0"/>
        <w:rPr>
          <w:sz w:val="24"/>
          <w:szCs w:val="24"/>
        </w:rPr>
      </w:pPr>
      <w:r w:rsidRPr="0005277C">
        <w:rPr>
          <w:rStyle w:val="FootnoteReference"/>
          <w:b/>
          <w:bCs/>
          <w:sz w:val="24"/>
          <w:szCs w:val="24"/>
          <w:u w:val="single"/>
        </w:rPr>
        <w:footnoteRef/>
      </w:r>
      <w:r w:rsidRPr="0005277C">
        <w:rPr>
          <w:sz w:val="24"/>
          <w:szCs w:val="24"/>
        </w:rPr>
        <w:t xml:space="preserve"> When responding to subpoenas seeking these records, we will withhold personal information subject to California Information Practices Act (“CIPA”) [Cal. Civ. Code § 1798, </w:t>
      </w:r>
      <w:r w:rsidRPr="0005277C">
        <w:rPr>
          <w:i/>
          <w:iCs/>
          <w:sz w:val="24"/>
          <w:szCs w:val="24"/>
        </w:rPr>
        <w:t>et seq</w:t>
      </w:r>
      <w:r w:rsidRPr="0005277C">
        <w:rPr>
          <w:sz w:val="24"/>
          <w:szCs w:val="24"/>
        </w:rPr>
        <w:t>.] limits on disclosure, where conditions on disclosure which have not been met.  Cal. Civ. Code § 1798.24(k) authorizes disclosure of personal information in response to subpoenas if the agency reasonably attempts to notify the individuals to whom the record pertains.  Cal. Code Civ. Pro. §§ 1985.3 and 1985.4 require subpoenaing parties to send notices to individuals whose information is sought, in certain situations.</w:t>
      </w:r>
    </w:p>
  </w:footnote>
  <w:footnote w:id="8">
    <w:p w14:paraId="1EE1E630" w14:textId="77777777" w:rsidR="00C21377" w:rsidRPr="0005277C" w:rsidRDefault="00C21377" w:rsidP="00571F79">
      <w:pPr>
        <w:pStyle w:val="FootnoteText"/>
        <w:spacing w:after="120" w:line="240" w:lineRule="exact"/>
        <w:ind w:right="0"/>
        <w:rPr>
          <w:sz w:val="24"/>
          <w:szCs w:val="24"/>
        </w:rPr>
      </w:pPr>
      <w:r w:rsidRPr="0005277C">
        <w:rPr>
          <w:rStyle w:val="FootnoteReference"/>
          <w:b/>
          <w:bCs/>
          <w:sz w:val="24"/>
          <w:szCs w:val="24"/>
          <w:u w:val="single"/>
        </w:rPr>
        <w:footnoteRef/>
      </w:r>
      <w:r w:rsidRPr="0005277C">
        <w:rPr>
          <w:sz w:val="24"/>
          <w:szCs w:val="24"/>
        </w:rPr>
        <w:t xml:space="preserve"> For example, with the consent of the party that provided information subject to such a nondisclosure agreement. </w:t>
      </w:r>
    </w:p>
  </w:footnote>
  <w:footnote w:id="9">
    <w:p w14:paraId="02B49DFD" w14:textId="78ADBE82" w:rsidR="002A407C" w:rsidRPr="0005277C" w:rsidRDefault="002A407C" w:rsidP="00571F79">
      <w:pPr>
        <w:pStyle w:val="FootnoteText"/>
        <w:spacing w:after="120" w:line="240" w:lineRule="exact"/>
        <w:ind w:right="0"/>
        <w:rPr>
          <w:sz w:val="24"/>
          <w:szCs w:val="24"/>
        </w:rPr>
      </w:pPr>
      <w:r w:rsidRPr="0005277C">
        <w:rPr>
          <w:rStyle w:val="FootnoteReference"/>
          <w:b/>
          <w:bCs/>
          <w:sz w:val="24"/>
          <w:szCs w:val="24"/>
          <w:u w:val="single"/>
        </w:rPr>
        <w:footnoteRef/>
      </w:r>
      <w:r w:rsidRPr="0005277C">
        <w:rPr>
          <w:sz w:val="24"/>
          <w:szCs w:val="24"/>
        </w:rPr>
        <w:t xml:space="preserve"> G.O. 66-D § </w:t>
      </w:r>
      <w:r w:rsidR="007C24F8" w:rsidRPr="0005277C">
        <w:rPr>
          <w:sz w:val="24"/>
          <w:szCs w:val="24"/>
        </w:rPr>
        <w:t>3.3</w:t>
      </w:r>
      <w:r w:rsidRPr="0005277C">
        <w:rPr>
          <w:sz w:val="24"/>
          <w:szCs w:val="24"/>
        </w:rPr>
        <w:t xml:space="preserve"> provides that </w:t>
      </w:r>
      <w:r w:rsidR="00A22814" w:rsidRPr="0005277C">
        <w:rPr>
          <w:sz w:val="24"/>
          <w:szCs w:val="24"/>
        </w:rPr>
        <w:t>§ 3.2 requirements do not apply to formal proceedings of the Commission</w:t>
      </w:r>
      <w:r w:rsidR="00DC3665" w:rsidRPr="0005277C">
        <w:rPr>
          <w:sz w:val="24"/>
          <w:szCs w:val="24"/>
        </w:rPr>
        <w:t xml:space="preserve">.  </w:t>
      </w:r>
    </w:p>
  </w:footnote>
  <w:footnote w:id="10">
    <w:p w14:paraId="39A0BDF8" w14:textId="6C16B730" w:rsidR="00DC290D" w:rsidRPr="0005277C" w:rsidRDefault="00DC290D" w:rsidP="00571F79">
      <w:pPr>
        <w:pStyle w:val="FootnoteText"/>
        <w:spacing w:after="120" w:line="240" w:lineRule="exact"/>
        <w:ind w:right="0"/>
        <w:rPr>
          <w:sz w:val="24"/>
          <w:szCs w:val="24"/>
        </w:rPr>
      </w:pPr>
      <w:r w:rsidRPr="0005277C">
        <w:rPr>
          <w:rStyle w:val="FootnoteReference"/>
          <w:b/>
          <w:bCs/>
          <w:sz w:val="24"/>
          <w:szCs w:val="24"/>
          <w:u w:val="single"/>
        </w:rPr>
        <w:footnoteRef/>
      </w:r>
      <w:r w:rsidRPr="0005277C">
        <w:rPr>
          <w:sz w:val="24"/>
          <w:szCs w:val="24"/>
        </w:rPr>
        <w:t xml:space="preserve"> Detailed requirements for specific types of confidentiality claims are omitted from this quotation </w:t>
      </w:r>
      <w:r w:rsidR="0047717F" w:rsidRPr="0005277C">
        <w:rPr>
          <w:sz w:val="24"/>
          <w:szCs w:val="24"/>
        </w:rPr>
        <w:t>in the interest of brevity.</w:t>
      </w:r>
    </w:p>
  </w:footnote>
  <w:footnote w:id="11">
    <w:p w14:paraId="3729CEEC" w14:textId="34F6400D" w:rsidR="007934E7" w:rsidRPr="0005277C" w:rsidRDefault="007934E7" w:rsidP="00571F79">
      <w:pPr>
        <w:pStyle w:val="FootnoteText"/>
        <w:spacing w:after="120" w:line="240" w:lineRule="exact"/>
        <w:ind w:right="0"/>
        <w:rPr>
          <w:sz w:val="24"/>
          <w:szCs w:val="24"/>
        </w:rPr>
      </w:pPr>
      <w:r w:rsidRPr="0005277C">
        <w:rPr>
          <w:rStyle w:val="FootnoteReference"/>
          <w:b/>
          <w:bCs/>
          <w:sz w:val="24"/>
          <w:szCs w:val="24"/>
          <w:u w:val="single"/>
        </w:rPr>
        <w:footnoteRef/>
      </w:r>
      <w:r w:rsidRPr="0005277C">
        <w:rPr>
          <w:sz w:val="24"/>
          <w:szCs w:val="24"/>
        </w:rPr>
        <w:t xml:space="preserve"> G.O. 66-D</w:t>
      </w:r>
      <w:r w:rsidR="000F263B" w:rsidRPr="0005277C">
        <w:rPr>
          <w:sz w:val="24"/>
          <w:szCs w:val="24"/>
        </w:rPr>
        <w:t xml:space="preserve"> § 5.5(a).</w:t>
      </w:r>
    </w:p>
  </w:footnote>
  <w:footnote w:id="12">
    <w:p w14:paraId="411887E1" w14:textId="581DCBDD" w:rsidR="000F263B" w:rsidRPr="0005277C" w:rsidRDefault="000F263B" w:rsidP="00571F79">
      <w:pPr>
        <w:pStyle w:val="FootnoteText"/>
        <w:spacing w:after="120" w:line="240" w:lineRule="exact"/>
        <w:ind w:right="0"/>
        <w:rPr>
          <w:sz w:val="24"/>
          <w:szCs w:val="24"/>
        </w:rPr>
      </w:pPr>
      <w:r w:rsidRPr="0005277C">
        <w:rPr>
          <w:rStyle w:val="FootnoteReference"/>
          <w:b/>
          <w:bCs/>
          <w:sz w:val="24"/>
          <w:szCs w:val="24"/>
          <w:u w:val="single"/>
        </w:rPr>
        <w:footnoteRef/>
      </w:r>
      <w:r w:rsidRPr="0005277C">
        <w:rPr>
          <w:sz w:val="24"/>
          <w:szCs w:val="24"/>
        </w:rPr>
        <w:t xml:space="preserve"> </w:t>
      </w:r>
      <w:r w:rsidR="002A3546" w:rsidRPr="0005277C">
        <w:rPr>
          <w:i/>
          <w:iCs/>
          <w:sz w:val="24"/>
          <w:szCs w:val="24"/>
        </w:rPr>
        <w:t>Id.</w:t>
      </w:r>
      <w:r w:rsidR="004C217A" w:rsidRPr="0005277C">
        <w:rPr>
          <w:sz w:val="24"/>
          <w:szCs w:val="24"/>
        </w:rPr>
        <w:t>, and G.O.</w:t>
      </w:r>
      <w:r w:rsidR="005F635A" w:rsidRPr="0005277C">
        <w:rPr>
          <w:sz w:val="24"/>
          <w:szCs w:val="24"/>
        </w:rPr>
        <w:t xml:space="preserve"> 66-D § 5.5(b).</w:t>
      </w:r>
    </w:p>
  </w:footnote>
  <w:footnote w:id="13">
    <w:p w14:paraId="73C376AB" w14:textId="138522DD" w:rsidR="005F635A" w:rsidRPr="0005277C" w:rsidRDefault="005F635A" w:rsidP="00571F79">
      <w:pPr>
        <w:pStyle w:val="FootnoteText"/>
        <w:spacing w:after="120" w:line="240" w:lineRule="exact"/>
        <w:ind w:right="0"/>
        <w:rPr>
          <w:sz w:val="24"/>
          <w:szCs w:val="24"/>
        </w:rPr>
      </w:pPr>
      <w:r w:rsidRPr="0005277C">
        <w:rPr>
          <w:rStyle w:val="FootnoteReference"/>
          <w:b/>
          <w:bCs/>
          <w:sz w:val="24"/>
          <w:szCs w:val="24"/>
          <w:u w:val="single"/>
        </w:rPr>
        <w:footnoteRef/>
      </w:r>
      <w:r w:rsidRPr="0005277C">
        <w:rPr>
          <w:sz w:val="24"/>
          <w:szCs w:val="24"/>
        </w:rPr>
        <w:t xml:space="preserve"> G.O. 66-D §§ 5.5(d)</w:t>
      </w:r>
      <w:r w:rsidR="0030557D" w:rsidRPr="0005277C">
        <w:rPr>
          <w:sz w:val="24"/>
          <w:szCs w:val="24"/>
        </w:rPr>
        <w:t xml:space="preserve"> and 5.5(b)</w:t>
      </w:r>
      <w:r w:rsidRPr="0005277C">
        <w:rPr>
          <w:sz w:val="24"/>
          <w:szCs w:val="24"/>
        </w:rPr>
        <w:t xml:space="preserve"> </w:t>
      </w:r>
    </w:p>
  </w:footnote>
  <w:footnote w:id="14">
    <w:p w14:paraId="0B4CDE30" w14:textId="2C4E2B92" w:rsidR="004C310C" w:rsidRPr="0005277C" w:rsidRDefault="004C310C" w:rsidP="00571F79">
      <w:pPr>
        <w:pStyle w:val="FootnoteText"/>
        <w:spacing w:after="120" w:line="240" w:lineRule="exact"/>
        <w:ind w:right="0"/>
        <w:rPr>
          <w:sz w:val="24"/>
          <w:szCs w:val="24"/>
        </w:rPr>
      </w:pPr>
      <w:r w:rsidRPr="0005277C">
        <w:rPr>
          <w:rStyle w:val="FootnoteReference"/>
          <w:b/>
          <w:bCs/>
          <w:sz w:val="24"/>
          <w:szCs w:val="24"/>
          <w:u w:val="single"/>
        </w:rPr>
        <w:footnoteRef/>
      </w:r>
      <w:r w:rsidRPr="0005277C">
        <w:rPr>
          <w:sz w:val="24"/>
          <w:szCs w:val="24"/>
        </w:rPr>
        <w:t xml:space="preserve"> G.O. 66-D §</w:t>
      </w:r>
      <w:r w:rsidR="007A2E65" w:rsidRPr="0005277C">
        <w:rPr>
          <w:sz w:val="24"/>
          <w:szCs w:val="24"/>
        </w:rPr>
        <w:t>§</w:t>
      </w:r>
      <w:r w:rsidRPr="0005277C">
        <w:rPr>
          <w:sz w:val="24"/>
          <w:szCs w:val="24"/>
        </w:rPr>
        <w:t xml:space="preserve"> 5.5</w:t>
      </w:r>
      <w:r w:rsidR="007A2E65" w:rsidRPr="0005277C">
        <w:rPr>
          <w:sz w:val="24"/>
          <w:szCs w:val="24"/>
        </w:rPr>
        <w:t xml:space="preserve"> (b) and 5.5(d). </w:t>
      </w:r>
    </w:p>
  </w:footnote>
  <w:footnote w:id="15">
    <w:p w14:paraId="4F5E0CF8" w14:textId="31CACEE7" w:rsidR="00015ABA" w:rsidRPr="0005277C" w:rsidRDefault="00015ABA" w:rsidP="00571F79">
      <w:pPr>
        <w:pStyle w:val="FootnoteText"/>
        <w:spacing w:after="120" w:line="240" w:lineRule="exact"/>
        <w:ind w:right="0"/>
        <w:rPr>
          <w:sz w:val="24"/>
          <w:szCs w:val="24"/>
        </w:rPr>
      </w:pPr>
      <w:r w:rsidRPr="0005277C">
        <w:rPr>
          <w:rStyle w:val="FootnoteReference"/>
          <w:b/>
          <w:bCs/>
          <w:sz w:val="24"/>
          <w:szCs w:val="24"/>
          <w:u w:val="single"/>
        </w:rPr>
        <w:footnoteRef/>
      </w:r>
      <w:r w:rsidRPr="0005277C">
        <w:rPr>
          <w:sz w:val="24"/>
          <w:szCs w:val="24"/>
        </w:rPr>
        <w:t xml:space="preserve"> </w:t>
      </w:r>
      <w:r w:rsidR="00F451F6" w:rsidRPr="0005277C">
        <w:rPr>
          <w:sz w:val="24"/>
          <w:szCs w:val="24"/>
        </w:rPr>
        <w:t xml:space="preserve">G.O. 66-D § </w:t>
      </w:r>
      <w:r w:rsidR="004C310C" w:rsidRPr="0005277C">
        <w:rPr>
          <w:sz w:val="24"/>
          <w:szCs w:val="24"/>
        </w:rPr>
        <w:t>5.5 (c).</w:t>
      </w:r>
    </w:p>
  </w:footnote>
  <w:footnote w:id="16">
    <w:p w14:paraId="2E8D653A" w14:textId="6E2118F0" w:rsidR="00E8229B" w:rsidRPr="0005277C" w:rsidRDefault="00E8229B" w:rsidP="00571F79">
      <w:pPr>
        <w:pStyle w:val="FootnoteText"/>
        <w:spacing w:after="120" w:line="240" w:lineRule="exact"/>
        <w:ind w:right="0"/>
        <w:rPr>
          <w:sz w:val="24"/>
          <w:szCs w:val="24"/>
        </w:rPr>
      </w:pPr>
      <w:r w:rsidRPr="0005277C">
        <w:rPr>
          <w:rStyle w:val="FootnoteReference"/>
          <w:b/>
          <w:bCs/>
          <w:sz w:val="24"/>
          <w:szCs w:val="24"/>
          <w:u w:val="single"/>
        </w:rPr>
        <w:footnoteRef/>
      </w:r>
      <w:r w:rsidRPr="0005277C">
        <w:rPr>
          <w:sz w:val="24"/>
          <w:szCs w:val="24"/>
        </w:rPr>
        <w:t xml:space="preserve"> Cal. Gov. Code </w:t>
      </w:r>
      <w:r w:rsidR="000173CB" w:rsidRPr="0005277C">
        <w:rPr>
          <w:sz w:val="24"/>
          <w:szCs w:val="24"/>
        </w:rPr>
        <w:t xml:space="preserve">§ </w:t>
      </w:r>
      <w:r w:rsidR="00891B26" w:rsidRPr="0005277C">
        <w:rPr>
          <w:sz w:val="24"/>
          <w:szCs w:val="24"/>
        </w:rPr>
        <w:t xml:space="preserve">6253.3: “A state or local agency may not allow another party </w:t>
      </w:r>
      <w:r w:rsidR="00432F85" w:rsidRPr="0005277C">
        <w:rPr>
          <w:sz w:val="24"/>
          <w:szCs w:val="24"/>
        </w:rPr>
        <w:t xml:space="preserve">to control the disclosure of information that is otherwise subject to disclosure </w:t>
      </w:r>
      <w:r w:rsidR="00C151BE" w:rsidRPr="0005277C">
        <w:rPr>
          <w:sz w:val="24"/>
          <w:szCs w:val="24"/>
        </w:rPr>
        <w:t>pursuant to this chapter.”</w:t>
      </w:r>
      <w:r w:rsidRPr="0005277C">
        <w:rPr>
          <w:sz w:val="24"/>
          <w:szCs w:val="24"/>
        </w:rPr>
        <w:t xml:space="preserve">  </w:t>
      </w:r>
    </w:p>
  </w:footnote>
  <w:footnote w:id="17">
    <w:p w14:paraId="077D8AFA" w14:textId="35C6D386" w:rsidR="005C007E" w:rsidRPr="0005277C" w:rsidRDefault="005C007E" w:rsidP="00571F79">
      <w:pPr>
        <w:pStyle w:val="FootnoteText"/>
        <w:spacing w:after="120" w:line="240" w:lineRule="exact"/>
        <w:ind w:right="0"/>
        <w:rPr>
          <w:sz w:val="24"/>
          <w:szCs w:val="24"/>
        </w:rPr>
      </w:pPr>
      <w:r w:rsidRPr="0005277C">
        <w:rPr>
          <w:rStyle w:val="FootnoteReference"/>
          <w:b/>
          <w:bCs/>
          <w:sz w:val="24"/>
          <w:szCs w:val="24"/>
          <w:u w:val="single"/>
        </w:rPr>
        <w:footnoteRef/>
      </w:r>
      <w:r w:rsidRPr="0005277C">
        <w:rPr>
          <w:sz w:val="24"/>
          <w:szCs w:val="24"/>
        </w:rPr>
        <w:t xml:space="preserve"> </w:t>
      </w:r>
      <w:r w:rsidR="00C07C5E" w:rsidRPr="0005277C">
        <w:rPr>
          <w:sz w:val="24"/>
          <w:szCs w:val="24"/>
        </w:rPr>
        <w:t>C</w:t>
      </w:r>
      <w:r w:rsidR="003A5E32" w:rsidRPr="0005277C">
        <w:rPr>
          <w:sz w:val="24"/>
          <w:szCs w:val="24"/>
        </w:rPr>
        <w:t xml:space="preserve">onfidentiality claims </w:t>
      </w:r>
      <w:r w:rsidR="002F1DDF" w:rsidRPr="0005277C">
        <w:rPr>
          <w:sz w:val="24"/>
          <w:szCs w:val="24"/>
        </w:rPr>
        <w:t xml:space="preserve">understandably </w:t>
      </w:r>
      <w:r w:rsidR="00DF4250" w:rsidRPr="0005277C">
        <w:rPr>
          <w:sz w:val="24"/>
          <w:szCs w:val="24"/>
        </w:rPr>
        <w:t xml:space="preserve">primarily </w:t>
      </w:r>
      <w:r w:rsidR="003A5E32" w:rsidRPr="0005277C">
        <w:rPr>
          <w:sz w:val="24"/>
          <w:szCs w:val="24"/>
        </w:rPr>
        <w:t xml:space="preserve">view CPRA exemptions and similar authority through </w:t>
      </w:r>
      <w:r w:rsidR="003A11F0" w:rsidRPr="0005277C">
        <w:rPr>
          <w:sz w:val="24"/>
          <w:szCs w:val="24"/>
        </w:rPr>
        <w:t>the lens of the information submitter</w:t>
      </w:r>
      <w:r w:rsidR="006355F0" w:rsidRPr="0005277C">
        <w:rPr>
          <w:sz w:val="24"/>
          <w:szCs w:val="24"/>
        </w:rPr>
        <w:t>’s own interests</w:t>
      </w:r>
      <w:r w:rsidR="00151D69" w:rsidRPr="0005277C">
        <w:rPr>
          <w:sz w:val="24"/>
          <w:szCs w:val="24"/>
        </w:rPr>
        <w:t xml:space="preserve"> </w:t>
      </w:r>
      <w:r w:rsidR="00ED23EE" w:rsidRPr="0005277C">
        <w:rPr>
          <w:sz w:val="24"/>
          <w:szCs w:val="24"/>
        </w:rPr>
        <w:t xml:space="preserve">and interpretations of the law.  </w:t>
      </w:r>
      <w:r w:rsidR="00E328EB" w:rsidRPr="0005277C">
        <w:rPr>
          <w:sz w:val="24"/>
          <w:szCs w:val="24"/>
        </w:rPr>
        <w:t xml:space="preserve">The Legal Division has found that </w:t>
      </w:r>
      <w:r w:rsidR="00AA2575" w:rsidRPr="0005277C">
        <w:rPr>
          <w:sz w:val="24"/>
          <w:szCs w:val="24"/>
        </w:rPr>
        <w:t>the quality of confidentiality claims var</w:t>
      </w:r>
      <w:r w:rsidR="00E837BE" w:rsidRPr="0005277C">
        <w:rPr>
          <w:sz w:val="24"/>
          <w:szCs w:val="24"/>
        </w:rPr>
        <w:t xml:space="preserve">ies considerably, and that </w:t>
      </w:r>
      <w:r w:rsidR="00E328EB" w:rsidRPr="0005277C">
        <w:rPr>
          <w:sz w:val="24"/>
          <w:szCs w:val="24"/>
        </w:rPr>
        <w:t>c</w:t>
      </w:r>
      <w:r w:rsidR="00BA713B" w:rsidRPr="0005277C">
        <w:rPr>
          <w:sz w:val="24"/>
          <w:szCs w:val="24"/>
        </w:rPr>
        <w:t xml:space="preserve">onfidentiality claims </w:t>
      </w:r>
      <w:r w:rsidR="00B112B7" w:rsidRPr="0005277C">
        <w:rPr>
          <w:sz w:val="24"/>
          <w:szCs w:val="24"/>
        </w:rPr>
        <w:t>have been known to</w:t>
      </w:r>
      <w:r w:rsidR="00024281" w:rsidRPr="0005277C">
        <w:rPr>
          <w:sz w:val="24"/>
          <w:szCs w:val="24"/>
        </w:rPr>
        <w:t>: 1)</w:t>
      </w:r>
      <w:r w:rsidR="00B112B7" w:rsidRPr="0005277C">
        <w:rPr>
          <w:sz w:val="24"/>
          <w:szCs w:val="24"/>
        </w:rPr>
        <w:t xml:space="preserve"> </w:t>
      </w:r>
      <w:r w:rsidR="007E3940" w:rsidRPr="0005277C">
        <w:rPr>
          <w:sz w:val="24"/>
          <w:szCs w:val="24"/>
        </w:rPr>
        <w:t xml:space="preserve">reference </w:t>
      </w:r>
      <w:r w:rsidR="00BB3E6F" w:rsidRPr="0005277C">
        <w:rPr>
          <w:sz w:val="24"/>
          <w:szCs w:val="24"/>
        </w:rPr>
        <w:t xml:space="preserve">numerous statutes, decisions, and other authority in checklist </w:t>
      </w:r>
      <w:r w:rsidR="000A4F49" w:rsidRPr="0005277C">
        <w:rPr>
          <w:sz w:val="24"/>
          <w:szCs w:val="24"/>
        </w:rPr>
        <w:t>format,</w:t>
      </w:r>
      <w:r w:rsidR="003F62EE" w:rsidRPr="0005277C">
        <w:rPr>
          <w:sz w:val="24"/>
          <w:szCs w:val="24"/>
        </w:rPr>
        <w:t xml:space="preserve"> </w:t>
      </w:r>
      <w:r w:rsidR="00B062EA" w:rsidRPr="0005277C">
        <w:rPr>
          <w:sz w:val="24"/>
          <w:szCs w:val="24"/>
        </w:rPr>
        <w:t>without explaining in useful detai</w:t>
      </w:r>
      <w:r w:rsidR="00F914D9" w:rsidRPr="0005277C">
        <w:rPr>
          <w:sz w:val="24"/>
          <w:szCs w:val="24"/>
        </w:rPr>
        <w:t>l</w:t>
      </w:r>
      <w:r w:rsidR="00B062EA" w:rsidRPr="0005277C">
        <w:rPr>
          <w:sz w:val="24"/>
          <w:szCs w:val="24"/>
        </w:rPr>
        <w:t xml:space="preserve"> how the authority </w:t>
      </w:r>
      <w:r w:rsidR="009B0297" w:rsidRPr="0005277C">
        <w:rPr>
          <w:sz w:val="24"/>
          <w:szCs w:val="24"/>
        </w:rPr>
        <w:t>applies to the specific information for which confidential treatment is requested</w:t>
      </w:r>
      <w:r w:rsidR="00F914D9" w:rsidRPr="0005277C">
        <w:rPr>
          <w:sz w:val="24"/>
          <w:szCs w:val="24"/>
        </w:rPr>
        <w:t xml:space="preserve">, and </w:t>
      </w:r>
      <w:r w:rsidR="00A26D00" w:rsidRPr="0005277C">
        <w:rPr>
          <w:sz w:val="24"/>
          <w:szCs w:val="24"/>
        </w:rPr>
        <w:t>often</w:t>
      </w:r>
      <w:r w:rsidR="005E3E3A" w:rsidRPr="0005277C">
        <w:rPr>
          <w:sz w:val="24"/>
          <w:szCs w:val="24"/>
        </w:rPr>
        <w:t xml:space="preserve"> </w:t>
      </w:r>
      <w:r w:rsidR="009A2693" w:rsidRPr="0005277C">
        <w:rPr>
          <w:sz w:val="24"/>
          <w:szCs w:val="24"/>
        </w:rPr>
        <w:t xml:space="preserve">with citation to authority </w:t>
      </w:r>
      <w:r w:rsidR="0008738A" w:rsidRPr="0005277C">
        <w:rPr>
          <w:sz w:val="24"/>
          <w:szCs w:val="24"/>
        </w:rPr>
        <w:t xml:space="preserve">not actually applicable to </w:t>
      </w:r>
      <w:r w:rsidR="001C6CD3" w:rsidRPr="0005277C">
        <w:rPr>
          <w:sz w:val="24"/>
          <w:szCs w:val="24"/>
        </w:rPr>
        <w:t xml:space="preserve">such </w:t>
      </w:r>
      <w:r w:rsidR="003F62EE" w:rsidRPr="0005277C">
        <w:rPr>
          <w:sz w:val="24"/>
          <w:szCs w:val="24"/>
        </w:rPr>
        <w:t>information</w:t>
      </w:r>
      <w:r w:rsidR="00024281" w:rsidRPr="0005277C">
        <w:rPr>
          <w:sz w:val="24"/>
          <w:szCs w:val="24"/>
        </w:rPr>
        <w:t>; 2)</w:t>
      </w:r>
      <w:r w:rsidR="00BB3E6F" w:rsidRPr="0005277C">
        <w:rPr>
          <w:sz w:val="24"/>
          <w:szCs w:val="24"/>
        </w:rPr>
        <w:t xml:space="preserve"> </w:t>
      </w:r>
      <w:r w:rsidR="00DD5498" w:rsidRPr="0005277C">
        <w:rPr>
          <w:sz w:val="24"/>
          <w:szCs w:val="24"/>
        </w:rPr>
        <w:t xml:space="preserve">inaccurately </w:t>
      </w:r>
      <w:r w:rsidR="00CF3D0D" w:rsidRPr="0005277C">
        <w:rPr>
          <w:sz w:val="24"/>
          <w:szCs w:val="24"/>
        </w:rPr>
        <w:t xml:space="preserve">represent </w:t>
      </w:r>
      <w:r w:rsidR="00F370FA" w:rsidRPr="0005277C">
        <w:rPr>
          <w:sz w:val="24"/>
          <w:szCs w:val="24"/>
        </w:rPr>
        <w:t xml:space="preserve">the language and/or intent of </w:t>
      </w:r>
      <w:r w:rsidR="00B02AB4" w:rsidRPr="0005277C">
        <w:rPr>
          <w:sz w:val="24"/>
          <w:szCs w:val="24"/>
        </w:rPr>
        <w:t>cited authorities</w:t>
      </w:r>
      <w:r w:rsidR="00ED65EE" w:rsidRPr="0005277C">
        <w:rPr>
          <w:sz w:val="24"/>
          <w:szCs w:val="24"/>
        </w:rPr>
        <w:t xml:space="preserve">; and 3) </w:t>
      </w:r>
      <w:r w:rsidR="00B02AB4" w:rsidRPr="0005277C">
        <w:rPr>
          <w:sz w:val="24"/>
          <w:szCs w:val="24"/>
        </w:rPr>
        <w:t xml:space="preserve">conflate </w:t>
      </w:r>
      <w:r w:rsidR="008241FD" w:rsidRPr="0005277C">
        <w:rPr>
          <w:sz w:val="24"/>
          <w:szCs w:val="24"/>
        </w:rPr>
        <w:t xml:space="preserve">private economic interests in confidentiality with </w:t>
      </w:r>
      <w:r w:rsidR="009349F1" w:rsidRPr="0005277C">
        <w:rPr>
          <w:sz w:val="24"/>
          <w:szCs w:val="24"/>
        </w:rPr>
        <w:t>public interests</w:t>
      </w:r>
      <w:r w:rsidR="00367EDD" w:rsidRPr="0005277C">
        <w:rPr>
          <w:sz w:val="24"/>
          <w:szCs w:val="24"/>
        </w:rPr>
        <w:t>, when contending that the public interests that would be served by withholding information from the public clearly outweigh the public interests that would be served by disclosure</w:t>
      </w:r>
      <w:r w:rsidR="00292DC0" w:rsidRPr="0005277C">
        <w:rPr>
          <w:sz w:val="24"/>
          <w:szCs w:val="24"/>
        </w:rPr>
        <w:t>.</w:t>
      </w:r>
      <w:r w:rsidR="008241FD" w:rsidRPr="0005277C">
        <w:rPr>
          <w:sz w:val="24"/>
          <w:szCs w:val="24"/>
        </w:rPr>
        <w:t xml:space="preserve"> </w:t>
      </w:r>
      <w:r w:rsidR="00EE257D" w:rsidRPr="0005277C">
        <w:rPr>
          <w:sz w:val="24"/>
          <w:szCs w:val="24"/>
        </w:rPr>
        <w:t xml:space="preserve">  </w:t>
      </w:r>
    </w:p>
  </w:footnote>
  <w:footnote w:id="18">
    <w:p w14:paraId="11453D94" w14:textId="35CABF58" w:rsidR="006F25AB" w:rsidRPr="0005277C" w:rsidRDefault="006F25AB" w:rsidP="00571F79">
      <w:pPr>
        <w:pStyle w:val="FootnoteText"/>
        <w:spacing w:after="120" w:line="240" w:lineRule="exact"/>
        <w:ind w:right="0"/>
        <w:rPr>
          <w:sz w:val="24"/>
          <w:szCs w:val="24"/>
        </w:rPr>
      </w:pPr>
      <w:r w:rsidRPr="0005277C">
        <w:rPr>
          <w:rStyle w:val="FootnoteReference"/>
          <w:b/>
          <w:bCs/>
          <w:sz w:val="24"/>
          <w:szCs w:val="24"/>
          <w:u w:val="single"/>
        </w:rPr>
        <w:footnoteRef/>
      </w:r>
      <w:r w:rsidRPr="0005277C">
        <w:rPr>
          <w:sz w:val="24"/>
          <w:szCs w:val="24"/>
        </w:rPr>
        <w:t xml:space="preserve"> Cal. Gov. Code § 6255</w:t>
      </w:r>
      <w:r w:rsidR="004132B8" w:rsidRPr="0005277C">
        <w:rPr>
          <w:sz w:val="24"/>
          <w:szCs w:val="24"/>
        </w:rPr>
        <w:t>(a)</w:t>
      </w:r>
      <w:r w:rsidR="0053193C" w:rsidRPr="0005277C">
        <w:rPr>
          <w:sz w:val="24"/>
          <w:szCs w:val="24"/>
        </w:rPr>
        <w:t>.</w:t>
      </w:r>
    </w:p>
  </w:footnote>
  <w:footnote w:id="19">
    <w:p w14:paraId="539CF194" w14:textId="082CA905" w:rsidR="004964F2" w:rsidRPr="0005277C" w:rsidRDefault="004964F2" w:rsidP="0005277C">
      <w:pPr>
        <w:pStyle w:val="BodyText"/>
        <w:spacing w:after="120" w:line="240" w:lineRule="exact"/>
        <w:rPr>
          <w:sz w:val="24"/>
          <w:szCs w:val="24"/>
        </w:rPr>
      </w:pPr>
      <w:r w:rsidRPr="0005277C">
        <w:rPr>
          <w:rStyle w:val="FootnoteReference"/>
          <w:b/>
          <w:bCs/>
          <w:sz w:val="24"/>
          <w:szCs w:val="24"/>
          <w:u w:val="single"/>
        </w:rPr>
        <w:footnoteRef/>
      </w:r>
      <w:r w:rsidRPr="0005277C">
        <w:rPr>
          <w:sz w:val="24"/>
          <w:szCs w:val="24"/>
        </w:rPr>
        <w:t xml:space="preserve"> </w:t>
      </w:r>
      <w:r w:rsidR="00EE4763" w:rsidRPr="0005277C">
        <w:rPr>
          <w:i/>
          <w:iCs/>
          <w:sz w:val="24"/>
          <w:szCs w:val="24"/>
        </w:rPr>
        <w:t>Phase 2A Decision</w:t>
      </w:r>
      <w:r w:rsidR="000F03F0" w:rsidRPr="0005277C">
        <w:rPr>
          <w:i/>
          <w:iCs/>
          <w:sz w:val="24"/>
          <w:szCs w:val="24"/>
        </w:rPr>
        <w:t xml:space="preserve"> Adopting General Order 66-D and Administrative Processes for Submission and Release of Potentially Confidential Information</w:t>
      </w:r>
      <w:r w:rsidR="000F03F0" w:rsidRPr="0005277C">
        <w:rPr>
          <w:sz w:val="24"/>
          <w:szCs w:val="24"/>
        </w:rPr>
        <w:t xml:space="preserve">, D.17-09-023, at </w:t>
      </w:r>
      <w:r w:rsidR="00514F20" w:rsidRPr="0005277C">
        <w:rPr>
          <w:sz w:val="24"/>
          <w:szCs w:val="24"/>
        </w:rPr>
        <w:t xml:space="preserve"> 11</w:t>
      </w:r>
      <w:r w:rsidR="00051E1A" w:rsidRPr="0005277C">
        <w:rPr>
          <w:sz w:val="24"/>
          <w:szCs w:val="24"/>
        </w:rPr>
        <w:t>;</w:t>
      </w:r>
      <w:r w:rsidR="000F03F0" w:rsidRPr="0005277C">
        <w:rPr>
          <w:sz w:val="24"/>
          <w:szCs w:val="24"/>
        </w:rPr>
        <w:t xml:space="preserve"> </w:t>
      </w:r>
      <w:r w:rsidR="00BC631D" w:rsidRPr="0005277C">
        <w:rPr>
          <w:sz w:val="24"/>
          <w:szCs w:val="24"/>
        </w:rPr>
        <w:t xml:space="preserve"> </w:t>
      </w:r>
      <w:r w:rsidR="00BC631D" w:rsidRPr="0005277C">
        <w:rPr>
          <w:i/>
          <w:iCs/>
          <w:sz w:val="24"/>
          <w:szCs w:val="24"/>
        </w:rPr>
        <w:t>Modified Presiding Officer’s Decision Finding the San Francisco Municipal Transportation Agency in Contempt, in violation of Rule 1.1 of the Commission’s Rules of Practice and Procedures</w:t>
      </w:r>
      <w:r w:rsidR="00BC631D" w:rsidRPr="0005277C">
        <w:rPr>
          <w:sz w:val="24"/>
          <w:szCs w:val="24"/>
        </w:rPr>
        <w:t xml:space="preserve"> (“SFMTA”) (2015) Decision (“D.”) 15-08-032, at 18: “CPRA exemptions are permissive rather than mandatory; they allow nondisclosure but do not prohibit disclosure.  (</w:t>
      </w:r>
      <w:r w:rsidR="00BC631D" w:rsidRPr="0005277C">
        <w:rPr>
          <w:i/>
          <w:iCs/>
          <w:sz w:val="24"/>
          <w:szCs w:val="24"/>
        </w:rPr>
        <w:t>CBS, Inc. v. Block</w:t>
      </w:r>
      <w:r w:rsidR="00BC631D" w:rsidRPr="0005277C">
        <w:rPr>
          <w:sz w:val="24"/>
          <w:szCs w:val="24"/>
        </w:rPr>
        <w:t xml:space="preserve"> (1986) 42 Cal.3d 646, 652; </w:t>
      </w:r>
      <w:r w:rsidR="00BC631D" w:rsidRPr="0005277C">
        <w:rPr>
          <w:i/>
          <w:iCs/>
          <w:sz w:val="24"/>
          <w:szCs w:val="24"/>
        </w:rPr>
        <w:t>Re San Diego Gas and Electric Company</w:t>
      </w:r>
      <w:r w:rsidR="00BC631D" w:rsidRPr="0005277C">
        <w:rPr>
          <w:sz w:val="24"/>
          <w:szCs w:val="24"/>
        </w:rPr>
        <w:t xml:space="preserve"> (1993) D.93-05-020). [Footnote: 49 CPUC2d 241, at 242.]”  </w:t>
      </w:r>
      <w:r w:rsidR="00BC631D" w:rsidRPr="0005277C">
        <w:rPr>
          <w:i/>
          <w:iCs/>
          <w:sz w:val="24"/>
          <w:szCs w:val="24"/>
        </w:rPr>
        <w:t>See also</w:t>
      </w:r>
      <w:r w:rsidR="00BC631D" w:rsidRPr="0005277C">
        <w:rPr>
          <w:sz w:val="24"/>
          <w:szCs w:val="24"/>
        </w:rPr>
        <w:t xml:space="preserve">, </w:t>
      </w:r>
      <w:r w:rsidR="00BC631D" w:rsidRPr="0005277C">
        <w:rPr>
          <w:i/>
          <w:iCs/>
          <w:sz w:val="24"/>
          <w:szCs w:val="24"/>
        </w:rPr>
        <w:t>Marken v. Santa Monica-Malibu Unified School District</w:t>
      </w:r>
      <w:r w:rsidR="00BC631D" w:rsidRPr="0005277C">
        <w:rPr>
          <w:sz w:val="24"/>
          <w:szCs w:val="24"/>
        </w:rPr>
        <w:t xml:space="preserve"> (2102) 202 Cal.App.4</w:t>
      </w:r>
      <w:r w:rsidR="00BC631D" w:rsidRPr="0005277C">
        <w:rPr>
          <w:sz w:val="24"/>
          <w:szCs w:val="24"/>
          <w:vertAlign w:val="superscript"/>
        </w:rPr>
        <w:t>th</w:t>
      </w:r>
      <w:r w:rsidR="00BC631D" w:rsidRPr="0005277C">
        <w:rPr>
          <w:sz w:val="24"/>
          <w:szCs w:val="24"/>
        </w:rPr>
        <w:t xml:space="preserve"> 1250, 1261-1262; </w:t>
      </w:r>
      <w:r w:rsidR="00BC631D" w:rsidRPr="0005277C">
        <w:rPr>
          <w:i/>
          <w:iCs/>
          <w:sz w:val="24"/>
          <w:szCs w:val="24"/>
        </w:rPr>
        <w:t>Register Div. of Freedom Newspapers, Inc. v. County of Orange</w:t>
      </w:r>
      <w:r w:rsidR="00BC631D" w:rsidRPr="0005277C">
        <w:rPr>
          <w:sz w:val="24"/>
          <w:szCs w:val="24"/>
        </w:rPr>
        <w:t xml:space="preserve"> (1984) 158 Cal.App.3d 893, 905; </w:t>
      </w:r>
      <w:r w:rsidR="00BC631D" w:rsidRPr="0005277C">
        <w:rPr>
          <w:i/>
          <w:iCs/>
          <w:sz w:val="24"/>
          <w:szCs w:val="24"/>
        </w:rPr>
        <w:t>Black Panthers v. Kehoe</w:t>
      </w:r>
      <w:r w:rsidR="00BC631D" w:rsidRPr="0005277C">
        <w:rPr>
          <w:sz w:val="24"/>
          <w:szCs w:val="24"/>
        </w:rPr>
        <w:t xml:space="preserve"> (1974) 42 Cal.App.3d 645, 656</w:t>
      </w:r>
      <w:bookmarkStart w:id="4" w:name="_Hlk22309682"/>
      <w:r w:rsidR="00BC631D" w:rsidRPr="0005277C">
        <w:rPr>
          <w:sz w:val="24"/>
          <w:szCs w:val="24"/>
        </w:rPr>
        <w:t xml:space="preserve">; </w:t>
      </w:r>
      <w:bookmarkEnd w:id="4"/>
      <w:r w:rsidR="00BC631D" w:rsidRPr="0005277C">
        <w:rPr>
          <w:sz w:val="24"/>
          <w:szCs w:val="24"/>
        </w:rPr>
        <w:t>Cal. Gov’t. Code § 6253(e): “Except as otherwise prohibited by law, a state or local agency may adopt requirements for itself that allow for faster, more efficient, or greater access to records than prescribed by the minimum standards set forth in this chapter.”; and the penultimate sentence in Cal. Gov’t. Code § 6254: “This section does not prevent any agency from opening its records concerning the administration of the agency to public inspection, unless disclosure is otherwise prohibited by law.”</w:t>
      </w:r>
      <w:r w:rsidR="00D215C3" w:rsidRPr="0005277C">
        <w:rPr>
          <w:sz w:val="24"/>
          <w:szCs w:val="24"/>
        </w:rPr>
        <w:t xml:space="preserve">  Thus, the fact that a record may fall within a CPRA exemption does not preclude its disclosure.  </w:t>
      </w:r>
    </w:p>
  </w:footnote>
  <w:footnote w:id="20">
    <w:p w14:paraId="18EE53F2" w14:textId="76ACF65F" w:rsidR="00490E5A" w:rsidRPr="0005277C" w:rsidRDefault="00490E5A" w:rsidP="00571F79">
      <w:pPr>
        <w:pStyle w:val="FootnoteText"/>
        <w:spacing w:after="120" w:line="240" w:lineRule="exact"/>
        <w:ind w:right="0"/>
        <w:rPr>
          <w:sz w:val="24"/>
          <w:szCs w:val="24"/>
        </w:rPr>
      </w:pPr>
      <w:r w:rsidRPr="0005277C">
        <w:rPr>
          <w:rStyle w:val="FootnoteReference"/>
          <w:b/>
          <w:bCs/>
          <w:sz w:val="24"/>
          <w:szCs w:val="24"/>
          <w:u w:val="single"/>
        </w:rPr>
        <w:footnoteRef/>
      </w:r>
      <w:r w:rsidRPr="0005277C">
        <w:rPr>
          <w:sz w:val="24"/>
          <w:szCs w:val="24"/>
        </w:rPr>
        <w:t xml:space="preserve"> Cal. Gov</w:t>
      </w:r>
      <w:r w:rsidR="00CB08FB" w:rsidRPr="0005277C">
        <w:rPr>
          <w:sz w:val="24"/>
          <w:szCs w:val="24"/>
        </w:rPr>
        <w:t>. Code §§ 6254</w:t>
      </w:r>
      <w:r w:rsidR="0030228F" w:rsidRPr="0005277C">
        <w:rPr>
          <w:sz w:val="24"/>
          <w:szCs w:val="24"/>
        </w:rPr>
        <w:t>(a)</w:t>
      </w:r>
      <w:r w:rsidR="00AA08CD" w:rsidRPr="0005277C">
        <w:rPr>
          <w:sz w:val="24"/>
          <w:szCs w:val="24"/>
        </w:rPr>
        <w:t>:</w:t>
      </w:r>
      <w:r w:rsidR="00AF544E" w:rsidRPr="0005277C">
        <w:rPr>
          <w:sz w:val="24"/>
          <w:szCs w:val="24"/>
        </w:rPr>
        <w:t xml:space="preserve"> “</w:t>
      </w:r>
      <w:r w:rsidR="00581B5F" w:rsidRPr="0005277C">
        <w:rPr>
          <w:sz w:val="24"/>
          <w:szCs w:val="24"/>
        </w:rPr>
        <w:t xml:space="preserve">Preliminary drafts, notes, or interagency or intra-agency memoranda that are not retained by the public agency in the ordinary course of business, if the public interest in withholding those records clearly outweighs the public interest in disclosure.” </w:t>
      </w:r>
      <w:r w:rsidR="00874F65" w:rsidRPr="0005277C">
        <w:rPr>
          <w:sz w:val="24"/>
          <w:szCs w:val="24"/>
        </w:rPr>
        <w:t xml:space="preserve"> 6255(a)</w:t>
      </w:r>
      <w:r w:rsidR="00AA08CD" w:rsidRPr="0005277C">
        <w:rPr>
          <w:sz w:val="24"/>
          <w:szCs w:val="24"/>
        </w:rPr>
        <w:t>: “The agency shall justify withholding any record by demonstrating that the record in question is exempt under express provisions of this chapter or that on the facts of the particular case the public interest served by not disclosing the record clearly outweighs the public interest served by disclosure of the record.”</w:t>
      </w:r>
    </w:p>
  </w:footnote>
  <w:footnote w:id="21">
    <w:p w14:paraId="16AC0FC4" w14:textId="7F973A33" w:rsidR="00BD3992" w:rsidRPr="0005277C" w:rsidRDefault="00BD3992" w:rsidP="00571F79">
      <w:pPr>
        <w:pStyle w:val="FootnoteText"/>
        <w:spacing w:after="120" w:line="240" w:lineRule="exact"/>
        <w:ind w:right="0"/>
        <w:rPr>
          <w:sz w:val="24"/>
          <w:szCs w:val="24"/>
        </w:rPr>
      </w:pPr>
      <w:r w:rsidRPr="0005277C">
        <w:rPr>
          <w:rStyle w:val="FootnoteReference"/>
          <w:b/>
          <w:bCs/>
          <w:sz w:val="24"/>
          <w:szCs w:val="24"/>
          <w:u w:val="single"/>
        </w:rPr>
        <w:footnoteRef/>
      </w:r>
      <w:r w:rsidRPr="0005277C">
        <w:rPr>
          <w:sz w:val="24"/>
          <w:szCs w:val="24"/>
        </w:rPr>
        <w:t xml:space="preserve"> Cal. Evid. Code § 1040(b)(2</w:t>
      </w:r>
      <w:r w:rsidR="00490E5A" w:rsidRPr="0005277C">
        <w:rPr>
          <w:sz w:val="24"/>
          <w:szCs w:val="24"/>
        </w:rPr>
        <w:t>) conditional official information privilege.</w:t>
      </w:r>
    </w:p>
  </w:footnote>
  <w:footnote w:id="22">
    <w:p w14:paraId="31460C39" w14:textId="6A949363" w:rsidR="00874F65" w:rsidRPr="0005277C" w:rsidRDefault="00874F65" w:rsidP="00571F79">
      <w:pPr>
        <w:pStyle w:val="FootnoteText"/>
        <w:spacing w:after="120" w:line="240" w:lineRule="exact"/>
        <w:ind w:right="0"/>
        <w:rPr>
          <w:sz w:val="24"/>
          <w:szCs w:val="24"/>
        </w:rPr>
      </w:pPr>
      <w:r w:rsidRPr="0005277C">
        <w:rPr>
          <w:rStyle w:val="FootnoteReference"/>
          <w:b/>
          <w:bCs/>
          <w:sz w:val="24"/>
          <w:szCs w:val="24"/>
          <w:u w:val="single"/>
        </w:rPr>
        <w:footnoteRef/>
      </w:r>
      <w:r w:rsidRPr="0005277C">
        <w:rPr>
          <w:sz w:val="24"/>
          <w:szCs w:val="24"/>
        </w:rPr>
        <w:t xml:space="preserve"> </w:t>
      </w:r>
      <w:r w:rsidR="001A31AE" w:rsidRPr="0005277C">
        <w:rPr>
          <w:sz w:val="24"/>
          <w:szCs w:val="24"/>
        </w:rPr>
        <w:t xml:space="preserve">E.g., </w:t>
      </w:r>
      <w:r w:rsidRPr="0005277C">
        <w:rPr>
          <w:sz w:val="24"/>
          <w:szCs w:val="24"/>
        </w:rPr>
        <w:t>Cal. Gov. Code § 6254</w:t>
      </w:r>
      <w:r w:rsidR="00477EDD" w:rsidRPr="0005277C">
        <w:rPr>
          <w:sz w:val="24"/>
          <w:szCs w:val="24"/>
        </w:rPr>
        <w:t>(c)</w:t>
      </w:r>
      <w:r w:rsidR="001A31AE" w:rsidRPr="0005277C">
        <w:rPr>
          <w:sz w:val="24"/>
          <w:szCs w:val="24"/>
        </w:rPr>
        <w:t xml:space="preserve">: </w:t>
      </w:r>
      <w:r w:rsidR="003A7FB4" w:rsidRPr="0005277C">
        <w:rPr>
          <w:sz w:val="24"/>
          <w:szCs w:val="24"/>
        </w:rPr>
        <w:t>“Personnel, medical, and similar files, the disclosure of which would result in an unwarranted invasion of personal privacy.</w:t>
      </w:r>
      <w:r w:rsidR="00840953" w:rsidRPr="0005277C">
        <w:rPr>
          <w:sz w:val="24"/>
          <w:szCs w:val="24"/>
        </w:rPr>
        <w:t xml:space="preserve">”  An agency must determine whether </w:t>
      </w:r>
      <w:r w:rsidR="001A31AE" w:rsidRPr="0005277C">
        <w:rPr>
          <w:sz w:val="24"/>
          <w:szCs w:val="24"/>
        </w:rPr>
        <w:t xml:space="preserve">disclosure of personnel, medical, or similar files </w:t>
      </w:r>
      <w:r w:rsidR="00AD361B" w:rsidRPr="0005277C">
        <w:rPr>
          <w:sz w:val="24"/>
          <w:szCs w:val="24"/>
        </w:rPr>
        <w:t xml:space="preserve">would </w:t>
      </w:r>
      <w:r w:rsidR="000D1F54" w:rsidRPr="0005277C">
        <w:rPr>
          <w:sz w:val="24"/>
          <w:szCs w:val="24"/>
        </w:rPr>
        <w:t xml:space="preserve">in fact </w:t>
      </w:r>
      <w:r w:rsidR="001A31AE" w:rsidRPr="0005277C">
        <w:rPr>
          <w:sz w:val="24"/>
          <w:szCs w:val="24"/>
        </w:rPr>
        <w:t>constitute an unwarranted invasion of personal priv</w:t>
      </w:r>
      <w:r w:rsidR="00B72FDD" w:rsidRPr="0005277C">
        <w:rPr>
          <w:sz w:val="24"/>
          <w:szCs w:val="24"/>
        </w:rPr>
        <w:t>acy</w:t>
      </w:r>
      <w:r w:rsidR="00667E29" w:rsidRPr="0005277C">
        <w:rPr>
          <w:sz w:val="24"/>
          <w:szCs w:val="24"/>
        </w:rPr>
        <w:t xml:space="preserve">, in the specific circumstances at </w:t>
      </w:r>
      <w:r w:rsidR="009971DD" w:rsidRPr="0005277C">
        <w:rPr>
          <w:sz w:val="24"/>
          <w:szCs w:val="24"/>
        </w:rPr>
        <w:t>issue</w:t>
      </w:r>
      <w:r w:rsidR="00696D92" w:rsidRPr="0005277C">
        <w:rPr>
          <w:sz w:val="24"/>
          <w:szCs w:val="24"/>
        </w:rPr>
        <w:t>.</w:t>
      </w:r>
      <w:r w:rsidR="00023266" w:rsidRPr="0005277C">
        <w:rPr>
          <w:sz w:val="24"/>
          <w:szCs w:val="24"/>
        </w:rPr>
        <w:t xml:space="preserve">  Such determinations </w:t>
      </w:r>
      <w:r w:rsidR="009F6DD0" w:rsidRPr="0005277C">
        <w:rPr>
          <w:sz w:val="24"/>
          <w:szCs w:val="24"/>
        </w:rPr>
        <w:t xml:space="preserve">generally require an assessment of whether </w:t>
      </w:r>
      <w:r w:rsidR="0047478B" w:rsidRPr="0005277C">
        <w:rPr>
          <w:sz w:val="24"/>
          <w:szCs w:val="24"/>
        </w:rPr>
        <w:t xml:space="preserve">the individuals </w:t>
      </w:r>
      <w:r w:rsidR="00FB14BE" w:rsidRPr="0005277C">
        <w:rPr>
          <w:sz w:val="24"/>
          <w:szCs w:val="24"/>
        </w:rPr>
        <w:t xml:space="preserve">whose information is </w:t>
      </w:r>
      <w:r w:rsidR="000D1F54" w:rsidRPr="0005277C">
        <w:rPr>
          <w:sz w:val="24"/>
          <w:szCs w:val="24"/>
        </w:rPr>
        <w:t>involved</w:t>
      </w:r>
      <w:r w:rsidR="00FB14BE" w:rsidRPr="0005277C">
        <w:rPr>
          <w:sz w:val="24"/>
          <w:szCs w:val="24"/>
        </w:rPr>
        <w:t xml:space="preserve"> have a</w:t>
      </w:r>
      <w:r w:rsidR="000626DD" w:rsidRPr="0005277C">
        <w:rPr>
          <w:sz w:val="24"/>
          <w:szCs w:val="24"/>
        </w:rPr>
        <w:t>n objectively reasonable expectation of priv</w:t>
      </w:r>
      <w:r w:rsidR="0096730E" w:rsidRPr="0005277C">
        <w:rPr>
          <w:sz w:val="24"/>
          <w:szCs w:val="24"/>
        </w:rPr>
        <w:t>acy</w:t>
      </w:r>
      <w:r w:rsidR="000626DD" w:rsidRPr="0005277C">
        <w:rPr>
          <w:sz w:val="24"/>
          <w:szCs w:val="24"/>
        </w:rPr>
        <w:t xml:space="preserve"> in the type of information </w:t>
      </w:r>
      <w:r w:rsidR="006803F5" w:rsidRPr="0005277C">
        <w:rPr>
          <w:sz w:val="24"/>
          <w:szCs w:val="24"/>
        </w:rPr>
        <w:t xml:space="preserve">at issue in the context of </w:t>
      </w:r>
      <w:r w:rsidR="00E040F8" w:rsidRPr="0005277C">
        <w:rPr>
          <w:sz w:val="24"/>
          <w:szCs w:val="24"/>
        </w:rPr>
        <w:t>the particular privacy evaluation.</w:t>
      </w:r>
      <w:r w:rsidR="00BE4773" w:rsidRPr="0005277C">
        <w:rPr>
          <w:sz w:val="24"/>
          <w:szCs w:val="24"/>
        </w:rPr>
        <w:t xml:space="preserve"> See, e.g., </w:t>
      </w:r>
      <w:r w:rsidR="00BE4773" w:rsidRPr="0005277C">
        <w:rPr>
          <w:i/>
          <w:iCs/>
          <w:sz w:val="24"/>
          <w:szCs w:val="24"/>
        </w:rPr>
        <w:t>Hill v. National Collegiate Athletic Assn.</w:t>
      </w:r>
      <w:r w:rsidR="00BE4773" w:rsidRPr="0005277C">
        <w:rPr>
          <w:sz w:val="24"/>
          <w:szCs w:val="24"/>
        </w:rPr>
        <w:t xml:space="preserve">  (1994) 7 Cal.4</w:t>
      </w:r>
      <w:r w:rsidR="00BE4773" w:rsidRPr="0005277C">
        <w:rPr>
          <w:sz w:val="24"/>
          <w:szCs w:val="24"/>
          <w:vertAlign w:val="superscript"/>
        </w:rPr>
        <w:t>th</w:t>
      </w:r>
      <w:r w:rsidR="00BE4773" w:rsidRPr="0005277C">
        <w:rPr>
          <w:sz w:val="24"/>
          <w:szCs w:val="24"/>
        </w:rPr>
        <w:t xml:space="preserve"> 1, Commission Resolutions L-272, L-597.</w:t>
      </w:r>
      <w:r w:rsidR="0098079B" w:rsidRPr="0005277C">
        <w:rPr>
          <w:sz w:val="24"/>
          <w:szCs w:val="24"/>
        </w:rPr>
        <w:t xml:space="preserve">  “Privacy concerns can and should be addressed o</w:t>
      </w:r>
      <w:r w:rsidR="00D40B26" w:rsidRPr="0005277C">
        <w:rPr>
          <w:sz w:val="24"/>
          <w:szCs w:val="24"/>
        </w:rPr>
        <w:t>n</w:t>
      </w:r>
      <w:r w:rsidR="0098079B" w:rsidRPr="0005277C">
        <w:rPr>
          <w:sz w:val="24"/>
          <w:szCs w:val="24"/>
        </w:rPr>
        <w:t xml:space="preserve"> a case-by-case basis.  (See </w:t>
      </w:r>
      <w:r w:rsidR="0098079B" w:rsidRPr="0005277C">
        <w:rPr>
          <w:i/>
          <w:iCs/>
          <w:sz w:val="24"/>
          <w:szCs w:val="24"/>
        </w:rPr>
        <w:t>International Federation</w:t>
      </w:r>
      <w:r w:rsidR="0098079B" w:rsidRPr="0005277C">
        <w:rPr>
          <w:sz w:val="24"/>
          <w:szCs w:val="24"/>
        </w:rPr>
        <w:t xml:space="preserve">, </w:t>
      </w:r>
      <w:r w:rsidR="0098079B" w:rsidRPr="0005277C">
        <w:rPr>
          <w:i/>
          <w:iCs/>
          <w:sz w:val="24"/>
          <w:szCs w:val="24"/>
        </w:rPr>
        <w:t>supra</w:t>
      </w:r>
      <w:r w:rsidR="0098079B" w:rsidRPr="0005277C">
        <w:rPr>
          <w:sz w:val="24"/>
          <w:szCs w:val="24"/>
        </w:rPr>
        <w:t>, 42 Cal.4</w:t>
      </w:r>
      <w:r w:rsidR="0098079B" w:rsidRPr="0005277C">
        <w:rPr>
          <w:sz w:val="24"/>
          <w:szCs w:val="24"/>
          <w:vertAlign w:val="superscript"/>
        </w:rPr>
        <w:t>th</w:t>
      </w:r>
      <w:r w:rsidR="0098079B" w:rsidRPr="0005277C">
        <w:rPr>
          <w:sz w:val="24"/>
          <w:szCs w:val="24"/>
        </w:rPr>
        <w:t xml:space="preserve"> at p. 329 ….)”</w:t>
      </w:r>
      <w:r w:rsidR="0005277C">
        <w:rPr>
          <w:sz w:val="24"/>
          <w:szCs w:val="24"/>
        </w:rPr>
        <w:t xml:space="preserve"> </w:t>
      </w:r>
      <w:r w:rsidR="007C2ED6" w:rsidRPr="0005277C">
        <w:rPr>
          <w:i/>
          <w:iCs/>
          <w:sz w:val="24"/>
          <w:szCs w:val="24"/>
        </w:rPr>
        <w:t xml:space="preserve">City of San </w:t>
      </w:r>
      <w:r w:rsidR="00DC79F8" w:rsidRPr="0005277C">
        <w:rPr>
          <w:i/>
          <w:iCs/>
          <w:sz w:val="24"/>
          <w:szCs w:val="24"/>
        </w:rPr>
        <w:t>J</w:t>
      </w:r>
      <w:r w:rsidR="007C2ED6" w:rsidRPr="0005277C">
        <w:rPr>
          <w:i/>
          <w:iCs/>
          <w:sz w:val="24"/>
          <w:szCs w:val="24"/>
        </w:rPr>
        <w:t>ose v. Superior Court</w:t>
      </w:r>
      <w:r w:rsidR="007C2ED6" w:rsidRPr="0005277C">
        <w:rPr>
          <w:sz w:val="24"/>
          <w:szCs w:val="24"/>
        </w:rPr>
        <w:t xml:space="preserve"> (2017) </w:t>
      </w:r>
      <w:r w:rsidR="00AA42BE" w:rsidRPr="0005277C">
        <w:rPr>
          <w:sz w:val="24"/>
          <w:szCs w:val="24"/>
        </w:rPr>
        <w:t>2 Cal.5</w:t>
      </w:r>
      <w:r w:rsidR="00AA42BE" w:rsidRPr="0005277C">
        <w:rPr>
          <w:sz w:val="24"/>
          <w:szCs w:val="24"/>
          <w:vertAlign w:val="superscript"/>
        </w:rPr>
        <w:t>th</w:t>
      </w:r>
      <w:r w:rsidR="00AA42BE" w:rsidRPr="0005277C">
        <w:rPr>
          <w:sz w:val="24"/>
          <w:szCs w:val="24"/>
        </w:rPr>
        <w:t xml:space="preserve"> 608, 626</w:t>
      </w:r>
      <w:r w:rsidR="0098079B" w:rsidRPr="0005277C">
        <w:rPr>
          <w:sz w:val="24"/>
          <w:szCs w:val="24"/>
        </w:rPr>
        <w:t>.</w:t>
      </w:r>
      <w:r w:rsidR="00AF1C33" w:rsidRPr="0005277C">
        <w:rPr>
          <w:sz w:val="24"/>
          <w:szCs w:val="24"/>
        </w:rPr>
        <w:t xml:space="preserve"> </w:t>
      </w:r>
      <w:bookmarkStart w:id="5" w:name="_Hlk87184410"/>
    </w:p>
    <w:bookmarkEnd w:id="5"/>
  </w:footnote>
  <w:footnote w:id="23">
    <w:p w14:paraId="4D0DFB4A" w14:textId="4BCA878D" w:rsidR="00657843" w:rsidRPr="0005277C" w:rsidRDefault="00657843" w:rsidP="00571F79">
      <w:pPr>
        <w:pStyle w:val="FootnoteText"/>
        <w:spacing w:after="120" w:line="240" w:lineRule="exact"/>
        <w:ind w:right="0"/>
        <w:rPr>
          <w:sz w:val="24"/>
          <w:szCs w:val="24"/>
        </w:rPr>
      </w:pPr>
      <w:r w:rsidRPr="0005277C">
        <w:rPr>
          <w:rStyle w:val="FootnoteReference"/>
          <w:b/>
          <w:bCs/>
          <w:sz w:val="24"/>
          <w:szCs w:val="24"/>
          <w:u w:val="single"/>
        </w:rPr>
        <w:footnoteRef/>
      </w:r>
      <w:r w:rsidRPr="0005277C">
        <w:rPr>
          <w:sz w:val="24"/>
          <w:szCs w:val="24"/>
        </w:rPr>
        <w:t xml:space="preserve"> </w:t>
      </w:r>
      <w:r w:rsidR="006752CE" w:rsidRPr="0005277C">
        <w:rPr>
          <w:sz w:val="24"/>
          <w:szCs w:val="24"/>
        </w:rPr>
        <w:t xml:space="preserve">E.g., </w:t>
      </w:r>
      <w:bookmarkStart w:id="6" w:name="_Hlk86309824"/>
      <w:r w:rsidR="00E4246D" w:rsidRPr="0005277C">
        <w:rPr>
          <w:sz w:val="24"/>
          <w:szCs w:val="24"/>
        </w:rPr>
        <w:t>w</w:t>
      </w:r>
      <w:bookmarkEnd w:id="6"/>
      <w:r w:rsidRPr="0005277C">
        <w:rPr>
          <w:sz w:val="24"/>
          <w:szCs w:val="24"/>
        </w:rPr>
        <w:t xml:space="preserve">here the Commission has established a confidential/public status matrix, as in D.06-06-066 as amended by D.07-05-032, </w:t>
      </w:r>
      <w:r w:rsidR="004B278F" w:rsidRPr="0005277C">
        <w:rPr>
          <w:sz w:val="24"/>
          <w:szCs w:val="24"/>
        </w:rPr>
        <w:t xml:space="preserve">or issued a definitive determination regarding an entire class of records, </w:t>
      </w:r>
      <w:r w:rsidR="0005481D" w:rsidRPr="0005277C">
        <w:rPr>
          <w:sz w:val="24"/>
          <w:szCs w:val="24"/>
        </w:rPr>
        <w:t xml:space="preserve">or </w:t>
      </w:r>
      <w:r w:rsidR="00AE2E0F" w:rsidRPr="0005277C">
        <w:rPr>
          <w:sz w:val="24"/>
          <w:szCs w:val="24"/>
        </w:rPr>
        <w:t>regarding specific records</w:t>
      </w:r>
      <w:r w:rsidR="004C4954" w:rsidRPr="0005277C">
        <w:rPr>
          <w:sz w:val="24"/>
          <w:szCs w:val="24"/>
        </w:rPr>
        <w:t xml:space="preserve"> (G.O. 66-D § 3.4 (a))</w:t>
      </w:r>
      <w:r w:rsidR="00E4246D" w:rsidRPr="0005277C">
        <w:rPr>
          <w:sz w:val="24"/>
          <w:szCs w:val="24"/>
        </w:rPr>
        <w:t>, or where</w:t>
      </w:r>
      <w:r w:rsidR="00594921" w:rsidRPr="0005277C">
        <w:rPr>
          <w:sz w:val="24"/>
          <w:szCs w:val="24"/>
        </w:rPr>
        <w:t xml:space="preserve">, in any proceeding </w:t>
      </w:r>
      <w:r w:rsidR="003A6DD0" w:rsidRPr="0005277C">
        <w:rPr>
          <w:sz w:val="24"/>
          <w:szCs w:val="24"/>
        </w:rPr>
        <w:t>in which the Commission issues a decision requiring the submission of information, the Commission makes a determination of whether the information required by the decision will be treated as public or confidential</w:t>
      </w:r>
      <w:r w:rsidR="00D961B0" w:rsidRPr="0005277C">
        <w:rPr>
          <w:sz w:val="24"/>
          <w:szCs w:val="24"/>
        </w:rPr>
        <w:t xml:space="preserve"> (G.O. 66-D § 3.4(b)</w:t>
      </w:r>
      <w:r w:rsidR="000F39F6" w:rsidRPr="0005277C">
        <w:rPr>
          <w:sz w:val="24"/>
          <w:szCs w:val="24"/>
        </w:rPr>
        <w:t>)</w:t>
      </w:r>
      <w:r w:rsidR="003A6DD0" w:rsidRPr="0005277C">
        <w:rPr>
          <w:sz w:val="24"/>
          <w:szCs w:val="24"/>
        </w:rPr>
        <w:t>.</w:t>
      </w:r>
      <w:r w:rsidR="000F39F6" w:rsidRPr="0005277C">
        <w:rPr>
          <w:sz w:val="24"/>
          <w:szCs w:val="24"/>
        </w:rPr>
        <w:t xml:space="preserve">  </w:t>
      </w:r>
      <w:r w:rsidR="004C4954" w:rsidRPr="0005277C">
        <w:rPr>
          <w:sz w:val="24"/>
          <w:szCs w:val="24"/>
        </w:rPr>
        <w:t xml:space="preserve">  </w:t>
      </w:r>
      <w:r w:rsidR="00AE2E0F" w:rsidRPr="0005277C">
        <w:rPr>
          <w:sz w:val="24"/>
          <w:szCs w:val="24"/>
        </w:rPr>
        <w:t xml:space="preserve"> </w:t>
      </w:r>
    </w:p>
  </w:footnote>
  <w:footnote w:id="24">
    <w:p w14:paraId="36A078D0" w14:textId="184C4083" w:rsidR="00201DB4" w:rsidRPr="0005277C" w:rsidRDefault="00201DB4" w:rsidP="00571F79">
      <w:pPr>
        <w:pStyle w:val="FootnoteText"/>
        <w:spacing w:after="120" w:line="240" w:lineRule="exact"/>
        <w:ind w:right="0"/>
        <w:rPr>
          <w:sz w:val="24"/>
          <w:szCs w:val="24"/>
        </w:rPr>
      </w:pPr>
      <w:r w:rsidRPr="0005277C">
        <w:rPr>
          <w:rStyle w:val="FootnoteReference"/>
          <w:b/>
          <w:bCs/>
          <w:sz w:val="24"/>
          <w:szCs w:val="24"/>
          <w:u w:val="single"/>
        </w:rPr>
        <w:footnoteRef/>
      </w:r>
      <w:r w:rsidRPr="0005277C">
        <w:rPr>
          <w:sz w:val="24"/>
          <w:szCs w:val="24"/>
        </w:rPr>
        <w:t xml:space="preserve"> G.O. 66-D § 3.4 (b): “… The determination of confidentiality in a decision governs the release of the information to the public, including in response to a CPRA request. Any determination to treat certain information as confidential is limited to the particular information required to be submitted in that decision and does not constitute a decision of more general applicability made pursuant to Section 3.4(a).</w:t>
      </w:r>
      <w:r w:rsidR="00B13DC0" w:rsidRPr="0005277C">
        <w:rPr>
          <w:sz w:val="24"/>
          <w:szCs w:val="24"/>
        </w:rPr>
        <w:t>”</w:t>
      </w:r>
      <w:r w:rsidRPr="0005277C">
        <w:rPr>
          <w:sz w:val="24"/>
          <w:szCs w:val="24"/>
        </w:rPr>
        <w:t xml:space="preserve">    </w:t>
      </w:r>
    </w:p>
  </w:footnote>
  <w:footnote w:id="25">
    <w:p w14:paraId="753C3876" w14:textId="60E73440" w:rsidR="003C282E" w:rsidRPr="0005277C" w:rsidRDefault="003C282E" w:rsidP="00571F79">
      <w:pPr>
        <w:pStyle w:val="FootnoteText"/>
        <w:spacing w:after="120" w:line="240" w:lineRule="exact"/>
        <w:ind w:right="0"/>
        <w:rPr>
          <w:sz w:val="24"/>
          <w:szCs w:val="24"/>
        </w:rPr>
      </w:pPr>
      <w:r w:rsidRPr="0005277C">
        <w:rPr>
          <w:rStyle w:val="FootnoteReference"/>
          <w:b/>
          <w:bCs/>
          <w:sz w:val="24"/>
          <w:szCs w:val="24"/>
          <w:u w:val="single"/>
        </w:rPr>
        <w:footnoteRef/>
      </w:r>
      <w:r w:rsidRPr="0005277C">
        <w:rPr>
          <w:sz w:val="24"/>
          <w:szCs w:val="24"/>
        </w:rPr>
        <w:t xml:space="preserve"> Cal. Gov. Code § 6250: “…access to information concerning the conduct of the people’s business is a fundamental and necessary right of every person in this state.”   Cal. Const. Art. 1, </w:t>
      </w:r>
      <w:r w:rsidR="0005277C">
        <w:rPr>
          <w:sz w:val="24"/>
          <w:szCs w:val="24"/>
        </w:rPr>
        <w:br/>
      </w:r>
      <w:r w:rsidRPr="0005277C">
        <w:rPr>
          <w:sz w:val="24"/>
          <w:szCs w:val="24"/>
        </w:rPr>
        <w:t>§ 3(b)(1): “The people have the right to information concerning the conduct of the people’s business, and, therefore, … the writings of public officials and agencies shall be open to public scrutiny.”</w:t>
      </w:r>
    </w:p>
  </w:footnote>
  <w:footnote w:id="26">
    <w:p w14:paraId="01711EC4" w14:textId="49977384" w:rsidR="00E8229B" w:rsidRPr="0005277C" w:rsidRDefault="00E8229B" w:rsidP="00571F79">
      <w:pPr>
        <w:pStyle w:val="FootnoteText"/>
        <w:spacing w:after="120" w:line="240" w:lineRule="exact"/>
        <w:ind w:right="0"/>
        <w:rPr>
          <w:sz w:val="24"/>
          <w:szCs w:val="24"/>
        </w:rPr>
      </w:pPr>
      <w:r w:rsidRPr="0005277C">
        <w:rPr>
          <w:rStyle w:val="FootnoteReference"/>
          <w:b/>
          <w:bCs/>
          <w:sz w:val="24"/>
          <w:szCs w:val="24"/>
          <w:u w:val="single"/>
        </w:rPr>
        <w:footnoteRef/>
      </w:r>
      <w:r w:rsidRPr="0005277C">
        <w:rPr>
          <w:sz w:val="24"/>
          <w:szCs w:val="24"/>
        </w:rPr>
        <w:t xml:space="preserve"> </w:t>
      </w:r>
      <w:r w:rsidR="00F61D4D" w:rsidRPr="0005277C">
        <w:rPr>
          <w:sz w:val="24"/>
          <w:szCs w:val="24"/>
        </w:rPr>
        <w:t>See, e.g.</w:t>
      </w:r>
      <w:r w:rsidR="00284A44" w:rsidRPr="0005277C">
        <w:rPr>
          <w:sz w:val="24"/>
          <w:szCs w:val="24"/>
        </w:rPr>
        <w:t>:</w:t>
      </w:r>
      <w:r w:rsidR="00F61D4D" w:rsidRPr="0005277C">
        <w:rPr>
          <w:i/>
          <w:iCs/>
          <w:sz w:val="24"/>
          <w:szCs w:val="24"/>
        </w:rPr>
        <w:t xml:space="preserve"> City of San Jose v. Superior Court</w:t>
      </w:r>
      <w:r w:rsidR="00F61D4D" w:rsidRPr="0005277C">
        <w:rPr>
          <w:sz w:val="24"/>
          <w:szCs w:val="24"/>
        </w:rPr>
        <w:t xml:space="preserve">, </w:t>
      </w:r>
      <w:r w:rsidR="00F61D4D" w:rsidRPr="0005277C">
        <w:rPr>
          <w:i/>
          <w:iCs/>
          <w:sz w:val="24"/>
          <w:szCs w:val="24"/>
        </w:rPr>
        <w:t>supra</w:t>
      </w:r>
      <w:r w:rsidR="00F61D4D" w:rsidRPr="0005277C">
        <w:rPr>
          <w:sz w:val="24"/>
          <w:szCs w:val="24"/>
        </w:rPr>
        <w:t>, 2 Cal.5</w:t>
      </w:r>
      <w:r w:rsidR="00F61D4D" w:rsidRPr="0005277C">
        <w:rPr>
          <w:sz w:val="24"/>
          <w:szCs w:val="24"/>
          <w:vertAlign w:val="superscript"/>
        </w:rPr>
        <w:t>th</w:t>
      </w:r>
      <w:r w:rsidR="00F61D4D" w:rsidRPr="0005277C">
        <w:rPr>
          <w:sz w:val="24"/>
          <w:szCs w:val="24"/>
        </w:rPr>
        <w:t xml:space="preserve"> at 614: </w:t>
      </w:r>
      <w:r w:rsidR="00244301" w:rsidRPr="0005277C">
        <w:rPr>
          <w:sz w:val="24"/>
          <w:szCs w:val="24"/>
        </w:rPr>
        <w:t>“</w:t>
      </w:r>
      <w:r w:rsidR="00782CB1" w:rsidRPr="0005277C">
        <w:rPr>
          <w:sz w:val="24"/>
          <w:szCs w:val="24"/>
        </w:rPr>
        <w:t>Openness in government is essential to the functioning of a democracy.</w:t>
      </w:r>
      <w:r w:rsidR="00E629A7" w:rsidRPr="0005277C">
        <w:rPr>
          <w:sz w:val="24"/>
          <w:szCs w:val="24"/>
        </w:rPr>
        <w:t xml:space="preserve">  ‘</w:t>
      </w:r>
      <w:r w:rsidR="00BD7761" w:rsidRPr="0005277C">
        <w:rPr>
          <w:sz w:val="24"/>
          <w:szCs w:val="24"/>
        </w:rPr>
        <w:t>Implicit in the democratic process is the notio</w:t>
      </w:r>
      <w:r w:rsidR="00244301" w:rsidRPr="0005277C">
        <w:rPr>
          <w:sz w:val="24"/>
          <w:szCs w:val="24"/>
        </w:rPr>
        <w:t>n</w:t>
      </w:r>
      <w:r w:rsidR="00BD7761" w:rsidRPr="0005277C">
        <w:rPr>
          <w:sz w:val="24"/>
          <w:szCs w:val="24"/>
        </w:rPr>
        <w:t xml:space="preserve"> that government should be </w:t>
      </w:r>
      <w:r w:rsidR="00D95AE9" w:rsidRPr="0005277C">
        <w:rPr>
          <w:sz w:val="24"/>
          <w:szCs w:val="24"/>
        </w:rPr>
        <w:t xml:space="preserve">accountable for its actions.  In order to verify accountability, individuals must have access to </w:t>
      </w:r>
      <w:r w:rsidR="00AD7C99" w:rsidRPr="0005277C">
        <w:rPr>
          <w:sz w:val="24"/>
          <w:szCs w:val="24"/>
        </w:rPr>
        <w:t xml:space="preserve">government files.  Such access permits checks against </w:t>
      </w:r>
      <w:r w:rsidR="0014414C" w:rsidRPr="0005277C">
        <w:rPr>
          <w:sz w:val="24"/>
          <w:szCs w:val="24"/>
        </w:rPr>
        <w:t xml:space="preserve">the arbitrary exercise of official </w:t>
      </w:r>
      <w:r w:rsidR="00E629A7" w:rsidRPr="0005277C">
        <w:rPr>
          <w:sz w:val="24"/>
          <w:szCs w:val="24"/>
        </w:rPr>
        <w:t>p</w:t>
      </w:r>
      <w:r w:rsidR="00244301" w:rsidRPr="0005277C">
        <w:rPr>
          <w:sz w:val="24"/>
          <w:szCs w:val="24"/>
        </w:rPr>
        <w:t>ower and secrecy in the political process</w:t>
      </w:r>
      <w:r w:rsidR="00B7682B" w:rsidRPr="0005277C">
        <w:rPr>
          <w:i/>
          <w:iCs/>
          <w:sz w:val="24"/>
          <w:szCs w:val="24"/>
        </w:rPr>
        <w:t xml:space="preserve">.’”  </w:t>
      </w:r>
      <w:r w:rsidR="00AB5B70" w:rsidRPr="0005277C">
        <w:rPr>
          <w:i/>
          <w:iCs/>
          <w:sz w:val="24"/>
          <w:szCs w:val="24"/>
        </w:rPr>
        <w:t>(</w:t>
      </w:r>
      <w:r w:rsidR="001E66E5" w:rsidRPr="0005277C">
        <w:rPr>
          <w:i/>
          <w:iCs/>
          <w:sz w:val="24"/>
          <w:szCs w:val="24"/>
        </w:rPr>
        <w:t>International Federation of Professional and Technical Engineers, Local 21, AFL-CIO</w:t>
      </w:r>
      <w:r w:rsidR="00C35C7E" w:rsidRPr="0005277C">
        <w:rPr>
          <w:i/>
          <w:iCs/>
          <w:sz w:val="24"/>
          <w:szCs w:val="24"/>
        </w:rPr>
        <w:t xml:space="preserve"> v. Superior Court</w:t>
      </w:r>
      <w:r w:rsidR="00C35C7E" w:rsidRPr="0005277C">
        <w:rPr>
          <w:sz w:val="24"/>
          <w:szCs w:val="24"/>
        </w:rPr>
        <w:t xml:space="preserve"> (2007) 42 Cal.</w:t>
      </w:r>
      <w:r w:rsidR="002C4854" w:rsidRPr="0005277C">
        <w:rPr>
          <w:sz w:val="24"/>
          <w:szCs w:val="24"/>
        </w:rPr>
        <w:t>4</w:t>
      </w:r>
      <w:r w:rsidR="002C4854" w:rsidRPr="0005277C">
        <w:rPr>
          <w:sz w:val="24"/>
          <w:szCs w:val="24"/>
          <w:vertAlign w:val="superscript"/>
        </w:rPr>
        <w:t>th</w:t>
      </w:r>
      <w:r w:rsidR="002C4854" w:rsidRPr="0005277C">
        <w:rPr>
          <w:sz w:val="24"/>
          <w:szCs w:val="24"/>
        </w:rPr>
        <w:t xml:space="preserve"> </w:t>
      </w:r>
      <w:r w:rsidR="0062503F" w:rsidRPr="0005277C">
        <w:rPr>
          <w:sz w:val="24"/>
          <w:szCs w:val="24"/>
        </w:rPr>
        <w:t>h</w:t>
      </w:r>
      <w:r w:rsidR="00C35C7E" w:rsidRPr="0005277C">
        <w:rPr>
          <w:sz w:val="24"/>
          <w:szCs w:val="24"/>
        </w:rPr>
        <w:t>319, 328-329</w:t>
      </w:r>
      <w:r w:rsidR="00AB5B70" w:rsidRPr="0005277C">
        <w:rPr>
          <w:sz w:val="24"/>
          <w:szCs w:val="24"/>
        </w:rPr>
        <w:t>.)</w:t>
      </w:r>
      <w:r w:rsidR="00A74294" w:rsidRPr="0005277C">
        <w:rPr>
          <w:sz w:val="24"/>
          <w:szCs w:val="24"/>
        </w:rPr>
        <w:t xml:space="preserve">  </w:t>
      </w:r>
      <w:r w:rsidR="00565816" w:rsidRPr="0005277C">
        <w:rPr>
          <w:sz w:val="24"/>
          <w:szCs w:val="24"/>
        </w:rPr>
        <w:t xml:space="preserve">See also, </w:t>
      </w:r>
      <w:r w:rsidR="00BD024B" w:rsidRPr="0005277C">
        <w:rPr>
          <w:i/>
          <w:iCs/>
          <w:sz w:val="24"/>
          <w:szCs w:val="24"/>
        </w:rPr>
        <w:t>City of Los Angeles v. Metropolitan Water District of Southern California</w:t>
      </w:r>
      <w:r w:rsidR="00DE6561" w:rsidRPr="0005277C">
        <w:rPr>
          <w:sz w:val="24"/>
          <w:szCs w:val="24"/>
        </w:rPr>
        <w:t xml:space="preserve"> (20</w:t>
      </w:r>
      <w:r w:rsidR="00B87EE4" w:rsidRPr="0005277C">
        <w:rPr>
          <w:sz w:val="24"/>
          <w:szCs w:val="24"/>
        </w:rPr>
        <w:t>19</w:t>
      </w:r>
      <w:r w:rsidR="00DE6561" w:rsidRPr="0005277C">
        <w:rPr>
          <w:sz w:val="24"/>
          <w:szCs w:val="24"/>
        </w:rPr>
        <w:t>)</w:t>
      </w:r>
      <w:r w:rsidR="00B87EE4" w:rsidRPr="0005277C">
        <w:rPr>
          <w:sz w:val="24"/>
          <w:szCs w:val="24"/>
        </w:rPr>
        <w:t xml:space="preserve"> 42 Cal.App.5</w:t>
      </w:r>
      <w:r w:rsidR="00B87EE4" w:rsidRPr="0005277C">
        <w:rPr>
          <w:sz w:val="24"/>
          <w:szCs w:val="24"/>
          <w:vertAlign w:val="superscript"/>
        </w:rPr>
        <w:t>th</w:t>
      </w:r>
      <w:r w:rsidR="00B87EE4" w:rsidRPr="0005277C">
        <w:rPr>
          <w:sz w:val="24"/>
          <w:szCs w:val="24"/>
        </w:rPr>
        <w:t xml:space="preserve"> </w:t>
      </w:r>
      <w:r w:rsidR="008C51D1" w:rsidRPr="0005277C">
        <w:rPr>
          <w:sz w:val="24"/>
          <w:szCs w:val="24"/>
        </w:rPr>
        <w:t xml:space="preserve">290, </w:t>
      </w:r>
      <w:r w:rsidR="00CF080A" w:rsidRPr="0005277C">
        <w:rPr>
          <w:sz w:val="24"/>
          <w:szCs w:val="24"/>
        </w:rPr>
        <w:t>306:</w:t>
      </w:r>
      <w:r w:rsidR="00C468F6" w:rsidRPr="0005277C">
        <w:rPr>
          <w:sz w:val="24"/>
          <w:szCs w:val="24"/>
        </w:rPr>
        <w:t xml:space="preserve"> </w:t>
      </w:r>
      <w:r w:rsidR="00FF21F5" w:rsidRPr="0005277C">
        <w:rPr>
          <w:sz w:val="24"/>
          <w:szCs w:val="24"/>
        </w:rPr>
        <w:t>“4. The Ability of the Public to Monitor the Expenditure of Hundreds of Millions of Dollars in Public Funds Is a Significant Public Benefit.”</w:t>
      </w:r>
      <w:r w:rsidR="00444BD3" w:rsidRPr="0005277C">
        <w:rPr>
          <w:sz w:val="24"/>
          <w:szCs w:val="24"/>
        </w:rPr>
        <w:t xml:space="preserve"> </w:t>
      </w:r>
    </w:p>
  </w:footnote>
  <w:footnote w:id="27">
    <w:p w14:paraId="0739EDFE" w14:textId="51F2DEB8" w:rsidR="00F84E9B" w:rsidRPr="0005277C" w:rsidRDefault="00F84E9B" w:rsidP="00571F79">
      <w:pPr>
        <w:pStyle w:val="FootnoteText"/>
        <w:spacing w:after="120" w:line="240" w:lineRule="exact"/>
        <w:ind w:right="0"/>
        <w:rPr>
          <w:sz w:val="24"/>
          <w:szCs w:val="24"/>
        </w:rPr>
      </w:pPr>
      <w:r w:rsidRPr="0005277C">
        <w:rPr>
          <w:rStyle w:val="FootnoteReference"/>
          <w:b/>
          <w:bCs/>
          <w:sz w:val="24"/>
          <w:szCs w:val="24"/>
          <w:u w:val="single"/>
        </w:rPr>
        <w:footnoteRef/>
      </w:r>
      <w:r w:rsidRPr="0005277C">
        <w:rPr>
          <w:sz w:val="24"/>
          <w:szCs w:val="24"/>
        </w:rPr>
        <w:t xml:space="preserve"> </w:t>
      </w:r>
      <w:r w:rsidR="00C63251" w:rsidRPr="0005277C">
        <w:rPr>
          <w:i/>
          <w:iCs/>
          <w:sz w:val="24"/>
          <w:szCs w:val="24"/>
        </w:rPr>
        <w:t>E.g.,</w:t>
      </w:r>
      <w:r w:rsidR="00C63251" w:rsidRPr="0005277C">
        <w:rPr>
          <w:sz w:val="24"/>
          <w:szCs w:val="24"/>
        </w:rPr>
        <w:t xml:space="preserve"> </w:t>
      </w:r>
      <w:r w:rsidR="00C63251" w:rsidRPr="0005277C">
        <w:rPr>
          <w:i/>
          <w:iCs/>
          <w:sz w:val="24"/>
          <w:szCs w:val="24"/>
        </w:rPr>
        <w:t>County of Santa Clara v. Superior Court</w:t>
      </w:r>
      <w:r w:rsidR="00C63251" w:rsidRPr="0005277C">
        <w:rPr>
          <w:sz w:val="24"/>
          <w:szCs w:val="24"/>
        </w:rPr>
        <w:t xml:space="preserve"> (2009): </w:t>
      </w:r>
      <w:r w:rsidR="00E00CCB" w:rsidRPr="0005277C">
        <w:rPr>
          <w:sz w:val="24"/>
          <w:szCs w:val="24"/>
        </w:rPr>
        <w:t>“‘</w:t>
      </w:r>
      <w:r w:rsidR="00771AF3" w:rsidRPr="0005277C">
        <w:rPr>
          <w:sz w:val="24"/>
          <w:szCs w:val="24"/>
        </w:rPr>
        <w:t xml:space="preserve">If the records sought pertain to the conduct of the people’s business, </w:t>
      </w:r>
      <w:r w:rsidR="00BC6723" w:rsidRPr="0005277C">
        <w:rPr>
          <w:sz w:val="24"/>
          <w:szCs w:val="24"/>
        </w:rPr>
        <w:t xml:space="preserve">there </w:t>
      </w:r>
      <w:r w:rsidR="00BC6723" w:rsidRPr="0005277C">
        <w:rPr>
          <w:i/>
          <w:iCs/>
          <w:sz w:val="24"/>
          <w:szCs w:val="24"/>
        </w:rPr>
        <w:t>is</w:t>
      </w:r>
      <w:r w:rsidR="00BC6723" w:rsidRPr="0005277C">
        <w:rPr>
          <w:sz w:val="24"/>
          <w:szCs w:val="24"/>
        </w:rPr>
        <w:t xml:space="preserve"> a public interest in disclosure. The </w:t>
      </w:r>
      <w:r w:rsidR="00BC6723" w:rsidRPr="0005277C">
        <w:rPr>
          <w:i/>
          <w:iCs/>
          <w:sz w:val="24"/>
          <w:szCs w:val="24"/>
        </w:rPr>
        <w:t>weight</w:t>
      </w:r>
      <w:r w:rsidR="00BC6723" w:rsidRPr="0005277C">
        <w:rPr>
          <w:sz w:val="24"/>
          <w:szCs w:val="24"/>
        </w:rPr>
        <w:t xml:space="preserve"> of that interest </w:t>
      </w:r>
      <w:r w:rsidR="00FC1966" w:rsidRPr="0005277C">
        <w:rPr>
          <w:sz w:val="24"/>
          <w:szCs w:val="24"/>
        </w:rPr>
        <w:t xml:space="preserve">is proportionate to the gravity of the government tasks sought to be illuminated </w:t>
      </w:r>
      <w:r w:rsidR="0078093C" w:rsidRPr="0005277C">
        <w:rPr>
          <w:sz w:val="24"/>
          <w:szCs w:val="24"/>
        </w:rPr>
        <w:t>and the directness with which the disclosure will serve to illuminate.</w:t>
      </w:r>
      <w:r w:rsidR="005C3DAC" w:rsidRPr="0005277C">
        <w:rPr>
          <w:sz w:val="24"/>
          <w:szCs w:val="24"/>
        </w:rPr>
        <w:t>”’ (</w:t>
      </w:r>
      <w:r w:rsidR="005C3DAC" w:rsidRPr="0005277C">
        <w:rPr>
          <w:i/>
          <w:iCs/>
          <w:sz w:val="24"/>
          <w:szCs w:val="24"/>
        </w:rPr>
        <w:t>Connell v Superior Court</w:t>
      </w:r>
      <w:r w:rsidR="005C3DAC" w:rsidRPr="0005277C">
        <w:rPr>
          <w:sz w:val="24"/>
          <w:szCs w:val="24"/>
        </w:rPr>
        <w:t xml:space="preserve"> </w:t>
      </w:r>
      <w:r w:rsidR="008A10BA" w:rsidRPr="0005277C">
        <w:rPr>
          <w:sz w:val="24"/>
          <w:szCs w:val="24"/>
        </w:rPr>
        <w:t>[</w:t>
      </w:r>
      <w:r w:rsidR="0070506B" w:rsidRPr="0005277C">
        <w:rPr>
          <w:sz w:val="24"/>
          <w:szCs w:val="24"/>
        </w:rPr>
        <w:t>(</w:t>
      </w:r>
      <w:r w:rsidR="008A10BA" w:rsidRPr="0005277C">
        <w:rPr>
          <w:sz w:val="24"/>
          <w:szCs w:val="24"/>
        </w:rPr>
        <w:t>1997</w:t>
      </w:r>
      <w:r w:rsidR="0070506B" w:rsidRPr="0005277C">
        <w:rPr>
          <w:sz w:val="24"/>
          <w:szCs w:val="24"/>
        </w:rPr>
        <w:t>) 56 Cal.App.4</w:t>
      </w:r>
      <w:r w:rsidR="0070506B" w:rsidRPr="0005277C">
        <w:rPr>
          <w:sz w:val="24"/>
          <w:szCs w:val="24"/>
          <w:vertAlign w:val="superscript"/>
        </w:rPr>
        <w:t>th</w:t>
      </w:r>
      <w:r w:rsidR="0070506B" w:rsidRPr="0005277C">
        <w:rPr>
          <w:sz w:val="24"/>
          <w:szCs w:val="24"/>
        </w:rPr>
        <w:t xml:space="preserve"> </w:t>
      </w:r>
      <w:r w:rsidR="00F86AFA" w:rsidRPr="0005277C">
        <w:rPr>
          <w:sz w:val="24"/>
          <w:szCs w:val="24"/>
        </w:rPr>
        <w:t>601]</w:t>
      </w:r>
      <w:r w:rsidR="00875C44" w:rsidRPr="0005277C">
        <w:rPr>
          <w:sz w:val="24"/>
          <w:szCs w:val="24"/>
        </w:rPr>
        <w:t xml:space="preserve">, </w:t>
      </w:r>
      <w:r w:rsidR="00875C44" w:rsidRPr="0005277C">
        <w:rPr>
          <w:i/>
          <w:iCs/>
          <w:sz w:val="24"/>
          <w:szCs w:val="24"/>
        </w:rPr>
        <w:t>supra</w:t>
      </w:r>
      <w:r w:rsidR="00875C44" w:rsidRPr="0005277C">
        <w:rPr>
          <w:sz w:val="24"/>
          <w:szCs w:val="24"/>
        </w:rPr>
        <w:t xml:space="preserve">, </w:t>
      </w:r>
      <w:r w:rsidR="000374C7" w:rsidRPr="0005277C">
        <w:rPr>
          <w:sz w:val="24"/>
          <w:szCs w:val="24"/>
        </w:rPr>
        <w:t>56 Cal.App.4</w:t>
      </w:r>
      <w:r w:rsidR="000374C7" w:rsidRPr="0005277C">
        <w:rPr>
          <w:sz w:val="24"/>
          <w:szCs w:val="24"/>
          <w:vertAlign w:val="superscript"/>
        </w:rPr>
        <w:t>th</w:t>
      </w:r>
      <w:r w:rsidR="000374C7" w:rsidRPr="0005277C">
        <w:rPr>
          <w:sz w:val="24"/>
          <w:szCs w:val="24"/>
        </w:rPr>
        <w:t xml:space="preserve"> </w:t>
      </w:r>
      <w:r w:rsidR="00F86AFA" w:rsidRPr="0005277C">
        <w:rPr>
          <w:sz w:val="24"/>
          <w:szCs w:val="24"/>
        </w:rPr>
        <w:t>at p. 616</w:t>
      </w:r>
      <w:r w:rsidR="00CB3B68" w:rsidRPr="0005277C">
        <w:rPr>
          <w:sz w:val="24"/>
          <w:szCs w:val="24"/>
        </w:rPr>
        <w:t xml:space="preserve"> ….) ‘The existence </w:t>
      </w:r>
      <w:r w:rsidR="00D15245" w:rsidRPr="0005277C">
        <w:rPr>
          <w:sz w:val="24"/>
          <w:szCs w:val="24"/>
        </w:rPr>
        <w:t xml:space="preserve">and weight of this public interest </w:t>
      </w:r>
      <w:r w:rsidR="005E049F" w:rsidRPr="0005277C">
        <w:rPr>
          <w:sz w:val="24"/>
          <w:szCs w:val="24"/>
        </w:rPr>
        <w:t>are conclusions derived from the nature of the information</w:t>
      </w:r>
      <w:r w:rsidR="00DC4FB5" w:rsidRPr="0005277C">
        <w:rPr>
          <w:sz w:val="24"/>
          <w:szCs w:val="24"/>
        </w:rPr>
        <w:t>.’ (</w:t>
      </w:r>
      <w:r w:rsidR="00DC4FB5" w:rsidRPr="0005277C">
        <w:rPr>
          <w:i/>
          <w:iCs/>
          <w:sz w:val="24"/>
          <w:szCs w:val="24"/>
        </w:rPr>
        <w:t>Ibid</w:t>
      </w:r>
      <w:r w:rsidR="00DC4FB5" w:rsidRPr="0005277C">
        <w:rPr>
          <w:sz w:val="24"/>
          <w:szCs w:val="24"/>
        </w:rPr>
        <w:t xml:space="preserve">.) As this court put it, the issue is “whether disclosure would contribute significantly </w:t>
      </w:r>
      <w:r w:rsidR="00E94EAE" w:rsidRPr="0005277C">
        <w:rPr>
          <w:sz w:val="24"/>
          <w:szCs w:val="24"/>
        </w:rPr>
        <w:t>to public unders</w:t>
      </w:r>
      <w:r w:rsidR="00CD1D1E" w:rsidRPr="0005277C">
        <w:rPr>
          <w:sz w:val="24"/>
          <w:szCs w:val="24"/>
        </w:rPr>
        <w:t>t</w:t>
      </w:r>
      <w:r w:rsidR="00E94EAE" w:rsidRPr="0005277C">
        <w:rPr>
          <w:sz w:val="24"/>
          <w:szCs w:val="24"/>
        </w:rPr>
        <w:t>anding of governmental activities.</w:t>
      </w:r>
      <w:r w:rsidR="006967CA" w:rsidRPr="0005277C">
        <w:rPr>
          <w:sz w:val="24"/>
          <w:szCs w:val="24"/>
        </w:rPr>
        <w:t>’ (</w:t>
      </w:r>
      <w:r w:rsidR="006967CA" w:rsidRPr="0005277C">
        <w:rPr>
          <w:i/>
          <w:iCs/>
          <w:sz w:val="24"/>
          <w:szCs w:val="24"/>
        </w:rPr>
        <w:t>City of San Jose v. Superior Court</w:t>
      </w:r>
      <w:r w:rsidR="006967CA" w:rsidRPr="0005277C">
        <w:rPr>
          <w:sz w:val="24"/>
          <w:szCs w:val="24"/>
        </w:rPr>
        <w:t xml:space="preserve">, </w:t>
      </w:r>
      <w:r w:rsidR="00E62C25" w:rsidRPr="0005277C">
        <w:rPr>
          <w:sz w:val="24"/>
          <w:szCs w:val="24"/>
        </w:rPr>
        <w:t>[</w:t>
      </w:r>
      <w:r w:rsidR="00E34A42" w:rsidRPr="0005277C">
        <w:rPr>
          <w:sz w:val="24"/>
          <w:szCs w:val="24"/>
        </w:rPr>
        <w:t xml:space="preserve">(1999) 74 </w:t>
      </w:r>
      <w:r w:rsidR="00FF5812" w:rsidRPr="0005277C">
        <w:rPr>
          <w:sz w:val="24"/>
          <w:szCs w:val="24"/>
        </w:rPr>
        <w:t>Cal.App</w:t>
      </w:r>
      <w:r w:rsidR="008530DD" w:rsidRPr="0005277C">
        <w:rPr>
          <w:sz w:val="24"/>
          <w:szCs w:val="24"/>
        </w:rPr>
        <w:t>4th</w:t>
      </w:r>
      <w:r w:rsidR="00E34A42" w:rsidRPr="0005277C">
        <w:rPr>
          <w:sz w:val="24"/>
          <w:szCs w:val="24"/>
        </w:rPr>
        <w:t xml:space="preserve"> 1008</w:t>
      </w:r>
      <w:r w:rsidR="00875C44" w:rsidRPr="0005277C">
        <w:rPr>
          <w:sz w:val="24"/>
          <w:szCs w:val="24"/>
        </w:rPr>
        <w:t>]</w:t>
      </w:r>
      <w:r w:rsidR="00E34A42" w:rsidRPr="0005277C">
        <w:rPr>
          <w:sz w:val="24"/>
          <w:szCs w:val="24"/>
        </w:rPr>
        <w:t xml:space="preserve">, </w:t>
      </w:r>
      <w:r w:rsidR="006967CA" w:rsidRPr="0005277C">
        <w:rPr>
          <w:i/>
          <w:iCs/>
          <w:sz w:val="24"/>
          <w:szCs w:val="24"/>
        </w:rPr>
        <w:t>supra</w:t>
      </w:r>
      <w:r w:rsidR="006967CA" w:rsidRPr="0005277C">
        <w:rPr>
          <w:sz w:val="24"/>
          <w:szCs w:val="24"/>
        </w:rPr>
        <w:t>, 74 Cal.App.4</w:t>
      </w:r>
      <w:r w:rsidR="006967CA" w:rsidRPr="0005277C">
        <w:rPr>
          <w:sz w:val="24"/>
          <w:szCs w:val="24"/>
          <w:vertAlign w:val="superscript"/>
        </w:rPr>
        <w:t>th</w:t>
      </w:r>
      <w:r w:rsidR="006967CA" w:rsidRPr="0005277C">
        <w:rPr>
          <w:sz w:val="24"/>
          <w:szCs w:val="24"/>
        </w:rPr>
        <w:t xml:space="preserve"> </w:t>
      </w:r>
      <w:r w:rsidR="00CD1D1E" w:rsidRPr="0005277C">
        <w:rPr>
          <w:sz w:val="24"/>
          <w:szCs w:val="24"/>
        </w:rPr>
        <w:t xml:space="preserve">at p. 1018 ….)” </w:t>
      </w:r>
    </w:p>
  </w:footnote>
  <w:footnote w:id="28">
    <w:p w14:paraId="2B374722" w14:textId="15FE7C88" w:rsidR="002154F9" w:rsidRPr="0005277C" w:rsidRDefault="002154F9" w:rsidP="00571F79">
      <w:pPr>
        <w:pStyle w:val="FootnoteText"/>
        <w:spacing w:after="120" w:line="240" w:lineRule="exact"/>
        <w:ind w:right="0"/>
        <w:rPr>
          <w:sz w:val="24"/>
          <w:szCs w:val="24"/>
        </w:rPr>
      </w:pPr>
      <w:r w:rsidRPr="0005277C">
        <w:rPr>
          <w:rStyle w:val="FootnoteReference"/>
          <w:b/>
          <w:bCs/>
          <w:sz w:val="24"/>
          <w:szCs w:val="24"/>
          <w:u w:val="single"/>
        </w:rPr>
        <w:footnoteRef/>
      </w:r>
      <w:r w:rsidRPr="0005277C">
        <w:rPr>
          <w:sz w:val="24"/>
          <w:szCs w:val="24"/>
        </w:rPr>
        <w:t xml:space="preserve"> In other words, CPRA exemptions, Evidence Code privileges, and other authority that may limit public access to information must be read narrowly, since they interfere with the public’s right to government information, whereas statutes and other authority requiring or permitting broader disclosure must be read widely, since they support the public’s constitutional and statutory right to most government information.  Cal. Const., Art. 1, § 3</w:t>
      </w:r>
      <w:r w:rsidR="00D47948" w:rsidRPr="0005277C">
        <w:rPr>
          <w:sz w:val="24"/>
          <w:szCs w:val="24"/>
        </w:rPr>
        <w:t>(b)</w:t>
      </w:r>
      <w:r w:rsidR="000372B2" w:rsidRPr="0005277C">
        <w:rPr>
          <w:sz w:val="24"/>
          <w:szCs w:val="24"/>
        </w:rPr>
        <w:t>; see</w:t>
      </w:r>
      <w:r w:rsidR="007E091A" w:rsidRPr="0005277C">
        <w:rPr>
          <w:sz w:val="24"/>
          <w:szCs w:val="24"/>
        </w:rPr>
        <w:t xml:space="preserve">, e.g., </w:t>
      </w:r>
      <w:r w:rsidR="007E091A" w:rsidRPr="0005277C">
        <w:rPr>
          <w:i/>
          <w:iCs/>
          <w:sz w:val="24"/>
          <w:szCs w:val="24"/>
        </w:rPr>
        <w:t>City of San Jose v. Superior Court</w:t>
      </w:r>
      <w:r w:rsidR="007E091A" w:rsidRPr="0005277C">
        <w:rPr>
          <w:sz w:val="24"/>
          <w:szCs w:val="24"/>
        </w:rPr>
        <w:t xml:space="preserve">, </w:t>
      </w:r>
      <w:r w:rsidR="007E091A" w:rsidRPr="0005277C">
        <w:rPr>
          <w:i/>
          <w:iCs/>
          <w:sz w:val="24"/>
          <w:szCs w:val="24"/>
        </w:rPr>
        <w:t>supra</w:t>
      </w:r>
      <w:r w:rsidR="007E091A" w:rsidRPr="0005277C">
        <w:rPr>
          <w:sz w:val="24"/>
          <w:szCs w:val="24"/>
        </w:rPr>
        <w:t xml:space="preserve">, </w:t>
      </w:r>
      <w:r w:rsidR="0018611B" w:rsidRPr="0005277C">
        <w:rPr>
          <w:sz w:val="24"/>
          <w:szCs w:val="24"/>
        </w:rPr>
        <w:t>2 Cal.5</w:t>
      </w:r>
      <w:r w:rsidR="0018611B" w:rsidRPr="0005277C">
        <w:rPr>
          <w:sz w:val="24"/>
          <w:szCs w:val="24"/>
          <w:vertAlign w:val="superscript"/>
        </w:rPr>
        <w:t>th</w:t>
      </w:r>
      <w:r w:rsidR="0018611B" w:rsidRPr="0005277C">
        <w:rPr>
          <w:sz w:val="24"/>
          <w:szCs w:val="24"/>
        </w:rPr>
        <w:t xml:space="preserve"> at 617.</w:t>
      </w:r>
      <w:r w:rsidRPr="0005277C">
        <w:rPr>
          <w:sz w:val="24"/>
          <w:szCs w:val="24"/>
        </w:rPr>
        <w:t xml:space="preserve">      </w:t>
      </w:r>
    </w:p>
  </w:footnote>
  <w:footnote w:id="29">
    <w:p w14:paraId="5DE961FD" w14:textId="24F55BA8" w:rsidR="00A24B4C" w:rsidRPr="0005277C" w:rsidRDefault="00A24B4C" w:rsidP="00571F79">
      <w:pPr>
        <w:pStyle w:val="FootnoteText"/>
        <w:spacing w:after="120" w:line="240" w:lineRule="exact"/>
        <w:ind w:right="0"/>
        <w:rPr>
          <w:sz w:val="24"/>
          <w:szCs w:val="24"/>
        </w:rPr>
      </w:pPr>
      <w:r w:rsidRPr="0005277C">
        <w:rPr>
          <w:rStyle w:val="FootnoteReference"/>
          <w:b/>
          <w:bCs/>
          <w:sz w:val="24"/>
          <w:szCs w:val="24"/>
          <w:u w:val="single"/>
        </w:rPr>
        <w:footnoteRef/>
      </w:r>
      <w:r w:rsidRPr="0005277C">
        <w:rPr>
          <w:sz w:val="24"/>
          <w:szCs w:val="24"/>
        </w:rPr>
        <w:t xml:space="preserve"> General Order 66-D §</w:t>
      </w:r>
      <w:r w:rsidR="00984E34" w:rsidRPr="0005277C">
        <w:rPr>
          <w:sz w:val="24"/>
          <w:szCs w:val="24"/>
        </w:rPr>
        <w:t xml:space="preserve"> 5.2</w:t>
      </w:r>
      <w:r w:rsidRPr="0005277C">
        <w:rPr>
          <w:sz w:val="24"/>
          <w:szCs w:val="24"/>
        </w:rPr>
        <w:t>:</w:t>
      </w:r>
      <w:r w:rsidR="003D3204" w:rsidRPr="0005277C">
        <w:rPr>
          <w:sz w:val="24"/>
          <w:szCs w:val="24"/>
        </w:rPr>
        <w:t xml:space="preserve"> “Information submitted to the Commission with no claim of confidentiality at all may be released to the public</w:t>
      </w:r>
      <w:r w:rsidR="00026AC5" w:rsidRPr="0005277C">
        <w:rPr>
          <w:sz w:val="24"/>
          <w:szCs w:val="24"/>
        </w:rPr>
        <w:t xml:space="preserve"> without further action by the Commission, unless the Commission withholds the information per an exemption of the CPRA. </w:t>
      </w:r>
      <w:r w:rsidR="009651E0" w:rsidRPr="0005277C">
        <w:rPr>
          <w:sz w:val="24"/>
          <w:szCs w:val="24"/>
        </w:rPr>
        <w:t>…”</w:t>
      </w:r>
    </w:p>
  </w:footnote>
  <w:footnote w:id="30">
    <w:p w14:paraId="6608F5CA" w14:textId="1F914B61" w:rsidR="00381222" w:rsidRPr="0005277C" w:rsidRDefault="00381222" w:rsidP="00571F79">
      <w:pPr>
        <w:pStyle w:val="FootnoteText"/>
        <w:spacing w:after="120" w:line="240" w:lineRule="exact"/>
        <w:ind w:right="0"/>
        <w:rPr>
          <w:sz w:val="24"/>
          <w:szCs w:val="24"/>
        </w:rPr>
      </w:pPr>
      <w:r w:rsidRPr="0005277C">
        <w:rPr>
          <w:rStyle w:val="FootnoteReference"/>
          <w:b/>
          <w:bCs/>
          <w:sz w:val="24"/>
          <w:szCs w:val="24"/>
          <w:u w:val="single"/>
        </w:rPr>
        <w:footnoteRef/>
      </w:r>
      <w:r w:rsidRPr="0005277C">
        <w:rPr>
          <w:sz w:val="24"/>
          <w:szCs w:val="24"/>
        </w:rPr>
        <w:t xml:space="preserve"> </w:t>
      </w:r>
      <w:r w:rsidR="009410DF" w:rsidRPr="0005277C">
        <w:rPr>
          <w:sz w:val="24"/>
          <w:szCs w:val="24"/>
        </w:rPr>
        <w:t xml:space="preserve">We have </w:t>
      </w:r>
      <w:r w:rsidR="00282189" w:rsidRPr="0005277C">
        <w:rPr>
          <w:sz w:val="24"/>
          <w:szCs w:val="24"/>
        </w:rPr>
        <w:t xml:space="preserve">a </w:t>
      </w:r>
      <w:r w:rsidR="00A440D5" w:rsidRPr="0005277C">
        <w:rPr>
          <w:sz w:val="24"/>
          <w:szCs w:val="24"/>
        </w:rPr>
        <w:t xml:space="preserve">different </w:t>
      </w:r>
      <w:r w:rsidR="00282189" w:rsidRPr="0005277C">
        <w:rPr>
          <w:sz w:val="24"/>
          <w:szCs w:val="24"/>
        </w:rPr>
        <w:t>op</w:t>
      </w:r>
      <w:r w:rsidR="0025138F" w:rsidRPr="0005277C">
        <w:rPr>
          <w:sz w:val="24"/>
          <w:szCs w:val="24"/>
        </w:rPr>
        <w:t>i</w:t>
      </w:r>
      <w:r w:rsidR="00282189" w:rsidRPr="0005277C">
        <w:rPr>
          <w:sz w:val="24"/>
          <w:szCs w:val="24"/>
        </w:rPr>
        <w:t xml:space="preserve">nion </w:t>
      </w:r>
      <w:r w:rsidR="00A440D5" w:rsidRPr="0005277C">
        <w:rPr>
          <w:sz w:val="24"/>
          <w:szCs w:val="24"/>
        </w:rPr>
        <w:t xml:space="preserve">regarding the identities and work contact information of </w:t>
      </w:r>
      <w:r w:rsidR="00C15138" w:rsidRPr="0005277C">
        <w:rPr>
          <w:sz w:val="24"/>
          <w:szCs w:val="24"/>
        </w:rPr>
        <w:t xml:space="preserve">utility employees and contractors </w:t>
      </w:r>
      <w:r w:rsidR="00E829DF" w:rsidRPr="0005277C">
        <w:rPr>
          <w:sz w:val="24"/>
          <w:szCs w:val="24"/>
        </w:rPr>
        <w:t>contained within records of Commission safety investigations and audits</w:t>
      </w:r>
      <w:r w:rsidR="0025138F" w:rsidRPr="0005277C">
        <w:rPr>
          <w:sz w:val="24"/>
          <w:szCs w:val="24"/>
        </w:rPr>
        <w:t>.</w:t>
      </w:r>
      <w:r w:rsidR="001F3C60" w:rsidRPr="0005277C">
        <w:rPr>
          <w:sz w:val="24"/>
          <w:szCs w:val="24"/>
        </w:rPr>
        <w:t xml:space="preserve"> See, e.g., Resolution</w:t>
      </w:r>
      <w:r w:rsidR="00B074E6" w:rsidRPr="0005277C">
        <w:rPr>
          <w:sz w:val="24"/>
          <w:szCs w:val="24"/>
        </w:rPr>
        <w:t>s</w:t>
      </w:r>
      <w:r w:rsidR="001F3C60" w:rsidRPr="0005277C">
        <w:rPr>
          <w:sz w:val="24"/>
          <w:szCs w:val="24"/>
        </w:rPr>
        <w:t xml:space="preserve"> L-</w:t>
      </w:r>
      <w:r w:rsidR="00B074E6" w:rsidRPr="0005277C">
        <w:rPr>
          <w:sz w:val="24"/>
          <w:szCs w:val="24"/>
        </w:rPr>
        <w:t>597</w:t>
      </w:r>
      <w:r w:rsidR="00615F7B" w:rsidRPr="0005277C">
        <w:rPr>
          <w:sz w:val="24"/>
          <w:szCs w:val="24"/>
        </w:rPr>
        <w:t xml:space="preserve"> (2019) </w:t>
      </w:r>
      <w:r w:rsidR="00705112" w:rsidRPr="0005277C">
        <w:rPr>
          <w:i/>
          <w:iCs/>
          <w:sz w:val="24"/>
          <w:szCs w:val="24"/>
        </w:rPr>
        <w:t>R</w:t>
      </w:r>
      <w:r w:rsidR="00B04E39" w:rsidRPr="0005277C">
        <w:rPr>
          <w:i/>
          <w:iCs/>
          <w:sz w:val="24"/>
          <w:szCs w:val="24"/>
        </w:rPr>
        <w:t xml:space="preserve">e </w:t>
      </w:r>
      <w:r w:rsidR="00DB6DBB" w:rsidRPr="0005277C">
        <w:rPr>
          <w:i/>
          <w:iCs/>
          <w:sz w:val="24"/>
          <w:szCs w:val="24"/>
        </w:rPr>
        <w:t xml:space="preserve">Disclosure of </w:t>
      </w:r>
      <w:r w:rsidR="00B04E39" w:rsidRPr="0005277C">
        <w:rPr>
          <w:i/>
          <w:iCs/>
          <w:sz w:val="24"/>
          <w:szCs w:val="24"/>
        </w:rPr>
        <w:t>Records of Investigations of Southern California Fires</w:t>
      </w:r>
      <w:r w:rsidR="00B074E6" w:rsidRPr="0005277C">
        <w:rPr>
          <w:sz w:val="24"/>
          <w:szCs w:val="24"/>
        </w:rPr>
        <w:t xml:space="preserve">, </w:t>
      </w:r>
      <w:r w:rsidR="008A3842" w:rsidRPr="0005277C">
        <w:rPr>
          <w:sz w:val="24"/>
          <w:szCs w:val="24"/>
        </w:rPr>
        <w:t>L-436</w:t>
      </w:r>
      <w:r w:rsidR="001F6CC8" w:rsidRPr="0005277C">
        <w:rPr>
          <w:sz w:val="24"/>
          <w:szCs w:val="24"/>
        </w:rPr>
        <w:t xml:space="preserve"> (2013) </w:t>
      </w:r>
      <w:r w:rsidR="001F6CC8" w:rsidRPr="0005277C">
        <w:rPr>
          <w:i/>
          <w:iCs/>
          <w:sz w:val="24"/>
          <w:szCs w:val="24"/>
        </w:rPr>
        <w:t>Re Disclosure of Safety Records</w:t>
      </w:r>
      <w:r w:rsidR="001F6CC8" w:rsidRPr="0005277C">
        <w:rPr>
          <w:sz w:val="24"/>
          <w:szCs w:val="24"/>
        </w:rPr>
        <w:t xml:space="preserve">; </w:t>
      </w:r>
      <w:r w:rsidR="006F566F" w:rsidRPr="0005277C">
        <w:rPr>
          <w:sz w:val="24"/>
          <w:szCs w:val="24"/>
        </w:rPr>
        <w:t>L-38</w:t>
      </w:r>
      <w:r w:rsidR="006624B9" w:rsidRPr="0005277C">
        <w:rPr>
          <w:sz w:val="24"/>
          <w:szCs w:val="24"/>
        </w:rPr>
        <w:t>6 (</w:t>
      </w:r>
      <w:r w:rsidR="00E71A8C" w:rsidRPr="0005277C">
        <w:rPr>
          <w:sz w:val="24"/>
          <w:szCs w:val="24"/>
        </w:rPr>
        <w:t>2009</w:t>
      </w:r>
      <w:r w:rsidR="00307C7F" w:rsidRPr="0005277C">
        <w:rPr>
          <w:sz w:val="24"/>
          <w:szCs w:val="24"/>
        </w:rPr>
        <w:t xml:space="preserve">) </w:t>
      </w:r>
      <w:r w:rsidR="005611AC" w:rsidRPr="0005277C">
        <w:rPr>
          <w:i/>
          <w:iCs/>
          <w:sz w:val="24"/>
          <w:szCs w:val="24"/>
        </w:rPr>
        <w:t>R</w:t>
      </w:r>
      <w:r w:rsidR="00F6606F" w:rsidRPr="0005277C">
        <w:rPr>
          <w:i/>
          <w:iCs/>
          <w:sz w:val="24"/>
          <w:szCs w:val="24"/>
        </w:rPr>
        <w:t>e</w:t>
      </w:r>
      <w:r w:rsidR="00DB6DBB" w:rsidRPr="0005277C">
        <w:rPr>
          <w:i/>
          <w:iCs/>
          <w:sz w:val="24"/>
          <w:szCs w:val="24"/>
        </w:rPr>
        <w:t xml:space="preserve"> Discl</w:t>
      </w:r>
      <w:r w:rsidR="00B47674" w:rsidRPr="0005277C">
        <w:rPr>
          <w:i/>
          <w:iCs/>
          <w:sz w:val="24"/>
          <w:szCs w:val="24"/>
        </w:rPr>
        <w:t>osure</w:t>
      </w:r>
      <w:r w:rsidR="00DB6DBB" w:rsidRPr="0005277C">
        <w:rPr>
          <w:i/>
          <w:iCs/>
          <w:sz w:val="24"/>
          <w:szCs w:val="24"/>
        </w:rPr>
        <w:t xml:space="preserve"> of Records </w:t>
      </w:r>
      <w:r w:rsidR="00527DE8" w:rsidRPr="0005277C">
        <w:rPr>
          <w:i/>
          <w:iCs/>
          <w:sz w:val="24"/>
          <w:szCs w:val="24"/>
        </w:rPr>
        <w:t>of</w:t>
      </w:r>
      <w:r w:rsidR="000F42BD" w:rsidRPr="0005277C">
        <w:rPr>
          <w:i/>
          <w:iCs/>
          <w:sz w:val="24"/>
          <w:szCs w:val="24"/>
        </w:rPr>
        <w:t xml:space="preserve"> Investigation of the Derailment of </w:t>
      </w:r>
      <w:r w:rsidR="00993DA6" w:rsidRPr="0005277C">
        <w:rPr>
          <w:i/>
          <w:iCs/>
          <w:sz w:val="24"/>
          <w:szCs w:val="24"/>
        </w:rPr>
        <w:t>San Francisco Municipal Transit Agency Cable Car</w:t>
      </w:r>
      <w:r w:rsidR="00AA46E7" w:rsidRPr="0005277C">
        <w:rPr>
          <w:sz w:val="24"/>
          <w:szCs w:val="24"/>
        </w:rPr>
        <w:t>; D.15</w:t>
      </w:r>
      <w:r w:rsidR="00AC7AE7" w:rsidRPr="0005277C">
        <w:rPr>
          <w:sz w:val="24"/>
          <w:szCs w:val="24"/>
        </w:rPr>
        <w:t xml:space="preserve">-08-032, </w:t>
      </w:r>
      <w:r w:rsidR="00AC7AE7" w:rsidRPr="0005277C">
        <w:rPr>
          <w:i/>
          <w:iCs/>
          <w:sz w:val="24"/>
          <w:szCs w:val="24"/>
        </w:rPr>
        <w:t>supra</w:t>
      </w:r>
      <w:r w:rsidR="00AC7AE7" w:rsidRPr="0005277C">
        <w:rPr>
          <w:sz w:val="24"/>
          <w:szCs w:val="24"/>
        </w:rPr>
        <w:t>.</w:t>
      </w:r>
      <w:r w:rsidR="00CF1509" w:rsidRPr="0005277C">
        <w:rPr>
          <w:sz w:val="24"/>
          <w:szCs w:val="24"/>
        </w:rPr>
        <w:t>.</w:t>
      </w:r>
      <w:r w:rsidR="0025138F" w:rsidRPr="0005277C">
        <w:rPr>
          <w:sz w:val="24"/>
          <w:szCs w:val="24"/>
        </w:rPr>
        <w:t xml:space="preserve"> We </w:t>
      </w:r>
      <w:r w:rsidR="00CB2B1A" w:rsidRPr="0005277C">
        <w:rPr>
          <w:sz w:val="24"/>
          <w:szCs w:val="24"/>
        </w:rPr>
        <w:t xml:space="preserve">do not believe </w:t>
      </w:r>
      <w:r w:rsidR="002D67BD" w:rsidRPr="0005277C">
        <w:rPr>
          <w:sz w:val="24"/>
          <w:szCs w:val="24"/>
        </w:rPr>
        <w:t xml:space="preserve">such individual have an objectively reasonable expectation of privacy in their identities and work contact information </w:t>
      </w:r>
      <w:r w:rsidR="003B62F0" w:rsidRPr="0005277C">
        <w:rPr>
          <w:sz w:val="24"/>
          <w:szCs w:val="24"/>
        </w:rPr>
        <w:t>or that the disclosure of such information would constitute an unwarranted invasion of personal privacy justifying our assertion of the Cal. Gov. Code § 6254(c) exemption</w:t>
      </w:r>
      <w:r w:rsidR="00652C03" w:rsidRPr="0005277C">
        <w:rPr>
          <w:sz w:val="24"/>
          <w:szCs w:val="24"/>
        </w:rPr>
        <w:t xml:space="preserve"> in such </w:t>
      </w:r>
      <w:r w:rsidR="001A3284" w:rsidRPr="0005277C">
        <w:rPr>
          <w:sz w:val="24"/>
          <w:szCs w:val="24"/>
        </w:rPr>
        <w:t xml:space="preserve">contexts. </w:t>
      </w:r>
      <w:r w:rsidR="001A3284" w:rsidRPr="0005277C">
        <w:rPr>
          <w:i/>
          <w:iCs/>
          <w:sz w:val="24"/>
          <w:szCs w:val="24"/>
        </w:rPr>
        <w:t>Hill v. NCAA</w:t>
      </w:r>
      <w:r w:rsidR="00632196" w:rsidRPr="0005277C">
        <w:rPr>
          <w:sz w:val="24"/>
          <w:szCs w:val="24"/>
        </w:rPr>
        <w:t xml:space="preserve">, </w:t>
      </w:r>
      <w:r w:rsidR="00632196" w:rsidRPr="0005277C">
        <w:rPr>
          <w:i/>
          <w:iCs/>
          <w:sz w:val="24"/>
          <w:szCs w:val="24"/>
        </w:rPr>
        <w:t>supra</w:t>
      </w:r>
      <w:r w:rsidR="00632196" w:rsidRPr="0005277C">
        <w:rPr>
          <w:sz w:val="24"/>
          <w:szCs w:val="24"/>
        </w:rPr>
        <w:t xml:space="preserve">, </w:t>
      </w:r>
      <w:r w:rsidR="003443DE" w:rsidRPr="0005277C">
        <w:rPr>
          <w:sz w:val="24"/>
          <w:szCs w:val="24"/>
        </w:rPr>
        <w:t xml:space="preserve">provides a useful </w:t>
      </w:r>
      <w:r w:rsidR="00A83185" w:rsidRPr="0005277C">
        <w:rPr>
          <w:sz w:val="24"/>
          <w:szCs w:val="24"/>
        </w:rPr>
        <w:t>discuss</w:t>
      </w:r>
      <w:r w:rsidR="00BE3AD2" w:rsidRPr="0005277C">
        <w:rPr>
          <w:sz w:val="24"/>
          <w:szCs w:val="24"/>
        </w:rPr>
        <w:t xml:space="preserve">ion of </w:t>
      </w:r>
      <w:r w:rsidR="00A83185" w:rsidRPr="0005277C">
        <w:rPr>
          <w:sz w:val="24"/>
          <w:szCs w:val="24"/>
        </w:rPr>
        <w:t>the contextual nature of privacy interests</w:t>
      </w:r>
      <w:r w:rsidR="00BE3AD2" w:rsidRPr="0005277C">
        <w:rPr>
          <w:sz w:val="24"/>
          <w:szCs w:val="24"/>
        </w:rPr>
        <w:t>.</w:t>
      </w:r>
      <w:r w:rsidR="003B62F0" w:rsidRPr="0005277C">
        <w:rPr>
          <w:sz w:val="24"/>
          <w:szCs w:val="24"/>
        </w:rPr>
        <w:t xml:space="preserve"> Most records requests and subpoenas seeking Commission safety investigation records </w:t>
      </w:r>
      <w:r w:rsidR="00253AD0" w:rsidRPr="0005277C">
        <w:rPr>
          <w:sz w:val="24"/>
          <w:szCs w:val="24"/>
        </w:rPr>
        <w:t xml:space="preserve">come from individuals or companies with a direct interest in </w:t>
      </w:r>
      <w:r w:rsidR="00A110F6" w:rsidRPr="0005277C">
        <w:rPr>
          <w:sz w:val="24"/>
          <w:szCs w:val="24"/>
        </w:rPr>
        <w:t xml:space="preserve">the investigation because they or their loved ones were injured or killed in an incident, </w:t>
      </w:r>
      <w:r w:rsidR="009062A9" w:rsidRPr="0005277C">
        <w:rPr>
          <w:sz w:val="24"/>
          <w:szCs w:val="24"/>
        </w:rPr>
        <w:t xml:space="preserve">they represent such individuals, they represent </w:t>
      </w:r>
      <w:r w:rsidR="0067573E" w:rsidRPr="0005277C">
        <w:rPr>
          <w:sz w:val="24"/>
          <w:szCs w:val="24"/>
        </w:rPr>
        <w:t xml:space="preserve">insurance companies subject to potential claims, they represent </w:t>
      </w:r>
      <w:r w:rsidR="002555ED" w:rsidRPr="0005277C">
        <w:rPr>
          <w:sz w:val="24"/>
          <w:szCs w:val="24"/>
        </w:rPr>
        <w:t xml:space="preserve">companies that may </w:t>
      </w:r>
      <w:r w:rsidR="00D528C0" w:rsidRPr="0005277C">
        <w:rPr>
          <w:sz w:val="24"/>
          <w:szCs w:val="24"/>
        </w:rPr>
        <w:t>make claims or initiate litigation associated with an incident or may have claims or litig</w:t>
      </w:r>
      <w:r w:rsidR="00964958" w:rsidRPr="0005277C">
        <w:rPr>
          <w:sz w:val="24"/>
          <w:szCs w:val="24"/>
        </w:rPr>
        <w:t xml:space="preserve">ation filed against them, or </w:t>
      </w:r>
      <w:r w:rsidR="006660EF" w:rsidRPr="0005277C">
        <w:rPr>
          <w:sz w:val="24"/>
          <w:szCs w:val="24"/>
        </w:rPr>
        <w:t xml:space="preserve">they come </w:t>
      </w:r>
      <w:r w:rsidR="00A853EE" w:rsidRPr="0005277C">
        <w:rPr>
          <w:sz w:val="24"/>
          <w:szCs w:val="24"/>
        </w:rPr>
        <w:t xml:space="preserve">from governmental entities that may have regulatory or law enforcement responsibilities concerning an incident. Withholding </w:t>
      </w:r>
      <w:r w:rsidR="00482B84" w:rsidRPr="0005277C">
        <w:rPr>
          <w:sz w:val="24"/>
          <w:szCs w:val="24"/>
        </w:rPr>
        <w:t xml:space="preserve">utility employee or utility contractor names and contact information in such circumstances could greatly reduce the usefulness of Commission investigation records in </w:t>
      </w:r>
      <w:r w:rsidR="00244FD0" w:rsidRPr="0005277C">
        <w:rPr>
          <w:sz w:val="24"/>
          <w:szCs w:val="24"/>
        </w:rPr>
        <w:t xml:space="preserve">assisting with the resolution of claims or litigation related to </w:t>
      </w:r>
      <w:r w:rsidR="001F3C60" w:rsidRPr="0005277C">
        <w:rPr>
          <w:sz w:val="24"/>
          <w:szCs w:val="24"/>
        </w:rPr>
        <w:t>an incident</w:t>
      </w:r>
      <w:r w:rsidR="00BE3AD2" w:rsidRPr="0005277C">
        <w:rPr>
          <w:sz w:val="24"/>
          <w:szCs w:val="24"/>
        </w:rPr>
        <w:t xml:space="preserve">, and we find that </w:t>
      </w:r>
      <w:r w:rsidR="006C0B11" w:rsidRPr="0005277C">
        <w:rPr>
          <w:sz w:val="24"/>
          <w:szCs w:val="24"/>
        </w:rPr>
        <w:t>the public interest strongly favors the disclosure, rather than the withholding of, such information</w:t>
      </w:r>
      <w:r w:rsidR="00B51D2C" w:rsidRPr="0005277C">
        <w:rPr>
          <w:sz w:val="24"/>
          <w:szCs w:val="24"/>
        </w:rPr>
        <w:t xml:space="preserve"> in most situations</w:t>
      </w:r>
      <w:r w:rsidR="00E36B65" w:rsidRPr="0005277C">
        <w:rPr>
          <w:sz w:val="24"/>
          <w:szCs w:val="24"/>
        </w:rPr>
        <w:t xml:space="preserve">. </w:t>
      </w:r>
      <w:r w:rsidR="00CD5F83" w:rsidRPr="0005277C">
        <w:rPr>
          <w:sz w:val="24"/>
          <w:szCs w:val="24"/>
        </w:rPr>
        <w:t xml:space="preserve">Speculative assertions </w:t>
      </w:r>
      <w:r w:rsidR="00400A51" w:rsidRPr="0005277C">
        <w:rPr>
          <w:sz w:val="24"/>
          <w:szCs w:val="24"/>
        </w:rPr>
        <w:t xml:space="preserve">in confidentiality claims associated with safety </w:t>
      </w:r>
      <w:r w:rsidR="00FC7894" w:rsidRPr="0005277C">
        <w:rPr>
          <w:sz w:val="24"/>
          <w:szCs w:val="24"/>
        </w:rPr>
        <w:t xml:space="preserve">investigation records that </w:t>
      </w:r>
      <w:r w:rsidR="00CD5F83" w:rsidRPr="0005277C">
        <w:rPr>
          <w:sz w:val="24"/>
          <w:szCs w:val="24"/>
        </w:rPr>
        <w:t xml:space="preserve">disclosure would </w:t>
      </w:r>
      <w:r w:rsidR="00FC7894" w:rsidRPr="0005277C">
        <w:rPr>
          <w:sz w:val="24"/>
          <w:szCs w:val="24"/>
        </w:rPr>
        <w:t xml:space="preserve">have adverse consequences for the </w:t>
      </w:r>
      <w:r w:rsidR="002E5D3C" w:rsidRPr="0005277C">
        <w:rPr>
          <w:sz w:val="24"/>
          <w:szCs w:val="24"/>
        </w:rPr>
        <w:t>employees are not persuasive</w:t>
      </w:r>
      <w:r w:rsidR="005B46D7" w:rsidRPr="0005277C">
        <w:rPr>
          <w:sz w:val="24"/>
          <w:szCs w:val="24"/>
        </w:rPr>
        <w:t xml:space="preserve">, and we are aware of no situations in which </w:t>
      </w:r>
      <w:r w:rsidR="00E82482" w:rsidRPr="0005277C">
        <w:rPr>
          <w:sz w:val="24"/>
          <w:szCs w:val="24"/>
        </w:rPr>
        <w:t>our prior disclosures in response to records re</w:t>
      </w:r>
      <w:r w:rsidR="00227E5F" w:rsidRPr="0005277C">
        <w:rPr>
          <w:sz w:val="24"/>
          <w:szCs w:val="24"/>
        </w:rPr>
        <w:t xml:space="preserve">quests or subpoenas have </w:t>
      </w:r>
      <w:r w:rsidR="004F41FC" w:rsidRPr="0005277C">
        <w:rPr>
          <w:sz w:val="24"/>
          <w:szCs w:val="24"/>
        </w:rPr>
        <w:t xml:space="preserve">resulted in physical harm to such employees. </w:t>
      </w:r>
      <w:r w:rsidR="002E5D3C" w:rsidRPr="0005277C">
        <w:rPr>
          <w:sz w:val="24"/>
          <w:szCs w:val="24"/>
        </w:rPr>
        <w:t xml:space="preserve">  </w:t>
      </w:r>
      <w:r w:rsidR="00E36B65" w:rsidRPr="0005277C">
        <w:rPr>
          <w:sz w:val="24"/>
          <w:szCs w:val="24"/>
        </w:rPr>
        <w:t xml:space="preserve"> </w:t>
      </w:r>
      <w:r w:rsidR="006C0B11" w:rsidRPr="0005277C">
        <w:rPr>
          <w:sz w:val="24"/>
          <w:szCs w:val="24"/>
        </w:rPr>
        <w:t xml:space="preserve">  </w:t>
      </w:r>
      <w:r w:rsidR="00244FD0" w:rsidRPr="0005277C">
        <w:rPr>
          <w:sz w:val="24"/>
          <w:szCs w:val="24"/>
        </w:rPr>
        <w:t xml:space="preserve"> </w:t>
      </w:r>
      <w:r w:rsidR="0067573E" w:rsidRPr="0005277C">
        <w:rPr>
          <w:sz w:val="24"/>
          <w:szCs w:val="24"/>
        </w:rPr>
        <w:t xml:space="preserve"> </w:t>
      </w:r>
      <w:r w:rsidR="009062A9" w:rsidRPr="0005277C">
        <w:rPr>
          <w:sz w:val="24"/>
          <w:szCs w:val="24"/>
        </w:rPr>
        <w:t xml:space="preserve"> </w:t>
      </w:r>
      <w:r w:rsidR="003B62F0" w:rsidRPr="0005277C">
        <w:rPr>
          <w:sz w:val="24"/>
          <w:szCs w:val="24"/>
        </w:rPr>
        <w:t xml:space="preserve"> </w:t>
      </w:r>
      <w:r w:rsidR="00C15138" w:rsidRPr="0005277C">
        <w:rPr>
          <w:sz w:val="24"/>
          <w:szCs w:val="24"/>
        </w:rPr>
        <w:t xml:space="preserve"> </w:t>
      </w:r>
      <w:r w:rsidR="00B66045" w:rsidRPr="0005277C">
        <w:rPr>
          <w:sz w:val="24"/>
          <w:szCs w:val="24"/>
        </w:rPr>
        <w:t xml:space="preserve"> </w:t>
      </w:r>
    </w:p>
  </w:footnote>
  <w:footnote w:id="31">
    <w:p w14:paraId="4AAFBBE1" w14:textId="142F957A" w:rsidR="00060BD6" w:rsidRPr="0005277C" w:rsidRDefault="00060BD6" w:rsidP="00571F79">
      <w:pPr>
        <w:pStyle w:val="FootnoteText"/>
        <w:spacing w:after="120" w:line="240" w:lineRule="exact"/>
        <w:ind w:right="0"/>
        <w:rPr>
          <w:sz w:val="24"/>
          <w:szCs w:val="24"/>
        </w:rPr>
      </w:pPr>
      <w:r w:rsidRPr="0005277C">
        <w:rPr>
          <w:rStyle w:val="FootnoteReference"/>
          <w:b/>
          <w:bCs/>
          <w:sz w:val="24"/>
          <w:szCs w:val="24"/>
          <w:u w:val="single"/>
        </w:rPr>
        <w:footnoteRef/>
      </w:r>
      <w:r w:rsidRPr="0005277C">
        <w:rPr>
          <w:sz w:val="24"/>
          <w:szCs w:val="24"/>
        </w:rPr>
        <w:t xml:space="preserve"> Gov. Code </w:t>
      </w:r>
      <w:r w:rsidR="008D35BB" w:rsidRPr="0005277C">
        <w:rPr>
          <w:sz w:val="24"/>
          <w:szCs w:val="24"/>
        </w:rPr>
        <w:t>§</w:t>
      </w:r>
      <w:r w:rsidRPr="0005277C">
        <w:rPr>
          <w:sz w:val="24"/>
          <w:szCs w:val="24"/>
        </w:rPr>
        <w:t xml:space="preserve"> 6260:</w:t>
      </w:r>
      <w:r w:rsidR="00241EDE" w:rsidRPr="0005277C">
        <w:rPr>
          <w:sz w:val="24"/>
          <w:szCs w:val="24"/>
        </w:rPr>
        <w:t xml:space="preserve"> “The provisions of this chapter shall not be deemed in any manner to affect the status of judicial records as it existed immediately prior to the effective date of this section, nor to affect the rights of litigants, including parties to administrative proceedings, under the laws of discovery of this state, nor to limit or impair any rights of discovery in a criminal case.”</w:t>
      </w:r>
    </w:p>
  </w:footnote>
  <w:footnote w:id="32">
    <w:p w14:paraId="52C773FE" w14:textId="77777777" w:rsidR="00060BD6" w:rsidRPr="0005277C" w:rsidRDefault="00060BD6" w:rsidP="00571F79">
      <w:pPr>
        <w:pStyle w:val="FootnoteText"/>
        <w:spacing w:after="120" w:line="240" w:lineRule="exact"/>
        <w:ind w:right="0"/>
        <w:rPr>
          <w:sz w:val="24"/>
          <w:szCs w:val="24"/>
        </w:rPr>
      </w:pPr>
      <w:r w:rsidRPr="0005277C">
        <w:rPr>
          <w:rStyle w:val="FootnoteReference"/>
          <w:b/>
          <w:bCs/>
          <w:sz w:val="24"/>
          <w:szCs w:val="24"/>
          <w:u w:val="single"/>
        </w:rPr>
        <w:footnoteRef/>
      </w:r>
      <w:r w:rsidRPr="0005277C">
        <w:rPr>
          <w:sz w:val="24"/>
          <w:szCs w:val="24"/>
        </w:rPr>
        <w:t xml:space="preserve"> D.20-08-031, pp. 13-14.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DFD00" w14:textId="1E604B18" w:rsidR="002E1ACB" w:rsidRPr="00330EFA" w:rsidRDefault="002E1ACB">
    <w:pPr>
      <w:pStyle w:val="Header"/>
      <w:rPr>
        <w:sz w:val="26"/>
        <w:szCs w:val="26"/>
      </w:rPr>
    </w:pPr>
    <w:r w:rsidRPr="00330EFA">
      <w:rPr>
        <w:sz w:val="26"/>
        <w:szCs w:val="26"/>
      </w:rPr>
      <w:t>Resolution L-</w:t>
    </w:r>
    <w:r w:rsidR="00571F79">
      <w:rPr>
        <w:sz w:val="26"/>
        <w:szCs w:val="26"/>
      </w:rPr>
      <w:t>615</w:t>
    </w:r>
    <w:r w:rsidR="00571F79">
      <w:rPr>
        <w:sz w:val="26"/>
        <w:szCs w:val="26"/>
      </w:rPr>
      <w:tab/>
    </w:r>
    <w:r w:rsidR="00571F79" w:rsidRPr="00571F79">
      <w:rPr>
        <w:b/>
        <w:bCs/>
        <w:sz w:val="26"/>
        <w:szCs w:val="26"/>
      </w:rPr>
      <w:t>DRAFT</w:t>
    </w:r>
    <w:r w:rsidR="00571F79">
      <w:rPr>
        <w:sz w:val="26"/>
        <w:szCs w:val="26"/>
      </w:rPr>
      <w:tab/>
      <w:t>February 24</w:t>
    </w:r>
    <w:r w:rsidR="00C52D29" w:rsidRPr="00330EFA">
      <w:rPr>
        <w:sz w:val="26"/>
        <w:szCs w:val="26"/>
      </w:rPr>
      <w:t>, 202</w:t>
    </w:r>
    <w:r w:rsidR="00596A5E">
      <w:rPr>
        <w:sz w:val="26"/>
        <w:szCs w:val="26"/>
      </w:rPr>
      <w:t>2</w:t>
    </w:r>
  </w:p>
  <w:p w14:paraId="3CAFAD2F" w14:textId="77777777" w:rsidR="002E1ACB" w:rsidRDefault="002E1AC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94A12" w14:textId="1B3CB4EC" w:rsidR="00E45216" w:rsidRDefault="00DD70ED" w:rsidP="00571F79">
    <w:pPr>
      <w:pStyle w:val="Header"/>
      <w:tabs>
        <w:tab w:val="clear" w:pos="4320"/>
        <w:tab w:val="clear" w:pos="8640"/>
      </w:tabs>
      <w:rPr>
        <w:bCs/>
        <w:sz w:val="26"/>
        <w:szCs w:val="26"/>
      </w:rPr>
    </w:pPr>
    <w:r>
      <w:rPr>
        <w:bCs/>
        <w:sz w:val="26"/>
        <w:szCs w:val="26"/>
      </w:rPr>
      <w:tab/>
    </w:r>
    <w:r>
      <w:rPr>
        <w:bCs/>
        <w:sz w:val="26"/>
        <w:szCs w:val="26"/>
      </w:rPr>
      <w:tab/>
    </w:r>
    <w:r>
      <w:rPr>
        <w:bCs/>
        <w:sz w:val="26"/>
        <w:szCs w:val="26"/>
      </w:rPr>
      <w:tab/>
    </w:r>
    <w:r w:rsidR="00571F79">
      <w:rPr>
        <w:bCs/>
        <w:sz w:val="26"/>
        <w:szCs w:val="26"/>
      </w:rPr>
      <w:tab/>
    </w:r>
    <w:r w:rsidR="00571F79">
      <w:rPr>
        <w:bCs/>
        <w:sz w:val="26"/>
        <w:szCs w:val="26"/>
      </w:rPr>
      <w:tab/>
    </w:r>
    <w:r w:rsidR="00571F79" w:rsidRPr="00571F79">
      <w:rPr>
        <w:b/>
        <w:sz w:val="26"/>
        <w:szCs w:val="26"/>
      </w:rPr>
      <w:t>DRAFT</w:t>
    </w:r>
    <w:r w:rsidR="00571F79">
      <w:rPr>
        <w:bCs/>
        <w:sz w:val="26"/>
        <w:szCs w:val="26"/>
      </w:rPr>
      <w:tab/>
    </w:r>
    <w:r w:rsidR="00571F79">
      <w:rPr>
        <w:bCs/>
        <w:sz w:val="26"/>
        <w:szCs w:val="26"/>
      </w:rPr>
      <w:tab/>
      <w:t xml:space="preserve">Item ____ [Agenda ID </w:t>
    </w:r>
    <w:r w:rsidR="00E751FB">
      <w:rPr>
        <w:bCs/>
        <w:sz w:val="26"/>
        <w:szCs w:val="26"/>
      </w:rPr>
      <w:t>20248]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B0EC5"/>
    <w:multiLevelType w:val="hybridMultilevel"/>
    <w:tmpl w:val="C1626F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850A26"/>
    <w:multiLevelType w:val="singleLevel"/>
    <w:tmpl w:val="08E23344"/>
    <w:lvl w:ilvl="0">
      <w:start w:val="1"/>
      <w:numFmt w:val="decimal"/>
      <w:lvlText w:val="%1."/>
      <w:legacy w:legacy="1" w:legacySpace="0" w:legacyIndent="360"/>
      <w:lvlJc w:val="left"/>
      <w:pPr>
        <w:ind w:left="360" w:hanging="360"/>
      </w:pPr>
    </w:lvl>
  </w:abstractNum>
  <w:abstractNum w:abstractNumId="2" w15:restartNumberingAfterBreak="0">
    <w:nsid w:val="2E2E4BFE"/>
    <w:multiLevelType w:val="hybridMultilevel"/>
    <w:tmpl w:val="366C20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653B9D"/>
    <w:multiLevelType w:val="hybridMultilevel"/>
    <w:tmpl w:val="D7E4E5F0"/>
    <w:lvl w:ilvl="0" w:tplc="CC788F3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A22C59"/>
    <w:multiLevelType w:val="hybridMultilevel"/>
    <w:tmpl w:val="EF80C5C8"/>
    <w:lvl w:ilvl="0" w:tplc="0409000F">
      <w:start w:val="1"/>
      <w:numFmt w:val="decimal"/>
      <w:lvlText w:val="%1."/>
      <w:lvlJc w:val="left"/>
      <w:pPr>
        <w:tabs>
          <w:tab w:val="num" w:pos="1095"/>
        </w:tabs>
        <w:ind w:left="1095" w:hanging="360"/>
      </w:p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5" w15:restartNumberingAfterBreak="0">
    <w:nsid w:val="3FDC28AA"/>
    <w:multiLevelType w:val="hybridMultilevel"/>
    <w:tmpl w:val="850A4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0B73B6"/>
    <w:multiLevelType w:val="hybridMultilevel"/>
    <w:tmpl w:val="DC1CD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F72471"/>
    <w:multiLevelType w:val="multilevel"/>
    <w:tmpl w:val="71E61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0B12A2"/>
    <w:multiLevelType w:val="hybridMultilevel"/>
    <w:tmpl w:val="58F8B6E6"/>
    <w:lvl w:ilvl="0" w:tplc="04090001">
      <w:start w:val="76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1D6179"/>
    <w:multiLevelType w:val="hybridMultilevel"/>
    <w:tmpl w:val="6C242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lvlOverride w:ilvl="0">
      <w:lvl w:ilvl="0">
        <w:start w:val="1"/>
        <w:numFmt w:val="decimal"/>
        <w:lvlText w:val="%1."/>
        <w:legacy w:legacy="1" w:legacySpace="0" w:legacyIndent="360"/>
        <w:lvlJc w:val="left"/>
        <w:pPr>
          <w:ind w:left="450" w:hanging="360"/>
        </w:pPr>
      </w:lvl>
    </w:lvlOverride>
  </w:num>
  <w:num w:numId="5">
    <w:abstractNumId w:val="8"/>
  </w:num>
  <w:num w:numId="6">
    <w:abstractNumId w:val="3"/>
  </w:num>
  <w:num w:numId="7">
    <w:abstractNumId w:val="7"/>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117"/>
    <w:rsid w:val="00000557"/>
    <w:rsid w:val="00002EF4"/>
    <w:rsid w:val="00003657"/>
    <w:rsid w:val="00003A4E"/>
    <w:rsid w:val="000052D6"/>
    <w:rsid w:val="000057AB"/>
    <w:rsid w:val="0000644F"/>
    <w:rsid w:val="00006995"/>
    <w:rsid w:val="000069B1"/>
    <w:rsid w:val="00007AAE"/>
    <w:rsid w:val="0001006C"/>
    <w:rsid w:val="000135E8"/>
    <w:rsid w:val="00015ABA"/>
    <w:rsid w:val="000173CB"/>
    <w:rsid w:val="00023266"/>
    <w:rsid w:val="00024281"/>
    <w:rsid w:val="00025CA1"/>
    <w:rsid w:val="000261F6"/>
    <w:rsid w:val="00026AC5"/>
    <w:rsid w:val="00026C22"/>
    <w:rsid w:val="0002725B"/>
    <w:rsid w:val="00027BF3"/>
    <w:rsid w:val="00027F28"/>
    <w:rsid w:val="00032E0A"/>
    <w:rsid w:val="000346BE"/>
    <w:rsid w:val="000353A6"/>
    <w:rsid w:val="000357DE"/>
    <w:rsid w:val="000372B2"/>
    <w:rsid w:val="000374C7"/>
    <w:rsid w:val="00037A67"/>
    <w:rsid w:val="00040306"/>
    <w:rsid w:val="00040FFA"/>
    <w:rsid w:val="0004107D"/>
    <w:rsid w:val="00041F94"/>
    <w:rsid w:val="00051E1A"/>
    <w:rsid w:val="0005277C"/>
    <w:rsid w:val="00052850"/>
    <w:rsid w:val="00053589"/>
    <w:rsid w:val="000547BC"/>
    <w:rsid w:val="0005481D"/>
    <w:rsid w:val="00055309"/>
    <w:rsid w:val="0005552E"/>
    <w:rsid w:val="00055B74"/>
    <w:rsid w:val="0005698A"/>
    <w:rsid w:val="00060BD6"/>
    <w:rsid w:val="000626DD"/>
    <w:rsid w:val="00063D43"/>
    <w:rsid w:val="000663DE"/>
    <w:rsid w:val="00066494"/>
    <w:rsid w:val="000668BE"/>
    <w:rsid w:val="00067C3D"/>
    <w:rsid w:val="00073F9C"/>
    <w:rsid w:val="000757AE"/>
    <w:rsid w:val="00077301"/>
    <w:rsid w:val="00083440"/>
    <w:rsid w:val="000859CC"/>
    <w:rsid w:val="0008738A"/>
    <w:rsid w:val="00087FC2"/>
    <w:rsid w:val="00090C15"/>
    <w:rsid w:val="00092916"/>
    <w:rsid w:val="0009367B"/>
    <w:rsid w:val="000966A1"/>
    <w:rsid w:val="00096E72"/>
    <w:rsid w:val="000A0A70"/>
    <w:rsid w:val="000A0BF4"/>
    <w:rsid w:val="000A22BE"/>
    <w:rsid w:val="000A4F49"/>
    <w:rsid w:val="000A4F9B"/>
    <w:rsid w:val="000A6BB0"/>
    <w:rsid w:val="000A789D"/>
    <w:rsid w:val="000B0203"/>
    <w:rsid w:val="000B1367"/>
    <w:rsid w:val="000B38A7"/>
    <w:rsid w:val="000B51E7"/>
    <w:rsid w:val="000B7B48"/>
    <w:rsid w:val="000C0965"/>
    <w:rsid w:val="000C2ADE"/>
    <w:rsid w:val="000C3602"/>
    <w:rsid w:val="000C3C7E"/>
    <w:rsid w:val="000C4075"/>
    <w:rsid w:val="000C4CCF"/>
    <w:rsid w:val="000C580F"/>
    <w:rsid w:val="000C58FB"/>
    <w:rsid w:val="000C6E5B"/>
    <w:rsid w:val="000C72A4"/>
    <w:rsid w:val="000C7AC8"/>
    <w:rsid w:val="000D1F54"/>
    <w:rsid w:val="000D2E35"/>
    <w:rsid w:val="000D3796"/>
    <w:rsid w:val="000D6179"/>
    <w:rsid w:val="000D6C8A"/>
    <w:rsid w:val="000D7382"/>
    <w:rsid w:val="000E0B51"/>
    <w:rsid w:val="000E2225"/>
    <w:rsid w:val="000E24C6"/>
    <w:rsid w:val="000E27DD"/>
    <w:rsid w:val="000E5213"/>
    <w:rsid w:val="000E600B"/>
    <w:rsid w:val="000E688B"/>
    <w:rsid w:val="000E6B03"/>
    <w:rsid w:val="000F03F0"/>
    <w:rsid w:val="000F069E"/>
    <w:rsid w:val="000F263B"/>
    <w:rsid w:val="000F2B97"/>
    <w:rsid w:val="000F2FE4"/>
    <w:rsid w:val="000F39F6"/>
    <w:rsid w:val="000F42BD"/>
    <w:rsid w:val="000F50FE"/>
    <w:rsid w:val="000F5BCF"/>
    <w:rsid w:val="000F641B"/>
    <w:rsid w:val="000F6920"/>
    <w:rsid w:val="000F7736"/>
    <w:rsid w:val="000F7B4F"/>
    <w:rsid w:val="000F7C2A"/>
    <w:rsid w:val="001004DE"/>
    <w:rsid w:val="001007A4"/>
    <w:rsid w:val="00100FD3"/>
    <w:rsid w:val="00101452"/>
    <w:rsid w:val="00102AC8"/>
    <w:rsid w:val="00103448"/>
    <w:rsid w:val="00103CCD"/>
    <w:rsid w:val="00110BFD"/>
    <w:rsid w:val="00112166"/>
    <w:rsid w:val="001141A0"/>
    <w:rsid w:val="00114B00"/>
    <w:rsid w:val="001161DA"/>
    <w:rsid w:val="00117960"/>
    <w:rsid w:val="001201CE"/>
    <w:rsid w:val="00121FD8"/>
    <w:rsid w:val="00122BC5"/>
    <w:rsid w:val="0012376A"/>
    <w:rsid w:val="001267FC"/>
    <w:rsid w:val="00126C4A"/>
    <w:rsid w:val="00126EDD"/>
    <w:rsid w:val="001272FE"/>
    <w:rsid w:val="00127363"/>
    <w:rsid w:val="00130326"/>
    <w:rsid w:val="0013244D"/>
    <w:rsid w:val="00132681"/>
    <w:rsid w:val="00132F85"/>
    <w:rsid w:val="00134149"/>
    <w:rsid w:val="00135981"/>
    <w:rsid w:val="0013648E"/>
    <w:rsid w:val="00137020"/>
    <w:rsid w:val="00137212"/>
    <w:rsid w:val="00140325"/>
    <w:rsid w:val="00140F22"/>
    <w:rsid w:val="00143AD7"/>
    <w:rsid w:val="0014414C"/>
    <w:rsid w:val="00144720"/>
    <w:rsid w:val="00144A41"/>
    <w:rsid w:val="00145222"/>
    <w:rsid w:val="0014551D"/>
    <w:rsid w:val="00145620"/>
    <w:rsid w:val="001459D0"/>
    <w:rsid w:val="00146246"/>
    <w:rsid w:val="00151393"/>
    <w:rsid w:val="001517D5"/>
    <w:rsid w:val="00151C2B"/>
    <w:rsid w:val="00151D69"/>
    <w:rsid w:val="00155B7B"/>
    <w:rsid w:val="00155F67"/>
    <w:rsid w:val="00157DAE"/>
    <w:rsid w:val="00160D7F"/>
    <w:rsid w:val="00161A7B"/>
    <w:rsid w:val="001647FB"/>
    <w:rsid w:val="00164EAC"/>
    <w:rsid w:val="00165574"/>
    <w:rsid w:val="00166590"/>
    <w:rsid w:val="00166A24"/>
    <w:rsid w:val="001673BA"/>
    <w:rsid w:val="00171F7A"/>
    <w:rsid w:val="00172CBB"/>
    <w:rsid w:val="00173AF5"/>
    <w:rsid w:val="00175892"/>
    <w:rsid w:val="0017650A"/>
    <w:rsid w:val="00176C7A"/>
    <w:rsid w:val="00177040"/>
    <w:rsid w:val="001775AC"/>
    <w:rsid w:val="0018064D"/>
    <w:rsid w:val="00181061"/>
    <w:rsid w:val="0018110B"/>
    <w:rsid w:val="001829AE"/>
    <w:rsid w:val="00182DF6"/>
    <w:rsid w:val="00184D1B"/>
    <w:rsid w:val="0018611B"/>
    <w:rsid w:val="00187076"/>
    <w:rsid w:val="00187528"/>
    <w:rsid w:val="00187CAC"/>
    <w:rsid w:val="00190163"/>
    <w:rsid w:val="00190197"/>
    <w:rsid w:val="00191FED"/>
    <w:rsid w:val="0019361A"/>
    <w:rsid w:val="00193F14"/>
    <w:rsid w:val="001950C8"/>
    <w:rsid w:val="00195A84"/>
    <w:rsid w:val="00195FB2"/>
    <w:rsid w:val="00196051"/>
    <w:rsid w:val="00196128"/>
    <w:rsid w:val="00196B4A"/>
    <w:rsid w:val="001A2D3F"/>
    <w:rsid w:val="001A31AE"/>
    <w:rsid w:val="001A3284"/>
    <w:rsid w:val="001A41DC"/>
    <w:rsid w:val="001A43BC"/>
    <w:rsid w:val="001A43FE"/>
    <w:rsid w:val="001A5A10"/>
    <w:rsid w:val="001A5AE0"/>
    <w:rsid w:val="001A5B96"/>
    <w:rsid w:val="001A72F9"/>
    <w:rsid w:val="001A75B5"/>
    <w:rsid w:val="001B0462"/>
    <w:rsid w:val="001B0AB5"/>
    <w:rsid w:val="001B13B3"/>
    <w:rsid w:val="001B542B"/>
    <w:rsid w:val="001B595E"/>
    <w:rsid w:val="001B60A7"/>
    <w:rsid w:val="001B64C1"/>
    <w:rsid w:val="001B79C2"/>
    <w:rsid w:val="001C0856"/>
    <w:rsid w:val="001C15D4"/>
    <w:rsid w:val="001C163E"/>
    <w:rsid w:val="001C2FAE"/>
    <w:rsid w:val="001C33F6"/>
    <w:rsid w:val="001C3502"/>
    <w:rsid w:val="001C5EF9"/>
    <w:rsid w:val="001C6338"/>
    <w:rsid w:val="001C6828"/>
    <w:rsid w:val="001C6CD3"/>
    <w:rsid w:val="001D2F62"/>
    <w:rsid w:val="001D4269"/>
    <w:rsid w:val="001E08BB"/>
    <w:rsid w:val="001E2017"/>
    <w:rsid w:val="001E2E90"/>
    <w:rsid w:val="001E3866"/>
    <w:rsid w:val="001E4B9F"/>
    <w:rsid w:val="001E5064"/>
    <w:rsid w:val="001E66E5"/>
    <w:rsid w:val="001F17A9"/>
    <w:rsid w:val="001F2FC5"/>
    <w:rsid w:val="001F3C60"/>
    <w:rsid w:val="001F46D4"/>
    <w:rsid w:val="001F5A33"/>
    <w:rsid w:val="001F6CC8"/>
    <w:rsid w:val="001F70E1"/>
    <w:rsid w:val="001F7B29"/>
    <w:rsid w:val="002007A0"/>
    <w:rsid w:val="002008B0"/>
    <w:rsid w:val="002019C4"/>
    <w:rsid w:val="00201DB4"/>
    <w:rsid w:val="0020416A"/>
    <w:rsid w:val="002050A8"/>
    <w:rsid w:val="002055A9"/>
    <w:rsid w:val="00205F1B"/>
    <w:rsid w:val="00206F72"/>
    <w:rsid w:val="00207479"/>
    <w:rsid w:val="00207A16"/>
    <w:rsid w:val="00207D83"/>
    <w:rsid w:val="002106AD"/>
    <w:rsid w:val="0021211A"/>
    <w:rsid w:val="00212DE0"/>
    <w:rsid w:val="0021305A"/>
    <w:rsid w:val="00213358"/>
    <w:rsid w:val="002154F9"/>
    <w:rsid w:val="00217301"/>
    <w:rsid w:val="00217836"/>
    <w:rsid w:val="00220FF4"/>
    <w:rsid w:val="00221CAB"/>
    <w:rsid w:val="00224D4E"/>
    <w:rsid w:val="00227BE0"/>
    <w:rsid w:val="00227D42"/>
    <w:rsid w:val="00227E5F"/>
    <w:rsid w:val="00232430"/>
    <w:rsid w:val="0023674F"/>
    <w:rsid w:val="00237827"/>
    <w:rsid w:val="00240905"/>
    <w:rsid w:val="00241EDE"/>
    <w:rsid w:val="0024213C"/>
    <w:rsid w:val="002436C8"/>
    <w:rsid w:val="00244301"/>
    <w:rsid w:val="00244460"/>
    <w:rsid w:val="00244556"/>
    <w:rsid w:val="00244729"/>
    <w:rsid w:val="00244EAE"/>
    <w:rsid w:val="00244FD0"/>
    <w:rsid w:val="00246200"/>
    <w:rsid w:val="00247432"/>
    <w:rsid w:val="00250662"/>
    <w:rsid w:val="00250855"/>
    <w:rsid w:val="002512E2"/>
    <w:rsid w:val="0025138F"/>
    <w:rsid w:val="00251655"/>
    <w:rsid w:val="00253AD0"/>
    <w:rsid w:val="00254AAD"/>
    <w:rsid w:val="00254D19"/>
    <w:rsid w:val="002555ED"/>
    <w:rsid w:val="0025632F"/>
    <w:rsid w:val="00256BDD"/>
    <w:rsid w:val="0026084F"/>
    <w:rsid w:val="0026506B"/>
    <w:rsid w:val="0026591E"/>
    <w:rsid w:val="002667C6"/>
    <w:rsid w:val="002678BD"/>
    <w:rsid w:val="00272DBD"/>
    <w:rsid w:val="0027386F"/>
    <w:rsid w:val="002743EF"/>
    <w:rsid w:val="00274FD0"/>
    <w:rsid w:val="00275943"/>
    <w:rsid w:val="00281BDD"/>
    <w:rsid w:val="00282189"/>
    <w:rsid w:val="002837AA"/>
    <w:rsid w:val="0028425C"/>
    <w:rsid w:val="0028452D"/>
    <w:rsid w:val="002849D1"/>
    <w:rsid w:val="00284A44"/>
    <w:rsid w:val="00285789"/>
    <w:rsid w:val="00285EBA"/>
    <w:rsid w:val="0028701E"/>
    <w:rsid w:val="00287F56"/>
    <w:rsid w:val="00287FAA"/>
    <w:rsid w:val="00290689"/>
    <w:rsid w:val="00290E06"/>
    <w:rsid w:val="00292DC0"/>
    <w:rsid w:val="00292F2D"/>
    <w:rsid w:val="002946C7"/>
    <w:rsid w:val="002946D5"/>
    <w:rsid w:val="002949D8"/>
    <w:rsid w:val="00296B98"/>
    <w:rsid w:val="00297FBB"/>
    <w:rsid w:val="002A01DF"/>
    <w:rsid w:val="002A260B"/>
    <w:rsid w:val="002A2B1D"/>
    <w:rsid w:val="002A2C81"/>
    <w:rsid w:val="002A2E84"/>
    <w:rsid w:val="002A3546"/>
    <w:rsid w:val="002A407C"/>
    <w:rsid w:val="002A46D4"/>
    <w:rsid w:val="002A4DBB"/>
    <w:rsid w:val="002A4F6F"/>
    <w:rsid w:val="002A51E1"/>
    <w:rsid w:val="002A63A8"/>
    <w:rsid w:val="002A7526"/>
    <w:rsid w:val="002B3D95"/>
    <w:rsid w:val="002B3DFE"/>
    <w:rsid w:val="002B43E7"/>
    <w:rsid w:val="002B4B2F"/>
    <w:rsid w:val="002B6789"/>
    <w:rsid w:val="002B6E98"/>
    <w:rsid w:val="002B7525"/>
    <w:rsid w:val="002C1D86"/>
    <w:rsid w:val="002C3117"/>
    <w:rsid w:val="002C4854"/>
    <w:rsid w:val="002C522F"/>
    <w:rsid w:val="002C59BD"/>
    <w:rsid w:val="002C6160"/>
    <w:rsid w:val="002C6AE8"/>
    <w:rsid w:val="002D0195"/>
    <w:rsid w:val="002D5579"/>
    <w:rsid w:val="002D55D9"/>
    <w:rsid w:val="002D5E70"/>
    <w:rsid w:val="002D67BD"/>
    <w:rsid w:val="002D6FE2"/>
    <w:rsid w:val="002D7250"/>
    <w:rsid w:val="002D76BF"/>
    <w:rsid w:val="002E0728"/>
    <w:rsid w:val="002E0861"/>
    <w:rsid w:val="002E1ACB"/>
    <w:rsid w:val="002E1F29"/>
    <w:rsid w:val="002E3ECD"/>
    <w:rsid w:val="002E5D3C"/>
    <w:rsid w:val="002F1012"/>
    <w:rsid w:val="002F1DDF"/>
    <w:rsid w:val="002F210F"/>
    <w:rsid w:val="002F3524"/>
    <w:rsid w:val="002F4A3A"/>
    <w:rsid w:val="002F5200"/>
    <w:rsid w:val="002F56A6"/>
    <w:rsid w:val="002F5FC8"/>
    <w:rsid w:val="00300167"/>
    <w:rsid w:val="003013AA"/>
    <w:rsid w:val="00301714"/>
    <w:rsid w:val="0030228F"/>
    <w:rsid w:val="00302328"/>
    <w:rsid w:val="00304101"/>
    <w:rsid w:val="0030433E"/>
    <w:rsid w:val="003048C5"/>
    <w:rsid w:val="00304BF8"/>
    <w:rsid w:val="0030557D"/>
    <w:rsid w:val="00305709"/>
    <w:rsid w:val="00307C7F"/>
    <w:rsid w:val="00310141"/>
    <w:rsid w:val="0031126B"/>
    <w:rsid w:val="00313057"/>
    <w:rsid w:val="00313159"/>
    <w:rsid w:val="00315DE9"/>
    <w:rsid w:val="0031610D"/>
    <w:rsid w:val="00317971"/>
    <w:rsid w:val="00317EAA"/>
    <w:rsid w:val="0032089F"/>
    <w:rsid w:val="0032341E"/>
    <w:rsid w:val="00324107"/>
    <w:rsid w:val="00326D8D"/>
    <w:rsid w:val="00326FB3"/>
    <w:rsid w:val="003271EE"/>
    <w:rsid w:val="00330EFA"/>
    <w:rsid w:val="003310C9"/>
    <w:rsid w:val="00331A64"/>
    <w:rsid w:val="003326B8"/>
    <w:rsid w:val="00332D07"/>
    <w:rsid w:val="00337C90"/>
    <w:rsid w:val="00342A40"/>
    <w:rsid w:val="003435AA"/>
    <w:rsid w:val="003443DE"/>
    <w:rsid w:val="0034514C"/>
    <w:rsid w:val="00347980"/>
    <w:rsid w:val="00350F5D"/>
    <w:rsid w:val="00352DC5"/>
    <w:rsid w:val="00353A45"/>
    <w:rsid w:val="00363D13"/>
    <w:rsid w:val="0036721C"/>
    <w:rsid w:val="00367D29"/>
    <w:rsid w:val="00367EDD"/>
    <w:rsid w:val="00370168"/>
    <w:rsid w:val="00373A89"/>
    <w:rsid w:val="003749F7"/>
    <w:rsid w:val="00374E50"/>
    <w:rsid w:val="00381222"/>
    <w:rsid w:val="003819D5"/>
    <w:rsid w:val="00385BCE"/>
    <w:rsid w:val="00387F47"/>
    <w:rsid w:val="00387F71"/>
    <w:rsid w:val="0039076A"/>
    <w:rsid w:val="00393C4D"/>
    <w:rsid w:val="003948B6"/>
    <w:rsid w:val="003955F2"/>
    <w:rsid w:val="00396668"/>
    <w:rsid w:val="003A0145"/>
    <w:rsid w:val="003A11F0"/>
    <w:rsid w:val="003A43A9"/>
    <w:rsid w:val="003A49CB"/>
    <w:rsid w:val="003A4A3F"/>
    <w:rsid w:val="003A5E32"/>
    <w:rsid w:val="003A6386"/>
    <w:rsid w:val="003A6820"/>
    <w:rsid w:val="003A6DD0"/>
    <w:rsid w:val="003A7CD0"/>
    <w:rsid w:val="003A7FB4"/>
    <w:rsid w:val="003B0D31"/>
    <w:rsid w:val="003B2683"/>
    <w:rsid w:val="003B4126"/>
    <w:rsid w:val="003B5102"/>
    <w:rsid w:val="003B62F0"/>
    <w:rsid w:val="003B6EEA"/>
    <w:rsid w:val="003C03D1"/>
    <w:rsid w:val="003C0542"/>
    <w:rsid w:val="003C1358"/>
    <w:rsid w:val="003C13F7"/>
    <w:rsid w:val="003C282E"/>
    <w:rsid w:val="003C2C3D"/>
    <w:rsid w:val="003C5E63"/>
    <w:rsid w:val="003C6988"/>
    <w:rsid w:val="003D046B"/>
    <w:rsid w:val="003D3204"/>
    <w:rsid w:val="003D4289"/>
    <w:rsid w:val="003D568A"/>
    <w:rsid w:val="003D5B55"/>
    <w:rsid w:val="003E08A0"/>
    <w:rsid w:val="003E0D40"/>
    <w:rsid w:val="003E2B50"/>
    <w:rsid w:val="003E3BBA"/>
    <w:rsid w:val="003E5905"/>
    <w:rsid w:val="003E61AD"/>
    <w:rsid w:val="003E768F"/>
    <w:rsid w:val="003F08C7"/>
    <w:rsid w:val="003F11DF"/>
    <w:rsid w:val="003F2311"/>
    <w:rsid w:val="003F62C3"/>
    <w:rsid w:val="003F62EE"/>
    <w:rsid w:val="003F7138"/>
    <w:rsid w:val="003F7459"/>
    <w:rsid w:val="003F7735"/>
    <w:rsid w:val="00400A51"/>
    <w:rsid w:val="00403789"/>
    <w:rsid w:val="00404C05"/>
    <w:rsid w:val="004052AF"/>
    <w:rsid w:val="00405491"/>
    <w:rsid w:val="00406EF3"/>
    <w:rsid w:val="00406FA5"/>
    <w:rsid w:val="0040769E"/>
    <w:rsid w:val="00407C06"/>
    <w:rsid w:val="004104CB"/>
    <w:rsid w:val="00410D00"/>
    <w:rsid w:val="004116CE"/>
    <w:rsid w:val="00411790"/>
    <w:rsid w:val="0041216D"/>
    <w:rsid w:val="004129D2"/>
    <w:rsid w:val="00413209"/>
    <w:rsid w:val="004132B8"/>
    <w:rsid w:val="004144A7"/>
    <w:rsid w:val="00422B6E"/>
    <w:rsid w:val="00425D90"/>
    <w:rsid w:val="00426446"/>
    <w:rsid w:val="004265E8"/>
    <w:rsid w:val="0043022A"/>
    <w:rsid w:val="00431195"/>
    <w:rsid w:val="00431823"/>
    <w:rsid w:val="00431E00"/>
    <w:rsid w:val="00432F85"/>
    <w:rsid w:val="00432FEC"/>
    <w:rsid w:val="004341CC"/>
    <w:rsid w:val="00435105"/>
    <w:rsid w:val="004443DE"/>
    <w:rsid w:val="00444BD3"/>
    <w:rsid w:val="0044510A"/>
    <w:rsid w:val="0044517F"/>
    <w:rsid w:val="00447E3A"/>
    <w:rsid w:val="00447EE2"/>
    <w:rsid w:val="0045001E"/>
    <w:rsid w:val="004500C4"/>
    <w:rsid w:val="00451105"/>
    <w:rsid w:val="00452B73"/>
    <w:rsid w:val="00452F13"/>
    <w:rsid w:val="00453CE2"/>
    <w:rsid w:val="00454BFA"/>
    <w:rsid w:val="0045577E"/>
    <w:rsid w:val="004562D8"/>
    <w:rsid w:val="004570DB"/>
    <w:rsid w:val="0046055D"/>
    <w:rsid w:val="00460C5A"/>
    <w:rsid w:val="00461261"/>
    <w:rsid w:val="00461424"/>
    <w:rsid w:val="00461A82"/>
    <w:rsid w:val="004635EC"/>
    <w:rsid w:val="00463A1D"/>
    <w:rsid w:val="00464546"/>
    <w:rsid w:val="004654BD"/>
    <w:rsid w:val="0046719B"/>
    <w:rsid w:val="004716F0"/>
    <w:rsid w:val="00472AF4"/>
    <w:rsid w:val="00473532"/>
    <w:rsid w:val="00473D5C"/>
    <w:rsid w:val="004742CA"/>
    <w:rsid w:val="004745BE"/>
    <w:rsid w:val="0047478B"/>
    <w:rsid w:val="00476DCE"/>
    <w:rsid w:val="0047717F"/>
    <w:rsid w:val="00477EDD"/>
    <w:rsid w:val="00477FF5"/>
    <w:rsid w:val="004810B0"/>
    <w:rsid w:val="0048210E"/>
    <w:rsid w:val="00482B84"/>
    <w:rsid w:val="00483331"/>
    <w:rsid w:val="0048391D"/>
    <w:rsid w:val="00483DF0"/>
    <w:rsid w:val="004841D8"/>
    <w:rsid w:val="004841F1"/>
    <w:rsid w:val="00485573"/>
    <w:rsid w:val="00485A5C"/>
    <w:rsid w:val="00490E5A"/>
    <w:rsid w:val="00491178"/>
    <w:rsid w:val="0049138F"/>
    <w:rsid w:val="0049218C"/>
    <w:rsid w:val="00493A0D"/>
    <w:rsid w:val="00494781"/>
    <w:rsid w:val="00494DEC"/>
    <w:rsid w:val="00494ECD"/>
    <w:rsid w:val="00495902"/>
    <w:rsid w:val="004964F2"/>
    <w:rsid w:val="0049657E"/>
    <w:rsid w:val="004A13DB"/>
    <w:rsid w:val="004A25D3"/>
    <w:rsid w:val="004A3D8D"/>
    <w:rsid w:val="004A4670"/>
    <w:rsid w:val="004A5D1A"/>
    <w:rsid w:val="004A5F63"/>
    <w:rsid w:val="004A67FF"/>
    <w:rsid w:val="004B03E6"/>
    <w:rsid w:val="004B2351"/>
    <w:rsid w:val="004B278F"/>
    <w:rsid w:val="004B2902"/>
    <w:rsid w:val="004B2DE2"/>
    <w:rsid w:val="004B3632"/>
    <w:rsid w:val="004B38FA"/>
    <w:rsid w:val="004B7EDE"/>
    <w:rsid w:val="004C0CFE"/>
    <w:rsid w:val="004C217A"/>
    <w:rsid w:val="004C310C"/>
    <w:rsid w:val="004C4954"/>
    <w:rsid w:val="004C4A2B"/>
    <w:rsid w:val="004C62F8"/>
    <w:rsid w:val="004D006B"/>
    <w:rsid w:val="004D0CE8"/>
    <w:rsid w:val="004D23DE"/>
    <w:rsid w:val="004D4FE0"/>
    <w:rsid w:val="004D502B"/>
    <w:rsid w:val="004D5FA6"/>
    <w:rsid w:val="004D63E3"/>
    <w:rsid w:val="004D72A1"/>
    <w:rsid w:val="004D7448"/>
    <w:rsid w:val="004D797C"/>
    <w:rsid w:val="004E117E"/>
    <w:rsid w:val="004E1928"/>
    <w:rsid w:val="004E22E6"/>
    <w:rsid w:val="004E39D4"/>
    <w:rsid w:val="004E5AF1"/>
    <w:rsid w:val="004E6528"/>
    <w:rsid w:val="004F1991"/>
    <w:rsid w:val="004F3015"/>
    <w:rsid w:val="004F3348"/>
    <w:rsid w:val="004F41FC"/>
    <w:rsid w:val="004F5E11"/>
    <w:rsid w:val="004F6E53"/>
    <w:rsid w:val="00502AE0"/>
    <w:rsid w:val="00502E5B"/>
    <w:rsid w:val="005052E7"/>
    <w:rsid w:val="00505B29"/>
    <w:rsid w:val="0050693F"/>
    <w:rsid w:val="00507673"/>
    <w:rsid w:val="0050794A"/>
    <w:rsid w:val="00510B11"/>
    <w:rsid w:val="005112BF"/>
    <w:rsid w:val="00512450"/>
    <w:rsid w:val="005124D7"/>
    <w:rsid w:val="00512EB9"/>
    <w:rsid w:val="00514A25"/>
    <w:rsid w:val="00514F20"/>
    <w:rsid w:val="005164D3"/>
    <w:rsid w:val="00517333"/>
    <w:rsid w:val="00521FBB"/>
    <w:rsid w:val="00524913"/>
    <w:rsid w:val="00524BCD"/>
    <w:rsid w:val="00524DE1"/>
    <w:rsid w:val="00525E7A"/>
    <w:rsid w:val="005276A6"/>
    <w:rsid w:val="00527DE8"/>
    <w:rsid w:val="00530BF2"/>
    <w:rsid w:val="005315B7"/>
    <w:rsid w:val="0053193C"/>
    <w:rsid w:val="00532CD4"/>
    <w:rsid w:val="00534E12"/>
    <w:rsid w:val="00535079"/>
    <w:rsid w:val="00535119"/>
    <w:rsid w:val="0053588A"/>
    <w:rsid w:val="00541D3A"/>
    <w:rsid w:val="00541EF6"/>
    <w:rsid w:val="00543099"/>
    <w:rsid w:val="0054585F"/>
    <w:rsid w:val="00546EDF"/>
    <w:rsid w:val="00547FB5"/>
    <w:rsid w:val="0055312C"/>
    <w:rsid w:val="005563D9"/>
    <w:rsid w:val="005611AC"/>
    <w:rsid w:val="00561B03"/>
    <w:rsid w:val="00561C43"/>
    <w:rsid w:val="005636CB"/>
    <w:rsid w:val="00563E15"/>
    <w:rsid w:val="0056547E"/>
    <w:rsid w:val="00565503"/>
    <w:rsid w:val="00565816"/>
    <w:rsid w:val="005705C0"/>
    <w:rsid w:val="00571F79"/>
    <w:rsid w:val="00574C69"/>
    <w:rsid w:val="0057505A"/>
    <w:rsid w:val="00575B34"/>
    <w:rsid w:val="00576A84"/>
    <w:rsid w:val="00581449"/>
    <w:rsid w:val="005814BA"/>
    <w:rsid w:val="00581500"/>
    <w:rsid w:val="00581B5F"/>
    <w:rsid w:val="005835A5"/>
    <w:rsid w:val="00583706"/>
    <w:rsid w:val="0058481B"/>
    <w:rsid w:val="00585512"/>
    <w:rsid w:val="005858E7"/>
    <w:rsid w:val="0058633B"/>
    <w:rsid w:val="00586928"/>
    <w:rsid w:val="00593321"/>
    <w:rsid w:val="00593B12"/>
    <w:rsid w:val="00594286"/>
    <w:rsid w:val="00594921"/>
    <w:rsid w:val="00595A05"/>
    <w:rsid w:val="00596A5E"/>
    <w:rsid w:val="005979EF"/>
    <w:rsid w:val="005A1072"/>
    <w:rsid w:val="005A359D"/>
    <w:rsid w:val="005A3A41"/>
    <w:rsid w:val="005A58C8"/>
    <w:rsid w:val="005A6D63"/>
    <w:rsid w:val="005A7539"/>
    <w:rsid w:val="005B0BB0"/>
    <w:rsid w:val="005B1E17"/>
    <w:rsid w:val="005B2E94"/>
    <w:rsid w:val="005B3D6F"/>
    <w:rsid w:val="005B46D7"/>
    <w:rsid w:val="005B5A5D"/>
    <w:rsid w:val="005B5ADF"/>
    <w:rsid w:val="005B5E8D"/>
    <w:rsid w:val="005B7DCE"/>
    <w:rsid w:val="005C0015"/>
    <w:rsid w:val="005C007E"/>
    <w:rsid w:val="005C1357"/>
    <w:rsid w:val="005C197E"/>
    <w:rsid w:val="005C3DAC"/>
    <w:rsid w:val="005C6B55"/>
    <w:rsid w:val="005D027A"/>
    <w:rsid w:val="005D333A"/>
    <w:rsid w:val="005D3CF2"/>
    <w:rsid w:val="005D6658"/>
    <w:rsid w:val="005E049F"/>
    <w:rsid w:val="005E11C2"/>
    <w:rsid w:val="005E184F"/>
    <w:rsid w:val="005E2933"/>
    <w:rsid w:val="005E3939"/>
    <w:rsid w:val="005E3A93"/>
    <w:rsid w:val="005E3E3A"/>
    <w:rsid w:val="005E564D"/>
    <w:rsid w:val="005F0B0B"/>
    <w:rsid w:val="005F0B5C"/>
    <w:rsid w:val="005F0BC6"/>
    <w:rsid w:val="005F1622"/>
    <w:rsid w:val="005F1EFE"/>
    <w:rsid w:val="005F26C3"/>
    <w:rsid w:val="005F28BB"/>
    <w:rsid w:val="005F635A"/>
    <w:rsid w:val="005F6DD8"/>
    <w:rsid w:val="00601FE8"/>
    <w:rsid w:val="0060472B"/>
    <w:rsid w:val="00605BB3"/>
    <w:rsid w:val="00610B6F"/>
    <w:rsid w:val="0061147F"/>
    <w:rsid w:val="00612505"/>
    <w:rsid w:val="00612A13"/>
    <w:rsid w:val="006142C6"/>
    <w:rsid w:val="006143DC"/>
    <w:rsid w:val="00615F7B"/>
    <w:rsid w:val="006169DB"/>
    <w:rsid w:val="00616EA7"/>
    <w:rsid w:val="00620033"/>
    <w:rsid w:val="00620643"/>
    <w:rsid w:val="00621A54"/>
    <w:rsid w:val="00621F98"/>
    <w:rsid w:val="006226DE"/>
    <w:rsid w:val="00624C24"/>
    <w:rsid w:val="0062503F"/>
    <w:rsid w:val="0062577A"/>
    <w:rsid w:val="006271F6"/>
    <w:rsid w:val="00627887"/>
    <w:rsid w:val="00630CAD"/>
    <w:rsid w:val="006314EC"/>
    <w:rsid w:val="00632196"/>
    <w:rsid w:val="00632C3C"/>
    <w:rsid w:val="00634127"/>
    <w:rsid w:val="006355F0"/>
    <w:rsid w:val="006374A4"/>
    <w:rsid w:val="00637B73"/>
    <w:rsid w:val="006400CB"/>
    <w:rsid w:val="00641A41"/>
    <w:rsid w:val="006429EC"/>
    <w:rsid w:val="00643B5E"/>
    <w:rsid w:val="00645449"/>
    <w:rsid w:val="00645EBF"/>
    <w:rsid w:val="00647069"/>
    <w:rsid w:val="00651D16"/>
    <w:rsid w:val="00652C03"/>
    <w:rsid w:val="00655077"/>
    <w:rsid w:val="00655EC8"/>
    <w:rsid w:val="00657843"/>
    <w:rsid w:val="0066094D"/>
    <w:rsid w:val="006624B9"/>
    <w:rsid w:val="006633C4"/>
    <w:rsid w:val="006650F5"/>
    <w:rsid w:val="00665A75"/>
    <w:rsid w:val="006660EF"/>
    <w:rsid w:val="0066620B"/>
    <w:rsid w:val="00666E9B"/>
    <w:rsid w:val="006674B9"/>
    <w:rsid w:val="0066791F"/>
    <w:rsid w:val="00667E29"/>
    <w:rsid w:val="00667E91"/>
    <w:rsid w:val="006701C6"/>
    <w:rsid w:val="006715B4"/>
    <w:rsid w:val="006733B8"/>
    <w:rsid w:val="00673B45"/>
    <w:rsid w:val="006745F8"/>
    <w:rsid w:val="006748EA"/>
    <w:rsid w:val="006752CE"/>
    <w:rsid w:val="00675641"/>
    <w:rsid w:val="0067573E"/>
    <w:rsid w:val="00676B96"/>
    <w:rsid w:val="006803F5"/>
    <w:rsid w:val="00680D97"/>
    <w:rsid w:val="006816E4"/>
    <w:rsid w:val="00685E62"/>
    <w:rsid w:val="00686BB9"/>
    <w:rsid w:val="00687280"/>
    <w:rsid w:val="00687C4E"/>
    <w:rsid w:val="00692B5E"/>
    <w:rsid w:val="00692DBC"/>
    <w:rsid w:val="006937A0"/>
    <w:rsid w:val="006967CA"/>
    <w:rsid w:val="00696D92"/>
    <w:rsid w:val="006A0F11"/>
    <w:rsid w:val="006A13A8"/>
    <w:rsid w:val="006A168B"/>
    <w:rsid w:val="006A492C"/>
    <w:rsid w:val="006A7456"/>
    <w:rsid w:val="006B27F1"/>
    <w:rsid w:val="006B2F97"/>
    <w:rsid w:val="006B3B0E"/>
    <w:rsid w:val="006B53D9"/>
    <w:rsid w:val="006B6530"/>
    <w:rsid w:val="006B78B2"/>
    <w:rsid w:val="006C0A7A"/>
    <w:rsid w:val="006C0B11"/>
    <w:rsid w:val="006C1466"/>
    <w:rsid w:val="006C1C0F"/>
    <w:rsid w:val="006C3CB7"/>
    <w:rsid w:val="006C4659"/>
    <w:rsid w:val="006C4C20"/>
    <w:rsid w:val="006C5039"/>
    <w:rsid w:val="006C5C64"/>
    <w:rsid w:val="006C677A"/>
    <w:rsid w:val="006C74CC"/>
    <w:rsid w:val="006C75BA"/>
    <w:rsid w:val="006C75F1"/>
    <w:rsid w:val="006D052F"/>
    <w:rsid w:val="006D0953"/>
    <w:rsid w:val="006D14FB"/>
    <w:rsid w:val="006D2B09"/>
    <w:rsid w:val="006D2E76"/>
    <w:rsid w:val="006D57F4"/>
    <w:rsid w:val="006D6948"/>
    <w:rsid w:val="006E0890"/>
    <w:rsid w:val="006E0B4B"/>
    <w:rsid w:val="006E167D"/>
    <w:rsid w:val="006E1CE7"/>
    <w:rsid w:val="006E1DB0"/>
    <w:rsid w:val="006E1DEC"/>
    <w:rsid w:val="006E297D"/>
    <w:rsid w:val="006E4736"/>
    <w:rsid w:val="006E697C"/>
    <w:rsid w:val="006E72E0"/>
    <w:rsid w:val="006F071A"/>
    <w:rsid w:val="006F25AB"/>
    <w:rsid w:val="006F3106"/>
    <w:rsid w:val="006F47B5"/>
    <w:rsid w:val="006F4F89"/>
    <w:rsid w:val="006F566F"/>
    <w:rsid w:val="006F5960"/>
    <w:rsid w:val="006F7626"/>
    <w:rsid w:val="007006BC"/>
    <w:rsid w:val="0070506B"/>
    <w:rsid w:val="00705112"/>
    <w:rsid w:val="00706F7A"/>
    <w:rsid w:val="0070712A"/>
    <w:rsid w:val="0070783D"/>
    <w:rsid w:val="007103A2"/>
    <w:rsid w:val="00710510"/>
    <w:rsid w:val="00711D73"/>
    <w:rsid w:val="007126AE"/>
    <w:rsid w:val="007155F2"/>
    <w:rsid w:val="00715ED7"/>
    <w:rsid w:val="0071687A"/>
    <w:rsid w:val="00717CAE"/>
    <w:rsid w:val="007202DC"/>
    <w:rsid w:val="007226BC"/>
    <w:rsid w:val="00725186"/>
    <w:rsid w:val="007260DC"/>
    <w:rsid w:val="00727F74"/>
    <w:rsid w:val="007311ED"/>
    <w:rsid w:val="00733229"/>
    <w:rsid w:val="007332B0"/>
    <w:rsid w:val="00734261"/>
    <w:rsid w:val="00734D4A"/>
    <w:rsid w:val="00735A28"/>
    <w:rsid w:val="00737701"/>
    <w:rsid w:val="0073772B"/>
    <w:rsid w:val="00740F38"/>
    <w:rsid w:val="0074237A"/>
    <w:rsid w:val="007435F2"/>
    <w:rsid w:val="0074366C"/>
    <w:rsid w:val="00745209"/>
    <w:rsid w:val="007473C0"/>
    <w:rsid w:val="00747E70"/>
    <w:rsid w:val="00750373"/>
    <w:rsid w:val="0075070A"/>
    <w:rsid w:val="00750D46"/>
    <w:rsid w:val="00750F7B"/>
    <w:rsid w:val="007512F0"/>
    <w:rsid w:val="00751599"/>
    <w:rsid w:val="00752FA0"/>
    <w:rsid w:val="0075304F"/>
    <w:rsid w:val="0075392F"/>
    <w:rsid w:val="007552FF"/>
    <w:rsid w:val="0076065C"/>
    <w:rsid w:val="00760BD1"/>
    <w:rsid w:val="00760D4C"/>
    <w:rsid w:val="00761737"/>
    <w:rsid w:val="00761F18"/>
    <w:rsid w:val="00762928"/>
    <w:rsid w:val="007636BD"/>
    <w:rsid w:val="00765647"/>
    <w:rsid w:val="007666B0"/>
    <w:rsid w:val="00770A8D"/>
    <w:rsid w:val="0077197C"/>
    <w:rsid w:val="00771AF3"/>
    <w:rsid w:val="00773953"/>
    <w:rsid w:val="00775D84"/>
    <w:rsid w:val="00776AAF"/>
    <w:rsid w:val="00776D05"/>
    <w:rsid w:val="007778B5"/>
    <w:rsid w:val="0078093C"/>
    <w:rsid w:val="00782C5A"/>
    <w:rsid w:val="00782CB1"/>
    <w:rsid w:val="00784844"/>
    <w:rsid w:val="00786106"/>
    <w:rsid w:val="00787AEB"/>
    <w:rsid w:val="007925E7"/>
    <w:rsid w:val="007934E7"/>
    <w:rsid w:val="00793619"/>
    <w:rsid w:val="00795566"/>
    <w:rsid w:val="00796250"/>
    <w:rsid w:val="007962AD"/>
    <w:rsid w:val="007962B3"/>
    <w:rsid w:val="00796385"/>
    <w:rsid w:val="007967BC"/>
    <w:rsid w:val="00797B09"/>
    <w:rsid w:val="007A0373"/>
    <w:rsid w:val="007A1728"/>
    <w:rsid w:val="007A2E65"/>
    <w:rsid w:val="007A66E1"/>
    <w:rsid w:val="007A7557"/>
    <w:rsid w:val="007B0EBB"/>
    <w:rsid w:val="007B1012"/>
    <w:rsid w:val="007B15AC"/>
    <w:rsid w:val="007B17A6"/>
    <w:rsid w:val="007B2548"/>
    <w:rsid w:val="007B659C"/>
    <w:rsid w:val="007B7198"/>
    <w:rsid w:val="007C0CC6"/>
    <w:rsid w:val="007C0F1F"/>
    <w:rsid w:val="007C1252"/>
    <w:rsid w:val="007C2235"/>
    <w:rsid w:val="007C24F8"/>
    <w:rsid w:val="007C2ED6"/>
    <w:rsid w:val="007C31CA"/>
    <w:rsid w:val="007C37EF"/>
    <w:rsid w:val="007C4C0A"/>
    <w:rsid w:val="007C508E"/>
    <w:rsid w:val="007C66FD"/>
    <w:rsid w:val="007D6E79"/>
    <w:rsid w:val="007E091A"/>
    <w:rsid w:val="007E2812"/>
    <w:rsid w:val="007E3940"/>
    <w:rsid w:val="007E39C6"/>
    <w:rsid w:val="007E6F50"/>
    <w:rsid w:val="007F1F27"/>
    <w:rsid w:val="007F3C29"/>
    <w:rsid w:val="007F3CDC"/>
    <w:rsid w:val="007F61CD"/>
    <w:rsid w:val="007F61ED"/>
    <w:rsid w:val="007F7DC4"/>
    <w:rsid w:val="008006FA"/>
    <w:rsid w:val="008018F3"/>
    <w:rsid w:val="00801CB5"/>
    <w:rsid w:val="00802DE2"/>
    <w:rsid w:val="00802F72"/>
    <w:rsid w:val="00803267"/>
    <w:rsid w:val="00803376"/>
    <w:rsid w:val="008047FF"/>
    <w:rsid w:val="00805565"/>
    <w:rsid w:val="00806617"/>
    <w:rsid w:val="00806836"/>
    <w:rsid w:val="0081003A"/>
    <w:rsid w:val="008118DD"/>
    <w:rsid w:val="0081308C"/>
    <w:rsid w:val="00813463"/>
    <w:rsid w:val="00817893"/>
    <w:rsid w:val="008206DF"/>
    <w:rsid w:val="0082075E"/>
    <w:rsid w:val="00820FCE"/>
    <w:rsid w:val="00823250"/>
    <w:rsid w:val="008241FD"/>
    <w:rsid w:val="008242D3"/>
    <w:rsid w:val="00824CB3"/>
    <w:rsid w:val="00830E76"/>
    <w:rsid w:val="00831AB6"/>
    <w:rsid w:val="00831D02"/>
    <w:rsid w:val="00834E26"/>
    <w:rsid w:val="00835C40"/>
    <w:rsid w:val="00835EDB"/>
    <w:rsid w:val="0083715C"/>
    <w:rsid w:val="008377F2"/>
    <w:rsid w:val="00840953"/>
    <w:rsid w:val="00840CD4"/>
    <w:rsid w:val="00840EAC"/>
    <w:rsid w:val="00843624"/>
    <w:rsid w:val="00845E8A"/>
    <w:rsid w:val="00846E32"/>
    <w:rsid w:val="00852A98"/>
    <w:rsid w:val="008530DD"/>
    <w:rsid w:val="00854600"/>
    <w:rsid w:val="00855DDD"/>
    <w:rsid w:val="0085640D"/>
    <w:rsid w:val="008568FD"/>
    <w:rsid w:val="00856FF7"/>
    <w:rsid w:val="00860100"/>
    <w:rsid w:val="008628F5"/>
    <w:rsid w:val="00862F56"/>
    <w:rsid w:val="00864496"/>
    <w:rsid w:val="0086612E"/>
    <w:rsid w:val="0087005E"/>
    <w:rsid w:val="00872552"/>
    <w:rsid w:val="00872C87"/>
    <w:rsid w:val="00873240"/>
    <w:rsid w:val="0087347F"/>
    <w:rsid w:val="00874D4D"/>
    <w:rsid w:val="00874F65"/>
    <w:rsid w:val="00875C44"/>
    <w:rsid w:val="00876041"/>
    <w:rsid w:val="00876C47"/>
    <w:rsid w:val="0087743A"/>
    <w:rsid w:val="0087749F"/>
    <w:rsid w:val="00881F0F"/>
    <w:rsid w:val="008821D9"/>
    <w:rsid w:val="00885600"/>
    <w:rsid w:val="008865AC"/>
    <w:rsid w:val="00886A60"/>
    <w:rsid w:val="0088710E"/>
    <w:rsid w:val="008913A9"/>
    <w:rsid w:val="00891B26"/>
    <w:rsid w:val="008931D5"/>
    <w:rsid w:val="00893BEC"/>
    <w:rsid w:val="00895123"/>
    <w:rsid w:val="00896014"/>
    <w:rsid w:val="008A10BA"/>
    <w:rsid w:val="008A13C9"/>
    <w:rsid w:val="008A16E7"/>
    <w:rsid w:val="008A29C2"/>
    <w:rsid w:val="008A3220"/>
    <w:rsid w:val="008A3842"/>
    <w:rsid w:val="008A3EE2"/>
    <w:rsid w:val="008A4CF9"/>
    <w:rsid w:val="008A76E0"/>
    <w:rsid w:val="008B0B1C"/>
    <w:rsid w:val="008B126E"/>
    <w:rsid w:val="008B47C1"/>
    <w:rsid w:val="008B48A9"/>
    <w:rsid w:val="008B6046"/>
    <w:rsid w:val="008B6538"/>
    <w:rsid w:val="008C1447"/>
    <w:rsid w:val="008C155D"/>
    <w:rsid w:val="008C23E5"/>
    <w:rsid w:val="008C2DA7"/>
    <w:rsid w:val="008C3291"/>
    <w:rsid w:val="008C51D1"/>
    <w:rsid w:val="008C7506"/>
    <w:rsid w:val="008D118F"/>
    <w:rsid w:val="008D1682"/>
    <w:rsid w:val="008D35BB"/>
    <w:rsid w:val="008D36B3"/>
    <w:rsid w:val="008D6F2E"/>
    <w:rsid w:val="008D7A47"/>
    <w:rsid w:val="008E03D5"/>
    <w:rsid w:val="008E17B2"/>
    <w:rsid w:val="008E19E6"/>
    <w:rsid w:val="008E3379"/>
    <w:rsid w:val="008E3C90"/>
    <w:rsid w:val="008E4A51"/>
    <w:rsid w:val="008F20A5"/>
    <w:rsid w:val="008F3A76"/>
    <w:rsid w:val="008F5023"/>
    <w:rsid w:val="008F7757"/>
    <w:rsid w:val="008F78AF"/>
    <w:rsid w:val="008F79FF"/>
    <w:rsid w:val="00902C16"/>
    <w:rsid w:val="009044CB"/>
    <w:rsid w:val="00904954"/>
    <w:rsid w:val="009050D3"/>
    <w:rsid w:val="009062A9"/>
    <w:rsid w:val="00907893"/>
    <w:rsid w:val="0090797A"/>
    <w:rsid w:val="00907F31"/>
    <w:rsid w:val="00912105"/>
    <w:rsid w:val="009123E7"/>
    <w:rsid w:val="0091346C"/>
    <w:rsid w:val="0091357D"/>
    <w:rsid w:val="00913C67"/>
    <w:rsid w:val="009152B2"/>
    <w:rsid w:val="00915764"/>
    <w:rsid w:val="009168E3"/>
    <w:rsid w:val="00916B8A"/>
    <w:rsid w:val="009172F1"/>
    <w:rsid w:val="0092012F"/>
    <w:rsid w:val="00920E7C"/>
    <w:rsid w:val="0092564A"/>
    <w:rsid w:val="0093047D"/>
    <w:rsid w:val="009314E7"/>
    <w:rsid w:val="00933170"/>
    <w:rsid w:val="009349F1"/>
    <w:rsid w:val="00934E9A"/>
    <w:rsid w:val="00935FE2"/>
    <w:rsid w:val="009410DF"/>
    <w:rsid w:val="00941FED"/>
    <w:rsid w:val="009423E2"/>
    <w:rsid w:val="00942EE0"/>
    <w:rsid w:val="00943705"/>
    <w:rsid w:val="009437AA"/>
    <w:rsid w:val="0094674A"/>
    <w:rsid w:val="0095540F"/>
    <w:rsid w:val="0095717C"/>
    <w:rsid w:val="00957238"/>
    <w:rsid w:val="00961456"/>
    <w:rsid w:val="0096252A"/>
    <w:rsid w:val="00963401"/>
    <w:rsid w:val="0096380B"/>
    <w:rsid w:val="009645C2"/>
    <w:rsid w:val="00964958"/>
    <w:rsid w:val="009651E0"/>
    <w:rsid w:val="009654AD"/>
    <w:rsid w:val="00965E4B"/>
    <w:rsid w:val="009661F5"/>
    <w:rsid w:val="00966AF5"/>
    <w:rsid w:val="0096730E"/>
    <w:rsid w:val="00967BD3"/>
    <w:rsid w:val="00971510"/>
    <w:rsid w:val="00971A2F"/>
    <w:rsid w:val="00976AF1"/>
    <w:rsid w:val="0098079B"/>
    <w:rsid w:val="00981141"/>
    <w:rsid w:val="009821DD"/>
    <w:rsid w:val="00982796"/>
    <w:rsid w:val="00983580"/>
    <w:rsid w:val="00984E34"/>
    <w:rsid w:val="00985027"/>
    <w:rsid w:val="0098540C"/>
    <w:rsid w:val="00990DFF"/>
    <w:rsid w:val="009937B1"/>
    <w:rsid w:val="00993DA6"/>
    <w:rsid w:val="00994835"/>
    <w:rsid w:val="00995A37"/>
    <w:rsid w:val="00995D4A"/>
    <w:rsid w:val="009971DD"/>
    <w:rsid w:val="00997877"/>
    <w:rsid w:val="009A2693"/>
    <w:rsid w:val="009A34A4"/>
    <w:rsid w:val="009A37E8"/>
    <w:rsid w:val="009A5DEE"/>
    <w:rsid w:val="009A604A"/>
    <w:rsid w:val="009B018A"/>
    <w:rsid w:val="009B0297"/>
    <w:rsid w:val="009B09A7"/>
    <w:rsid w:val="009B0F5A"/>
    <w:rsid w:val="009B1C0E"/>
    <w:rsid w:val="009B1DD2"/>
    <w:rsid w:val="009B26F1"/>
    <w:rsid w:val="009B2DA2"/>
    <w:rsid w:val="009B3651"/>
    <w:rsid w:val="009B455F"/>
    <w:rsid w:val="009B4984"/>
    <w:rsid w:val="009B5C9E"/>
    <w:rsid w:val="009B6A64"/>
    <w:rsid w:val="009C0AC6"/>
    <w:rsid w:val="009C0E6C"/>
    <w:rsid w:val="009C5200"/>
    <w:rsid w:val="009C5E5A"/>
    <w:rsid w:val="009C765D"/>
    <w:rsid w:val="009D2B9F"/>
    <w:rsid w:val="009D38AE"/>
    <w:rsid w:val="009D3C0D"/>
    <w:rsid w:val="009D4054"/>
    <w:rsid w:val="009D504C"/>
    <w:rsid w:val="009D6393"/>
    <w:rsid w:val="009E0E7F"/>
    <w:rsid w:val="009E1D10"/>
    <w:rsid w:val="009E2FB7"/>
    <w:rsid w:val="009E32EB"/>
    <w:rsid w:val="009E4A47"/>
    <w:rsid w:val="009E64B1"/>
    <w:rsid w:val="009F0704"/>
    <w:rsid w:val="009F0F48"/>
    <w:rsid w:val="009F6DD0"/>
    <w:rsid w:val="00A002B2"/>
    <w:rsid w:val="00A006C7"/>
    <w:rsid w:val="00A006DB"/>
    <w:rsid w:val="00A01477"/>
    <w:rsid w:val="00A01A80"/>
    <w:rsid w:val="00A01C60"/>
    <w:rsid w:val="00A056BB"/>
    <w:rsid w:val="00A10A98"/>
    <w:rsid w:val="00A110F6"/>
    <w:rsid w:val="00A12FC3"/>
    <w:rsid w:val="00A15090"/>
    <w:rsid w:val="00A17949"/>
    <w:rsid w:val="00A17EB9"/>
    <w:rsid w:val="00A204BC"/>
    <w:rsid w:val="00A22814"/>
    <w:rsid w:val="00A23969"/>
    <w:rsid w:val="00A24B4C"/>
    <w:rsid w:val="00A24D4E"/>
    <w:rsid w:val="00A25A35"/>
    <w:rsid w:val="00A26B5C"/>
    <w:rsid w:val="00A26D00"/>
    <w:rsid w:val="00A2757C"/>
    <w:rsid w:val="00A3089A"/>
    <w:rsid w:val="00A319F4"/>
    <w:rsid w:val="00A3223E"/>
    <w:rsid w:val="00A322C9"/>
    <w:rsid w:val="00A33369"/>
    <w:rsid w:val="00A340B5"/>
    <w:rsid w:val="00A34487"/>
    <w:rsid w:val="00A35429"/>
    <w:rsid w:val="00A411F2"/>
    <w:rsid w:val="00A417C1"/>
    <w:rsid w:val="00A41CFB"/>
    <w:rsid w:val="00A42A8B"/>
    <w:rsid w:val="00A43E0F"/>
    <w:rsid w:val="00A43F53"/>
    <w:rsid w:val="00A440D5"/>
    <w:rsid w:val="00A44782"/>
    <w:rsid w:val="00A44D46"/>
    <w:rsid w:val="00A452DC"/>
    <w:rsid w:val="00A458B2"/>
    <w:rsid w:val="00A46B63"/>
    <w:rsid w:val="00A46EF6"/>
    <w:rsid w:val="00A52895"/>
    <w:rsid w:val="00A5548F"/>
    <w:rsid w:val="00A561DB"/>
    <w:rsid w:val="00A568C4"/>
    <w:rsid w:val="00A60BF4"/>
    <w:rsid w:val="00A64BDF"/>
    <w:rsid w:val="00A65410"/>
    <w:rsid w:val="00A65A11"/>
    <w:rsid w:val="00A67C20"/>
    <w:rsid w:val="00A70085"/>
    <w:rsid w:val="00A7250D"/>
    <w:rsid w:val="00A7348C"/>
    <w:rsid w:val="00A74294"/>
    <w:rsid w:val="00A751D8"/>
    <w:rsid w:val="00A766AA"/>
    <w:rsid w:val="00A76C93"/>
    <w:rsid w:val="00A77AC1"/>
    <w:rsid w:val="00A77BD6"/>
    <w:rsid w:val="00A80E42"/>
    <w:rsid w:val="00A816BC"/>
    <w:rsid w:val="00A81BD9"/>
    <w:rsid w:val="00A83185"/>
    <w:rsid w:val="00A853EE"/>
    <w:rsid w:val="00A865FF"/>
    <w:rsid w:val="00A87113"/>
    <w:rsid w:val="00A907F2"/>
    <w:rsid w:val="00A93073"/>
    <w:rsid w:val="00A95612"/>
    <w:rsid w:val="00A95877"/>
    <w:rsid w:val="00A95D4D"/>
    <w:rsid w:val="00AA08CD"/>
    <w:rsid w:val="00AA2575"/>
    <w:rsid w:val="00AA306D"/>
    <w:rsid w:val="00AA34CC"/>
    <w:rsid w:val="00AA42BE"/>
    <w:rsid w:val="00AA443A"/>
    <w:rsid w:val="00AA46E7"/>
    <w:rsid w:val="00AA4A76"/>
    <w:rsid w:val="00AA66FC"/>
    <w:rsid w:val="00AB275F"/>
    <w:rsid w:val="00AB3050"/>
    <w:rsid w:val="00AB48DD"/>
    <w:rsid w:val="00AB5253"/>
    <w:rsid w:val="00AB5B70"/>
    <w:rsid w:val="00AB717A"/>
    <w:rsid w:val="00AC21E3"/>
    <w:rsid w:val="00AC3850"/>
    <w:rsid w:val="00AC4C7C"/>
    <w:rsid w:val="00AC5148"/>
    <w:rsid w:val="00AC58EE"/>
    <w:rsid w:val="00AC5E75"/>
    <w:rsid w:val="00AC64A5"/>
    <w:rsid w:val="00AC7AE7"/>
    <w:rsid w:val="00AD1208"/>
    <w:rsid w:val="00AD361B"/>
    <w:rsid w:val="00AD3A03"/>
    <w:rsid w:val="00AD553A"/>
    <w:rsid w:val="00AD577B"/>
    <w:rsid w:val="00AD592B"/>
    <w:rsid w:val="00AD7C99"/>
    <w:rsid w:val="00AD7DF9"/>
    <w:rsid w:val="00AE1F28"/>
    <w:rsid w:val="00AE20B3"/>
    <w:rsid w:val="00AE2E0F"/>
    <w:rsid w:val="00AE5E0A"/>
    <w:rsid w:val="00AF1C33"/>
    <w:rsid w:val="00AF21CF"/>
    <w:rsid w:val="00AF34E9"/>
    <w:rsid w:val="00AF544E"/>
    <w:rsid w:val="00AF5D68"/>
    <w:rsid w:val="00AF793A"/>
    <w:rsid w:val="00AF7CC4"/>
    <w:rsid w:val="00B02AB4"/>
    <w:rsid w:val="00B04D7C"/>
    <w:rsid w:val="00B04E39"/>
    <w:rsid w:val="00B062EA"/>
    <w:rsid w:val="00B074E6"/>
    <w:rsid w:val="00B07820"/>
    <w:rsid w:val="00B079BC"/>
    <w:rsid w:val="00B10245"/>
    <w:rsid w:val="00B10CA2"/>
    <w:rsid w:val="00B112B7"/>
    <w:rsid w:val="00B12AFC"/>
    <w:rsid w:val="00B13DC0"/>
    <w:rsid w:val="00B14714"/>
    <w:rsid w:val="00B14C7A"/>
    <w:rsid w:val="00B163F1"/>
    <w:rsid w:val="00B16F68"/>
    <w:rsid w:val="00B17AC5"/>
    <w:rsid w:val="00B20AF9"/>
    <w:rsid w:val="00B2258D"/>
    <w:rsid w:val="00B22D45"/>
    <w:rsid w:val="00B22D92"/>
    <w:rsid w:val="00B22F1A"/>
    <w:rsid w:val="00B234AE"/>
    <w:rsid w:val="00B248E0"/>
    <w:rsid w:val="00B265CB"/>
    <w:rsid w:val="00B30820"/>
    <w:rsid w:val="00B312B6"/>
    <w:rsid w:val="00B317DF"/>
    <w:rsid w:val="00B322EC"/>
    <w:rsid w:val="00B3251B"/>
    <w:rsid w:val="00B3410B"/>
    <w:rsid w:val="00B3439E"/>
    <w:rsid w:val="00B344CD"/>
    <w:rsid w:val="00B34870"/>
    <w:rsid w:val="00B356CF"/>
    <w:rsid w:val="00B36D2A"/>
    <w:rsid w:val="00B374B4"/>
    <w:rsid w:val="00B400C5"/>
    <w:rsid w:val="00B402D1"/>
    <w:rsid w:val="00B4044A"/>
    <w:rsid w:val="00B429C3"/>
    <w:rsid w:val="00B456E0"/>
    <w:rsid w:val="00B45F16"/>
    <w:rsid w:val="00B46436"/>
    <w:rsid w:val="00B47674"/>
    <w:rsid w:val="00B479D5"/>
    <w:rsid w:val="00B47C12"/>
    <w:rsid w:val="00B50049"/>
    <w:rsid w:val="00B5097C"/>
    <w:rsid w:val="00B518B6"/>
    <w:rsid w:val="00B51D2C"/>
    <w:rsid w:val="00B61E9D"/>
    <w:rsid w:val="00B66045"/>
    <w:rsid w:val="00B669A0"/>
    <w:rsid w:val="00B67662"/>
    <w:rsid w:val="00B70DC9"/>
    <w:rsid w:val="00B71D9B"/>
    <w:rsid w:val="00B72FDD"/>
    <w:rsid w:val="00B730E3"/>
    <w:rsid w:val="00B75298"/>
    <w:rsid w:val="00B76153"/>
    <w:rsid w:val="00B7682B"/>
    <w:rsid w:val="00B76A37"/>
    <w:rsid w:val="00B76E91"/>
    <w:rsid w:val="00B80BF6"/>
    <w:rsid w:val="00B81044"/>
    <w:rsid w:val="00B810C8"/>
    <w:rsid w:val="00B83078"/>
    <w:rsid w:val="00B83AA0"/>
    <w:rsid w:val="00B83E02"/>
    <w:rsid w:val="00B85201"/>
    <w:rsid w:val="00B85910"/>
    <w:rsid w:val="00B85AA6"/>
    <w:rsid w:val="00B86A4A"/>
    <w:rsid w:val="00B86B85"/>
    <w:rsid w:val="00B875CF"/>
    <w:rsid w:val="00B87EE4"/>
    <w:rsid w:val="00B91178"/>
    <w:rsid w:val="00B9208F"/>
    <w:rsid w:val="00B92487"/>
    <w:rsid w:val="00B93C45"/>
    <w:rsid w:val="00B94563"/>
    <w:rsid w:val="00B952C4"/>
    <w:rsid w:val="00B95A51"/>
    <w:rsid w:val="00B9721C"/>
    <w:rsid w:val="00BA099B"/>
    <w:rsid w:val="00BA0FC0"/>
    <w:rsid w:val="00BA225F"/>
    <w:rsid w:val="00BA448C"/>
    <w:rsid w:val="00BA4745"/>
    <w:rsid w:val="00BA5175"/>
    <w:rsid w:val="00BA6278"/>
    <w:rsid w:val="00BA6A6C"/>
    <w:rsid w:val="00BA713B"/>
    <w:rsid w:val="00BA716A"/>
    <w:rsid w:val="00BA799A"/>
    <w:rsid w:val="00BB0233"/>
    <w:rsid w:val="00BB3E6F"/>
    <w:rsid w:val="00BB50E7"/>
    <w:rsid w:val="00BB644D"/>
    <w:rsid w:val="00BC132C"/>
    <w:rsid w:val="00BC1BDB"/>
    <w:rsid w:val="00BC1E8D"/>
    <w:rsid w:val="00BC233F"/>
    <w:rsid w:val="00BC29B2"/>
    <w:rsid w:val="00BC3500"/>
    <w:rsid w:val="00BC4D06"/>
    <w:rsid w:val="00BC5800"/>
    <w:rsid w:val="00BC58B5"/>
    <w:rsid w:val="00BC631D"/>
    <w:rsid w:val="00BC6723"/>
    <w:rsid w:val="00BC71A3"/>
    <w:rsid w:val="00BD024B"/>
    <w:rsid w:val="00BD106A"/>
    <w:rsid w:val="00BD3992"/>
    <w:rsid w:val="00BD3F30"/>
    <w:rsid w:val="00BD535A"/>
    <w:rsid w:val="00BD67A6"/>
    <w:rsid w:val="00BD7761"/>
    <w:rsid w:val="00BD7AF3"/>
    <w:rsid w:val="00BE02C9"/>
    <w:rsid w:val="00BE3AD2"/>
    <w:rsid w:val="00BE4309"/>
    <w:rsid w:val="00BE4773"/>
    <w:rsid w:val="00BE5267"/>
    <w:rsid w:val="00BE682D"/>
    <w:rsid w:val="00BE721B"/>
    <w:rsid w:val="00BE7722"/>
    <w:rsid w:val="00BE7A36"/>
    <w:rsid w:val="00BF0472"/>
    <w:rsid w:val="00BF0F0A"/>
    <w:rsid w:val="00BF1F77"/>
    <w:rsid w:val="00BF50EE"/>
    <w:rsid w:val="00BF5B34"/>
    <w:rsid w:val="00BF7A16"/>
    <w:rsid w:val="00C003EF"/>
    <w:rsid w:val="00C02440"/>
    <w:rsid w:val="00C024FD"/>
    <w:rsid w:val="00C057CB"/>
    <w:rsid w:val="00C05B09"/>
    <w:rsid w:val="00C05DE6"/>
    <w:rsid w:val="00C0658A"/>
    <w:rsid w:val="00C07117"/>
    <w:rsid w:val="00C07276"/>
    <w:rsid w:val="00C07C5E"/>
    <w:rsid w:val="00C10C42"/>
    <w:rsid w:val="00C1135A"/>
    <w:rsid w:val="00C1191B"/>
    <w:rsid w:val="00C12946"/>
    <w:rsid w:val="00C129BF"/>
    <w:rsid w:val="00C13521"/>
    <w:rsid w:val="00C1501C"/>
    <w:rsid w:val="00C15138"/>
    <w:rsid w:val="00C151BE"/>
    <w:rsid w:val="00C2031E"/>
    <w:rsid w:val="00C21377"/>
    <w:rsid w:val="00C2147B"/>
    <w:rsid w:val="00C236BA"/>
    <w:rsid w:val="00C238CB"/>
    <w:rsid w:val="00C30E55"/>
    <w:rsid w:val="00C316EC"/>
    <w:rsid w:val="00C33EA1"/>
    <w:rsid w:val="00C34360"/>
    <w:rsid w:val="00C34DD6"/>
    <w:rsid w:val="00C353CB"/>
    <w:rsid w:val="00C35C7E"/>
    <w:rsid w:val="00C36E86"/>
    <w:rsid w:val="00C3701D"/>
    <w:rsid w:val="00C37335"/>
    <w:rsid w:val="00C4113E"/>
    <w:rsid w:val="00C42020"/>
    <w:rsid w:val="00C44821"/>
    <w:rsid w:val="00C468F6"/>
    <w:rsid w:val="00C52D29"/>
    <w:rsid w:val="00C52F84"/>
    <w:rsid w:val="00C53EA8"/>
    <w:rsid w:val="00C54B89"/>
    <w:rsid w:val="00C55800"/>
    <w:rsid w:val="00C56F35"/>
    <w:rsid w:val="00C5765B"/>
    <w:rsid w:val="00C61946"/>
    <w:rsid w:val="00C62038"/>
    <w:rsid w:val="00C63185"/>
    <w:rsid w:val="00C63198"/>
    <w:rsid w:val="00C631F8"/>
    <w:rsid w:val="00C63251"/>
    <w:rsid w:val="00C63289"/>
    <w:rsid w:val="00C65F76"/>
    <w:rsid w:val="00C66945"/>
    <w:rsid w:val="00C7072A"/>
    <w:rsid w:val="00C74E23"/>
    <w:rsid w:val="00C76939"/>
    <w:rsid w:val="00C81E1E"/>
    <w:rsid w:val="00C8220B"/>
    <w:rsid w:val="00C8251F"/>
    <w:rsid w:val="00C83338"/>
    <w:rsid w:val="00C83906"/>
    <w:rsid w:val="00C86E10"/>
    <w:rsid w:val="00C875F8"/>
    <w:rsid w:val="00C87E72"/>
    <w:rsid w:val="00C87FFA"/>
    <w:rsid w:val="00C9044E"/>
    <w:rsid w:val="00C90D06"/>
    <w:rsid w:val="00C92BE7"/>
    <w:rsid w:val="00C9370D"/>
    <w:rsid w:val="00C9385B"/>
    <w:rsid w:val="00C94A80"/>
    <w:rsid w:val="00C972F9"/>
    <w:rsid w:val="00CA2E16"/>
    <w:rsid w:val="00CA32D5"/>
    <w:rsid w:val="00CA474C"/>
    <w:rsid w:val="00CA51BD"/>
    <w:rsid w:val="00CA6125"/>
    <w:rsid w:val="00CB0110"/>
    <w:rsid w:val="00CB08FB"/>
    <w:rsid w:val="00CB2B1A"/>
    <w:rsid w:val="00CB37BA"/>
    <w:rsid w:val="00CB38CF"/>
    <w:rsid w:val="00CB3B68"/>
    <w:rsid w:val="00CB6C2B"/>
    <w:rsid w:val="00CB76C9"/>
    <w:rsid w:val="00CB7FE1"/>
    <w:rsid w:val="00CC11E2"/>
    <w:rsid w:val="00CC151D"/>
    <w:rsid w:val="00CC2571"/>
    <w:rsid w:val="00CC410D"/>
    <w:rsid w:val="00CC5D91"/>
    <w:rsid w:val="00CC5FDD"/>
    <w:rsid w:val="00CC6E40"/>
    <w:rsid w:val="00CD1D1E"/>
    <w:rsid w:val="00CD5F83"/>
    <w:rsid w:val="00CD76C0"/>
    <w:rsid w:val="00CE12C4"/>
    <w:rsid w:val="00CE2629"/>
    <w:rsid w:val="00CE3F38"/>
    <w:rsid w:val="00CE40DD"/>
    <w:rsid w:val="00CE48C2"/>
    <w:rsid w:val="00CE6427"/>
    <w:rsid w:val="00CF080A"/>
    <w:rsid w:val="00CF12E7"/>
    <w:rsid w:val="00CF1509"/>
    <w:rsid w:val="00CF2DCB"/>
    <w:rsid w:val="00CF3D0D"/>
    <w:rsid w:val="00CF4FDF"/>
    <w:rsid w:val="00CF6094"/>
    <w:rsid w:val="00CF6DDB"/>
    <w:rsid w:val="00CF72EA"/>
    <w:rsid w:val="00D0071D"/>
    <w:rsid w:val="00D01270"/>
    <w:rsid w:val="00D01577"/>
    <w:rsid w:val="00D017F8"/>
    <w:rsid w:val="00D04F97"/>
    <w:rsid w:val="00D056E1"/>
    <w:rsid w:val="00D062A8"/>
    <w:rsid w:val="00D06F21"/>
    <w:rsid w:val="00D10A92"/>
    <w:rsid w:val="00D11FF7"/>
    <w:rsid w:val="00D1298A"/>
    <w:rsid w:val="00D15245"/>
    <w:rsid w:val="00D16282"/>
    <w:rsid w:val="00D1733F"/>
    <w:rsid w:val="00D20A74"/>
    <w:rsid w:val="00D20D29"/>
    <w:rsid w:val="00D215C3"/>
    <w:rsid w:val="00D21D92"/>
    <w:rsid w:val="00D2255E"/>
    <w:rsid w:val="00D22771"/>
    <w:rsid w:val="00D2386E"/>
    <w:rsid w:val="00D26C7B"/>
    <w:rsid w:val="00D30816"/>
    <w:rsid w:val="00D32CA2"/>
    <w:rsid w:val="00D34712"/>
    <w:rsid w:val="00D35808"/>
    <w:rsid w:val="00D35AB0"/>
    <w:rsid w:val="00D362A4"/>
    <w:rsid w:val="00D37C83"/>
    <w:rsid w:val="00D40161"/>
    <w:rsid w:val="00D40B26"/>
    <w:rsid w:val="00D461FC"/>
    <w:rsid w:val="00D4631A"/>
    <w:rsid w:val="00D477B7"/>
    <w:rsid w:val="00D47948"/>
    <w:rsid w:val="00D47A51"/>
    <w:rsid w:val="00D5133C"/>
    <w:rsid w:val="00D51F7B"/>
    <w:rsid w:val="00D528C0"/>
    <w:rsid w:val="00D52A84"/>
    <w:rsid w:val="00D52EA4"/>
    <w:rsid w:val="00D53062"/>
    <w:rsid w:val="00D53E0A"/>
    <w:rsid w:val="00D55CB2"/>
    <w:rsid w:val="00D55F8F"/>
    <w:rsid w:val="00D60156"/>
    <w:rsid w:val="00D601EB"/>
    <w:rsid w:val="00D6026E"/>
    <w:rsid w:val="00D61564"/>
    <w:rsid w:val="00D618BC"/>
    <w:rsid w:val="00D61C90"/>
    <w:rsid w:val="00D634F4"/>
    <w:rsid w:val="00D63E77"/>
    <w:rsid w:val="00D643E1"/>
    <w:rsid w:val="00D64709"/>
    <w:rsid w:val="00D64911"/>
    <w:rsid w:val="00D71AE4"/>
    <w:rsid w:val="00D72EF8"/>
    <w:rsid w:val="00D73BBA"/>
    <w:rsid w:val="00D7738D"/>
    <w:rsid w:val="00D77B3B"/>
    <w:rsid w:val="00D807E1"/>
    <w:rsid w:val="00D82969"/>
    <w:rsid w:val="00D842C1"/>
    <w:rsid w:val="00D8451A"/>
    <w:rsid w:val="00D87EBB"/>
    <w:rsid w:val="00D87F3D"/>
    <w:rsid w:val="00D90A22"/>
    <w:rsid w:val="00D924E6"/>
    <w:rsid w:val="00D9281B"/>
    <w:rsid w:val="00D92CEC"/>
    <w:rsid w:val="00D95AE9"/>
    <w:rsid w:val="00D961B0"/>
    <w:rsid w:val="00D96F4B"/>
    <w:rsid w:val="00DA247F"/>
    <w:rsid w:val="00DA3F0C"/>
    <w:rsid w:val="00DA496E"/>
    <w:rsid w:val="00DA5BE4"/>
    <w:rsid w:val="00DA64A1"/>
    <w:rsid w:val="00DA6CCC"/>
    <w:rsid w:val="00DA74AB"/>
    <w:rsid w:val="00DA771A"/>
    <w:rsid w:val="00DB1F30"/>
    <w:rsid w:val="00DB36A5"/>
    <w:rsid w:val="00DB57EA"/>
    <w:rsid w:val="00DB67C2"/>
    <w:rsid w:val="00DB6A4F"/>
    <w:rsid w:val="00DB6C40"/>
    <w:rsid w:val="00DB6DBB"/>
    <w:rsid w:val="00DB7B63"/>
    <w:rsid w:val="00DB7BA5"/>
    <w:rsid w:val="00DC1874"/>
    <w:rsid w:val="00DC203C"/>
    <w:rsid w:val="00DC290D"/>
    <w:rsid w:val="00DC3665"/>
    <w:rsid w:val="00DC4FB5"/>
    <w:rsid w:val="00DC5EBD"/>
    <w:rsid w:val="00DC5F3A"/>
    <w:rsid w:val="00DC6FE7"/>
    <w:rsid w:val="00DC79F8"/>
    <w:rsid w:val="00DD0528"/>
    <w:rsid w:val="00DD0D8B"/>
    <w:rsid w:val="00DD18A5"/>
    <w:rsid w:val="00DD4A0C"/>
    <w:rsid w:val="00DD5498"/>
    <w:rsid w:val="00DD70ED"/>
    <w:rsid w:val="00DE1881"/>
    <w:rsid w:val="00DE27A8"/>
    <w:rsid w:val="00DE32C2"/>
    <w:rsid w:val="00DE485E"/>
    <w:rsid w:val="00DE6561"/>
    <w:rsid w:val="00DE6E6E"/>
    <w:rsid w:val="00DE77B1"/>
    <w:rsid w:val="00DF02D0"/>
    <w:rsid w:val="00DF33A6"/>
    <w:rsid w:val="00DF4250"/>
    <w:rsid w:val="00DF47F3"/>
    <w:rsid w:val="00DF4AD3"/>
    <w:rsid w:val="00DF56B6"/>
    <w:rsid w:val="00E00CCB"/>
    <w:rsid w:val="00E0164F"/>
    <w:rsid w:val="00E01E27"/>
    <w:rsid w:val="00E040F8"/>
    <w:rsid w:val="00E04CAC"/>
    <w:rsid w:val="00E10F27"/>
    <w:rsid w:val="00E12139"/>
    <w:rsid w:val="00E12AF3"/>
    <w:rsid w:val="00E13627"/>
    <w:rsid w:val="00E1391C"/>
    <w:rsid w:val="00E144C4"/>
    <w:rsid w:val="00E14A69"/>
    <w:rsid w:val="00E2069A"/>
    <w:rsid w:val="00E21BFB"/>
    <w:rsid w:val="00E22E04"/>
    <w:rsid w:val="00E23072"/>
    <w:rsid w:val="00E234B6"/>
    <w:rsid w:val="00E23721"/>
    <w:rsid w:val="00E3060D"/>
    <w:rsid w:val="00E3249D"/>
    <w:rsid w:val="00E328EB"/>
    <w:rsid w:val="00E34A42"/>
    <w:rsid w:val="00E36B65"/>
    <w:rsid w:val="00E36E96"/>
    <w:rsid w:val="00E4131D"/>
    <w:rsid w:val="00E4168B"/>
    <w:rsid w:val="00E42261"/>
    <w:rsid w:val="00E4246D"/>
    <w:rsid w:val="00E45216"/>
    <w:rsid w:val="00E47825"/>
    <w:rsid w:val="00E54047"/>
    <w:rsid w:val="00E557B7"/>
    <w:rsid w:val="00E55C22"/>
    <w:rsid w:val="00E561FE"/>
    <w:rsid w:val="00E57076"/>
    <w:rsid w:val="00E57964"/>
    <w:rsid w:val="00E60125"/>
    <w:rsid w:val="00E60A2A"/>
    <w:rsid w:val="00E629A7"/>
    <w:rsid w:val="00E62C25"/>
    <w:rsid w:val="00E6443A"/>
    <w:rsid w:val="00E64959"/>
    <w:rsid w:val="00E71A8C"/>
    <w:rsid w:val="00E74F5B"/>
    <w:rsid w:val="00E751FB"/>
    <w:rsid w:val="00E77106"/>
    <w:rsid w:val="00E8229B"/>
    <w:rsid w:val="00E82482"/>
    <w:rsid w:val="00E829DF"/>
    <w:rsid w:val="00E837AF"/>
    <w:rsid w:val="00E837BE"/>
    <w:rsid w:val="00E86C23"/>
    <w:rsid w:val="00E87BAD"/>
    <w:rsid w:val="00E90FCF"/>
    <w:rsid w:val="00E91685"/>
    <w:rsid w:val="00E94A3D"/>
    <w:rsid w:val="00E94EAE"/>
    <w:rsid w:val="00E972F9"/>
    <w:rsid w:val="00EA0AB2"/>
    <w:rsid w:val="00EA1344"/>
    <w:rsid w:val="00EA138C"/>
    <w:rsid w:val="00EA1E3A"/>
    <w:rsid w:val="00EA1F23"/>
    <w:rsid w:val="00EA5CF0"/>
    <w:rsid w:val="00EA6060"/>
    <w:rsid w:val="00EA7442"/>
    <w:rsid w:val="00EB0074"/>
    <w:rsid w:val="00EB0929"/>
    <w:rsid w:val="00EB2FA3"/>
    <w:rsid w:val="00EB5673"/>
    <w:rsid w:val="00EB5FCF"/>
    <w:rsid w:val="00EB6101"/>
    <w:rsid w:val="00EB6865"/>
    <w:rsid w:val="00EB7144"/>
    <w:rsid w:val="00EC0952"/>
    <w:rsid w:val="00EC19E3"/>
    <w:rsid w:val="00EC481A"/>
    <w:rsid w:val="00EC4957"/>
    <w:rsid w:val="00EC53CF"/>
    <w:rsid w:val="00EC56D0"/>
    <w:rsid w:val="00EC5F63"/>
    <w:rsid w:val="00ED08E2"/>
    <w:rsid w:val="00ED23EE"/>
    <w:rsid w:val="00ED2A1F"/>
    <w:rsid w:val="00ED2C0C"/>
    <w:rsid w:val="00ED2C94"/>
    <w:rsid w:val="00ED4E48"/>
    <w:rsid w:val="00ED65EE"/>
    <w:rsid w:val="00ED7343"/>
    <w:rsid w:val="00EE257D"/>
    <w:rsid w:val="00EE271E"/>
    <w:rsid w:val="00EE3042"/>
    <w:rsid w:val="00EE41CB"/>
    <w:rsid w:val="00EE4763"/>
    <w:rsid w:val="00EE4AE6"/>
    <w:rsid w:val="00EE4C5B"/>
    <w:rsid w:val="00EE4D18"/>
    <w:rsid w:val="00EE5B3D"/>
    <w:rsid w:val="00EE6899"/>
    <w:rsid w:val="00EF238B"/>
    <w:rsid w:val="00EF26BB"/>
    <w:rsid w:val="00EF2A53"/>
    <w:rsid w:val="00EF4DAB"/>
    <w:rsid w:val="00EF725E"/>
    <w:rsid w:val="00EF74A3"/>
    <w:rsid w:val="00F006C2"/>
    <w:rsid w:val="00F00B9F"/>
    <w:rsid w:val="00F029B4"/>
    <w:rsid w:val="00F05999"/>
    <w:rsid w:val="00F06647"/>
    <w:rsid w:val="00F06D4E"/>
    <w:rsid w:val="00F073CD"/>
    <w:rsid w:val="00F073D2"/>
    <w:rsid w:val="00F10301"/>
    <w:rsid w:val="00F1459D"/>
    <w:rsid w:val="00F15FAD"/>
    <w:rsid w:val="00F16824"/>
    <w:rsid w:val="00F16F10"/>
    <w:rsid w:val="00F17992"/>
    <w:rsid w:val="00F17B79"/>
    <w:rsid w:val="00F21447"/>
    <w:rsid w:val="00F21B6D"/>
    <w:rsid w:val="00F25282"/>
    <w:rsid w:val="00F27AC3"/>
    <w:rsid w:val="00F31400"/>
    <w:rsid w:val="00F316FF"/>
    <w:rsid w:val="00F3188B"/>
    <w:rsid w:val="00F3192F"/>
    <w:rsid w:val="00F34DF8"/>
    <w:rsid w:val="00F35524"/>
    <w:rsid w:val="00F370FA"/>
    <w:rsid w:val="00F376E0"/>
    <w:rsid w:val="00F40204"/>
    <w:rsid w:val="00F40AC0"/>
    <w:rsid w:val="00F414C3"/>
    <w:rsid w:val="00F442DF"/>
    <w:rsid w:val="00F451F6"/>
    <w:rsid w:val="00F45E76"/>
    <w:rsid w:val="00F45EA1"/>
    <w:rsid w:val="00F46D4D"/>
    <w:rsid w:val="00F47740"/>
    <w:rsid w:val="00F50096"/>
    <w:rsid w:val="00F50C4E"/>
    <w:rsid w:val="00F5639A"/>
    <w:rsid w:val="00F56F6D"/>
    <w:rsid w:val="00F60B49"/>
    <w:rsid w:val="00F617B2"/>
    <w:rsid w:val="00F61AB9"/>
    <w:rsid w:val="00F61D4D"/>
    <w:rsid w:val="00F63195"/>
    <w:rsid w:val="00F63B9A"/>
    <w:rsid w:val="00F64083"/>
    <w:rsid w:val="00F64ADB"/>
    <w:rsid w:val="00F64CF8"/>
    <w:rsid w:val="00F6606F"/>
    <w:rsid w:val="00F71A1D"/>
    <w:rsid w:val="00F72092"/>
    <w:rsid w:val="00F726DE"/>
    <w:rsid w:val="00F7274F"/>
    <w:rsid w:val="00F7291B"/>
    <w:rsid w:val="00F77E32"/>
    <w:rsid w:val="00F811AB"/>
    <w:rsid w:val="00F81C18"/>
    <w:rsid w:val="00F84E9B"/>
    <w:rsid w:val="00F86AFA"/>
    <w:rsid w:val="00F90057"/>
    <w:rsid w:val="00F90624"/>
    <w:rsid w:val="00F914D9"/>
    <w:rsid w:val="00F91F70"/>
    <w:rsid w:val="00F92079"/>
    <w:rsid w:val="00F9258A"/>
    <w:rsid w:val="00F9406E"/>
    <w:rsid w:val="00F947F6"/>
    <w:rsid w:val="00F94A67"/>
    <w:rsid w:val="00F954C6"/>
    <w:rsid w:val="00F97260"/>
    <w:rsid w:val="00FA1F36"/>
    <w:rsid w:val="00FA504F"/>
    <w:rsid w:val="00FA5645"/>
    <w:rsid w:val="00FA78B1"/>
    <w:rsid w:val="00FB0A14"/>
    <w:rsid w:val="00FB14BE"/>
    <w:rsid w:val="00FB257D"/>
    <w:rsid w:val="00FB38F6"/>
    <w:rsid w:val="00FB4410"/>
    <w:rsid w:val="00FB4DBE"/>
    <w:rsid w:val="00FB72DB"/>
    <w:rsid w:val="00FB751E"/>
    <w:rsid w:val="00FB7F70"/>
    <w:rsid w:val="00FC1966"/>
    <w:rsid w:val="00FC267F"/>
    <w:rsid w:val="00FC2AB1"/>
    <w:rsid w:val="00FC4C19"/>
    <w:rsid w:val="00FC52BC"/>
    <w:rsid w:val="00FC7894"/>
    <w:rsid w:val="00FD05E3"/>
    <w:rsid w:val="00FD0AFA"/>
    <w:rsid w:val="00FD0EAB"/>
    <w:rsid w:val="00FD12CA"/>
    <w:rsid w:val="00FD13C9"/>
    <w:rsid w:val="00FD3346"/>
    <w:rsid w:val="00FD344D"/>
    <w:rsid w:val="00FD3478"/>
    <w:rsid w:val="00FD39D5"/>
    <w:rsid w:val="00FD3B5F"/>
    <w:rsid w:val="00FD5AE9"/>
    <w:rsid w:val="00FD6658"/>
    <w:rsid w:val="00FD6758"/>
    <w:rsid w:val="00FE01BF"/>
    <w:rsid w:val="00FE020E"/>
    <w:rsid w:val="00FE0E1B"/>
    <w:rsid w:val="00FE192C"/>
    <w:rsid w:val="00FE1A8C"/>
    <w:rsid w:val="00FE3E79"/>
    <w:rsid w:val="00FE3EBA"/>
    <w:rsid w:val="00FE5267"/>
    <w:rsid w:val="00FE54D7"/>
    <w:rsid w:val="00FE5D6A"/>
    <w:rsid w:val="00FE77A1"/>
    <w:rsid w:val="00FF134E"/>
    <w:rsid w:val="00FF1378"/>
    <w:rsid w:val="00FF21F5"/>
    <w:rsid w:val="00FF471A"/>
    <w:rsid w:val="00FF5328"/>
    <w:rsid w:val="00FF5346"/>
    <w:rsid w:val="00FF537A"/>
    <w:rsid w:val="00FF55E8"/>
    <w:rsid w:val="00FF5812"/>
    <w:rsid w:val="00FF7565"/>
    <w:rsid w:val="00FF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C9C8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7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pPr>
      <w:widowControl w:val="0"/>
      <w:ind w:right="-720"/>
    </w:pPr>
  </w:style>
  <w:style w:type="character" w:styleId="FootnoteReference">
    <w:name w:val="footnote reference"/>
    <w:aliases w:val="o"/>
    <w:rPr>
      <w:vertAlign w:val="superscript"/>
    </w:rPr>
  </w:style>
  <w:style w:type="paragraph" w:styleId="TOC1">
    <w:name w:val="toc 1"/>
    <w:basedOn w:val="Normal"/>
    <w:next w:val="Normal"/>
    <w:semiHidden/>
    <w:pPr>
      <w:keepNext/>
      <w:tabs>
        <w:tab w:val="right" w:leader="dot" w:pos="8640"/>
      </w:tabs>
      <w:suppressAutoHyphens/>
      <w:spacing w:before="120" w:after="120"/>
      <w:ind w:left="245" w:right="1440" w:hanging="245"/>
    </w:pPr>
    <w:rPr>
      <w:b/>
      <w:caps/>
      <w:noProof/>
      <w:sz w:val="26"/>
      <w:u w:val="single"/>
    </w:rPr>
  </w:style>
  <w:style w:type="character" w:styleId="LineNumber">
    <w:name w:val="line number"/>
    <w:rPr>
      <w:sz w:val="26"/>
    </w:rPr>
  </w:style>
  <w:style w:type="paragraph" w:customStyle="1" w:styleId="Quotation">
    <w:name w:val="Quotation"/>
    <w:basedOn w:val="Normal"/>
    <w:next w:val="Normal"/>
    <w:pPr>
      <w:spacing w:after="120"/>
      <w:ind w:left="1440" w:right="1440"/>
    </w:pPr>
    <w:rPr>
      <w:sz w:val="26"/>
    </w:rPr>
  </w:style>
  <w:style w:type="paragraph" w:styleId="BodyText">
    <w:name w:val="Body Text"/>
    <w:basedOn w:val="Normal"/>
    <w:link w:val="BodyTextChar"/>
    <w:pPr>
      <w:spacing w:after="480"/>
    </w:pPr>
    <w:rPr>
      <w:sz w:val="26"/>
    </w:rPr>
  </w:style>
  <w:style w:type="paragraph" w:styleId="Title">
    <w:name w:val="Title"/>
    <w:basedOn w:val="Normal"/>
    <w:qFormat/>
    <w:pPr>
      <w:spacing w:before="240" w:after="60"/>
      <w:jc w:val="center"/>
    </w:pPr>
    <w:rPr>
      <w:b/>
      <w:kern w:val="28"/>
      <w:sz w:val="28"/>
    </w:rPr>
  </w:style>
  <w:style w:type="paragraph" w:styleId="Date">
    <w:name w:val="Date"/>
    <w:basedOn w:val="Normal"/>
    <w:pPr>
      <w:jc w:val="right"/>
    </w:pPr>
    <w:rPr>
      <w:sz w:val="26"/>
    </w:rPr>
  </w:style>
  <w:style w:type="paragraph" w:customStyle="1" w:styleId="BodyText1Noindent">
    <w:name w:val="Body Text 1 (No indent)"/>
    <w:basedOn w:val="Normal"/>
    <w:rPr>
      <w:sz w:val="26"/>
    </w:rPr>
  </w:style>
  <w:style w:type="paragraph" w:styleId="BodyText3">
    <w:name w:val="Body Text 3"/>
    <w:basedOn w:val="Normal"/>
    <w:link w:val="BodyText3Char"/>
    <w:pPr>
      <w:spacing w:after="120"/>
    </w:pPr>
    <w:rPr>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36D2A"/>
    <w:rPr>
      <w:sz w:val="16"/>
      <w:szCs w:val="16"/>
    </w:rPr>
  </w:style>
  <w:style w:type="paragraph" w:styleId="CommentText">
    <w:name w:val="annotation text"/>
    <w:basedOn w:val="Normal"/>
    <w:link w:val="CommentTextChar"/>
    <w:rsid w:val="00B36D2A"/>
  </w:style>
  <w:style w:type="character" w:customStyle="1" w:styleId="CommentTextChar">
    <w:name w:val="Comment Text Char"/>
    <w:basedOn w:val="DefaultParagraphFont"/>
    <w:link w:val="CommentText"/>
    <w:rsid w:val="00B36D2A"/>
  </w:style>
  <w:style w:type="paragraph" w:styleId="CommentSubject">
    <w:name w:val="annotation subject"/>
    <w:basedOn w:val="CommentText"/>
    <w:next w:val="CommentText"/>
    <w:link w:val="CommentSubjectChar"/>
    <w:rsid w:val="00B36D2A"/>
    <w:rPr>
      <w:b/>
      <w:bCs/>
    </w:rPr>
  </w:style>
  <w:style w:type="character" w:customStyle="1" w:styleId="CommentSubjectChar">
    <w:name w:val="Comment Subject Char"/>
    <w:link w:val="CommentSubject"/>
    <w:rsid w:val="00B36D2A"/>
    <w:rPr>
      <w:b/>
      <w:bCs/>
    </w:rPr>
  </w:style>
  <w:style w:type="character" w:customStyle="1" w:styleId="FootnoteTextChar">
    <w:name w:val="Footnote Text Char"/>
    <w:basedOn w:val="DefaultParagraphFont"/>
    <w:link w:val="FootnoteText"/>
    <w:semiHidden/>
    <w:rsid w:val="006C0A7A"/>
  </w:style>
  <w:style w:type="character" w:customStyle="1" w:styleId="FooterChar">
    <w:name w:val="Footer Char"/>
    <w:basedOn w:val="DefaultParagraphFont"/>
    <w:link w:val="Footer"/>
    <w:uiPriority w:val="99"/>
    <w:rsid w:val="00E45216"/>
  </w:style>
  <w:style w:type="paragraph" w:customStyle="1" w:styleId="standard">
    <w:name w:val="standard"/>
    <w:basedOn w:val="Normal"/>
    <w:link w:val="standardChar"/>
    <w:rsid w:val="00E45216"/>
    <w:pPr>
      <w:spacing w:line="360" w:lineRule="auto"/>
      <w:ind w:firstLine="720"/>
    </w:pPr>
    <w:rPr>
      <w:rFonts w:ascii="Palatino" w:hAnsi="Palatino"/>
      <w:sz w:val="26"/>
    </w:rPr>
  </w:style>
  <w:style w:type="character" w:customStyle="1" w:styleId="standardChar">
    <w:name w:val="standard Char"/>
    <w:link w:val="standard"/>
    <w:locked/>
    <w:rsid w:val="00E45216"/>
    <w:rPr>
      <w:rFonts w:ascii="Palatino" w:hAnsi="Palatino"/>
      <w:sz w:val="26"/>
    </w:rPr>
  </w:style>
  <w:style w:type="paragraph" w:styleId="NormalWeb">
    <w:name w:val="Normal (Web)"/>
    <w:basedOn w:val="Normal"/>
    <w:uiPriority w:val="99"/>
    <w:unhideWhenUsed/>
    <w:rsid w:val="00DC5F3A"/>
    <w:rPr>
      <w:rFonts w:ascii="Open Sans" w:hAnsi="Open Sans"/>
      <w:sz w:val="21"/>
      <w:szCs w:val="21"/>
    </w:rPr>
  </w:style>
  <w:style w:type="character" w:styleId="Strong">
    <w:name w:val="Strong"/>
    <w:basedOn w:val="DefaultParagraphFont"/>
    <w:uiPriority w:val="22"/>
    <w:qFormat/>
    <w:rsid w:val="00DC5F3A"/>
    <w:rPr>
      <w:b/>
      <w:bCs/>
    </w:rPr>
  </w:style>
  <w:style w:type="paragraph" w:styleId="ListParagraph">
    <w:name w:val="List Paragraph"/>
    <w:basedOn w:val="Normal"/>
    <w:uiPriority w:val="34"/>
    <w:qFormat/>
    <w:rsid w:val="000F7736"/>
    <w:pPr>
      <w:ind w:left="720"/>
      <w:contextualSpacing/>
    </w:pPr>
  </w:style>
  <w:style w:type="character" w:customStyle="1" w:styleId="BodyText3Char">
    <w:name w:val="Body Text 3 Char"/>
    <w:basedOn w:val="DefaultParagraphFont"/>
    <w:link w:val="BodyText3"/>
    <w:rsid w:val="002B3D95"/>
    <w:rPr>
      <w:sz w:val="16"/>
      <w:szCs w:val="16"/>
    </w:rPr>
  </w:style>
  <w:style w:type="character" w:customStyle="1" w:styleId="BodyTextChar">
    <w:name w:val="Body Text Char"/>
    <w:basedOn w:val="DefaultParagraphFont"/>
    <w:link w:val="BodyText"/>
    <w:rsid w:val="00337C90"/>
    <w:rPr>
      <w:sz w:val="26"/>
    </w:rPr>
  </w:style>
  <w:style w:type="paragraph" w:styleId="Revision">
    <w:name w:val="Revision"/>
    <w:hidden/>
    <w:uiPriority w:val="99"/>
    <w:semiHidden/>
    <w:rsid w:val="00A5548F"/>
  </w:style>
  <w:style w:type="paragraph" w:customStyle="1" w:styleId="Default">
    <w:name w:val="Default"/>
    <w:rsid w:val="0078610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23696">
      <w:bodyDiv w:val="1"/>
      <w:marLeft w:val="0"/>
      <w:marRight w:val="0"/>
      <w:marTop w:val="0"/>
      <w:marBottom w:val="0"/>
      <w:divBdr>
        <w:top w:val="none" w:sz="0" w:space="0" w:color="auto"/>
        <w:left w:val="none" w:sz="0" w:space="0" w:color="auto"/>
        <w:bottom w:val="none" w:sz="0" w:space="0" w:color="auto"/>
        <w:right w:val="none" w:sz="0" w:space="0" w:color="auto"/>
      </w:divBdr>
    </w:div>
    <w:div w:id="393433469">
      <w:bodyDiv w:val="1"/>
      <w:marLeft w:val="0"/>
      <w:marRight w:val="0"/>
      <w:marTop w:val="0"/>
      <w:marBottom w:val="0"/>
      <w:divBdr>
        <w:top w:val="none" w:sz="0" w:space="0" w:color="auto"/>
        <w:left w:val="none" w:sz="0" w:space="0" w:color="auto"/>
        <w:bottom w:val="none" w:sz="0" w:space="0" w:color="auto"/>
        <w:right w:val="none" w:sz="0" w:space="0" w:color="auto"/>
      </w:divBdr>
    </w:div>
    <w:div w:id="191400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E8773-A1CF-4F89-B576-3659302AD10E}">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14</ap:Pages>
  <ap:Words>4117</ap:Words>
  <ap:Characters>23467</ap:Characters>
  <ap:Application>Microsoft Office Word</ap:Application>
  <ap:DocSecurity>0</ap:DocSecurity>
  <ap:Lines>195</ap:Lines>
  <ap:Paragraphs>55</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27529</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2021-05-13T22:59:00Z</cp:lastPrinted>
  <dcterms:created xsi:type="dcterms:W3CDTF">2022-01-21T08:42:26Z</dcterms:created>
  <dcterms:modified xsi:type="dcterms:W3CDTF">2022-01-21T08:42:26Z</dcterms:modified>
</cp:coreProperties>
</file>