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RDefault="00CF17DE" w14:paraId="5673C855" w14:textId="1FF2FA2D">
      <w:pPr>
        <w:pStyle w:val="titlebar"/>
        <w:rPr>
          <w:sz w:val="24"/>
        </w:rPr>
      </w:pPr>
      <w:r>
        <w:rPr>
          <w:sz w:val="24"/>
        </w:rPr>
        <w:t>PUBLIC UTILITIES COMMISSION OF THE STATE OF CALIFORNIA</w:t>
      </w:r>
    </w:p>
    <w:p w:rsidR="00C766F2" w:rsidRDefault="00C766F2" w14:paraId="47745881" w14:textId="77777777">
      <w:pPr>
        <w:pStyle w:val="titlebar"/>
        <w:rPr>
          <w:sz w:val="24"/>
        </w:rPr>
      </w:pPr>
    </w:p>
    <w:p w:rsidRPr="00C766F2" w:rsidR="00CF17DE" w:rsidRDefault="00C766F2" w14:paraId="32D950B4" w14:textId="02629BA6">
      <w:pPr>
        <w:suppressAutoHyphens/>
        <w:rPr>
          <w:rFonts w:ascii="Palatino Linotype" w:hAnsi="Palatino Linotype"/>
          <w:b/>
          <w:bCs/>
        </w:rPr>
      </w:pPr>
      <w:r>
        <w:tab/>
      </w:r>
      <w:r>
        <w:tab/>
      </w:r>
      <w:r>
        <w:tab/>
      </w:r>
      <w:r>
        <w:tab/>
      </w:r>
      <w:r>
        <w:tab/>
      </w:r>
      <w:r>
        <w:tab/>
      </w:r>
      <w:r>
        <w:tab/>
      </w:r>
      <w:r>
        <w:tab/>
      </w:r>
      <w:r w:rsidR="00C5425F">
        <w:t xml:space="preserve"> </w:t>
      </w:r>
      <w:r w:rsidR="002A67E7">
        <w:t xml:space="preserve">    </w:t>
      </w:r>
      <w:r w:rsidRPr="00C766F2">
        <w:rPr>
          <w:rFonts w:ascii="Palatino Linotype" w:hAnsi="Palatino Linotype"/>
          <w:b/>
          <w:bCs/>
        </w:rPr>
        <w:t>Agenda ID:</w:t>
      </w:r>
      <w:r w:rsidR="00605718">
        <w:rPr>
          <w:rFonts w:ascii="Palatino Linotype" w:hAnsi="Palatino Linotype"/>
          <w:b/>
          <w:bCs/>
        </w:rPr>
        <w:t xml:space="preserve"> </w:t>
      </w:r>
      <w:r w:rsidR="002A67E7">
        <w:rPr>
          <w:rFonts w:ascii="Palatino Linotype" w:hAnsi="Palatino Linotype"/>
          <w:b/>
          <w:bCs/>
        </w:rPr>
        <w:t>20270</w:t>
      </w:r>
    </w:p>
    <w:p w:rsidR="00CF17DE" w:rsidRDefault="00593807" w14:paraId="55F9CB7A" w14:textId="79BD44B7">
      <w:pPr>
        <w:rPr>
          <w:b/>
          <w:sz w:val="24"/>
        </w:rPr>
      </w:pPr>
      <w:r>
        <w:rPr>
          <w:b/>
          <w:sz w:val="24"/>
        </w:rPr>
        <w:t>ENERGY DIVISION</w:t>
      </w:r>
      <w:r>
        <w:rPr>
          <w:b/>
          <w:sz w:val="24"/>
        </w:rPr>
        <w:tab/>
      </w:r>
      <w:r>
        <w:rPr>
          <w:b/>
          <w:sz w:val="24"/>
        </w:rPr>
        <w:tab/>
      </w:r>
      <w:r>
        <w:rPr>
          <w:b/>
          <w:sz w:val="24"/>
        </w:rPr>
        <w:tab/>
      </w:r>
      <w:r>
        <w:rPr>
          <w:b/>
          <w:sz w:val="24"/>
        </w:rPr>
        <w:tab/>
      </w:r>
      <w:r>
        <w:rPr>
          <w:b/>
          <w:sz w:val="24"/>
        </w:rPr>
        <w:tab/>
      </w:r>
      <w:r w:rsidR="00F307F2">
        <w:rPr>
          <w:b/>
          <w:sz w:val="24"/>
        </w:rPr>
        <w:t xml:space="preserve">            </w:t>
      </w:r>
      <w:r w:rsidR="00C5425F">
        <w:rPr>
          <w:b/>
          <w:sz w:val="24"/>
        </w:rPr>
        <w:t xml:space="preserve"> </w:t>
      </w:r>
      <w:r w:rsidR="00F307F2">
        <w:rPr>
          <w:b/>
          <w:sz w:val="24"/>
        </w:rPr>
        <w:t xml:space="preserve"> </w:t>
      </w:r>
      <w:r w:rsidR="00CF17DE">
        <w:rPr>
          <w:b/>
          <w:sz w:val="24"/>
        </w:rPr>
        <w:t>RESOLUTION E</w:t>
      </w:r>
      <w:r w:rsidR="00027D75">
        <w:rPr>
          <w:b/>
          <w:sz w:val="24"/>
        </w:rPr>
        <w:t>-5</w:t>
      </w:r>
      <w:r w:rsidR="00CD489D">
        <w:rPr>
          <w:b/>
          <w:sz w:val="24"/>
        </w:rPr>
        <w:t>187</w:t>
      </w:r>
    </w:p>
    <w:p w:rsidR="00CF17DE" w:rsidP="00F307F2" w:rsidRDefault="001F5023" w14:paraId="6AFFE919" w14:textId="1CA46CF7">
      <w:pPr>
        <w:rPr>
          <w:b/>
          <w:sz w:val="24"/>
        </w:rPr>
      </w:pPr>
      <w:r>
        <w:rPr>
          <w:b/>
          <w:sz w:val="24"/>
        </w:rPr>
        <w:t xml:space="preserve">                                                                                                </w:t>
      </w:r>
      <w:r w:rsidR="00F307F2">
        <w:rPr>
          <w:b/>
          <w:sz w:val="24"/>
        </w:rPr>
        <w:t>February 24</w:t>
      </w:r>
      <w:r w:rsidRPr="00F307F2">
        <w:rPr>
          <w:b/>
          <w:sz w:val="24"/>
        </w:rPr>
        <w:t>, 202</w:t>
      </w:r>
      <w:r w:rsidRPr="00F307F2" w:rsidR="001302A2">
        <w:rPr>
          <w:b/>
          <w:sz w:val="24"/>
        </w:rPr>
        <w:t>2</w:t>
      </w:r>
    </w:p>
    <w:p w:rsidR="00CF17DE" w:rsidRDefault="00CF17DE" w14:paraId="769E65DB" w14:textId="77777777">
      <w:pPr>
        <w:tabs>
          <w:tab w:val="right" w:pos="8910"/>
        </w:tabs>
        <w:ind w:left="1440" w:firstLine="720"/>
        <w:rPr>
          <w:b/>
          <w:sz w:val="24"/>
        </w:rPr>
      </w:pPr>
    </w:p>
    <w:p w:rsidR="00CF17DE" w:rsidRDefault="00CF17DE" w14:paraId="35B6737A" w14:textId="77777777">
      <w:pPr>
        <w:pStyle w:val="mainex"/>
        <w:rPr>
          <w:u w:val="single"/>
        </w:rPr>
      </w:pPr>
      <w:bookmarkStart w:name="_Ref404993683" w:id="0"/>
      <w:r>
        <w:rPr>
          <w:u w:val="single"/>
        </w:rPr>
        <w:t>RESOLUTION</w:t>
      </w:r>
    </w:p>
    <w:p w:rsidR="00CF17DE" w:rsidRDefault="00CF17DE" w14:paraId="3378DEF8" w14:textId="77777777"/>
    <w:p w:rsidR="00B927B5" w:rsidP="00B927B5" w:rsidRDefault="00B927B5" w14:paraId="3F0EAD28" w14:textId="6AF506E9">
      <w:pPr>
        <w:pStyle w:val="Res-Caption"/>
      </w:pPr>
      <w:r>
        <w:t>Resolution E</w:t>
      </w:r>
      <w:r w:rsidR="00140B7E">
        <w:t>-</w:t>
      </w:r>
      <w:r w:rsidRPr="0012311C" w:rsidR="00701C41">
        <w:t>5187</w:t>
      </w:r>
      <w:r w:rsidRPr="0012311C">
        <w:t>.</w:t>
      </w:r>
      <w:r>
        <w:t xml:space="preserve">  </w:t>
      </w:r>
      <w:r w:rsidR="00140B7E">
        <w:t>Pacific</w:t>
      </w:r>
      <w:r w:rsidR="005C3C31">
        <w:t xml:space="preserve"> Gas </w:t>
      </w:r>
      <w:r w:rsidR="0066281C">
        <w:t xml:space="preserve">&amp; </w:t>
      </w:r>
      <w:r w:rsidR="005C3C31">
        <w:t>Electric</w:t>
      </w:r>
      <w:r w:rsidR="00140B7E">
        <w:t xml:space="preserve"> Company</w:t>
      </w:r>
      <w:r w:rsidR="007A1AD1">
        <w:t>’s</w:t>
      </w:r>
      <w:r w:rsidR="0066281C">
        <w:t xml:space="preserve"> </w:t>
      </w:r>
      <w:r w:rsidR="00316770">
        <w:t xml:space="preserve">Annual Reporting of Executive Compensation Awards </w:t>
      </w:r>
      <w:r w:rsidR="004B7C82">
        <w:t xml:space="preserve">pursuant to </w:t>
      </w:r>
      <w:r w:rsidR="00F307F2">
        <w:br/>
      </w:r>
      <w:r w:rsidRPr="008817ED" w:rsidR="004B7C82">
        <w:t>D.2</w:t>
      </w:r>
      <w:r w:rsidR="00316770">
        <w:t>0</w:t>
      </w:r>
      <w:r w:rsidRPr="008817ED" w:rsidR="004B7C82">
        <w:t>-</w:t>
      </w:r>
      <w:r w:rsidR="008817ED">
        <w:t>0</w:t>
      </w:r>
      <w:r w:rsidR="00316770">
        <w:t>5</w:t>
      </w:r>
      <w:r w:rsidR="008817ED">
        <w:t>-</w:t>
      </w:r>
      <w:r w:rsidR="00316770">
        <w:t>053</w:t>
      </w:r>
      <w:r w:rsidR="008817ED">
        <w:t>.</w:t>
      </w:r>
    </w:p>
    <w:p w:rsidR="00801D70" w:rsidRDefault="00801D70" w14:paraId="3115A1F0" w14:textId="77777777">
      <w:pPr>
        <w:pStyle w:val="Res-Caption"/>
      </w:pPr>
    </w:p>
    <w:p w:rsidR="00DF35CC" w:rsidP="00DF35CC" w:rsidRDefault="00801D70" w14:paraId="25F235D4"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007A1AD1" w:rsidP="00DF35CC" w:rsidRDefault="007A1AD1" w14:paraId="3234F271" w14:textId="1C585A3E">
      <w:pPr>
        <w:pStyle w:val="Res-Caption"/>
        <w:numPr>
          <w:ilvl w:val="0"/>
          <w:numId w:val="7"/>
        </w:numPr>
        <w:rPr>
          <w:rFonts w:ascii="Palatino Linotype" w:hAnsi="Palatino Linotype"/>
        </w:rPr>
      </w:pPr>
      <w:r>
        <w:rPr>
          <w:rFonts w:ascii="Palatino Linotype" w:hAnsi="Palatino Linotype"/>
        </w:rPr>
        <w:t xml:space="preserve">This Resolution </w:t>
      </w:r>
      <w:r w:rsidR="00B547D0">
        <w:rPr>
          <w:rFonts w:ascii="Palatino Linotype" w:hAnsi="Palatino Linotype"/>
        </w:rPr>
        <w:t xml:space="preserve">approves </w:t>
      </w:r>
      <w:r w:rsidR="0095461E">
        <w:rPr>
          <w:rFonts w:ascii="Palatino Linotype" w:hAnsi="Palatino Linotype"/>
        </w:rPr>
        <w:t>Pacific</w:t>
      </w:r>
      <w:r>
        <w:rPr>
          <w:rFonts w:ascii="Palatino Linotype" w:hAnsi="Palatino Linotype"/>
        </w:rPr>
        <w:t xml:space="preserve"> Gas &amp; Electric</w:t>
      </w:r>
      <w:r w:rsidR="00140B7E">
        <w:rPr>
          <w:rFonts w:ascii="Palatino Linotype" w:hAnsi="Palatino Linotype"/>
        </w:rPr>
        <w:t xml:space="preserve"> Company</w:t>
      </w:r>
      <w:r>
        <w:rPr>
          <w:rFonts w:ascii="Palatino Linotype" w:hAnsi="Palatino Linotype"/>
        </w:rPr>
        <w:t>’s (</w:t>
      </w:r>
      <w:r w:rsidR="0095461E">
        <w:rPr>
          <w:rFonts w:ascii="Palatino Linotype" w:hAnsi="Palatino Linotype"/>
        </w:rPr>
        <w:t>P</w:t>
      </w:r>
      <w:r>
        <w:rPr>
          <w:rFonts w:ascii="Palatino Linotype" w:hAnsi="Palatino Linotype"/>
        </w:rPr>
        <w:t xml:space="preserve">G&amp;E) </w:t>
      </w:r>
      <w:r w:rsidR="00B547D0">
        <w:rPr>
          <w:rFonts w:ascii="Palatino Linotype" w:hAnsi="Palatino Linotype"/>
        </w:rPr>
        <w:t xml:space="preserve">Advice Letter </w:t>
      </w:r>
      <w:bookmarkStart w:name="_Hlk86758525" w:id="1"/>
      <w:r w:rsidR="00BD7825">
        <w:rPr>
          <w:rFonts w:ascii="Palatino Linotype" w:hAnsi="Palatino Linotype"/>
        </w:rPr>
        <w:t>4419-G/6157</w:t>
      </w:r>
      <w:r w:rsidR="00513C6F">
        <w:rPr>
          <w:rFonts w:ascii="Palatino Linotype" w:hAnsi="Palatino Linotype"/>
        </w:rPr>
        <w:t>-E</w:t>
      </w:r>
      <w:r w:rsidR="00B547D0">
        <w:rPr>
          <w:rFonts w:ascii="Palatino Linotype" w:hAnsi="Palatino Linotype"/>
        </w:rPr>
        <w:t xml:space="preserve"> </w:t>
      </w:r>
      <w:bookmarkEnd w:id="1"/>
      <w:r w:rsidR="00B547D0">
        <w:rPr>
          <w:rFonts w:ascii="Palatino Linotype" w:hAnsi="Palatino Linotype"/>
        </w:rPr>
        <w:t>a</w:t>
      </w:r>
      <w:r w:rsidR="009F3AB3">
        <w:rPr>
          <w:rFonts w:ascii="Palatino Linotype" w:hAnsi="Palatino Linotype"/>
        </w:rPr>
        <w:t>s modified by</w:t>
      </w:r>
      <w:r w:rsidR="00B547D0">
        <w:rPr>
          <w:rFonts w:ascii="Palatino Linotype" w:hAnsi="Palatino Linotype"/>
        </w:rPr>
        <w:t xml:space="preserve"> </w:t>
      </w:r>
      <w:r w:rsidR="00140B7E">
        <w:rPr>
          <w:rFonts w:ascii="Palatino Linotype" w:hAnsi="Palatino Linotype"/>
        </w:rPr>
        <w:t>supplement</w:t>
      </w:r>
      <w:r w:rsidR="00B547D0">
        <w:rPr>
          <w:rFonts w:ascii="Palatino Linotype" w:hAnsi="Palatino Linotype"/>
        </w:rPr>
        <w:t>al</w:t>
      </w:r>
      <w:bookmarkStart w:name="_Hlk34046180" w:id="2"/>
      <w:r w:rsidR="00B547D0">
        <w:rPr>
          <w:rFonts w:ascii="Palatino Linotype" w:hAnsi="Palatino Linotype"/>
        </w:rPr>
        <w:t xml:space="preserve"> </w:t>
      </w:r>
      <w:r w:rsidRPr="00BD7825" w:rsidR="00BD7825">
        <w:rPr>
          <w:rFonts w:ascii="Palatino Linotype" w:hAnsi="Palatino Linotype"/>
        </w:rPr>
        <w:t>4419-G</w:t>
      </w:r>
      <w:r w:rsidR="00C60DCD">
        <w:rPr>
          <w:rFonts w:ascii="Palatino Linotype" w:hAnsi="Palatino Linotype"/>
        </w:rPr>
        <w:t>-A</w:t>
      </w:r>
      <w:r w:rsidRPr="00BD7825" w:rsidR="00BD7825">
        <w:rPr>
          <w:rFonts w:ascii="Palatino Linotype" w:hAnsi="Palatino Linotype"/>
        </w:rPr>
        <w:t>/6157-E</w:t>
      </w:r>
      <w:r w:rsidR="00BD7825">
        <w:rPr>
          <w:rFonts w:ascii="Palatino Linotype" w:hAnsi="Palatino Linotype"/>
        </w:rPr>
        <w:t xml:space="preserve">-A, denies the Protest </w:t>
      </w:r>
      <w:r w:rsidR="009F3AB3">
        <w:rPr>
          <w:rFonts w:ascii="Palatino Linotype" w:hAnsi="Palatino Linotype"/>
        </w:rPr>
        <w:t>of</w:t>
      </w:r>
      <w:r w:rsidR="00BD7825">
        <w:rPr>
          <w:rFonts w:ascii="Palatino Linotype" w:hAnsi="Palatino Linotype"/>
        </w:rPr>
        <w:t xml:space="preserve"> Cal Advocates,</w:t>
      </w:r>
      <w:r w:rsidRPr="00BD7825" w:rsidR="00BD7825">
        <w:rPr>
          <w:rFonts w:ascii="Palatino Linotype" w:hAnsi="Palatino Linotype"/>
        </w:rPr>
        <w:t xml:space="preserve"> </w:t>
      </w:r>
      <w:r w:rsidR="00BD7825">
        <w:rPr>
          <w:rFonts w:ascii="Palatino Linotype" w:hAnsi="Palatino Linotype"/>
        </w:rPr>
        <w:t>and requires PG&amp;E to provide additional information related to executive compensation</w:t>
      </w:r>
      <w:r w:rsidR="009F3AB3">
        <w:rPr>
          <w:rFonts w:ascii="Palatino Linotype" w:hAnsi="Palatino Linotype"/>
        </w:rPr>
        <w:t xml:space="preserve"> awards</w:t>
      </w:r>
      <w:r w:rsidR="00BD7825">
        <w:rPr>
          <w:rFonts w:ascii="Palatino Linotype" w:hAnsi="Palatino Linotype"/>
        </w:rPr>
        <w:t xml:space="preserve"> in future annual reports. </w:t>
      </w:r>
      <w:bookmarkEnd w:id="2"/>
      <w:r>
        <w:rPr>
          <w:rFonts w:ascii="Palatino Linotype" w:hAnsi="Palatino Linotype"/>
        </w:rPr>
        <w:t xml:space="preserve"> </w:t>
      </w:r>
    </w:p>
    <w:p w:rsidR="00F51F8B" w:rsidRDefault="00F51F8B" w14:paraId="5B5A083E" w14:textId="77777777">
      <w:pPr>
        <w:pStyle w:val="Res-Caption"/>
        <w:rPr>
          <w:rFonts w:ascii="Palatino Linotype" w:hAnsi="Palatino Linotype"/>
        </w:rPr>
      </w:pPr>
    </w:p>
    <w:p w:rsidR="00F51F8B" w:rsidRDefault="00F51F8B" w14:paraId="27FB173B" w14:textId="77777777">
      <w:pPr>
        <w:pStyle w:val="Res-Caption"/>
      </w:pPr>
      <w:r w:rsidRPr="00F51F8B">
        <w:t>SAFETY CONSIDERATIONS:</w:t>
      </w:r>
    </w:p>
    <w:p w:rsidRPr="00C766F2" w:rsidR="00C766F2" w:rsidP="00C766F2" w:rsidRDefault="00C766F2" w14:paraId="1B565282" w14:textId="77777777">
      <w:pPr>
        <w:pStyle w:val="ListParagraph"/>
        <w:numPr>
          <w:ilvl w:val="0"/>
          <w:numId w:val="6"/>
        </w:numPr>
      </w:pPr>
      <w:r w:rsidRPr="00C766F2">
        <w:t>There are no safety considerations associated with this resolution.</w:t>
      </w:r>
    </w:p>
    <w:p w:rsidR="00801D70" w:rsidRDefault="00801D70" w14:paraId="2A9D8ED2" w14:textId="77777777">
      <w:pPr>
        <w:pStyle w:val="Res-Caption"/>
        <w:rPr>
          <w:rFonts w:ascii="Palatino Linotype" w:hAnsi="Palatino Linotype"/>
        </w:rPr>
      </w:pPr>
    </w:p>
    <w:p w:rsidR="00801D70" w:rsidRDefault="00801D70" w14:paraId="797CCE20" w14:textId="77777777">
      <w:pPr>
        <w:pStyle w:val="Res-Caption"/>
        <w:rPr>
          <w:rFonts w:ascii="Palatino Linotype" w:hAnsi="Palatino Linotype"/>
        </w:rPr>
      </w:pPr>
      <w:r w:rsidRPr="006B05EE">
        <w:t>ESTIMATED COST</w:t>
      </w:r>
      <w:r>
        <w:rPr>
          <w:rFonts w:ascii="Palatino Linotype" w:hAnsi="Palatino Linotype"/>
        </w:rPr>
        <w:t xml:space="preserve">:  </w:t>
      </w:r>
    </w:p>
    <w:p w:rsidR="003F6E5A" w:rsidP="003F6E5A" w:rsidRDefault="009E5D21" w14:paraId="43FC9889" w14:textId="1C54B98E">
      <w:pPr>
        <w:pStyle w:val="Res-Caption"/>
        <w:numPr>
          <w:ilvl w:val="0"/>
          <w:numId w:val="6"/>
        </w:numPr>
      </w:pPr>
      <w:r>
        <w:t xml:space="preserve">This Resolution is </w:t>
      </w:r>
      <w:r w:rsidR="005E5AED">
        <w:t xml:space="preserve">not </w:t>
      </w:r>
      <w:r>
        <w:t xml:space="preserve">expected to </w:t>
      </w:r>
      <w:r w:rsidR="005E5AED">
        <w:t xml:space="preserve">impact </w:t>
      </w:r>
      <w:r w:rsidR="00C572C8">
        <w:t>costs for</w:t>
      </w:r>
      <w:r>
        <w:t xml:space="preserve"> </w:t>
      </w:r>
      <w:r w:rsidR="005E5AED">
        <w:t>P</w:t>
      </w:r>
      <w:r w:rsidR="00D606F1">
        <w:t>G&amp;E</w:t>
      </w:r>
      <w:r w:rsidR="00C572C8">
        <w:t>’s</w:t>
      </w:r>
      <w:r w:rsidR="00D606F1">
        <w:t xml:space="preserve"> </w:t>
      </w:r>
      <w:r>
        <w:t>ratepayers</w:t>
      </w:r>
      <w:r w:rsidR="005E5AED">
        <w:t>.</w:t>
      </w:r>
      <w:r w:rsidR="00D606F1">
        <w:t xml:space="preserve"> </w:t>
      </w:r>
    </w:p>
    <w:p w:rsidR="00CF17DE" w:rsidRDefault="00CF17DE" w14:paraId="31BCB5C2" w14:textId="77777777">
      <w:pPr>
        <w:pStyle w:val="Res-Caption"/>
      </w:pPr>
    </w:p>
    <w:p w:rsidR="00CF17DE" w:rsidRDefault="00CF17DE" w14:paraId="2F95957D" w14:textId="3FFE52B5">
      <w:pPr>
        <w:pStyle w:val="Res-Caption"/>
      </w:pPr>
      <w:r>
        <w:t xml:space="preserve">By Advice Letter </w:t>
      </w:r>
      <w:r w:rsidRPr="00BD7825" w:rsidR="00BD7825">
        <w:t xml:space="preserve">4419-G/6157-E </w:t>
      </w:r>
      <w:r w:rsidR="000E76FA">
        <w:t xml:space="preserve">and supplemental </w:t>
      </w:r>
      <w:r w:rsidRPr="00BD7825" w:rsidR="00BD7825">
        <w:t>4419-G</w:t>
      </w:r>
      <w:r w:rsidR="00D90EFF">
        <w:t>-A</w:t>
      </w:r>
      <w:r w:rsidRPr="00BD7825" w:rsidR="00BD7825">
        <w:t>/6157-E</w:t>
      </w:r>
      <w:r w:rsidR="000E76FA">
        <w:t>-A</w:t>
      </w:r>
      <w:r w:rsidR="003F6E5A">
        <w:t>,</w:t>
      </w:r>
      <w:r>
        <w:t xml:space="preserve"> </w:t>
      </w:r>
      <w:r w:rsidR="00D606F1">
        <w:t>f</w:t>
      </w:r>
      <w:r>
        <w:t xml:space="preserve">iled on </w:t>
      </w:r>
      <w:r w:rsidR="006846FA">
        <w:t>April 9</w:t>
      </w:r>
      <w:r w:rsidR="00C375C0">
        <w:t>, 2021</w:t>
      </w:r>
      <w:r w:rsidR="000E76FA">
        <w:t xml:space="preserve"> and </w:t>
      </w:r>
      <w:r w:rsidRPr="00A51979" w:rsidR="006846FA">
        <w:t>April</w:t>
      </w:r>
      <w:r w:rsidRPr="00A51979" w:rsidR="000E76FA">
        <w:t xml:space="preserve"> </w:t>
      </w:r>
      <w:r w:rsidRPr="00A51979" w:rsidR="006846FA">
        <w:t>3</w:t>
      </w:r>
      <w:r w:rsidRPr="00A51979" w:rsidR="000E76FA">
        <w:t>0, 202</w:t>
      </w:r>
      <w:r w:rsidRPr="00A51979" w:rsidR="00C375C0">
        <w:t>1</w:t>
      </w:r>
      <w:r w:rsidR="000E76FA">
        <w:t>, respectively</w:t>
      </w:r>
      <w:r>
        <w:t xml:space="preserve">. </w:t>
      </w:r>
    </w:p>
    <w:p w:rsidR="00CF17DE" w:rsidRDefault="00CF17DE" w14:paraId="1894B73A" w14:textId="77777777">
      <w:pPr>
        <w:jc w:val="center"/>
      </w:pPr>
      <w:r>
        <w:t>__________________________________________________________</w:t>
      </w:r>
    </w:p>
    <w:p w:rsidR="00CF17DE" w:rsidRDefault="00CF17DE" w14:paraId="1C45E53E" w14:textId="77777777">
      <w:pPr>
        <w:rPr>
          <w:b/>
        </w:rPr>
      </w:pPr>
    </w:p>
    <w:p w:rsidR="00CF17DE" w:rsidRDefault="00CF17DE" w14:paraId="407845B4" w14:textId="77777777">
      <w:pPr>
        <w:pStyle w:val="Heading1"/>
      </w:pPr>
      <w:r>
        <w:t>Summary</w:t>
      </w:r>
      <w:bookmarkEnd w:id="0"/>
    </w:p>
    <w:p w:rsidR="00CF17DE" w:rsidRDefault="00CF17DE" w14:paraId="6116DD7C" w14:textId="66D46391">
      <w:r>
        <w:t>This Resolutio</w:t>
      </w:r>
      <w:r w:rsidR="00BF13A2">
        <w:t xml:space="preserve">n approves </w:t>
      </w:r>
      <w:r w:rsidR="005600F0">
        <w:t>P</w:t>
      </w:r>
      <w:r w:rsidR="00BD2D3E">
        <w:t>acific Gas and Electric Company's</w:t>
      </w:r>
      <w:r w:rsidR="001038ED">
        <w:t xml:space="preserve"> (PG&amp;E)</w:t>
      </w:r>
      <w:r w:rsidR="00BF13A2">
        <w:t xml:space="preserve"> </w:t>
      </w:r>
      <w:r w:rsidR="00804A9C">
        <w:t xml:space="preserve">Tier </w:t>
      </w:r>
      <w:r w:rsidR="00512CA6">
        <w:t>1</w:t>
      </w:r>
      <w:r w:rsidR="00804A9C">
        <w:t xml:space="preserve"> </w:t>
      </w:r>
      <w:r w:rsidR="00D9645F">
        <w:t xml:space="preserve">Advice Letter (AL) </w:t>
      </w:r>
      <w:r w:rsidRPr="00512CA6" w:rsidR="00512CA6">
        <w:t>4419-G/6157-E</w:t>
      </w:r>
      <w:r w:rsidR="00B126C4">
        <w:t xml:space="preserve"> as modified by </w:t>
      </w:r>
      <w:r w:rsidRPr="00794FB4" w:rsidR="00D9645F">
        <w:t>supplemental</w:t>
      </w:r>
      <w:r w:rsidR="00794FB4">
        <w:t xml:space="preserve"> </w:t>
      </w:r>
      <w:r w:rsidR="004E406F">
        <w:t>AL</w:t>
      </w:r>
      <w:r w:rsidR="00DA4375">
        <w:t xml:space="preserve"> </w:t>
      </w:r>
      <w:r w:rsidRPr="00512CA6" w:rsidR="00512CA6">
        <w:t>4419-G</w:t>
      </w:r>
      <w:r w:rsidR="00D90EFF">
        <w:t>-A</w:t>
      </w:r>
      <w:r w:rsidRPr="00512CA6" w:rsidR="00512CA6">
        <w:t>/6157-E</w:t>
      </w:r>
      <w:r w:rsidR="00794FB4">
        <w:t>-A</w:t>
      </w:r>
      <w:r w:rsidR="00906DF0">
        <w:t xml:space="preserve">, </w:t>
      </w:r>
      <w:r w:rsidR="00512CA6">
        <w:t xml:space="preserve">denies the protest filed by </w:t>
      </w:r>
      <w:r w:rsidR="00C52528">
        <w:t>the Public Advocates Office at the California Public Utilities Commission (</w:t>
      </w:r>
      <w:r w:rsidR="00512CA6">
        <w:t>Cal Advocates</w:t>
      </w:r>
      <w:r w:rsidR="00685E1F">
        <w:t>)</w:t>
      </w:r>
      <w:r w:rsidR="00512CA6">
        <w:t xml:space="preserve"> and requires PG&amp;E</w:t>
      </w:r>
      <w:r w:rsidR="00A15B4A">
        <w:t xml:space="preserve"> in future </w:t>
      </w:r>
      <w:r w:rsidR="00653B26">
        <w:t xml:space="preserve">annual </w:t>
      </w:r>
      <w:r w:rsidR="00A15B4A">
        <w:t>reports</w:t>
      </w:r>
      <w:r w:rsidR="000946B4">
        <w:t xml:space="preserve"> to include specific position titles and dollar amounts for its</w:t>
      </w:r>
      <w:r w:rsidR="00A15B4A">
        <w:t xml:space="preserve"> </w:t>
      </w:r>
      <w:r w:rsidR="000946B4">
        <w:t>executive</w:t>
      </w:r>
      <w:r w:rsidR="00A15B4A">
        <w:t xml:space="preserve"> </w:t>
      </w:r>
      <w:r w:rsidR="00A15B4A">
        <w:lastRenderedPageBreak/>
        <w:t xml:space="preserve">compensation awards.  </w:t>
      </w:r>
      <w:bookmarkStart w:name="_Hlk93484085" w:id="3"/>
      <w:r w:rsidR="00A15B4A">
        <w:t>In addition, this Resolution requires PG&amp;E</w:t>
      </w:r>
      <w:r w:rsidR="00BD2D3E">
        <w:t>,</w:t>
      </w:r>
      <w:r w:rsidR="00512CA6">
        <w:t xml:space="preserve"> </w:t>
      </w:r>
      <w:r w:rsidR="00EF18E9">
        <w:t>before submitting</w:t>
      </w:r>
      <w:r w:rsidR="00512CA6">
        <w:t xml:space="preserve"> future </w:t>
      </w:r>
      <w:r w:rsidR="00BD2D3E">
        <w:t>annual</w:t>
      </w:r>
      <w:r w:rsidR="00512CA6">
        <w:t xml:space="preserve"> reports</w:t>
      </w:r>
      <w:r w:rsidR="00A15B4A">
        <w:t xml:space="preserve"> on executive compensation awards</w:t>
      </w:r>
      <w:r w:rsidR="004850B2">
        <w:t xml:space="preserve"> pursuant to D.20-05-053</w:t>
      </w:r>
      <w:r w:rsidR="006B4699">
        <w:t>,</w:t>
      </w:r>
      <w:r w:rsidR="004624D7">
        <w:t xml:space="preserve"> </w:t>
      </w:r>
      <w:r w:rsidR="00512CA6">
        <w:t>to</w:t>
      </w:r>
      <w:r w:rsidR="003114F6">
        <w:t xml:space="preserve"> first consult with </w:t>
      </w:r>
      <w:r w:rsidR="007A6E54">
        <w:t xml:space="preserve">the CPUC </w:t>
      </w:r>
      <w:r w:rsidR="003114F6">
        <w:t>Energy Division (ED) and the Safety and Policy Division</w:t>
      </w:r>
      <w:r w:rsidR="007A6E54">
        <w:t xml:space="preserve"> </w:t>
      </w:r>
      <w:r w:rsidR="003114F6">
        <w:t>(SPD)</w:t>
      </w:r>
      <w:r w:rsidR="00512CA6">
        <w:t xml:space="preserve"> </w:t>
      </w:r>
      <w:r w:rsidR="003114F6">
        <w:t>fo</w:t>
      </w:r>
      <w:r w:rsidR="007A6E54">
        <w:t xml:space="preserve">r guidance related </w:t>
      </w:r>
      <w:r w:rsidR="000E3A46">
        <w:t xml:space="preserve">to additional </w:t>
      </w:r>
      <w:r w:rsidR="007A6E54">
        <w:t xml:space="preserve">reporting requirements.  </w:t>
      </w:r>
      <w:bookmarkEnd w:id="3"/>
    </w:p>
    <w:p w:rsidR="00CF17DE" w:rsidRDefault="00CF17DE" w14:paraId="453BC8BF" w14:textId="77777777"/>
    <w:p w:rsidR="005C47DE" w:rsidP="005C47DE" w:rsidRDefault="00CF17DE" w14:paraId="72469D80" w14:textId="41FE7E48">
      <w:pPr>
        <w:pStyle w:val="Heading1"/>
      </w:pPr>
      <w:r>
        <w:t>Background</w:t>
      </w:r>
    </w:p>
    <w:p w:rsidR="00FA16D6" w:rsidP="00FA16D6" w:rsidRDefault="00FA16D6" w14:paraId="0DE6645F" w14:textId="6BCE636E">
      <w:r>
        <w:t xml:space="preserve">On </w:t>
      </w:r>
      <w:r w:rsidRPr="00746165">
        <w:t>January 29, 2019</w:t>
      </w:r>
      <w:r>
        <w:t>, PG&amp;E filed for voluntary bankruptcy under Chapter 11 of the United States Bankruptcy Code.  The CPUC opened Order Instituting Investigation (I.) 19-09-016 to consider the ratemaking and other implications of PG&amp;E's bankruptcy, resulting in</w:t>
      </w:r>
      <w:r w:rsidR="00C26024">
        <w:t xml:space="preserve"> Decision</w:t>
      </w:r>
      <w:r>
        <w:t xml:space="preserve"> </w:t>
      </w:r>
      <w:r w:rsidR="00A03E14">
        <w:t>(</w:t>
      </w:r>
      <w:r>
        <w:t>D.</w:t>
      </w:r>
      <w:r w:rsidR="00A03E14">
        <w:t xml:space="preserve">) </w:t>
      </w:r>
      <w:r>
        <w:t xml:space="preserve">20-05-053.  </w:t>
      </w:r>
    </w:p>
    <w:p w:rsidR="00FA16D6" w:rsidP="00FA16D6" w:rsidRDefault="00FA16D6" w14:paraId="5AA54748" w14:textId="77777777"/>
    <w:p w:rsidR="00FA16D6" w:rsidP="00FA16D6" w:rsidRDefault="00FA16D6" w14:paraId="11AC8CE5" w14:textId="67B98D56">
      <w:r>
        <w:t xml:space="preserve">In addition, on July 12, 2019, </w:t>
      </w:r>
      <w:r w:rsidR="00D90EFF">
        <w:t>Assembly Bill (</w:t>
      </w:r>
      <w:r>
        <w:t>AB</w:t>
      </w:r>
      <w:r w:rsidR="00D90EFF">
        <w:t>)</w:t>
      </w:r>
      <w:r>
        <w:t xml:space="preserve"> 1054 was signed into law by the Governor of California.  Among its many provisions, AB 1054 </w:t>
      </w:r>
      <w:r w:rsidRPr="00D50349">
        <w:t xml:space="preserve">added certain requirements </w:t>
      </w:r>
      <w:r>
        <w:t>pertaining to</w:t>
      </w:r>
      <w:r w:rsidRPr="00D50349">
        <w:t xml:space="preserve"> executive compensation.</w:t>
      </w:r>
      <w:r>
        <w:t xml:space="preserve"> </w:t>
      </w:r>
    </w:p>
    <w:p w:rsidRPr="00746325" w:rsidR="00FA16D6" w:rsidP="00FA16D6" w:rsidRDefault="00FA16D6" w14:paraId="23A5EAB6" w14:textId="77777777"/>
    <w:p w:rsidR="00C10205" w:rsidP="00C10205" w:rsidRDefault="00C10205" w14:paraId="20A391F5" w14:textId="433F87D6">
      <w:r w:rsidRPr="004F088B">
        <w:t xml:space="preserve">In </w:t>
      </w:r>
      <w:r w:rsidR="00944574">
        <w:t xml:space="preserve">the portion of </w:t>
      </w:r>
      <w:r w:rsidRPr="004F088B">
        <w:t>D.</w:t>
      </w:r>
      <w:r>
        <w:t>20-05-053</w:t>
      </w:r>
      <w:r w:rsidRPr="004F088B">
        <w:t xml:space="preserve"> </w:t>
      </w:r>
      <w:r w:rsidR="00944574">
        <w:t xml:space="preserve">addressing </w:t>
      </w:r>
      <w:r w:rsidR="001038ED">
        <w:t xml:space="preserve">PG&amp;E's executive compensation awards, </w:t>
      </w:r>
      <w:r>
        <w:t xml:space="preserve">through the adoption of Assigned Commissioner Ruling (ACR) Proposal 9, </w:t>
      </w:r>
      <w:r w:rsidRPr="004F088B">
        <w:t xml:space="preserve">the </w:t>
      </w:r>
      <w:r>
        <w:t xml:space="preserve">CPUC requires from PG&amp;E the </w:t>
      </w:r>
      <w:r w:rsidRPr="004F088B">
        <w:t>“</w:t>
      </w:r>
      <w:r w:rsidRPr="006D791F">
        <w:t>Annual reporting of awards to the CPUC through a Tier 1 Advice Letter compliance filing.</w:t>
      </w:r>
      <w:r>
        <w:t>”</w:t>
      </w:r>
      <w:r>
        <w:rPr>
          <w:rStyle w:val="FootnoteReference"/>
        </w:rPr>
        <w:footnoteReference w:id="2"/>
      </w:r>
      <w:r>
        <w:t xml:space="preserve">   </w:t>
      </w:r>
    </w:p>
    <w:p w:rsidR="00C10205" w:rsidP="005C47DE" w:rsidRDefault="00C10205" w14:paraId="0C4ACFFD" w14:textId="77777777">
      <w:pPr>
        <w:pStyle w:val="standard"/>
        <w:spacing w:line="240" w:lineRule="auto"/>
        <w:ind w:firstLine="0"/>
      </w:pPr>
    </w:p>
    <w:p w:rsidR="00CF17DE" w:rsidRDefault="00394B3A" w14:paraId="364F0E0C" w14:textId="77777777">
      <w:pPr>
        <w:pStyle w:val="Heading1"/>
      </w:pPr>
      <w:r>
        <w:t>Notice</w:t>
      </w:r>
    </w:p>
    <w:p w:rsidR="00813C81" w:rsidRDefault="00CF17DE" w14:paraId="5B582ACD" w14:textId="1867E19E">
      <w:r>
        <w:t>Notice of AL</w:t>
      </w:r>
      <w:r w:rsidR="00D66BCE">
        <w:t xml:space="preserve"> </w:t>
      </w:r>
      <w:r w:rsidRPr="00D66BCE" w:rsidR="00D66BCE">
        <w:t xml:space="preserve">4419-G/6157-E </w:t>
      </w:r>
      <w:r>
        <w:t xml:space="preserve">was made by publication in the Commission’s Daily Calendar.  </w:t>
      </w:r>
      <w:r w:rsidR="00D66BCE">
        <w:t>P</w:t>
      </w:r>
      <w:r w:rsidR="008E4B57">
        <w:t xml:space="preserve">G&amp;E </w:t>
      </w:r>
      <w:r>
        <w:t>states that a copy of the Advice Letter was mailed and distributed in accordance with Sec</w:t>
      </w:r>
      <w:r w:rsidR="00A1526C">
        <w:t xml:space="preserve">tion </w:t>
      </w:r>
      <w:r w:rsidR="0069631C">
        <w:t>4</w:t>
      </w:r>
      <w:r w:rsidR="00E928CF">
        <w:t xml:space="preserve"> of General Order 96-B</w:t>
      </w:r>
      <w:r>
        <w:t xml:space="preserve">. </w:t>
      </w:r>
      <w:r w:rsidR="007200DF">
        <w:t xml:space="preserve"> </w:t>
      </w:r>
    </w:p>
    <w:p w:rsidR="00CF17DE" w:rsidRDefault="00CF17DE" w14:paraId="3051EAB3" w14:textId="72047CAD"/>
    <w:p w:rsidR="00CF17DE" w:rsidRDefault="00314481" w14:paraId="128FBB5A" w14:textId="53261C26">
      <w:pPr>
        <w:pStyle w:val="Heading1"/>
      </w:pPr>
      <w:r>
        <w:t>Advice Letter 4419-G</w:t>
      </w:r>
      <w:r w:rsidR="00D90EFF">
        <w:t>/</w:t>
      </w:r>
      <w:r>
        <w:t>6157-E</w:t>
      </w:r>
    </w:p>
    <w:p w:rsidR="00314481" w:rsidP="00314481" w:rsidRDefault="00314481" w14:paraId="5D5D1913" w14:textId="6C6D86FE">
      <w:r>
        <w:t xml:space="preserve">On April 9, 2021, </w:t>
      </w:r>
      <w:r w:rsidRPr="003A1CF3">
        <w:t xml:space="preserve">PG&amp;E </w:t>
      </w:r>
      <w:r>
        <w:t xml:space="preserve">submitted </w:t>
      </w:r>
      <w:r w:rsidRPr="003A1CF3">
        <w:t xml:space="preserve">AL 4419-G/6157-E to report its </w:t>
      </w:r>
      <w:r>
        <w:t xml:space="preserve">2020 </w:t>
      </w:r>
      <w:r w:rsidRPr="003A1CF3">
        <w:t xml:space="preserve">executive compensation awards, as required by D.20-05-053, and to address how such </w:t>
      </w:r>
      <w:r>
        <w:t xml:space="preserve">executive compensation </w:t>
      </w:r>
      <w:r w:rsidRPr="003A1CF3">
        <w:t>awards comply with the requirements of D.20-05-053 and AB 1054</w:t>
      </w:r>
      <w:r>
        <w:t xml:space="preserve">. </w:t>
      </w:r>
    </w:p>
    <w:p w:rsidR="00D61D73" w:rsidP="00D61D73" w:rsidRDefault="00D61D73" w14:paraId="496A4C1D" w14:textId="3AC77D1B">
      <w:r>
        <w:lastRenderedPageBreak/>
        <w:t xml:space="preserve">PG&amp;E AL 4419-G/6157-E reports the annual awards mainly in the form of a Table showing three categories of compensation </w:t>
      </w:r>
      <w:r w:rsidR="00D90EFF">
        <w:t>(Base Salary, Short-Term Incentiv</w:t>
      </w:r>
      <w:r w:rsidR="00C52528">
        <w:t xml:space="preserve">e Program (STIP), and Long-Term Incentive Program (LTIP)) </w:t>
      </w:r>
      <w:r>
        <w:t xml:space="preserve">and the percentage of total compensation for each category assigned to seven executive officers.  </w:t>
      </w:r>
      <w:r w:rsidR="001228DC">
        <w:br/>
      </w:r>
      <w:r>
        <w:t>This Table is reproduced from AL 4419-G/6157-E below:</w:t>
      </w:r>
      <w:r w:rsidR="0049065C">
        <w:rPr>
          <w:rStyle w:val="FootnoteReference"/>
        </w:rPr>
        <w:footnoteReference w:id="3"/>
      </w:r>
    </w:p>
    <w:p w:rsidR="00D61D73" w:rsidP="000F3E3E" w:rsidRDefault="00D61D73" w14:paraId="741D1E94" w14:textId="77777777"/>
    <w:p w:rsidR="00D61D73" w:rsidP="000F3E3E" w:rsidRDefault="00D61D73" w14:paraId="39AFF99A" w14:textId="7D249523">
      <w:r w:rsidRPr="00D61D73">
        <w:rPr>
          <w:rFonts w:ascii="Times New Roman" w:hAnsi="Times New Roman"/>
          <w:noProof/>
          <w:sz w:val="24"/>
          <w:szCs w:val="24"/>
        </w:rPr>
        <w:drawing>
          <wp:inline distT="0" distB="0" distL="0" distR="0" wp14:anchorId="204EE264" wp14:editId="133DA122">
            <wp:extent cx="5172075" cy="2656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4360" cy="2658145"/>
                    </a:xfrm>
                    <a:prstGeom prst="rect">
                      <a:avLst/>
                    </a:prstGeom>
                    <a:noFill/>
                  </pic:spPr>
                </pic:pic>
              </a:graphicData>
            </a:graphic>
          </wp:inline>
        </w:drawing>
      </w:r>
    </w:p>
    <w:p w:rsidR="00D61D73" w:rsidP="000F3E3E" w:rsidRDefault="00D61D73" w14:paraId="49D5A5A6" w14:textId="77777777"/>
    <w:p w:rsidR="00D61D73" w:rsidP="00D61D73" w:rsidRDefault="00D61D73" w14:paraId="0B58F381" w14:textId="77777777">
      <w:r>
        <w:t>PG&amp;E states that it believes the information presented in the Table is compliant with AB 1054 and D.20-05-053.</w:t>
      </w:r>
    </w:p>
    <w:p w:rsidRPr="004F088B" w:rsidR="00D61D73" w:rsidP="00D61D73" w:rsidRDefault="00D61D73" w14:paraId="6E825063" w14:textId="77777777"/>
    <w:p w:rsidR="00D61D73" w:rsidP="00D61D73" w:rsidRDefault="00D61D73" w14:paraId="1852CC78" w14:textId="632CAFD0">
      <w:r>
        <w:t xml:space="preserve">In addition to the Tier 1 Advice Letter annual reporting of awards requirement, </w:t>
      </w:r>
      <w:r w:rsidRPr="004F088B">
        <w:t>D.</w:t>
      </w:r>
      <w:r>
        <w:t>20-05-053 adopted the following requirements related to PG&amp;E</w:t>
      </w:r>
      <w:r w:rsidR="00FD781D">
        <w:t>'s</w:t>
      </w:r>
      <w:r>
        <w:t xml:space="preserve"> executive compensation:</w:t>
      </w:r>
    </w:p>
    <w:p w:rsidR="00D61D73" w:rsidP="00D61D73" w:rsidRDefault="00D61D73" w14:paraId="3B7ADDA7" w14:textId="77777777">
      <w:pPr>
        <w:numPr>
          <w:ilvl w:val="0"/>
          <w:numId w:val="11"/>
        </w:numPr>
      </w:pPr>
      <w:r>
        <w:t>Holding or deferring the majority or super-majority of incentive compensation, in the form of equity awards, for at least 3 years.</w:t>
      </w:r>
      <w:r>
        <w:rPr>
          <w:rStyle w:val="FootnoteReference"/>
        </w:rPr>
        <w:footnoteReference w:id="4"/>
      </w:r>
      <w:r>
        <w:t xml:space="preserve">   </w:t>
      </w:r>
    </w:p>
    <w:p w:rsidR="00D61D73" w:rsidP="00D61D73" w:rsidRDefault="00D61D73" w14:paraId="73962323" w14:textId="77777777">
      <w:pPr>
        <w:numPr>
          <w:ilvl w:val="0"/>
          <w:numId w:val="11"/>
        </w:numPr>
      </w:pPr>
      <w:r>
        <w:t>Guaranteed cash compensation as a percentage of total compensation that does not exceed industry norms.</w:t>
      </w:r>
      <w:r>
        <w:rPr>
          <w:rStyle w:val="FootnoteReference"/>
        </w:rPr>
        <w:footnoteReference w:id="5"/>
      </w:r>
      <w:r w:rsidRPr="009E5D15">
        <w:t xml:space="preserve"> </w:t>
      </w:r>
    </w:p>
    <w:p w:rsidR="00D61D73" w:rsidP="00D61D73" w:rsidRDefault="00D61D73" w14:paraId="61CEDCE4" w14:textId="77777777">
      <w:pPr>
        <w:numPr>
          <w:ilvl w:val="0"/>
          <w:numId w:val="11"/>
        </w:numPr>
      </w:pPr>
      <w:r>
        <w:t>Annual review of awards by an independent consultant.</w:t>
      </w:r>
      <w:r>
        <w:rPr>
          <w:rStyle w:val="FootnoteReference"/>
        </w:rPr>
        <w:footnoteReference w:id="6"/>
      </w:r>
    </w:p>
    <w:p w:rsidR="00D61D73" w:rsidP="00D61D73" w:rsidRDefault="00D61D73" w14:paraId="57FCF550" w14:textId="77777777"/>
    <w:p w:rsidR="00D61D73" w:rsidP="00D61D73" w:rsidRDefault="00D61D73" w14:paraId="1E5BD9C7" w14:textId="6AB37EC2">
      <w:r>
        <w:lastRenderedPageBreak/>
        <w:t xml:space="preserve">AL </w:t>
      </w:r>
      <w:r w:rsidRPr="00FC787D">
        <w:t>4419-G/6157-E</w:t>
      </w:r>
      <w:r>
        <w:t xml:space="preserve"> addresses these requirements by stating that PG&amp;E’s </w:t>
      </w:r>
      <w:r w:rsidRPr="00B76DAA">
        <w:t>2020 LTIP performance share equity awards for executive officers</w:t>
      </w:r>
      <w:r>
        <w:t xml:space="preserve"> </w:t>
      </w:r>
      <w:r w:rsidRPr="00B76DAA">
        <w:t>are subject to a three-year hold</w:t>
      </w:r>
      <w:r>
        <w:t xml:space="preserve"> and that PG&amp;E used independent consultant Meridian Compensation Partners, LLC to “confirm, among other things, that base salaries for all officers- including executive officers- as a percentage of total compensation do not exceed industry norms.”</w:t>
      </w:r>
      <w:r>
        <w:rPr>
          <w:rStyle w:val="FootnoteReference"/>
        </w:rPr>
        <w:footnoteReference w:id="7"/>
      </w:r>
    </w:p>
    <w:p w:rsidR="00D61D73" w:rsidP="00D61D73" w:rsidRDefault="00D61D73" w14:paraId="44BE675B" w14:textId="77777777"/>
    <w:p w:rsidR="00D61D73" w:rsidP="00D61D73" w:rsidRDefault="00D61D73" w14:paraId="578FF383" w14:textId="77777777">
      <w:r>
        <w:t xml:space="preserve">D.20-05-053 also added the following requirement: </w:t>
      </w:r>
    </w:p>
    <w:p w:rsidR="00D61D73" w:rsidP="00D61D73" w:rsidRDefault="00D61D73" w14:paraId="487DC02E" w14:textId="2F937477">
      <w:pPr>
        <w:numPr>
          <w:ilvl w:val="0"/>
          <w:numId w:val="12"/>
        </w:numPr>
      </w:pPr>
      <w:r>
        <w:t>“</w:t>
      </w:r>
      <w:r w:rsidR="00AD0EAE">
        <w:t>[A]</w:t>
      </w:r>
      <w:r>
        <w:t xml:space="preserve"> material portion of executive incentive compensation shall be withheld if . . . PG&amp;E is the ignition source of a catastrophic wildfire, unless the Commission determines that it would be inappropriate based on the conduct of the utility.”</w:t>
      </w:r>
      <w:r>
        <w:rPr>
          <w:rStyle w:val="FootnoteReference"/>
        </w:rPr>
        <w:footnoteReference w:id="8"/>
      </w:r>
    </w:p>
    <w:p w:rsidR="00D61D73" w:rsidP="00D61D73" w:rsidRDefault="00D61D73" w14:paraId="1B428B84" w14:textId="77777777">
      <w:pPr>
        <w:ind w:left="720"/>
      </w:pPr>
    </w:p>
    <w:p w:rsidRPr="004F088B" w:rsidR="00D61D73" w:rsidP="00D61D73" w:rsidRDefault="00D61D73" w14:paraId="4B152AC8" w14:textId="4F1C53B8">
      <w:r>
        <w:t>Related to this requirement, PG&amp;E explains that following the September 2020 Zogg fire “[the Board of Directors Executive Compensation] Committee determined to exercise its discretion to</w:t>
      </w:r>
      <w:r w:rsidR="001704A5">
        <w:t xml:space="preserve"> </w:t>
      </w:r>
      <w:r>
        <w:t>materially reduce incentive compensation paid to all PG&amp;E officers—both executive and</w:t>
      </w:r>
      <w:r w:rsidR="001704A5">
        <w:t xml:space="preserve"> </w:t>
      </w:r>
      <w:r>
        <w:t>non-executive—for the 2020 STIP performance year and the 2018 LTIP performance period ending in December 2020.”</w:t>
      </w:r>
      <w:r>
        <w:rPr>
          <w:rStyle w:val="FootnoteReference"/>
        </w:rPr>
        <w:footnoteReference w:id="9"/>
      </w:r>
      <w:r>
        <w:t xml:space="preserve">  PG&amp;E further explains the Committee exercised its discretion to reduce 2018 LTIP awards to zero, and 2020 STIP payouts to 65% of target resulting in an average 58% reduction.</w:t>
      </w:r>
      <w:r>
        <w:rPr>
          <w:rStyle w:val="FootnoteReference"/>
        </w:rPr>
        <w:footnoteReference w:id="10"/>
      </w:r>
      <w:r>
        <w:t xml:space="preserve"> </w:t>
      </w:r>
    </w:p>
    <w:p w:rsidR="00D61D73" w:rsidP="00D61D73" w:rsidRDefault="00D61D73" w14:paraId="061715B3" w14:textId="77777777"/>
    <w:p w:rsidR="00D61D73" w:rsidP="00D61D73" w:rsidRDefault="00D61D73" w14:paraId="3EA81BBD" w14:textId="77777777">
      <w:r>
        <w:t>In addition to D.20-05-053 requirements, AB 1054 includes the following principles upon which the structure of executive compensation should be based:</w:t>
      </w:r>
    </w:p>
    <w:p w:rsidR="00D61D73" w:rsidP="00D61D73" w:rsidRDefault="00D61D73" w14:paraId="523D05D7" w14:textId="77777777">
      <w:pPr>
        <w:numPr>
          <w:ilvl w:val="0"/>
          <w:numId w:val="13"/>
        </w:numPr>
      </w:pPr>
      <w:r>
        <w:t>“Strict limits on guaranteed cash compensation, with the primary portion of the executive officers’ compensation based on achievement of objective performance metrics.”</w:t>
      </w:r>
      <w:r>
        <w:rPr>
          <w:rStyle w:val="FootnoteReference"/>
        </w:rPr>
        <w:footnoteReference w:id="11"/>
      </w:r>
    </w:p>
    <w:p w:rsidR="00D61D73" w:rsidP="00D61D73" w:rsidRDefault="00D61D73" w14:paraId="0A15DD54" w14:textId="77777777">
      <w:pPr>
        <w:numPr>
          <w:ilvl w:val="0"/>
          <w:numId w:val="13"/>
        </w:numPr>
      </w:pPr>
      <w:r>
        <w:t>“No guaranteed monetary incentives in the compensation structure.”</w:t>
      </w:r>
      <w:r>
        <w:rPr>
          <w:rStyle w:val="FootnoteReference"/>
        </w:rPr>
        <w:footnoteReference w:id="12"/>
      </w:r>
    </w:p>
    <w:p w:rsidR="00D61D73" w:rsidP="00D61D73" w:rsidRDefault="00D61D73" w14:paraId="03D8994A" w14:textId="77777777">
      <w:pPr>
        <w:numPr>
          <w:ilvl w:val="0"/>
          <w:numId w:val="13"/>
        </w:numPr>
      </w:pPr>
      <w:r>
        <w:t xml:space="preserve">“A long-term structure that provides a significant portion of compensation, which may take the form of grants of the electrical corporation’s stock, </w:t>
      </w:r>
      <w:r>
        <w:lastRenderedPageBreak/>
        <w:t>based on the electrical corporation’s long-term performance and value,” with such “compensation . . . held or deferred for a period of at least three years.”</w:t>
      </w:r>
      <w:r>
        <w:rPr>
          <w:rStyle w:val="FootnoteReference"/>
        </w:rPr>
        <w:footnoteReference w:id="13"/>
      </w:r>
    </w:p>
    <w:p w:rsidR="00D61D73" w:rsidP="00D61D73" w:rsidRDefault="00D61D73" w14:paraId="277D6115" w14:textId="77777777"/>
    <w:p w:rsidR="00D61D73" w:rsidP="00D61D73" w:rsidRDefault="00D61D73" w14:paraId="10023B1F" w14:textId="77777777">
      <w:r>
        <w:t xml:space="preserve">PG&amp;E explains that the information presented in the Table included with </w:t>
      </w:r>
      <w:r w:rsidRPr="00FC787D">
        <w:t xml:space="preserve">AL 4419-G/6157-E addresses these </w:t>
      </w:r>
      <w:r>
        <w:t xml:space="preserve">requirements: </w:t>
      </w:r>
    </w:p>
    <w:p w:rsidRPr="00B257F0" w:rsidR="00D61D73" w:rsidP="00D61D73" w:rsidRDefault="00D61D73" w14:paraId="40A2DB98" w14:textId="23A3B2B5">
      <w:pPr>
        <w:numPr>
          <w:ilvl w:val="0"/>
          <w:numId w:val="14"/>
        </w:numPr>
      </w:pPr>
      <w:r>
        <w:t>“</w:t>
      </w:r>
      <w:r w:rsidRPr="00B76DAA">
        <w:t>As shown in the chart,</w:t>
      </w:r>
      <w:r>
        <w:t xml:space="preserve"> </w:t>
      </w:r>
      <w:r w:rsidRPr="00B76DAA">
        <w:t>guaranteed cash compensation was a minority of total executive officer</w:t>
      </w:r>
      <w:r>
        <w:t xml:space="preserve"> </w:t>
      </w:r>
      <w:r w:rsidRPr="00B76DAA">
        <w:t>compensation, with the primary portion of the executive officers’</w:t>
      </w:r>
      <w:r>
        <w:t xml:space="preserve"> </w:t>
      </w:r>
      <w:r w:rsidRPr="00B76DAA">
        <w:t xml:space="preserve">compensation being </w:t>
      </w:r>
      <w:r w:rsidR="003A6131">
        <w:t>'</w:t>
      </w:r>
      <w:r w:rsidRPr="00B76DAA">
        <w:t>at risk</w:t>
      </w:r>
      <w:r w:rsidR="003A6131">
        <w:t>'</w:t>
      </w:r>
      <w:r w:rsidRPr="00B76DAA">
        <w:t xml:space="preserve"> and granted during 2020 through the STIP</w:t>
      </w:r>
      <w:r>
        <w:t xml:space="preserve"> </w:t>
      </w:r>
      <w:r w:rsidRPr="00B76DAA">
        <w:t>and the LTIP.</w:t>
      </w:r>
      <w:r>
        <w:t>”</w:t>
      </w:r>
      <w:r>
        <w:rPr>
          <w:rStyle w:val="FootnoteReference"/>
        </w:rPr>
        <w:footnoteReference w:id="14"/>
      </w:r>
      <w:r w:rsidRPr="00B76DAA">
        <w:rPr>
          <w:rFonts w:ascii="Arial" w:hAnsi="Arial" w:cs="Arial"/>
        </w:rPr>
        <w:t xml:space="preserve"> </w:t>
      </w:r>
    </w:p>
    <w:p w:rsidRPr="00B257F0" w:rsidR="00D61D73" w:rsidP="00D61D73" w:rsidRDefault="00D61D73" w14:paraId="42CF2D10" w14:textId="77777777">
      <w:pPr>
        <w:numPr>
          <w:ilvl w:val="0"/>
          <w:numId w:val="14"/>
        </w:numPr>
      </w:pPr>
      <w:r w:rsidRPr="00B76DAA">
        <w:t>As reflected in the chart, there were no guaranteed monetary</w:t>
      </w:r>
      <w:r>
        <w:t xml:space="preserve"> </w:t>
      </w:r>
      <w:r w:rsidRPr="00B76DAA">
        <w:t>incentives for PG&amp;E executive officers; the only cash incentive payments</w:t>
      </w:r>
      <w:r>
        <w:t xml:space="preserve"> </w:t>
      </w:r>
      <w:r w:rsidRPr="00B76DAA">
        <w:t>were granted through the STIP, and they were entirely “at risk.”</w:t>
      </w:r>
      <w:r>
        <w:rPr>
          <w:rStyle w:val="FootnoteReference"/>
        </w:rPr>
        <w:footnoteReference w:id="15"/>
      </w:r>
      <w:r w:rsidRPr="00B76DAA">
        <w:rPr>
          <w:rFonts w:ascii="Arial" w:hAnsi="Arial" w:cs="Arial"/>
        </w:rPr>
        <w:t xml:space="preserve"> </w:t>
      </w:r>
    </w:p>
    <w:p w:rsidR="00D61D73" w:rsidP="00D61D73" w:rsidRDefault="00D61D73" w14:paraId="2100864C" w14:textId="77777777">
      <w:pPr>
        <w:numPr>
          <w:ilvl w:val="0"/>
          <w:numId w:val="14"/>
        </w:numPr>
      </w:pPr>
      <w:r w:rsidRPr="00B76DAA">
        <w:t>As reflected in the chart, a significant</w:t>
      </w:r>
      <w:r>
        <w:t xml:space="preserve"> </w:t>
      </w:r>
      <w:r w:rsidRPr="00B76DAA">
        <w:t>portion of executive officer compensation, ranging from 35% to 53% at</w:t>
      </w:r>
      <w:r>
        <w:t xml:space="preserve"> </w:t>
      </w:r>
      <w:r w:rsidRPr="00B76DAA">
        <w:t>target levels, consisted of equity-based performance share awards (with</w:t>
      </w:r>
      <w:r>
        <w:t xml:space="preserve"> </w:t>
      </w:r>
      <w:r w:rsidRPr="00B76DAA">
        <w:t>such awards being subject to a three-year hold).</w:t>
      </w:r>
      <w:r>
        <w:rPr>
          <w:rStyle w:val="FootnoteReference"/>
        </w:rPr>
        <w:footnoteReference w:id="16"/>
      </w:r>
    </w:p>
    <w:p w:rsidR="00D61D73" w:rsidP="00D61D73" w:rsidRDefault="00D61D73" w14:paraId="2C2CD007" w14:textId="77777777"/>
    <w:p w:rsidR="00D61D73" w:rsidP="00D61D73" w:rsidRDefault="00D61D73" w14:paraId="4E355BC8" w14:textId="56BCCEB5">
      <w:r>
        <w:t xml:space="preserve">PG&amp;E filed supplemental AL </w:t>
      </w:r>
      <w:bookmarkStart w:name="_Hlk72159223" w:id="4"/>
      <w:r w:rsidRPr="000B3234">
        <w:t>4419-G</w:t>
      </w:r>
      <w:r w:rsidR="004D49E8">
        <w:t>-A</w:t>
      </w:r>
      <w:r w:rsidRPr="000B3234">
        <w:t>/6157-E</w:t>
      </w:r>
      <w:r>
        <w:t xml:space="preserve">-A </w:t>
      </w:r>
      <w:bookmarkEnd w:id="4"/>
      <w:r>
        <w:t xml:space="preserve">on April 30, 2021 to correct an error </w:t>
      </w:r>
      <w:r w:rsidR="001C0DA8">
        <w:t xml:space="preserve">in one of the </w:t>
      </w:r>
      <w:r w:rsidR="006934C7">
        <w:t xml:space="preserve">executive’s </w:t>
      </w:r>
      <w:r w:rsidR="001C0DA8">
        <w:t xml:space="preserve">percentages </w:t>
      </w:r>
      <w:r>
        <w:t xml:space="preserve">on the chart included in </w:t>
      </w:r>
      <w:bookmarkStart w:name="_Hlk72244425" w:id="5"/>
      <w:r>
        <w:t xml:space="preserve">AL </w:t>
      </w:r>
      <w:bookmarkStart w:name="_Hlk72314639" w:id="6"/>
      <w:r w:rsidR="00F307F2">
        <w:br/>
      </w:r>
      <w:r w:rsidRPr="007655FE">
        <w:t>4419-G/6157-E</w:t>
      </w:r>
      <w:r w:rsidR="001C0DA8">
        <w:t>,</w:t>
      </w:r>
      <w:r>
        <w:t xml:space="preserve"> </w:t>
      </w:r>
      <w:bookmarkEnd w:id="5"/>
      <w:bookmarkEnd w:id="6"/>
      <w:r>
        <w:t>as well as an error in footnote 3.</w:t>
      </w:r>
      <w:r w:rsidR="001C0DA8">
        <w:t xml:space="preserve">  The revised chart appears below</w:t>
      </w:r>
      <w:r w:rsidR="007E0EE1">
        <w:rPr>
          <w:rStyle w:val="FootnoteReference"/>
        </w:rPr>
        <w:footnoteReference w:id="17"/>
      </w:r>
      <w:r w:rsidR="001C0DA8">
        <w:t xml:space="preserve">: </w:t>
      </w:r>
    </w:p>
    <w:p w:rsidR="001C0DA8" w:rsidP="00D61D73" w:rsidRDefault="001C0DA8" w14:paraId="51FED257" w14:textId="0DDACA60"/>
    <w:p w:rsidRPr="004F088B" w:rsidR="001C0DA8" w:rsidP="00D61D73" w:rsidRDefault="00E65FC1" w14:paraId="5527CA0B" w14:textId="40E0B449">
      <w:r>
        <w:rPr>
          <w:noProof/>
        </w:rPr>
        <w:lastRenderedPageBreak/>
        <w:drawing>
          <wp:inline distT="0" distB="0" distL="0" distR="0" wp14:anchorId="3ABF9271" wp14:editId="354A6D3B">
            <wp:extent cx="5943600" cy="307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70860"/>
                    </a:xfrm>
                    <a:prstGeom prst="rect">
                      <a:avLst/>
                    </a:prstGeom>
                    <a:noFill/>
                    <a:ln>
                      <a:noFill/>
                    </a:ln>
                  </pic:spPr>
                </pic:pic>
              </a:graphicData>
            </a:graphic>
          </wp:inline>
        </w:drawing>
      </w:r>
    </w:p>
    <w:p w:rsidR="006B3317" w:rsidP="007433FC" w:rsidRDefault="006B3317" w14:paraId="17D6CB87" w14:textId="77777777">
      <w:pPr>
        <w:rPr>
          <w:u w:val="single"/>
        </w:rPr>
      </w:pPr>
    </w:p>
    <w:p w:rsidR="00C00F3C" w:rsidP="00C00F3C" w:rsidRDefault="00C00F3C" w14:paraId="72443800" w14:textId="77777777">
      <w:pPr>
        <w:pStyle w:val="Heading1"/>
      </w:pPr>
      <w:r>
        <w:t>Protests</w:t>
      </w:r>
    </w:p>
    <w:p w:rsidR="00C00F3C" w:rsidP="00C00F3C" w:rsidRDefault="00C00F3C" w14:paraId="3E255DE6" w14:textId="466702BF">
      <w:pPr>
        <w:pStyle w:val="standard"/>
        <w:spacing w:line="240" w:lineRule="auto"/>
        <w:ind w:firstLine="0"/>
      </w:pPr>
      <w:r w:rsidRPr="004F088B">
        <w:t xml:space="preserve">On </w:t>
      </w:r>
      <w:r>
        <w:t>April 29</w:t>
      </w:r>
      <w:r w:rsidRPr="004F088B">
        <w:t>, 20</w:t>
      </w:r>
      <w:r>
        <w:t>21</w:t>
      </w:r>
      <w:r w:rsidRPr="004F088B">
        <w:t xml:space="preserve">, </w:t>
      </w:r>
      <w:r>
        <w:t>Cal Advocates f</w:t>
      </w:r>
      <w:r w:rsidRPr="004F088B">
        <w:t>iled a timely protest (Protest)</w:t>
      </w:r>
      <w:r>
        <w:t>,</w:t>
      </w:r>
      <w:r w:rsidRPr="004F088B">
        <w:t xml:space="preserve"> </w:t>
      </w:r>
      <w:r w:rsidRPr="00227F0A">
        <w:t xml:space="preserve">pursuant to </w:t>
      </w:r>
      <w:r w:rsidR="001228DC">
        <w:br/>
      </w:r>
      <w:r w:rsidRPr="00227F0A">
        <w:t>GO 96-B Rule 7.4.2(3).</w:t>
      </w:r>
      <w:r>
        <w:t xml:space="preserve">  PG&amp;E replied to the protest </w:t>
      </w:r>
      <w:r w:rsidR="0003774F">
        <w:t xml:space="preserve">(Reply) </w:t>
      </w:r>
      <w:r>
        <w:t xml:space="preserve">on May 6, 2021.  </w:t>
      </w:r>
      <w:r w:rsidR="001228DC">
        <w:br/>
      </w:r>
      <w:r>
        <w:t xml:space="preserve">The issues raised by Cal Advocates in the protest are discussed below. </w:t>
      </w:r>
    </w:p>
    <w:p w:rsidR="00314481" w:rsidP="007433FC" w:rsidRDefault="00314481" w14:paraId="6D90281C" w14:textId="77777777">
      <w:pPr>
        <w:rPr>
          <w:u w:val="single"/>
        </w:rPr>
      </w:pPr>
    </w:p>
    <w:p w:rsidRPr="004F088B" w:rsidR="007433FC" w:rsidP="000617C7" w:rsidRDefault="00C41E85" w14:paraId="47C5B95D" w14:textId="69E0736F">
      <w:pPr>
        <w:keepNext/>
        <w:rPr>
          <w:u w:val="single"/>
        </w:rPr>
      </w:pPr>
      <w:r>
        <w:rPr>
          <w:u w:val="single"/>
        </w:rPr>
        <w:t xml:space="preserve">Cal Advocates </w:t>
      </w:r>
      <w:r w:rsidRPr="004F088B" w:rsidR="007433FC">
        <w:rPr>
          <w:u w:val="single"/>
        </w:rPr>
        <w:t>Protest</w:t>
      </w:r>
    </w:p>
    <w:p w:rsidRPr="001D7D2C" w:rsidR="007433FC" w:rsidP="007433FC" w:rsidRDefault="007433FC" w14:paraId="0764FFC0" w14:textId="6CFD619D">
      <w:r>
        <w:t xml:space="preserve">Cal Advocates </w:t>
      </w:r>
      <w:r w:rsidRPr="004F088B">
        <w:t>protest</w:t>
      </w:r>
      <w:r w:rsidR="00685E1F">
        <w:t xml:space="preserve">s </w:t>
      </w:r>
      <w:r>
        <w:t xml:space="preserve">on the grounds that </w:t>
      </w:r>
      <w:r w:rsidRPr="00227F0A">
        <w:t>the analysis, calculations, or data in the advice letter contain material errors or omissions.</w:t>
      </w:r>
      <w:r>
        <w:t xml:space="preserve">  Cal Advocates’ Protest requests that the CPUC require PG&amp;E to supplement </w:t>
      </w:r>
      <w:r w:rsidRPr="00F7688E">
        <w:t>AL 4419-G/6157-E</w:t>
      </w:r>
      <w:r>
        <w:t xml:space="preserve"> to correct the following deficiencies:</w:t>
      </w:r>
      <w:r w:rsidRPr="001D7D2C">
        <w:t xml:space="preserve"> </w:t>
      </w:r>
    </w:p>
    <w:p w:rsidRPr="001D7D2C" w:rsidR="007433FC" w:rsidP="007433FC" w:rsidRDefault="007433FC" w14:paraId="48B42FDB" w14:textId="77777777">
      <w:pPr>
        <w:numPr>
          <w:ilvl w:val="0"/>
          <w:numId w:val="12"/>
        </w:numPr>
      </w:pPr>
      <w:r w:rsidRPr="001D7D2C">
        <w:t xml:space="preserve">PG&amp;E fails to quantify the presented 2020 executive compensation awards and conceals the exact roles and responsibilities of awarded executive officers; </w:t>
      </w:r>
    </w:p>
    <w:p w:rsidRPr="001D7D2C" w:rsidR="007433FC" w:rsidP="007433FC" w:rsidRDefault="007433FC" w14:paraId="439CCCDC" w14:textId="77777777">
      <w:pPr>
        <w:numPr>
          <w:ilvl w:val="0"/>
          <w:numId w:val="12"/>
        </w:numPr>
      </w:pPr>
      <w:r w:rsidRPr="001D7D2C">
        <w:t xml:space="preserve">PG&amp;E fails to include all executive compensation awards; </w:t>
      </w:r>
    </w:p>
    <w:p w:rsidRPr="001D7D2C" w:rsidR="007433FC" w:rsidP="007433FC" w:rsidRDefault="007433FC" w14:paraId="48C7052A" w14:textId="77777777">
      <w:pPr>
        <w:numPr>
          <w:ilvl w:val="0"/>
          <w:numId w:val="12"/>
        </w:numPr>
      </w:pPr>
      <w:r w:rsidRPr="001D7D2C">
        <w:t xml:space="preserve">PG&amp;E fails to provide the calculations used to quantify award reductions due to implications in the September 2020 Zogg Fire; and </w:t>
      </w:r>
    </w:p>
    <w:p w:rsidRPr="001D7D2C" w:rsidR="007433FC" w:rsidP="007433FC" w:rsidRDefault="007433FC" w14:paraId="161E01DD" w14:textId="77777777">
      <w:pPr>
        <w:numPr>
          <w:ilvl w:val="0"/>
          <w:numId w:val="12"/>
        </w:numPr>
      </w:pPr>
      <w:r w:rsidRPr="001D7D2C">
        <w:t xml:space="preserve">PG&amp;E fails to provide the results of the safety metrics used to calculate the 2020 executive compensation awards. </w:t>
      </w:r>
    </w:p>
    <w:p w:rsidR="007433FC" w:rsidP="007433FC" w:rsidRDefault="007433FC" w14:paraId="183A45EB" w14:textId="77777777"/>
    <w:p w:rsidR="007433FC" w:rsidP="007433FC" w:rsidRDefault="007433FC" w14:paraId="0E98F88E" w14:textId="072601AD">
      <w:r>
        <w:lastRenderedPageBreak/>
        <w:t xml:space="preserve">The </w:t>
      </w:r>
      <w:r w:rsidRPr="004F088B">
        <w:t>Protest</w:t>
      </w:r>
      <w:r>
        <w:t xml:space="preserve"> provides further specificity regarding the alleged deficiencies, noting “</w:t>
      </w:r>
      <w:r w:rsidRPr="00907740">
        <w:t xml:space="preserve">D.20-05-053 requires PG&amp;E to annually report via Tier 1 Advice Letter </w:t>
      </w:r>
      <w:r>
        <w:t>‘</w:t>
      </w:r>
      <w:r w:rsidRPr="00907740">
        <w:t>awards provided to PG&amp;E executive officers.</w:t>
      </w:r>
      <w:r>
        <w:t>’</w:t>
      </w:r>
      <w:r w:rsidRPr="00907740">
        <w:t xml:space="preserve"> </w:t>
      </w:r>
      <w:r w:rsidR="00C41E85">
        <w:t xml:space="preserve"> </w:t>
      </w:r>
      <w:r w:rsidRPr="00907740">
        <w:t>However, PG&amp;E’s AL only describes the percentage compositions of executive officers’ compensations and a percentage reduction applied as a result of PG&amp;E being the ignition source of a catastrophic wildfire.</w:t>
      </w:r>
      <w:r>
        <w:t>”</w:t>
      </w:r>
      <w:r>
        <w:rPr>
          <w:rStyle w:val="FootnoteReference"/>
        </w:rPr>
        <w:footnoteReference w:id="18"/>
      </w:r>
      <w:r w:rsidRPr="004F088B">
        <w:t xml:space="preserve"> </w:t>
      </w:r>
      <w:r>
        <w:t xml:space="preserve"> </w:t>
      </w:r>
    </w:p>
    <w:p w:rsidR="007433FC" w:rsidP="007433FC" w:rsidRDefault="007433FC" w14:paraId="1D840B32" w14:textId="77777777"/>
    <w:p w:rsidR="007433FC" w:rsidP="007433FC" w:rsidRDefault="007433FC" w14:paraId="6DAE4C10" w14:textId="77777777">
      <w:r>
        <w:t>Cal Advocates requests that the Commission require PG&amp;E to supplement AL 4419-G/6157-E to include the following information:</w:t>
      </w:r>
    </w:p>
    <w:p w:rsidR="007433FC" w:rsidP="007433FC" w:rsidRDefault="007433FC" w14:paraId="52A8E5EA" w14:textId="77777777">
      <w:pPr>
        <w:numPr>
          <w:ilvl w:val="0"/>
          <w:numId w:val="15"/>
        </w:numPr>
      </w:pPr>
      <w:r w:rsidRPr="00EC12DE">
        <w:t>Quantifiable values of awards in dollar amounts received by executive officers at PG&amp;E in 2020 and the identities of each executive officer receiving the award;</w:t>
      </w:r>
    </w:p>
    <w:p w:rsidR="007433FC" w:rsidP="007433FC" w:rsidRDefault="007433FC" w14:paraId="348935A0" w14:textId="77777777">
      <w:pPr>
        <w:numPr>
          <w:ilvl w:val="0"/>
          <w:numId w:val="15"/>
        </w:numPr>
      </w:pPr>
      <w:r w:rsidRPr="00EC12DE">
        <w:t>Results and respective calculations of safety metrics and performance indicators used to calculate the 2020 executive compensation awards; and</w:t>
      </w:r>
    </w:p>
    <w:p w:rsidR="007433FC" w:rsidP="007433FC" w:rsidRDefault="007433FC" w14:paraId="0EDAF905" w14:textId="1291D794">
      <w:pPr>
        <w:numPr>
          <w:ilvl w:val="0"/>
          <w:numId w:val="15"/>
        </w:numPr>
      </w:pPr>
      <w:r w:rsidRPr="00EC12DE">
        <w:t xml:space="preserve">Calculations supporting the 58% reduction in 2018 LTIP performance share payments and 2020 STIP payments which PG&amp;E states it applied as a result of </w:t>
      </w:r>
      <w:r w:rsidR="00562C59">
        <w:t>the California Department of Forestry and Fire Protection's (</w:t>
      </w:r>
      <w:r w:rsidRPr="00EC12DE">
        <w:t>CAL FIRE</w:t>
      </w:r>
      <w:r w:rsidR="00562C59">
        <w:t>)</w:t>
      </w:r>
      <w:r w:rsidRPr="00EC12DE">
        <w:t xml:space="preserve"> announcement that PG&amp;E equipment was the cause of the September 2020 Zogg Fire, which killed four people.</w:t>
      </w:r>
    </w:p>
    <w:p w:rsidR="007433FC" w:rsidP="007433FC" w:rsidRDefault="007433FC" w14:paraId="018FE9A5" w14:textId="77777777"/>
    <w:p w:rsidR="007433FC" w:rsidP="007433FC" w:rsidRDefault="007433FC" w14:paraId="09031498" w14:textId="6EF5DCBE">
      <w:r>
        <w:t xml:space="preserve">In addition, Cal Advocates states that the CPUC should require PG&amp;E to include all executive compensation awarded in 2020, asserting that the “percentages reported in PG&amp;E’s AL do not corroborate the award amounts reported in [PG&amp;E’s Joint Proxy Statement filed with the </w:t>
      </w:r>
      <w:r w:rsidR="00CA5EC7">
        <w:t>United States Securities Exchange Commission (SEC)</w:t>
      </w:r>
      <w:r>
        <w:t>].”</w:t>
      </w:r>
      <w:r>
        <w:rPr>
          <w:rStyle w:val="FootnoteReference"/>
        </w:rPr>
        <w:footnoteReference w:id="19"/>
      </w:r>
    </w:p>
    <w:p w:rsidR="007433FC" w:rsidP="007433FC" w:rsidRDefault="007433FC" w14:paraId="5639C0CB" w14:textId="77777777"/>
    <w:p w:rsidRPr="004F088B" w:rsidR="007433FC" w:rsidP="007433FC" w:rsidRDefault="007433FC" w14:paraId="00A60C38" w14:textId="77777777">
      <w:r>
        <w:t>Lastly, Cal Advocates states that if the CPUC requires PG&amp;E to supplement the AL, the protest period of 20 days from the day of submission should be reinstated.</w:t>
      </w:r>
      <w:r>
        <w:rPr>
          <w:rStyle w:val="FootnoteReference"/>
        </w:rPr>
        <w:footnoteReference w:id="20"/>
      </w:r>
      <w:r>
        <w:t xml:space="preserve">  </w:t>
      </w:r>
    </w:p>
    <w:p w:rsidR="007433FC" w:rsidRDefault="007433FC" w14:paraId="54FB4CFF" w14:textId="47636921"/>
    <w:p w:rsidR="000F5D15" w:rsidP="00765757" w:rsidRDefault="000F5D15" w14:paraId="532CF68E" w14:textId="10E91DB7">
      <w:pPr>
        <w:keepNext/>
        <w:rPr>
          <w:u w:val="single"/>
        </w:rPr>
      </w:pPr>
      <w:r w:rsidRPr="003F2CC1">
        <w:rPr>
          <w:u w:val="single"/>
        </w:rPr>
        <w:lastRenderedPageBreak/>
        <w:t>PG&amp;E’s Reply to Cal Advocates’ Protest</w:t>
      </w:r>
    </w:p>
    <w:p w:rsidR="001E1C50" w:rsidP="000F5D15" w:rsidRDefault="00685E1F" w14:paraId="1FB61DB6" w14:textId="4EA07707">
      <w:r>
        <w:t>In</w:t>
      </w:r>
      <w:r w:rsidRPr="004F088B" w:rsidR="000F5D15">
        <w:t xml:space="preserve"> </w:t>
      </w:r>
      <w:r w:rsidR="0003774F">
        <w:t>its</w:t>
      </w:r>
      <w:r w:rsidRPr="004F088B" w:rsidR="000F5D15">
        <w:t xml:space="preserve"> Reply</w:t>
      </w:r>
      <w:r w:rsidR="00562C59">
        <w:t>,</w:t>
      </w:r>
      <w:r w:rsidRPr="004F088B" w:rsidR="000F5D15">
        <w:t xml:space="preserve"> </w:t>
      </w:r>
      <w:r w:rsidR="0003774F">
        <w:t xml:space="preserve">PG&amp;E </w:t>
      </w:r>
      <w:r w:rsidR="000F5D15">
        <w:t>address</w:t>
      </w:r>
      <w:r w:rsidR="0003774F">
        <w:t>ed</w:t>
      </w:r>
      <w:r w:rsidR="000F5D15">
        <w:t xml:space="preserve"> each of the points raised in the Protest while asserting that “Cal Advocates’ arguments are unfounded because they are untethered to any statutory or regulatory requirement.”</w:t>
      </w:r>
      <w:r w:rsidR="000F5D15">
        <w:rPr>
          <w:rStyle w:val="FootnoteReference"/>
        </w:rPr>
        <w:footnoteReference w:id="21"/>
      </w:r>
      <w:r w:rsidR="000F5D15">
        <w:t xml:space="preserve"> </w:t>
      </w:r>
    </w:p>
    <w:p w:rsidR="001E1C50" w:rsidP="000F5D15" w:rsidRDefault="001E1C50" w14:paraId="3DC8784F" w14:textId="77777777"/>
    <w:p w:rsidRPr="00C367DF" w:rsidR="000F5D15" w:rsidP="001E1C50" w:rsidRDefault="000F5D15" w14:paraId="7E1D89C2" w14:textId="31249045">
      <w:r>
        <w:t xml:space="preserve">PG&amp;E’s Reply further </w:t>
      </w:r>
      <w:r w:rsidR="000008C2">
        <w:t>argues</w:t>
      </w:r>
      <w:r w:rsidR="001E1C50">
        <w:t xml:space="preserve"> that i</w:t>
      </w:r>
      <w:r>
        <w:t>ndividual names and d</w:t>
      </w:r>
      <w:r w:rsidRPr="00C367DF">
        <w:t>ollar amounts are n</w:t>
      </w:r>
      <w:r>
        <w:t>either</w:t>
      </w:r>
      <w:r w:rsidRPr="00C367DF">
        <w:t xml:space="preserve"> required </w:t>
      </w:r>
      <w:r>
        <w:t>by D.20-05-053 n</w:t>
      </w:r>
      <w:r w:rsidRPr="00C367DF">
        <w:t>or relevant</w:t>
      </w:r>
      <w:r w:rsidR="001E1C50">
        <w:t xml:space="preserve"> and that</w:t>
      </w:r>
      <w:r w:rsidRPr="00C367DF">
        <w:t xml:space="preserve"> AB 1054 and D.20-05-053 discuss the “portions” and the “percentages” of executive compensation – therefore the percentages as discussed in the AL are what is </w:t>
      </w:r>
      <w:r>
        <w:t>relevant</w:t>
      </w:r>
      <w:r w:rsidRPr="00C367DF">
        <w:t xml:space="preserve"> for complying</w:t>
      </w:r>
      <w:r w:rsidR="001E1C50">
        <w:t>:</w:t>
      </w:r>
      <w:r w:rsidRPr="00C367DF">
        <w:t xml:space="preserve"> </w:t>
      </w:r>
    </w:p>
    <w:p w:rsidR="000F5D15" w:rsidP="001E1C50" w:rsidRDefault="001E1C50" w14:paraId="2B6F4922" w14:textId="0D618999">
      <w:pPr>
        <w:numPr>
          <w:ilvl w:val="0"/>
          <w:numId w:val="16"/>
        </w:numPr>
      </w:pPr>
      <w:r>
        <w:t>PG&amp;E states that</w:t>
      </w:r>
      <w:r w:rsidRPr="00C367DF" w:rsidR="000F5D15">
        <w:t xml:space="preserve"> for nearly all of PG&amp;E’s executive officers, dollar amounts and names are specified in PG&amp;E’s and PG&amp;E Corporation’s 2021 joint proxy statement, which is publicly available. Cal</w:t>
      </w:r>
      <w:r w:rsidR="000F5D15">
        <w:t xml:space="preserve"> </w:t>
      </w:r>
      <w:r w:rsidRPr="00C367DF" w:rsidR="000F5D15">
        <w:t xml:space="preserve">Advocates ignores that the Advice Letter expressly incorporates </w:t>
      </w:r>
      <w:r w:rsidR="000F5D15">
        <w:t xml:space="preserve">a reference to </w:t>
      </w:r>
      <w:r w:rsidRPr="00C367DF" w:rsidR="000F5D15">
        <w:t>the pertinent pages from the proxy statement</w:t>
      </w:r>
      <w:r w:rsidR="00EC0D9D">
        <w:t>.</w:t>
      </w:r>
    </w:p>
    <w:p w:rsidR="000F5D15" w:rsidP="00483111" w:rsidRDefault="001E1C50" w14:paraId="67556FFF" w14:textId="66555B9B">
      <w:pPr>
        <w:numPr>
          <w:ilvl w:val="0"/>
          <w:numId w:val="16"/>
        </w:numPr>
      </w:pPr>
      <w:r>
        <w:t>PG&amp;E asserts that f</w:t>
      </w:r>
      <w:r w:rsidRPr="003767DC" w:rsidR="000F5D15">
        <w:t>or a small number of PG&amp;E executive officers as defined in P</w:t>
      </w:r>
      <w:r w:rsidR="000F5D15">
        <w:t>U</w:t>
      </w:r>
      <w:r w:rsidRPr="003767DC" w:rsidR="000F5D15">
        <w:t xml:space="preserve"> Code §§ 451.5 and 8389(e), securities laws do not require such disclosures in the proxy statement</w:t>
      </w:r>
      <w:r w:rsidR="00CA5EC7">
        <w:t>.</w:t>
      </w:r>
    </w:p>
    <w:p w:rsidR="000F5D15" w:rsidP="00483111" w:rsidRDefault="00077CB3" w14:paraId="53B670E3" w14:textId="6E382A45">
      <w:pPr>
        <w:numPr>
          <w:ilvl w:val="1"/>
          <w:numId w:val="16"/>
        </w:numPr>
      </w:pPr>
      <w:r>
        <w:t>PG&amp;E argues t</w:t>
      </w:r>
      <w:r w:rsidRPr="003767DC" w:rsidR="000F5D15">
        <w:t>hese executive officers have a protectable privacy interest in such information, and it would be inappropriate to require its disclosure—especially</w:t>
      </w:r>
      <w:r w:rsidR="000F5D15">
        <w:t xml:space="preserve"> with no requirement in D.20-05-053.</w:t>
      </w:r>
    </w:p>
    <w:p w:rsidR="000F5D15" w:rsidP="000F5D15" w:rsidRDefault="000F5D15" w14:paraId="191599D8" w14:textId="77777777">
      <w:pPr>
        <w:ind w:left="1944"/>
      </w:pPr>
    </w:p>
    <w:p w:rsidR="00077CB3" w:rsidP="00BE3107" w:rsidRDefault="000F5D15" w14:paraId="3E81A90A" w14:textId="53541B25">
      <w:r w:rsidRPr="003767DC">
        <w:t xml:space="preserve">PG&amp;E </w:t>
      </w:r>
      <w:r w:rsidR="00077CB3">
        <w:t>explains that</w:t>
      </w:r>
      <w:r w:rsidR="00B30CC0">
        <w:t xml:space="preserve"> contrary to Cal Advocates' claims,</w:t>
      </w:r>
      <w:r w:rsidR="00077CB3">
        <w:t xml:space="preserve"> it </w:t>
      </w:r>
      <w:r w:rsidRPr="003767DC">
        <w:t xml:space="preserve">indeed listed all </w:t>
      </w:r>
      <w:r>
        <w:t xml:space="preserve">executive compensation </w:t>
      </w:r>
      <w:r w:rsidRPr="003767DC">
        <w:t>awards required</w:t>
      </w:r>
      <w:r>
        <w:t>.</w:t>
      </w:r>
    </w:p>
    <w:p w:rsidR="000F5D15" w:rsidP="00077CB3" w:rsidRDefault="00B30CC0" w14:paraId="6CBBC417" w14:textId="388132E1">
      <w:pPr>
        <w:pStyle w:val="ListParagraph"/>
        <w:numPr>
          <w:ilvl w:val="0"/>
          <w:numId w:val="18"/>
        </w:numPr>
      </w:pPr>
      <w:r>
        <w:t xml:space="preserve">PG&amp;E </w:t>
      </w:r>
      <w:r w:rsidR="00483111">
        <w:t xml:space="preserve">states </w:t>
      </w:r>
      <w:r>
        <w:t xml:space="preserve">that </w:t>
      </w:r>
      <w:r w:rsidRPr="003767DC" w:rsidR="000F5D15">
        <w:t>Cal Advocates mixes apples</w:t>
      </w:r>
      <w:r w:rsidR="000F5D15">
        <w:t xml:space="preserve"> and </w:t>
      </w:r>
      <w:r w:rsidRPr="003767DC" w:rsidR="000F5D15">
        <w:t xml:space="preserve">oranges </w:t>
      </w:r>
      <w:r w:rsidR="000F5D15">
        <w:t xml:space="preserve">by </w:t>
      </w:r>
      <w:r w:rsidRPr="003767DC" w:rsidR="000F5D15">
        <w:t xml:space="preserve">trying to compare the </w:t>
      </w:r>
      <w:r w:rsidR="000F5D15">
        <w:t xml:space="preserve">2020 information presented in the AL with </w:t>
      </w:r>
      <w:r w:rsidRPr="003767DC" w:rsidR="000F5D15">
        <w:t xml:space="preserve">awards </w:t>
      </w:r>
      <w:r w:rsidR="000F5D15">
        <w:t xml:space="preserve">from 2018 and 2019 </w:t>
      </w:r>
      <w:r w:rsidRPr="003767DC" w:rsidR="000F5D15">
        <w:t xml:space="preserve">discussed in the </w:t>
      </w:r>
      <w:r w:rsidR="000F5D15">
        <w:t xml:space="preserve">SEC </w:t>
      </w:r>
      <w:r w:rsidRPr="003767DC" w:rsidR="000F5D15">
        <w:t>proxy statement</w:t>
      </w:r>
      <w:r w:rsidR="000F5D15">
        <w:t xml:space="preserve"> as well as awards for PG&amp;</w:t>
      </w:r>
      <w:r w:rsidRPr="003767DC" w:rsidR="000F5D15">
        <w:t>E Corp</w:t>
      </w:r>
      <w:r w:rsidR="00D6039D">
        <w:t>oration's</w:t>
      </w:r>
      <w:r w:rsidRPr="003767DC" w:rsidR="000F5D15">
        <w:t xml:space="preserve"> exec</w:t>
      </w:r>
      <w:r w:rsidR="00D6039D">
        <w:t>utive</w:t>
      </w:r>
      <w:r w:rsidRPr="003767DC" w:rsidR="000F5D15">
        <w:t xml:space="preserve">s, </w:t>
      </w:r>
      <w:r w:rsidR="000F5D15">
        <w:t>all of which are</w:t>
      </w:r>
      <w:r w:rsidRPr="003767DC" w:rsidR="000F5D15">
        <w:t xml:space="preserve"> items</w:t>
      </w:r>
      <w:r w:rsidR="000F5D15">
        <w:t xml:space="preserve"> that</w:t>
      </w:r>
      <w:r w:rsidRPr="003767DC" w:rsidR="000F5D15">
        <w:t xml:space="preserve"> are not subject to this </w:t>
      </w:r>
      <w:r w:rsidR="000F5D15">
        <w:t xml:space="preserve">annual filing of 2020 awards. </w:t>
      </w:r>
    </w:p>
    <w:p w:rsidRPr="003767DC" w:rsidR="000F5D15" w:rsidP="000F5D15" w:rsidRDefault="000F5D15" w14:paraId="7A5E9146" w14:textId="77777777">
      <w:pPr>
        <w:ind w:left="1224"/>
      </w:pPr>
    </w:p>
    <w:p w:rsidR="00483111" w:rsidP="00483111" w:rsidRDefault="00483111" w14:paraId="00B2242D" w14:textId="6215F51A">
      <w:pPr>
        <w:pStyle w:val="ListParagraph"/>
        <w:ind w:left="0"/>
      </w:pPr>
      <w:r>
        <w:t>PG&amp;E's Reply explains that the r</w:t>
      </w:r>
      <w:r w:rsidRPr="003767DC" w:rsidR="000F5D15">
        <w:t>eduction</w:t>
      </w:r>
      <w:r w:rsidR="000F5D15">
        <w:t>s</w:t>
      </w:r>
      <w:r w:rsidRPr="003767DC" w:rsidR="000F5D15">
        <w:t xml:space="preserve"> for the Zogg fire </w:t>
      </w:r>
      <w:r>
        <w:t>are indeed</w:t>
      </w:r>
      <w:r w:rsidR="000F5D15">
        <w:t xml:space="preserve"> </w:t>
      </w:r>
      <w:r w:rsidRPr="003767DC" w:rsidR="000F5D15">
        <w:t xml:space="preserve">discussed in the AL </w:t>
      </w:r>
      <w:r w:rsidR="00EF52A5">
        <w:t>(at</w:t>
      </w:r>
      <w:r w:rsidRPr="003767DC" w:rsidR="000F5D15">
        <w:t xml:space="preserve"> 4-5</w:t>
      </w:r>
      <w:r w:rsidR="00EF52A5">
        <w:t>)</w:t>
      </w:r>
      <w:r w:rsidRPr="003767DC" w:rsidR="000F5D15">
        <w:t xml:space="preserve"> even though there is not a specific requirement</w:t>
      </w:r>
      <w:r w:rsidR="000F5D15">
        <w:t xml:space="preserve"> for PG&amp;E to do so</w:t>
      </w:r>
      <w:r w:rsidRPr="003767DC" w:rsidR="000F5D15">
        <w:t>.</w:t>
      </w:r>
    </w:p>
    <w:p w:rsidR="000F5D15" w:rsidP="00483111" w:rsidRDefault="00BE3107" w14:paraId="18F8326D" w14:textId="2AFF316B">
      <w:pPr>
        <w:pStyle w:val="ListParagraph"/>
        <w:numPr>
          <w:ilvl w:val="0"/>
          <w:numId w:val="18"/>
        </w:numPr>
      </w:pPr>
      <w:r>
        <w:lastRenderedPageBreak/>
        <w:t>As a result, PG&amp;E states t</w:t>
      </w:r>
      <w:r w:rsidRPr="003767DC" w:rsidR="000F5D15">
        <w:t>he info</w:t>
      </w:r>
      <w:r w:rsidR="000F5D15">
        <w:t>rmation</w:t>
      </w:r>
      <w:r w:rsidRPr="003767DC" w:rsidR="000F5D15">
        <w:t xml:space="preserve"> Cal Advocates claims is omitted </w:t>
      </w:r>
      <w:r w:rsidR="00EF52A5">
        <w:t>was</w:t>
      </w:r>
      <w:r w:rsidR="000F5D15">
        <w:t xml:space="preserve"> included </w:t>
      </w:r>
      <w:r w:rsidRPr="003767DC" w:rsidR="000F5D15">
        <w:t>in the AL</w:t>
      </w:r>
      <w:r w:rsidR="000F5D15">
        <w:t>.</w:t>
      </w:r>
    </w:p>
    <w:p w:rsidR="000F5D15" w:rsidP="000F5D15" w:rsidRDefault="000F5D15" w14:paraId="04B34D27" w14:textId="77777777">
      <w:pPr>
        <w:pStyle w:val="ListParagraph"/>
      </w:pPr>
    </w:p>
    <w:p w:rsidR="000F5D15" w:rsidP="00077CB3" w:rsidRDefault="00483111" w14:paraId="6DA38491" w14:textId="1E3063D5">
      <w:r>
        <w:t xml:space="preserve">Regarding </w:t>
      </w:r>
      <w:r w:rsidRPr="003767DC" w:rsidR="000F5D15">
        <w:t>Cal</w:t>
      </w:r>
      <w:r w:rsidR="00EF52A5">
        <w:t xml:space="preserve"> </w:t>
      </w:r>
      <w:r w:rsidRPr="003767DC" w:rsidR="000F5D15">
        <w:t>Advocates</w:t>
      </w:r>
      <w:r>
        <w:t>' argument</w:t>
      </w:r>
      <w:r w:rsidRPr="003767DC" w:rsidR="000F5D15">
        <w:t xml:space="preserve"> that because the A</w:t>
      </w:r>
      <w:r w:rsidR="000F5D15">
        <w:t>L</w:t>
      </w:r>
      <w:r w:rsidRPr="003767DC" w:rsidR="000F5D15">
        <w:t xml:space="preserve"> does not “include the safety metrics and performance indicators results used to calculate 2020 executive officer compensations,” it is “difficult to understand whether PG&amp;E has corrected improper executive incentivization as discussed in NorthStar Consulting’s recommendations”</w:t>
      </w:r>
      <w:r w:rsidR="00BE3107">
        <w:t xml:space="preserve">, PG&amp;E's Reply explains: </w:t>
      </w:r>
    </w:p>
    <w:p w:rsidR="000F5D15" w:rsidP="00077CB3" w:rsidRDefault="000F5D15" w14:paraId="35219FBE" w14:textId="15FFC650">
      <w:pPr>
        <w:pStyle w:val="ListParagraph"/>
        <w:numPr>
          <w:ilvl w:val="0"/>
          <w:numId w:val="20"/>
        </w:numPr>
      </w:pPr>
      <w:r>
        <w:t xml:space="preserve">There is no requirement for the AL to provide this information and this AL is not the proper place for it because such issues are addressed in other proceedings. </w:t>
      </w:r>
    </w:p>
    <w:p w:rsidR="000F5D15" w:rsidP="00077CB3" w:rsidRDefault="000F5D15" w14:paraId="65FA199B" w14:textId="4B148F8A">
      <w:pPr>
        <w:pStyle w:val="ListParagraph"/>
        <w:numPr>
          <w:ilvl w:val="0"/>
          <w:numId w:val="20"/>
        </w:numPr>
      </w:pPr>
      <w:r>
        <w:t>Whether PG&amp;E’s 2020 incentive compensation programs used appropriate performance metrics, whether those metrics adequately promoted safety and other priorities, whether the metrics were weighted appropriately, and so forth, were questions that were resolved when the Commission approved PG&amp;E’s Plan o</w:t>
      </w:r>
      <w:r w:rsidR="00D46876">
        <w:t>f</w:t>
      </w:r>
      <w:r>
        <w:t xml:space="preserve"> Reorganization and approved PG&amp;E’s executive compensation structure as compliant with AB 1054.</w:t>
      </w:r>
    </w:p>
    <w:p w:rsidR="000F5D15" w:rsidP="00077CB3" w:rsidRDefault="00EF52A5" w14:paraId="46B54A7E" w14:textId="100CED8E">
      <w:pPr>
        <w:pStyle w:val="ListParagraph"/>
        <w:numPr>
          <w:ilvl w:val="0"/>
          <w:numId w:val="20"/>
        </w:numPr>
      </w:pPr>
      <w:r>
        <w:t>W</w:t>
      </w:r>
      <w:r w:rsidR="000F5D15">
        <w:t>hether PG&amp;E complied with “NorthStar Consulting’s recommendations” is addressed in PG&amp;E’s detailed Safety Culture and Governance Quarterly Reports pursuant to D.18-11-050.</w:t>
      </w:r>
    </w:p>
    <w:p w:rsidR="008A715C" w:rsidP="00D413EF" w:rsidRDefault="008A715C" w14:paraId="615D4EB3" w14:textId="179C04F5"/>
    <w:p w:rsidRPr="00EE749A" w:rsidR="00FD0BD4" w:rsidP="000F5D15" w:rsidRDefault="00C00F3C" w14:paraId="0B75D526" w14:textId="07AA31F3">
      <w:pPr>
        <w:rPr>
          <w:rFonts w:ascii="Helvetica" w:hAnsi="Helvetica" w:cs="Helvetica"/>
          <w:b/>
          <w:bCs/>
          <w:u w:val="single"/>
        </w:rPr>
      </w:pPr>
      <w:r w:rsidRPr="00EE749A">
        <w:rPr>
          <w:rFonts w:ascii="Helvetica" w:hAnsi="Helvetica" w:cs="Helvetica"/>
          <w:b/>
          <w:bCs/>
          <w:u w:val="single"/>
        </w:rPr>
        <w:t>DISCUSSION</w:t>
      </w:r>
      <w:r w:rsidRPr="00EE749A" w:rsidR="00FD0BD4">
        <w:rPr>
          <w:rFonts w:ascii="Helvetica" w:hAnsi="Helvetica" w:cs="Helvetica"/>
          <w:b/>
          <w:bCs/>
          <w:u w:val="single"/>
        </w:rPr>
        <w:t xml:space="preserve"> </w:t>
      </w:r>
    </w:p>
    <w:p w:rsidR="00C00F3C" w:rsidP="000F5D15" w:rsidRDefault="00C00F3C" w14:paraId="59F15647" w14:textId="77777777"/>
    <w:p w:rsidR="000F5D15" w:rsidP="000F5D15" w:rsidRDefault="00F96607" w14:paraId="733F9568" w14:textId="6261A326">
      <w:r>
        <w:t>The Commission</w:t>
      </w:r>
      <w:r w:rsidR="000F5D15">
        <w:t xml:space="preserve"> has reviewed PG&amp;E AL 4419-G/6157-E, supplemental AL </w:t>
      </w:r>
      <w:r w:rsidR="00F307F2">
        <w:br/>
      </w:r>
      <w:r w:rsidR="000F5D15">
        <w:t>4419-G</w:t>
      </w:r>
      <w:r w:rsidR="004D49E8">
        <w:t>-A</w:t>
      </w:r>
      <w:r w:rsidR="000F5D15">
        <w:t xml:space="preserve">/6157-E-A, Cal Advocates’ Protest, PG&amp;E’s Reply and the relevant portions of AB 1054 and D.20-05-053. </w:t>
      </w:r>
    </w:p>
    <w:p w:rsidR="000F5D15" w:rsidP="000F5D15" w:rsidRDefault="000F5D15" w14:paraId="6953B914" w14:textId="77777777"/>
    <w:p w:rsidR="000F5D15" w:rsidP="000F5D15" w:rsidRDefault="00F96607" w14:paraId="3C914A68" w14:textId="79124345">
      <w:r>
        <w:t>The Commission</w:t>
      </w:r>
      <w:r w:rsidR="000F5D15">
        <w:t xml:space="preserve"> finds that </w:t>
      </w:r>
      <w:r>
        <w:t>for the 2020 executive compensation award reporting period</w:t>
      </w:r>
      <w:r w:rsidR="000E3F5D">
        <w:t xml:space="preserve"> only</w:t>
      </w:r>
      <w:r>
        <w:t xml:space="preserve">, </w:t>
      </w:r>
      <w:r w:rsidR="000F5D15">
        <w:t>PG&amp;E’s AL 4419-G/6157-E and supplemental AL 4419-G</w:t>
      </w:r>
      <w:r w:rsidR="004D49E8">
        <w:t>-A</w:t>
      </w:r>
      <w:r w:rsidR="000F5D15">
        <w:t xml:space="preserve">/6157-E-A </w:t>
      </w:r>
      <w:r w:rsidR="007E0EE1">
        <w:t>complies</w:t>
      </w:r>
      <w:r>
        <w:t xml:space="preserve"> with </w:t>
      </w:r>
      <w:r w:rsidR="000F5D15">
        <w:t xml:space="preserve">the requirement set forth by the CPUC in D.20-05-053 for the annual reporting of awards. </w:t>
      </w:r>
    </w:p>
    <w:p w:rsidR="00F96607" w:rsidP="000F5D15" w:rsidRDefault="00F96607" w14:paraId="382638AD" w14:textId="2D5928E1"/>
    <w:p w:rsidR="00757C40" w:rsidP="000F5D15" w:rsidRDefault="00CC7AA6" w14:paraId="64BFB3AD" w14:textId="32380512">
      <w:r>
        <w:t xml:space="preserve">It is true that </w:t>
      </w:r>
      <w:bookmarkStart w:name="_Hlk87883215" w:id="7"/>
      <w:r w:rsidR="00F96607">
        <w:t>D.20-05-053 does not specify that exact compensation dollar amounts or</w:t>
      </w:r>
      <w:r w:rsidR="007E14E7">
        <w:t xml:space="preserve"> that</w:t>
      </w:r>
      <w:r w:rsidR="00F96607">
        <w:t xml:space="preserve"> names</w:t>
      </w:r>
      <w:r w:rsidR="001E6F3B">
        <w:t xml:space="preserve"> or position titles</w:t>
      </w:r>
      <w:r w:rsidR="00F96607">
        <w:t xml:space="preserve"> </w:t>
      </w:r>
      <w:r w:rsidR="00757C40">
        <w:t xml:space="preserve">of individuals </w:t>
      </w:r>
      <w:r w:rsidR="00F96607">
        <w:t>are required to be presented</w:t>
      </w:r>
      <w:r w:rsidR="00757C40">
        <w:t xml:space="preserve"> </w:t>
      </w:r>
      <w:r w:rsidR="009E00B5">
        <w:t>i</w:t>
      </w:r>
      <w:r w:rsidR="00757C40">
        <w:t>n the annual report</w:t>
      </w:r>
      <w:r w:rsidR="000E3F5D">
        <w:t>.</w:t>
      </w:r>
      <w:r w:rsidR="00F96607">
        <w:t xml:space="preserve"> </w:t>
      </w:r>
      <w:r w:rsidR="00C22754">
        <w:t xml:space="preserve"> </w:t>
      </w:r>
      <w:r>
        <w:t>However, t</w:t>
      </w:r>
      <w:r w:rsidRPr="000E3F5D" w:rsidR="000E3F5D">
        <w:t xml:space="preserve">he specific language </w:t>
      </w:r>
      <w:r w:rsidR="004C59BC">
        <w:t>requires the</w:t>
      </w:r>
      <w:r w:rsidRPr="000E3F5D" w:rsidR="004C59BC">
        <w:t xml:space="preserve"> </w:t>
      </w:r>
      <w:r w:rsidRPr="000E3F5D" w:rsidR="000E3F5D">
        <w:t>"</w:t>
      </w:r>
      <w:r w:rsidR="004C59BC">
        <w:t>a</w:t>
      </w:r>
      <w:r w:rsidRPr="000E3F5D" w:rsidR="000E3F5D">
        <w:t xml:space="preserve">nnual reporting of awards" and not the annual reporting of ratios or </w:t>
      </w:r>
      <w:r w:rsidRPr="000E3F5D" w:rsidR="000E3F5D">
        <w:lastRenderedPageBreak/>
        <w:t>percentages.</w:t>
      </w:r>
      <w:bookmarkEnd w:id="7"/>
      <w:r w:rsidR="000E3F5D">
        <w:t xml:space="preserve">  Therefore</w:t>
      </w:r>
      <w:r w:rsidR="00757C40">
        <w:t xml:space="preserve">, </w:t>
      </w:r>
      <w:r w:rsidR="000E3F5D">
        <w:t xml:space="preserve">the Commission finds </w:t>
      </w:r>
      <w:bookmarkStart w:name="_Hlk87883285" w:id="8"/>
      <w:r w:rsidR="000E3F5D">
        <w:t xml:space="preserve">it </w:t>
      </w:r>
      <w:r w:rsidR="00757C40">
        <w:t xml:space="preserve">reasonable to </w:t>
      </w:r>
      <w:r w:rsidR="000E3F5D">
        <w:t>i</w:t>
      </w:r>
      <w:r w:rsidR="00757C40">
        <w:t>nterpret</w:t>
      </w:r>
      <w:r w:rsidR="000E3F5D">
        <w:t xml:space="preserve"> and expect</w:t>
      </w:r>
      <w:r w:rsidR="00757C40">
        <w:t xml:space="preserve"> the </w:t>
      </w:r>
      <w:r w:rsidR="000E3F5D">
        <w:t>"</w:t>
      </w:r>
      <w:r w:rsidR="00757C40">
        <w:t>annual report</w:t>
      </w:r>
      <w:r w:rsidR="000E3F5D">
        <w:t>ing</w:t>
      </w:r>
      <w:r w:rsidR="00757C40">
        <w:t xml:space="preserve"> of awards</w:t>
      </w:r>
      <w:r w:rsidR="000E3F5D">
        <w:t>"</w:t>
      </w:r>
      <w:r w:rsidR="00757C40">
        <w:t xml:space="preserve"> to </w:t>
      </w:r>
      <w:r w:rsidR="00A439EB">
        <w:t>include</w:t>
      </w:r>
      <w:r w:rsidR="00757C40">
        <w:t xml:space="preserve"> dollar amounts.</w:t>
      </w:r>
      <w:bookmarkEnd w:id="8"/>
      <w:r w:rsidR="009E00B5">
        <w:t xml:space="preserve"> </w:t>
      </w:r>
    </w:p>
    <w:p w:rsidR="00757C40" w:rsidP="000F5D15" w:rsidRDefault="00757C40" w14:paraId="6BACE3AE" w14:textId="77777777"/>
    <w:p w:rsidR="00F96607" w:rsidP="000F5D15" w:rsidRDefault="00CC0EA6" w14:paraId="50820605" w14:textId="538F5DC6">
      <w:r>
        <w:t xml:space="preserve">This resolution </w:t>
      </w:r>
      <w:r w:rsidR="003E1B45">
        <w:t xml:space="preserve">also </w:t>
      </w:r>
      <w:r>
        <w:t xml:space="preserve">finds that in order </w:t>
      </w:r>
      <w:r w:rsidR="00B45E0A">
        <w:t xml:space="preserve">to </w:t>
      </w:r>
      <w:r w:rsidR="003E1B45">
        <w:t>better understand PG&amp;E's executive compensation awards</w:t>
      </w:r>
      <w:r>
        <w:t>,</w:t>
      </w:r>
      <w:r w:rsidR="000C7DAA">
        <w:t xml:space="preserve"> </w:t>
      </w:r>
      <w:bookmarkStart w:name="_Hlk87881999" w:id="9"/>
      <w:r>
        <w:t>PG&amp;E is required to provide position</w:t>
      </w:r>
      <w:r w:rsidR="007E0EE1">
        <w:t>s</w:t>
      </w:r>
      <w:r>
        <w:t xml:space="preserve"> title</w:t>
      </w:r>
      <w:r w:rsidR="007E0EE1">
        <w:t>s with greater specificity</w:t>
      </w:r>
      <w:r>
        <w:t xml:space="preserve"> and </w:t>
      </w:r>
      <w:r w:rsidR="004C20F9">
        <w:t xml:space="preserve">the </w:t>
      </w:r>
      <w:r>
        <w:t xml:space="preserve">total dollar amount of executive compensation for each executive position presented in its annual report, </w:t>
      </w:r>
      <w:r w:rsidR="00F43B0B">
        <w:t xml:space="preserve">beginning with its </w:t>
      </w:r>
      <w:r w:rsidR="003E1B45">
        <w:t xml:space="preserve">2021 </w:t>
      </w:r>
      <w:r w:rsidR="00F43B0B">
        <w:t>annual report Tier 1 Advice Letter submittal and each year thereafter</w:t>
      </w:r>
      <w:r w:rsidR="009E00B5">
        <w:t>.</w:t>
      </w:r>
      <w:bookmarkEnd w:id="9"/>
      <w:r w:rsidR="00FB46B4">
        <w:rPr>
          <w:rStyle w:val="FootnoteReference"/>
        </w:rPr>
        <w:footnoteReference w:id="22"/>
      </w:r>
      <w:r w:rsidR="00757C40">
        <w:t xml:space="preserve">  </w:t>
      </w:r>
      <w:r w:rsidR="007E14E7">
        <w:t>This additional specificity provided here by the Commission should pose little burden on PG&amp;E as it readily a</w:t>
      </w:r>
      <w:r w:rsidRPr="00E903BB" w:rsidR="00E903BB">
        <w:t>dmits</w:t>
      </w:r>
      <w:r w:rsidR="00CC7AA6">
        <w:t>,</w:t>
      </w:r>
      <w:r w:rsidRPr="00E903BB" w:rsidR="00E903BB">
        <w:t xml:space="preserve"> "for nearly all of PG&amp;E's executive officers, dollar amounts and names are specified in PG&amp;E's and PG&amp;E Corporation's 2021 joint proxy statement, </w:t>
      </w:r>
      <w:r w:rsidRPr="00E903BB" w:rsidR="008D1C2F">
        <w:t>which</w:t>
      </w:r>
      <w:r w:rsidRPr="00E903BB" w:rsidR="00E903BB">
        <w:t xml:space="preserve"> is </w:t>
      </w:r>
      <w:r w:rsidRPr="00E903BB" w:rsidR="008D1C2F">
        <w:t>publicly</w:t>
      </w:r>
      <w:r w:rsidRPr="00E903BB" w:rsidR="00E903BB">
        <w:t xml:space="preserve"> available."</w:t>
      </w:r>
      <w:r w:rsidR="008D1C2F">
        <w:rPr>
          <w:rStyle w:val="FootnoteReference"/>
        </w:rPr>
        <w:footnoteReference w:id="23"/>
      </w:r>
      <w:r w:rsidRPr="007E14E7" w:rsidR="007E14E7">
        <w:t xml:space="preserve">  For </w:t>
      </w:r>
      <w:r w:rsidR="000A1403">
        <w:t>any</w:t>
      </w:r>
      <w:r w:rsidRPr="007E14E7" w:rsidR="007E14E7">
        <w:t xml:space="preserve"> </w:t>
      </w:r>
      <w:r w:rsidR="00CC7AA6">
        <w:t xml:space="preserve">PG&amp;E </w:t>
      </w:r>
      <w:r w:rsidRPr="007E14E7" w:rsidR="007E14E7">
        <w:t>executive</w:t>
      </w:r>
      <w:r w:rsidR="000A1403">
        <w:t xml:space="preserve"> positions</w:t>
      </w:r>
      <w:r w:rsidRPr="007E14E7" w:rsidR="007E14E7">
        <w:t xml:space="preserve"> that securities laws do not require such disclosures</w:t>
      </w:r>
      <w:r w:rsidR="000A1403">
        <w:t xml:space="preserve"> of</w:t>
      </w:r>
      <w:r w:rsidRPr="007E14E7" w:rsidR="007E14E7">
        <w:t xml:space="preserve">, PG&amp;E is directed to submit </w:t>
      </w:r>
      <w:r w:rsidR="00CC7AA6">
        <w:t xml:space="preserve">to the Commission </w:t>
      </w:r>
      <w:r w:rsidRPr="007E14E7" w:rsidR="007E14E7">
        <w:t>a</w:t>
      </w:r>
      <w:r w:rsidR="00CC7AA6">
        <w:t>n additional</w:t>
      </w:r>
      <w:r w:rsidRPr="007E14E7" w:rsidR="007E14E7">
        <w:t xml:space="preserve"> confidential </w:t>
      </w:r>
      <w:r w:rsidR="00CC7AA6">
        <w:t xml:space="preserve">unredacted </w:t>
      </w:r>
      <w:r w:rsidRPr="007E14E7" w:rsidR="007E14E7">
        <w:t xml:space="preserve">version of the Tier 1 Advice Letter using the standard </w:t>
      </w:r>
      <w:r w:rsidR="00E22105">
        <w:t xml:space="preserve">confidentiality </w:t>
      </w:r>
      <w:r w:rsidRPr="007E14E7" w:rsidR="007E14E7">
        <w:t xml:space="preserve">processes already established. </w:t>
      </w:r>
    </w:p>
    <w:p w:rsidR="00B355F6" w:rsidP="000F5D15" w:rsidRDefault="00B355F6" w14:paraId="13808B8B" w14:textId="457601BA"/>
    <w:p w:rsidR="00B355F6" w:rsidP="000F5D15" w:rsidRDefault="00B355F6" w14:paraId="5B2D192E" w14:textId="32C16BF5">
      <w:r w:rsidRPr="00B355F6">
        <w:t xml:space="preserve">Although Cal Advocates’ Protest was filed based on the grounds that the analysis, calculations, or data in the advice letter contain material errors or omissions, the </w:t>
      </w:r>
      <w:bookmarkStart w:name="_Hlk89856996" w:id="10"/>
      <w:r w:rsidRPr="00B355F6">
        <w:t>Protest does not cite to any specific requirement from D.20-05-053</w:t>
      </w:r>
      <w:r w:rsidR="004C20F9">
        <w:t xml:space="preserve"> for the 2020 annual report</w:t>
      </w:r>
      <w:r w:rsidRPr="00B355F6">
        <w:t xml:space="preserve"> that is presented in error or that is omitted</w:t>
      </w:r>
      <w:bookmarkEnd w:id="10"/>
      <w:r w:rsidR="00E22105">
        <w:t xml:space="preserve">.  Regarding the absence of </w:t>
      </w:r>
      <w:r w:rsidR="004C20F9">
        <w:t xml:space="preserve">specific position titles and compensation </w:t>
      </w:r>
      <w:r w:rsidR="00E22105">
        <w:t xml:space="preserve">dollar amounts, </w:t>
      </w:r>
      <w:r>
        <w:t>we have addressed</w:t>
      </w:r>
      <w:r w:rsidR="00E22105">
        <w:t xml:space="preserve"> </w:t>
      </w:r>
      <w:r w:rsidRPr="00EA0148" w:rsidR="00E22105">
        <w:t>th</w:t>
      </w:r>
      <w:r w:rsidRPr="00EA0148" w:rsidR="00EA0148">
        <w:t>is</w:t>
      </w:r>
      <w:r w:rsidR="00EA0148">
        <w:t xml:space="preserve"> </w:t>
      </w:r>
      <w:r>
        <w:t xml:space="preserve">prospectively. </w:t>
      </w:r>
    </w:p>
    <w:p w:rsidR="000F5D15" w:rsidP="00D413EF" w:rsidRDefault="000F5D15" w14:paraId="366E3E00" w14:textId="3E4D6070"/>
    <w:p w:rsidR="006246BF" w:rsidP="000F5D15" w:rsidRDefault="004235C3" w14:paraId="1838796E" w14:textId="76B03C0E">
      <w:r>
        <w:t>T</w:t>
      </w:r>
      <w:r w:rsidR="00F96607">
        <w:t xml:space="preserve">he Commission </w:t>
      </w:r>
      <w:r w:rsidR="000F5D15">
        <w:t xml:space="preserve">finds that PG&amp;E’s Reply adequately addresses the concerns raised in </w:t>
      </w:r>
      <w:r w:rsidR="00F96607">
        <w:t>Cal Advocates'</w:t>
      </w:r>
      <w:r w:rsidR="000F5D15">
        <w:t xml:space="preserve"> Protest</w:t>
      </w:r>
      <w:r>
        <w:t xml:space="preserve"> for the 2020 annual report</w:t>
      </w:r>
      <w:r w:rsidR="000F5D15">
        <w:t>:</w:t>
      </w:r>
    </w:p>
    <w:p w:rsidR="00A8202C" w:rsidP="000F5D15" w:rsidRDefault="00A8202C" w14:paraId="1C0D49C1" w14:textId="44D3262A"/>
    <w:p w:rsidRPr="00A8202C" w:rsidR="00A8202C" w:rsidP="000F5D15" w:rsidRDefault="00A8202C" w14:paraId="736BE3CF" w14:textId="35F8F54B">
      <w:pPr>
        <w:rPr>
          <w:u w:val="single"/>
        </w:rPr>
      </w:pPr>
      <w:r w:rsidRPr="00A8202C">
        <w:rPr>
          <w:u w:val="single"/>
        </w:rPr>
        <w:t>Awards Presented</w:t>
      </w:r>
    </w:p>
    <w:p w:rsidR="00A8202C" w:rsidP="00F307F2" w:rsidRDefault="000F5D15" w14:paraId="170D7F95" w14:textId="75834B31">
      <w:pPr>
        <w:pStyle w:val="ListParagraph"/>
        <w:numPr>
          <w:ilvl w:val="0"/>
          <w:numId w:val="17"/>
        </w:numPr>
      </w:pPr>
      <w:r>
        <w:t>PG&amp;E listed the required compensation award</w:t>
      </w:r>
      <w:r w:rsidR="004C20F9">
        <w:t>ed</w:t>
      </w:r>
      <w:r>
        <w:t xml:space="preserve"> for 2020</w:t>
      </w:r>
      <w:r w:rsidR="00E347EF">
        <w:t>;</w:t>
      </w:r>
      <w:r>
        <w:t xml:space="preserve"> Cal Advocates’ concern is misplaced given its reliance on </w:t>
      </w:r>
      <w:r w:rsidR="00E347EF">
        <w:t xml:space="preserve">2018 and 2019 </w:t>
      </w:r>
      <w:r>
        <w:t xml:space="preserve">compensation information referenced in PG&amp;E Corporation’s 2021 Joint Proxy Statement. </w:t>
      </w:r>
    </w:p>
    <w:p w:rsidRPr="00A8202C" w:rsidR="00A8202C" w:rsidP="00A8202C" w:rsidRDefault="00A8202C" w14:paraId="7E3AB9AB" w14:textId="2D90520E">
      <w:pPr>
        <w:rPr>
          <w:u w:val="single"/>
        </w:rPr>
      </w:pPr>
      <w:r w:rsidRPr="00A8202C">
        <w:rPr>
          <w:u w:val="single"/>
        </w:rPr>
        <w:lastRenderedPageBreak/>
        <w:t>Reductions due to the Zogg fire</w:t>
      </w:r>
    </w:p>
    <w:p w:rsidR="00F96607" w:rsidP="00F96607" w:rsidRDefault="00F96607" w14:paraId="17736326" w14:textId="4C25D670">
      <w:pPr>
        <w:pStyle w:val="ListParagraph"/>
        <w:numPr>
          <w:ilvl w:val="0"/>
          <w:numId w:val="17"/>
        </w:numPr>
      </w:pPr>
      <w:r>
        <w:t>F</w:t>
      </w:r>
      <w:r w:rsidR="000F5D15">
        <w:t xml:space="preserve">or purposes of AL 4419-G/6157-E, </w:t>
      </w:r>
      <w:r w:rsidR="006B3317">
        <w:t xml:space="preserve">the Commission finds </w:t>
      </w:r>
      <w:r w:rsidR="000F5D15">
        <w:t xml:space="preserve">PG&amp;E has adequately explained the reductions to compensation for the Zogg fire, despite the apparent lack of a requirement to do so. </w:t>
      </w:r>
    </w:p>
    <w:p w:rsidR="00C22754" w:rsidP="00A8202C" w:rsidRDefault="00C22754" w14:paraId="41150245" w14:textId="77777777">
      <w:pPr>
        <w:rPr>
          <w:u w:val="single"/>
        </w:rPr>
      </w:pPr>
    </w:p>
    <w:p w:rsidRPr="00A8202C" w:rsidR="00A8202C" w:rsidP="00A8202C" w:rsidRDefault="00A8202C" w14:paraId="618F5CB2" w14:textId="2915B6DD">
      <w:pPr>
        <w:rPr>
          <w:u w:val="single"/>
        </w:rPr>
      </w:pPr>
      <w:r w:rsidRPr="00A8202C">
        <w:rPr>
          <w:u w:val="single"/>
        </w:rPr>
        <w:t>Safety Metrics and Performance Indicators</w:t>
      </w:r>
    </w:p>
    <w:p w:rsidR="000F5D15" w:rsidP="00F96607" w:rsidRDefault="006B3317" w14:paraId="64EA482B" w14:textId="1798F7A8">
      <w:pPr>
        <w:pStyle w:val="ListParagraph"/>
        <w:numPr>
          <w:ilvl w:val="0"/>
          <w:numId w:val="17"/>
        </w:numPr>
      </w:pPr>
      <w:r>
        <w:t>Cal Advocates'</w:t>
      </w:r>
      <w:r w:rsidR="000F5D15">
        <w:t xml:space="preserve"> Protest does not cite any requirement for PG&amp;E’s AL </w:t>
      </w:r>
      <w:r w:rsidR="00F307F2">
        <w:br/>
      </w:r>
      <w:r w:rsidR="000F5D15">
        <w:t xml:space="preserve">4419-G/6157-E </w:t>
      </w:r>
      <w:r w:rsidR="004235C3">
        <w:t xml:space="preserve">annual report for 2020 </w:t>
      </w:r>
      <w:r w:rsidR="000F5D15">
        <w:t>to present safety metrics and performance indicators</w:t>
      </w:r>
      <w:r w:rsidR="00091F76">
        <w:t>,</w:t>
      </w:r>
      <w:r w:rsidR="000F5D15">
        <w:t xml:space="preserve"> or show compliance with NorthStar Consulting’s recommendations.  </w:t>
      </w:r>
    </w:p>
    <w:p w:rsidR="006246BF" w:rsidP="006246BF" w:rsidRDefault="006246BF" w14:paraId="3F643619" w14:textId="2DABC350"/>
    <w:p w:rsidR="006246BF" w:rsidP="006246BF" w:rsidRDefault="006246BF" w14:paraId="3170ACEE" w14:textId="423A1014">
      <w:r w:rsidRPr="006246BF">
        <w:t>For the reasons stated above, Cal Advocates' Protest of PG&amp;E AL 4419-G/6157-E is denied.</w:t>
      </w:r>
    </w:p>
    <w:p w:rsidR="000F5D15" w:rsidP="000F5D15" w:rsidRDefault="000F5D15" w14:paraId="0ADF90D6" w14:textId="77777777"/>
    <w:p w:rsidR="00D413EF" w:rsidP="00D413EF" w:rsidRDefault="00C22754" w14:paraId="3EE57B6A" w14:textId="7A6FC211">
      <w:r>
        <w:t>In summary</w:t>
      </w:r>
      <w:r w:rsidRPr="004F088B" w:rsidR="000F5D15">
        <w:t xml:space="preserve">, </w:t>
      </w:r>
      <w:r w:rsidR="00F96607">
        <w:t>the Commission</w:t>
      </w:r>
      <w:r w:rsidRPr="004F088B" w:rsidR="000F5D15">
        <w:t xml:space="preserve"> finds that</w:t>
      </w:r>
      <w:r w:rsidR="000F5D15">
        <w:t xml:space="preserve"> the information presented by PG&amp;E </w:t>
      </w:r>
      <w:r w:rsidR="006B3317">
        <w:t xml:space="preserve">for reporting its 2020 executive compensation awards </w:t>
      </w:r>
      <w:r w:rsidR="000F5D15">
        <w:t>in</w:t>
      </w:r>
      <w:r w:rsidRPr="004F088B" w:rsidR="000F5D15">
        <w:t xml:space="preserve"> </w:t>
      </w:r>
      <w:bookmarkStart w:name="_Hlk87881900" w:id="11"/>
      <w:r w:rsidRPr="004F088B" w:rsidR="000F5D15">
        <w:t xml:space="preserve">AL </w:t>
      </w:r>
      <w:r w:rsidRPr="00C30C94" w:rsidR="000F5D15">
        <w:t>4419-G/6157-E</w:t>
      </w:r>
      <w:r w:rsidR="00672021">
        <w:t>,</w:t>
      </w:r>
      <w:r w:rsidR="000F5D15">
        <w:t xml:space="preserve"> a</w:t>
      </w:r>
      <w:r w:rsidR="001E143D">
        <w:t>s modified by</w:t>
      </w:r>
      <w:r w:rsidR="000F5D15">
        <w:t xml:space="preserve"> supplemental AL </w:t>
      </w:r>
      <w:r w:rsidRPr="00C30C94" w:rsidR="000F5D15">
        <w:t>4419-G</w:t>
      </w:r>
      <w:r w:rsidR="004D49E8">
        <w:t>-A</w:t>
      </w:r>
      <w:r w:rsidRPr="00C30C94" w:rsidR="000F5D15">
        <w:t>/6157-E-A</w:t>
      </w:r>
      <w:r w:rsidR="00672021">
        <w:t>,</w:t>
      </w:r>
      <w:r w:rsidR="000F5D15">
        <w:t xml:space="preserve"> </w:t>
      </w:r>
      <w:r w:rsidR="007E0EE1">
        <w:t>complies</w:t>
      </w:r>
      <w:r w:rsidR="000F5D15">
        <w:t xml:space="preserve"> with the requirement</w:t>
      </w:r>
      <w:r w:rsidRPr="004F088B" w:rsidR="000F5D15">
        <w:t xml:space="preserve"> set forth in D.</w:t>
      </w:r>
      <w:r w:rsidR="000F5D15">
        <w:t>20-05-053</w:t>
      </w:r>
      <w:r w:rsidRPr="004F088B" w:rsidR="000F5D15">
        <w:t>.</w:t>
      </w:r>
      <w:bookmarkEnd w:id="11"/>
      <w:r w:rsidR="0056728B">
        <w:t xml:space="preserve">  This finding is specific to PG&amp;E’s reporting of 2020 executive compensation awards. </w:t>
      </w:r>
      <w:r w:rsidRPr="004F088B" w:rsidR="000F5D15">
        <w:t xml:space="preserve"> </w:t>
      </w:r>
    </w:p>
    <w:p w:rsidR="008C16E8" w:rsidRDefault="008C16E8" w14:paraId="03ED433A" w14:textId="77777777"/>
    <w:p w:rsidR="00344837" w:rsidRDefault="007E0EE1" w14:paraId="51BD5DD2" w14:textId="560EAA97">
      <w:r>
        <w:t xml:space="preserve">We acknowledge Cal Advocates’ suggestion for PG&amp;E to include more specificity with regard to position titles and total dollar amounts.  </w:t>
      </w:r>
      <w:r w:rsidR="00091F76">
        <w:t>To provide further clarification and direction for PG&amp;E, b</w:t>
      </w:r>
      <w:r w:rsidR="00DF2E09">
        <w:t>eginning with its annual report of 2021 executive compensation awards</w:t>
      </w:r>
      <w:r w:rsidR="006B3317">
        <w:t xml:space="preserve"> and each year thereafter</w:t>
      </w:r>
      <w:r w:rsidR="00DF2E09">
        <w:t xml:space="preserve">, PG&amp;E </w:t>
      </w:r>
      <w:r w:rsidR="00272664">
        <w:t>shall be</w:t>
      </w:r>
      <w:r w:rsidR="00DF2E09">
        <w:t xml:space="preserve"> required to include</w:t>
      </w:r>
      <w:r w:rsidR="00E53192">
        <w:t xml:space="preserve"> </w:t>
      </w:r>
      <w:r>
        <w:t xml:space="preserve">more specific </w:t>
      </w:r>
      <w:r w:rsidR="001E6F3B">
        <w:t xml:space="preserve">position titles </w:t>
      </w:r>
      <w:r w:rsidR="008E0031">
        <w:t xml:space="preserve">and </w:t>
      </w:r>
      <w:r w:rsidR="00272664">
        <w:t xml:space="preserve">total </w:t>
      </w:r>
      <w:r w:rsidR="00DF2E09">
        <w:t xml:space="preserve">dollar amounts </w:t>
      </w:r>
      <w:r w:rsidR="006B3317">
        <w:t>of compensation award</w:t>
      </w:r>
      <w:r w:rsidR="005535A3">
        <w:t>ed</w:t>
      </w:r>
      <w:r w:rsidR="006B3317">
        <w:t xml:space="preserve"> </w:t>
      </w:r>
      <w:r w:rsidR="00DF2E09">
        <w:t xml:space="preserve">for each </w:t>
      </w:r>
      <w:r>
        <w:t xml:space="preserve">specific </w:t>
      </w:r>
      <w:r w:rsidR="00272664">
        <w:t xml:space="preserve">executive </w:t>
      </w:r>
      <w:r w:rsidR="00DF2E09">
        <w:t>position listed</w:t>
      </w:r>
      <w:bookmarkStart w:name="_Hlk87882497" w:id="12"/>
      <w:r w:rsidR="00DF2E09">
        <w:t>.</w:t>
      </w:r>
      <w:r w:rsidR="00344837">
        <w:t xml:space="preserve"> </w:t>
      </w:r>
      <w:r w:rsidR="00F51818">
        <w:t xml:space="preserve"> </w:t>
      </w:r>
      <w:r w:rsidRPr="007E14E7" w:rsidR="00CA310D">
        <w:t xml:space="preserve">For </w:t>
      </w:r>
      <w:r w:rsidR="003C66E1">
        <w:t>any</w:t>
      </w:r>
      <w:r w:rsidRPr="007E14E7" w:rsidR="00CA310D">
        <w:t xml:space="preserve"> </w:t>
      </w:r>
      <w:r w:rsidR="00CA310D">
        <w:t xml:space="preserve">PG&amp;E </w:t>
      </w:r>
      <w:r w:rsidRPr="007E14E7" w:rsidR="00CA310D">
        <w:t>executive</w:t>
      </w:r>
      <w:r w:rsidR="003C66E1">
        <w:t xml:space="preserve"> position</w:t>
      </w:r>
      <w:r w:rsidRPr="007E14E7" w:rsidR="00CA310D">
        <w:t xml:space="preserve"> </w:t>
      </w:r>
      <w:r w:rsidR="00E53192">
        <w:t xml:space="preserve">for whom </w:t>
      </w:r>
      <w:r w:rsidRPr="007E14E7" w:rsidR="00E53192">
        <w:t>securities</w:t>
      </w:r>
      <w:r w:rsidRPr="007E14E7" w:rsidR="00CA310D">
        <w:t xml:space="preserve"> laws do not require such disclosures, PG&amp;E is directed to </w:t>
      </w:r>
      <w:r w:rsidR="00A60246">
        <w:t xml:space="preserve">annually </w:t>
      </w:r>
      <w:r w:rsidRPr="007E14E7" w:rsidR="00CA310D">
        <w:t xml:space="preserve">submit </w:t>
      </w:r>
      <w:r w:rsidR="00CA310D">
        <w:t xml:space="preserve">to the Commission </w:t>
      </w:r>
      <w:r w:rsidRPr="007E14E7" w:rsidR="00CA310D">
        <w:t>a</w:t>
      </w:r>
      <w:r w:rsidR="00CA310D">
        <w:t>n additional</w:t>
      </w:r>
      <w:r w:rsidRPr="007E14E7" w:rsidR="00CA310D">
        <w:t xml:space="preserve"> confidential </w:t>
      </w:r>
      <w:r w:rsidR="00CA310D">
        <w:t xml:space="preserve">unredacted </w:t>
      </w:r>
      <w:r w:rsidRPr="007E14E7" w:rsidR="00CA310D">
        <w:t>version of the Tier 1 Advice Letter using the standard processes</w:t>
      </w:r>
      <w:r w:rsidR="00672021">
        <w:t xml:space="preserve"> for confidentiality</w:t>
      </w:r>
      <w:r w:rsidRPr="007E14E7" w:rsidR="00CA310D">
        <w:t xml:space="preserve"> already</w:t>
      </w:r>
      <w:r w:rsidR="00EC04F4">
        <w:t xml:space="preserve"> in place.</w:t>
      </w:r>
      <w:r w:rsidRPr="007E14E7" w:rsidR="00CA310D">
        <w:t xml:space="preserve"> </w:t>
      </w:r>
      <w:bookmarkEnd w:id="12"/>
    </w:p>
    <w:p w:rsidR="00CF17DE" w:rsidRDefault="00CF17DE" w14:paraId="0B54F006" w14:textId="3593F306"/>
    <w:p w:rsidR="004235C3" w:rsidRDefault="004235C3" w14:paraId="07DEEE12" w14:textId="3A0E8D38">
      <w:r>
        <w:t xml:space="preserve">In addition, </w:t>
      </w:r>
      <w:bookmarkStart w:name="_Hlk93484558" w:id="13"/>
      <w:r>
        <w:t xml:space="preserve">PG&amp;E is required, before submitting future annual reports on executive compensation awards pursuant to D.20-05-053, to first consult with the CPUC Energy Division and the Safety and Policy Division for guidance related to additional reporting requirements. </w:t>
      </w:r>
      <w:bookmarkEnd w:id="13"/>
      <w:r>
        <w:t xml:space="preserve"> </w:t>
      </w:r>
    </w:p>
    <w:p w:rsidR="002A39DB" w:rsidRDefault="002A39DB" w14:paraId="5B4C81D2" w14:textId="77777777"/>
    <w:p w:rsidRPr="009722EC" w:rsidR="003F6E5A" w:rsidP="009722EC" w:rsidRDefault="00CF17DE" w14:paraId="75B85404" w14:textId="68BF4371">
      <w:pPr>
        <w:pStyle w:val="Heading1"/>
      </w:pPr>
      <w:r>
        <w:lastRenderedPageBreak/>
        <w:t>Comments</w:t>
      </w:r>
    </w:p>
    <w:p w:rsidR="00CB6214" w:rsidP="00CB6214" w:rsidRDefault="00CB6214" w14:paraId="1D7D7A52" w14:textId="59445D17">
      <w:pPr>
        <w:pStyle w:val="Heading1"/>
        <w:rPr>
          <w:rFonts w:ascii="Palatino" w:hAnsi="Palatino"/>
          <w:b w:val="0"/>
          <w:caps w:val="0"/>
          <w:kern w:val="0"/>
          <w:u w:val="none"/>
        </w:rPr>
      </w:pPr>
      <w:r>
        <w:rPr>
          <w:rFonts w:ascii="Palatino" w:hAnsi="Palatino"/>
          <w:b w:val="0"/>
          <w:caps w:val="0"/>
          <w:kern w:val="0"/>
          <w:u w:val="none"/>
        </w:rPr>
        <w:t xml:space="preserve">Public Utilities Code section 311(g)(1) provides that this resolution must be served on all parties and subject to at least 30 days public review.  Please note that comments are due 20 days from the mailing date of this resolution. </w:t>
      </w:r>
      <w:r w:rsidR="00F51818">
        <w:rPr>
          <w:rFonts w:ascii="Palatino" w:hAnsi="Palatino"/>
          <w:b w:val="0"/>
          <w:caps w:val="0"/>
          <w:kern w:val="0"/>
          <w:u w:val="none"/>
        </w:rPr>
        <w:t xml:space="preserve"> </w:t>
      </w:r>
      <w:r>
        <w:rPr>
          <w:rFonts w:ascii="Palatino" w:hAnsi="Palatino"/>
          <w:b w:val="0"/>
          <w:caps w:val="0"/>
          <w:kern w:val="0"/>
          <w:u w:val="none"/>
        </w:rPr>
        <w:t xml:space="preserve">Section 311(g)(2) provides that this 30-day review period and 20-day comment period may be reduced or waived upon the stipulation of all parties in the proceeding. </w:t>
      </w:r>
    </w:p>
    <w:p w:rsidR="008C16E8" w:rsidRDefault="00CB6214" w14:paraId="5C9F2E99" w14:textId="6D3738BE">
      <w:r>
        <w:t xml:space="preserve">The 30-day review and 20-day comment period for the draft of this resolution was neither waived nor reduced.  </w:t>
      </w:r>
      <w:r w:rsidR="00A9297F">
        <w:t>Accordingly, this draft resolution was mailed to parties for comments, and will be placed on the Commission's agenda no earlier than 30 days from today</w:t>
      </w:r>
    </w:p>
    <w:p w:rsidR="00A9297F" w:rsidRDefault="00A9297F" w14:paraId="7A88C11D" w14:textId="77777777"/>
    <w:p w:rsidR="00CF17DE" w:rsidRDefault="00CF17DE" w14:paraId="2CA938A4" w14:textId="77777777">
      <w:pPr>
        <w:pStyle w:val="Heading1"/>
      </w:pPr>
      <w:r>
        <w:t>Findings</w:t>
      </w:r>
    </w:p>
    <w:p w:rsidR="007C49FD" w:rsidRDefault="0050264A" w14:paraId="38F0ADE4" w14:textId="19FBE7EF">
      <w:pPr>
        <w:numPr>
          <w:ilvl w:val="0"/>
          <w:numId w:val="4"/>
        </w:numPr>
      </w:pPr>
      <w:r>
        <w:t>D.20-05-053 adopted</w:t>
      </w:r>
      <w:r w:rsidR="0006612F">
        <w:t>, in part,</w:t>
      </w:r>
      <w:r>
        <w:t xml:space="preserve"> Assigned Commissioner Proposal 9</w:t>
      </w:r>
      <w:r w:rsidR="00103641">
        <w:t xml:space="preserve"> that</w:t>
      </w:r>
      <w:r>
        <w:t xml:space="preserve"> set forth requirements for PG&amp;E's executive compensation plan, including </w:t>
      </w:r>
      <w:r w:rsidR="0006612F">
        <w:t xml:space="preserve">the </w:t>
      </w:r>
      <w:r>
        <w:t>"</w:t>
      </w:r>
      <w:r w:rsidR="00F51818">
        <w:t>a</w:t>
      </w:r>
      <w:r>
        <w:t>nnual reporting of awards to the CPUC through a Tier 1 Advice Letter compliance filing."</w:t>
      </w:r>
    </w:p>
    <w:p w:rsidR="00AB7713" w:rsidP="00AB7713" w:rsidRDefault="00AB7713" w14:paraId="55700340" w14:textId="361494F7">
      <w:pPr>
        <w:numPr>
          <w:ilvl w:val="0"/>
          <w:numId w:val="4"/>
        </w:numPr>
      </w:pPr>
      <w:r>
        <w:t xml:space="preserve">For the 2020 executive compensation award reporting period only, PG&amp;E’s AL 4419-G/6157-E, as modified by supplemental AL 4419-G-A/6157-E-A, </w:t>
      </w:r>
      <w:r w:rsidR="007E0EE1">
        <w:t>complies</w:t>
      </w:r>
      <w:r>
        <w:t xml:space="preserve"> with the specific requirements set forth in D.20-05-053. </w:t>
      </w:r>
    </w:p>
    <w:p w:rsidR="00AB7713" w:rsidP="00AB7713" w:rsidRDefault="00AB7713" w14:paraId="4E91545F" w14:textId="77777777">
      <w:pPr>
        <w:numPr>
          <w:ilvl w:val="0"/>
          <w:numId w:val="4"/>
        </w:numPr>
      </w:pPr>
      <w:r>
        <w:t>D.20-05-053 does not specify that exact compensation dollar amounts or that names of individuals are required to be presented in the annual report. However, t</w:t>
      </w:r>
      <w:r w:rsidRPr="000E3F5D">
        <w:t xml:space="preserve">he specific language </w:t>
      </w:r>
      <w:r>
        <w:t>requires</w:t>
      </w:r>
      <w:r w:rsidRPr="000E3F5D">
        <w:t xml:space="preserve"> "</w:t>
      </w:r>
      <w:r>
        <w:t>a</w:t>
      </w:r>
      <w:r w:rsidRPr="000E3F5D">
        <w:t>nnual reporting of awards" and not the annual reporting of ratios or percentages.</w:t>
      </w:r>
    </w:p>
    <w:p w:rsidR="00AB7713" w:rsidP="00AB7713" w:rsidRDefault="00AB7713" w14:paraId="1C748955" w14:textId="4CDB1DE0">
      <w:pPr>
        <w:numPr>
          <w:ilvl w:val="0"/>
          <w:numId w:val="4"/>
        </w:numPr>
      </w:pPr>
      <w:r>
        <w:t xml:space="preserve">It is reasonable to interpret the "annual reporting of awards" to </w:t>
      </w:r>
      <w:r w:rsidR="00A17066">
        <w:t>include</w:t>
      </w:r>
      <w:r>
        <w:t xml:space="preserve"> dollar amounts. </w:t>
      </w:r>
    </w:p>
    <w:p w:rsidR="00AB7713" w:rsidP="00AB7713" w:rsidRDefault="00AB7713" w14:paraId="769AAE04" w14:textId="68545C62">
      <w:pPr>
        <w:numPr>
          <w:ilvl w:val="0"/>
          <w:numId w:val="4"/>
        </w:numPr>
      </w:pPr>
      <w:r>
        <w:t xml:space="preserve">Beginning with PG&amp;E's Tier 1 Advice Letter submittal reporting 2021 executive compensation awards and each year thereafter, PG&amp;E is required to provide the </w:t>
      </w:r>
      <w:r w:rsidR="00471A2C">
        <w:t xml:space="preserve">specific </w:t>
      </w:r>
      <w:r w:rsidR="001E6F3B">
        <w:t>position title</w:t>
      </w:r>
      <w:r w:rsidR="00471A2C">
        <w:t>s</w:t>
      </w:r>
      <w:r w:rsidR="001E6F3B">
        <w:t xml:space="preserve"> </w:t>
      </w:r>
      <w:r>
        <w:t xml:space="preserve">and </w:t>
      </w:r>
      <w:r w:rsidR="003C66E1">
        <w:t xml:space="preserve">the </w:t>
      </w:r>
      <w:r>
        <w:t>total dollar amount of executive compensation awarded for each executive position presented.</w:t>
      </w:r>
    </w:p>
    <w:p w:rsidR="00AD7C4D" w:rsidP="00AB7713" w:rsidRDefault="00AD7C4D" w14:paraId="07691943" w14:textId="3102CBDB">
      <w:pPr>
        <w:numPr>
          <w:ilvl w:val="0"/>
          <w:numId w:val="4"/>
        </w:numPr>
      </w:pPr>
      <w:r>
        <w:t>PG&amp;E is required, before submitting future annual reports on executive compensation awards pursuant to D.20-05-053, to first consult with the CPUC Energy Division and the Safety and Policy Division for guidance related to additional reporting requirements.</w:t>
      </w:r>
    </w:p>
    <w:p w:rsidR="00AB7713" w:rsidRDefault="00432B18" w14:paraId="1663B81A" w14:textId="4736AD08">
      <w:pPr>
        <w:numPr>
          <w:ilvl w:val="0"/>
          <w:numId w:val="4"/>
        </w:numPr>
      </w:pPr>
      <w:r>
        <w:lastRenderedPageBreak/>
        <w:t xml:space="preserve">Cal Advocates' </w:t>
      </w:r>
      <w:r w:rsidRPr="00B355F6">
        <w:t xml:space="preserve">Protest does not cite to any specific requirement from </w:t>
      </w:r>
      <w:r w:rsidR="00F307F2">
        <w:br/>
      </w:r>
      <w:r w:rsidRPr="00B355F6">
        <w:t>D.20-05-053 that is presented in error or that is omitted</w:t>
      </w:r>
      <w:r w:rsidR="00471A2C">
        <w:t xml:space="preserve"> for the 2020 annual report</w:t>
      </w:r>
      <w:r>
        <w:t xml:space="preserve">; </w:t>
      </w:r>
      <w:r w:rsidR="009F1C08">
        <w:t>therefore,</w:t>
      </w:r>
      <w:r>
        <w:t xml:space="preserve"> the Protest is denied.</w:t>
      </w:r>
    </w:p>
    <w:p w:rsidR="00CF17DE" w:rsidRDefault="00CF17DE" w14:paraId="4A132E55" w14:textId="77777777">
      <w:pPr>
        <w:rPr>
          <w:b/>
        </w:rPr>
      </w:pPr>
    </w:p>
    <w:p w:rsidR="00CF17DE" w:rsidRDefault="00CF17DE" w14:paraId="5CE5485F" w14:textId="77777777">
      <w:pPr>
        <w:pStyle w:val="Heading1"/>
      </w:pPr>
      <w:r>
        <w:t>Therefore it is ordered that:</w:t>
      </w:r>
    </w:p>
    <w:p w:rsidR="00F543B0" w:rsidP="00F543B0" w:rsidRDefault="00E53192" w14:paraId="64BE91B7" w14:textId="6F64FEAB">
      <w:pPr>
        <w:numPr>
          <w:ilvl w:val="0"/>
          <w:numId w:val="5"/>
        </w:numPr>
        <w:rPr>
          <w:snapToGrid w:val="0"/>
        </w:rPr>
      </w:pPr>
      <w:r>
        <w:rPr>
          <w:snapToGrid w:val="0"/>
        </w:rPr>
        <w:t xml:space="preserve">PG&amp;E's Advice Letter </w:t>
      </w:r>
      <w:r w:rsidRPr="00C30C94">
        <w:t>4419-G/6157-E</w:t>
      </w:r>
      <w:r>
        <w:t xml:space="preserve"> and supplemental </w:t>
      </w:r>
      <w:r w:rsidRPr="00C30C94">
        <w:t>4419-G</w:t>
      </w:r>
      <w:r>
        <w:t>-A</w:t>
      </w:r>
      <w:r w:rsidRPr="00C30C94">
        <w:t>/6157-E-A</w:t>
      </w:r>
      <w:r>
        <w:t xml:space="preserve"> </w:t>
      </w:r>
      <w:r w:rsidR="007E0EE1">
        <w:t>complies</w:t>
      </w:r>
      <w:r>
        <w:t xml:space="preserve"> with the requirement</w:t>
      </w:r>
      <w:r w:rsidRPr="004F088B">
        <w:t xml:space="preserve"> set forth in D.</w:t>
      </w:r>
      <w:r>
        <w:t>20-05-053 and is approved without modification</w:t>
      </w:r>
      <w:r w:rsidRPr="004F088B">
        <w:t xml:space="preserve">. </w:t>
      </w:r>
    </w:p>
    <w:p w:rsidR="00773886" w:rsidP="00CB6993" w:rsidRDefault="00E53192" w14:paraId="30EDBEE5" w14:textId="6A5DD0F0">
      <w:pPr>
        <w:numPr>
          <w:ilvl w:val="0"/>
          <w:numId w:val="5"/>
        </w:numPr>
        <w:rPr>
          <w:snapToGrid w:val="0"/>
        </w:rPr>
      </w:pPr>
      <w:bookmarkStart w:name="_Hlk87883531" w:id="14"/>
      <w:bookmarkStart w:name="_Hlk87883494" w:id="15"/>
      <w:r>
        <w:t>Beginning with PG&amp;E's Tier 1 Advice Letter</w:t>
      </w:r>
      <w:r w:rsidR="0097044D">
        <w:t xml:space="preserve"> submittal</w:t>
      </w:r>
      <w:r>
        <w:t xml:space="preserve"> reporting 2021 executive compensation awards and each year thereafter, in addition to the percentages provided, PG&amp;E is required to provide the </w:t>
      </w:r>
      <w:r w:rsidR="001E6F3B">
        <w:t xml:space="preserve">position </w:t>
      </w:r>
      <w:r w:rsidR="001302A2">
        <w:t>title and</w:t>
      </w:r>
      <w:r>
        <w:t xml:space="preserve"> total dollar amount of executive compensation</w:t>
      </w:r>
      <w:r w:rsidR="0097044D">
        <w:t xml:space="preserve"> awarded</w:t>
      </w:r>
      <w:r>
        <w:t xml:space="preserve"> for each executive position presented</w:t>
      </w:r>
      <w:bookmarkEnd w:id="14"/>
      <w:r>
        <w:t xml:space="preserve">. </w:t>
      </w:r>
    </w:p>
    <w:bookmarkEnd w:id="15"/>
    <w:p w:rsidRPr="00BE5A9F" w:rsidR="00AD7C4D" w:rsidP="00CB6993" w:rsidRDefault="00D832EA" w14:paraId="520F0FEB" w14:textId="77777777">
      <w:pPr>
        <w:numPr>
          <w:ilvl w:val="0"/>
          <w:numId w:val="5"/>
        </w:numPr>
        <w:rPr>
          <w:snapToGrid w:val="0"/>
        </w:rPr>
      </w:pPr>
      <w:r w:rsidRPr="007E14E7">
        <w:t xml:space="preserve">For </w:t>
      </w:r>
      <w:r w:rsidR="003C66E1">
        <w:t>any</w:t>
      </w:r>
      <w:r w:rsidRPr="007E14E7">
        <w:t xml:space="preserve"> </w:t>
      </w:r>
      <w:r>
        <w:t xml:space="preserve">PG&amp;E </w:t>
      </w:r>
      <w:r w:rsidRPr="007E14E7">
        <w:t>executive</w:t>
      </w:r>
      <w:r w:rsidR="003C66E1">
        <w:t xml:space="preserve"> positions</w:t>
      </w:r>
      <w:r w:rsidRPr="007E14E7">
        <w:t xml:space="preserve"> </w:t>
      </w:r>
      <w:r>
        <w:t xml:space="preserve">for whom </w:t>
      </w:r>
      <w:r w:rsidRPr="007E14E7">
        <w:t>securities laws do not require</w:t>
      </w:r>
      <w:r w:rsidR="006A5B1E">
        <w:t xml:space="preserve"> such</w:t>
      </w:r>
      <w:r w:rsidRPr="007E14E7">
        <w:t xml:space="preserve"> </w:t>
      </w:r>
      <w:r w:rsidR="00FF2DF8">
        <w:t xml:space="preserve">public </w:t>
      </w:r>
      <w:r w:rsidRPr="007E14E7">
        <w:t xml:space="preserve">disclosures, PG&amp;E is directed to </w:t>
      </w:r>
      <w:r w:rsidR="008F12DC">
        <w:t xml:space="preserve">annually </w:t>
      </w:r>
      <w:r w:rsidRPr="007E14E7">
        <w:t xml:space="preserve">submit </w:t>
      </w:r>
      <w:r>
        <w:t xml:space="preserve">to the Commission </w:t>
      </w:r>
      <w:r w:rsidRPr="007E14E7">
        <w:t>a</w:t>
      </w:r>
      <w:r>
        <w:t>n additional</w:t>
      </w:r>
      <w:r w:rsidRPr="007E14E7">
        <w:t xml:space="preserve"> confidential </w:t>
      </w:r>
      <w:r>
        <w:t xml:space="preserve">unredacted </w:t>
      </w:r>
      <w:r w:rsidRPr="007E14E7">
        <w:t>version of the</w:t>
      </w:r>
      <w:r w:rsidR="00FF2DF8">
        <w:t xml:space="preserve"> annual</w:t>
      </w:r>
      <w:r w:rsidRPr="007E14E7">
        <w:t xml:space="preserve"> Tier 1 Advice Letter using the standard </w:t>
      </w:r>
      <w:r w:rsidR="00086D0E">
        <w:t xml:space="preserve">confidentiality </w:t>
      </w:r>
      <w:r w:rsidRPr="007E14E7">
        <w:t>processes already established.</w:t>
      </w:r>
    </w:p>
    <w:p w:rsidR="00A10EC9" w:rsidP="00CB6993" w:rsidRDefault="00D832EA" w14:paraId="0DB92491" w14:textId="35CDC917">
      <w:pPr>
        <w:numPr>
          <w:ilvl w:val="0"/>
          <w:numId w:val="5"/>
        </w:numPr>
        <w:rPr>
          <w:snapToGrid w:val="0"/>
        </w:rPr>
      </w:pPr>
      <w:r>
        <w:rPr>
          <w:snapToGrid w:val="0"/>
        </w:rPr>
        <w:t xml:space="preserve"> </w:t>
      </w:r>
      <w:r w:rsidR="00AD7C4D">
        <w:t>PG&amp;E is required, before submitting future annual reports on executive compensation awards pursuant to D.20-05-053, to first consult with the CPUC Energy Division and the Safety and Policy Division for guidance related to additional reporting requirements.</w:t>
      </w:r>
    </w:p>
    <w:p w:rsidR="00CF17DE" w:rsidRDefault="00CF17DE" w14:paraId="68D5A3AF" w14:textId="48E89A4D">
      <w:pPr>
        <w:tabs>
          <w:tab w:val="left" w:pos="720"/>
          <w:tab w:val="left" w:pos="1296"/>
          <w:tab w:val="left" w:pos="2016"/>
          <w:tab w:val="left" w:pos="2736"/>
          <w:tab w:val="left" w:pos="3456"/>
          <w:tab w:val="left" w:pos="4176"/>
          <w:tab w:val="left" w:pos="5760"/>
        </w:tabs>
      </w:pPr>
    </w:p>
    <w:p w:rsidR="00F307F2" w:rsidRDefault="00F307F2" w14:paraId="1E744D6C" w14:textId="6ECAECB7">
      <w:pPr>
        <w:tabs>
          <w:tab w:val="left" w:pos="720"/>
          <w:tab w:val="left" w:pos="1296"/>
          <w:tab w:val="left" w:pos="2016"/>
          <w:tab w:val="left" w:pos="2736"/>
          <w:tab w:val="left" w:pos="3456"/>
          <w:tab w:val="left" w:pos="4176"/>
          <w:tab w:val="left" w:pos="5760"/>
        </w:tabs>
      </w:pPr>
    </w:p>
    <w:p w:rsidR="00F307F2" w:rsidRDefault="00F307F2" w14:paraId="79E8296E" w14:textId="5A8A5207">
      <w:pPr>
        <w:tabs>
          <w:tab w:val="left" w:pos="720"/>
          <w:tab w:val="left" w:pos="1296"/>
          <w:tab w:val="left" w:pos="2016"/>
          <w:tab w:val="left" w:pos="2736"/>
          <w:tab w:val="left" w:pos="3456"/>
          <w:tab w:val="left" w:pos="4176"/>
          <w:tab w:val="left" w:pos="5760"/>
        </w:tabs>
      </w:pPr>
    </w:p>
    <w:p w:rsidR="00F307F2" w:rsidRDefault="00F307F2" w14:paraId="0779B422" w14:textId="63002ACE">
      <w:pPr>
        <w:tabs>
          <w:tab w:val="left" w:pos="720"/>
          <w:tab w:val="left" w:pos="1296"/>
          <w:tab w:val="left" w:pos="2016"/>
          <w:tab w:val="left" w:pos="2736"/>
          <w:tab w:val="left" w:pos="3456"/>
          <w:tab w:val="left" w:pos="4176"/>
          <w:tab w:val="left" w:pos="5760"/>
        </w:tabs>
      </w:pPr>
    </w:p>
    <w:p w:rsidR="00F307F2" w:rsidRDefault="00F307F2" w14:paraId="1877125B" w14:textId="2B07E7A7">
      <w:pPr>
        <w:tabs>
          <w:tab w:val="left" w:pos="720"/>
          <w:tab w:val="left" w:pos="1296"/>
          <w:tab w:val="left" w:pos="2016"/>
          <w:tab w:val="left" w:pos="2736"/>
          <w:tab w:val="left" w:pos="3456"/>
          <w:tab w:val="left" w:pos="4176"/>
          <w:tab w:val="left" w:pos="5760"/>
        </w:tabs>
      </w:pPr>
    </w:p>
    <w:p w:rsidR="00F307F2" w:rsidRDefault="00F307F2" w14:paraId="694ECD27" w14:textId="0F21490E">
      <w:pPr>
        <w:tabs>
          <w:tab w:val="left" w:pos="720"/>
          <w:tab w:val="left" w:pos="1296"/>
          <w:tab w:val="left" w:pos="2016"/>
          <w:tab w:val="left" w:pos="2736"/>
          <w:tab w:val="left" w:pos="3456"/>
          <w:tab w:val="left" w:pos="4176"/>
          <w:tab w:val="left" w:pos="5760"/>
        </w:tabs>
      </w:pPr>
    </w:p>
    <w:p w:rsidR="00F307F2" w:rsidRDefault="00F307F2" w14:paraId="0AFC698B" w14:textId="1069A99A">
      <w:pPr>
        <w:tabs>
          <w:tab w:val="left" w:pos="720"/>
          <w:tab w:val="left" w:pos="1296"/>
          <w:tab w:val="left" w:pos="2016"/>
          <w:tab w:val="left" w:pos="2736"/>
          <w:tab w:val="left" w:pos="3456"/>
          <w:tab w:val="left" w:pos="4176"/>
          <w:tab w:val="left" w:pos="5760"/>
        </w:tabs>
      </w:pPr>
    </w:p>
    <w:p w:rsidR="00F307F2" w:rsidRDefault="00F307F2" w14:paraId="409C43F3" w14:textId="45E7944C">
      <w:pPr>
        <w:tabs>
          <w:tab w:val="left" w:pos="720"/>
          <w:tab w:val="left" w:pos="1296"/>
          <w:tab w:val="left" w:pos="2016"/>
          <w:tab w:val="left" w:pos="2736"/>
          <w:tab w:val="left" w:pos="3456"/>
          <w:tab w:val="left" w:pos="4176"/>
          <w:tab w:val="left" w:pos="5760"/>
        </w:tabs>
      </w:pPr>
    </w:p>
    <w:p w:rsidR="00F307F2" w:rsidRDefault="00F307F2" w14:paraId="60310B56" w14:textId="548CD961">
      <w:pPr>
        <w:tabs>
          <w:tab w:val="left" w:pos="720"/>
          <w:tab w:val="left" w:pos="1296"/>
          <w:tab w:val="left" w:pos="2016"/>
          <w:tab w:val="left" w:pos="2736"/>
          <w:tab w:val="left" w:pos="3456"/>
          <w:tab w:val="left" w:pos="4176"/>
          <w:tab w:val="left" w:pos="5760"/>
        </w:tabs>
      </w:pPr>
    </w:p>
    <w:p w:rsidR="00F307F2" w:rsidRDefault="00F307F2" w14:paraId="3A7C30BC" w14:textId="4966759C">
      <w:pPr>
        <w:tabs>
          <w:tab w:val="left" w:pos="720"/>
          <w:tab w:val="left" w:pos="1296"/>
          <w:tab w:val="left" w:pos="2016"/>
          <w:tab w:val="left" w:pos="2736"/>
          <w:tab w:val="left" w:pos="3456"/>
          <w:tab w:val="left" w:pos="4176"/>
          <w:tab w:val="left" w:pos="5760"/>
        </w:tabs>
      </w:pPr>
    </w:p>
    <w:p w:rsidR="00F307F2" w:rsidRDefault="00F307F2" w14:paraId="7ABACF4A" w14:textId="6BAF401E">
      <w:pPr>
        <w:tabs>
          <w:tab w:val="left" w:pos="720"/>
          <w:tab w:val="left" w:pos="1296"/>
          <w:tab w:val="left" w:pos="2016"/>
          <w:tab w:val="left" w:pos="2736"/>
          <w:tab w:val="left" w:pos="3456"/>
          <w:tab w:val="left" w:pos="4176"/>
          <w:tab w:val="left" w:pos="5760"/>
        </w:tabs>
      </w:pPr>
    </w:p>
    <w:p w:rsidR="00F307F2" w:rsidRDefault="00F307F2" w14:paraId="3D3BB104" w14:textId="3602B282">
      <w:pPr>
        <w:tabs>
          <w:tab w:val="left" w:pos="720"/>
          <w:tab w:val="left" w:pos="1296"/>
          <w:tab w:val="left" w:pos="2016"/>
          <w:tab w:val="left" w:pos="2736"/>
          <w:tab w:val="left" w:pos="3456"/>
          <w:tab w:val="left" w:pos="4176"/>
          <w:tab w:val="left" w:pos="5760"/>
        </w:tabs>
      </w:pPr>
    </w:p>
    <w:p w:rsidR="00F307F2" w:rsidRDefault="00F307F2" w14:paraId="2086E6B7" w14:textId="724DCAE0">
      <w:pPr>
        <w:tabs>
          <w:tab w:val="left" w:pos="720"/>
          <w:tab w:val="left" w:pos="1296"/>
          <w:tab w:val="left" w:pos="2016"/>
          <w:tab w:val="left" w:pos="2736"/>
          <w:tab w:val="left" w:pos="3456"/>
          <w:tab w:val="left" w:pos="4176"/>
          <w:tab w:val="left" w:pos="5760"/>
        </w:tabs>
      </w:pPr>
    </w:p>
    <w:p w:rsidR="00F307F2" w:rsidRDefault="00F307F2" w14:paraId="2D6CEFC2" w14:textId="77777777">
      <w:pPr>
        <w:tabs>
          <w:tab w:val="left" w:pos="720"/>
          <w:tab w:val="left" w:pos="1296"/>
          <w:tab w:val="left" w:pos="2016"/>
          <w:tab w:val="left" w:pos="2736"/>
          <w:tab w:val="left" w:pos="3456"/>
          <w:tab w:val="left" w:pos="4176"/>
          <w:tab w:val="left" w:pos="5760"/>
        </w:tabs>
      </w:pPr>
    </w:p>
    <w:p w:rsidR="00CF17DE" w:rsidRDefault="00CF17DE" w14:paraId="66F54F6E" w14:textId="0D291512">
      <w:pPr>
        <w:tabs>
          <w:tab w:val="left" w:pos="720"/>
          <w:tab w:val="left" w:pos="1296"/>
          <w:tab w:val="left" w:pos="2016"/>
          <w:tab w:val="left" w:pos="2736"/>
          <w:tab w:val="left" w:pos="3456"/>
          <w:tab w:val="left" w:pos="4176"/>
          <w:tab w:val="left" w:pos="5760"/>
        </w:tabs>
      </w:pPr>
      <w:r>
        <w:lastRenderedPageBreak/>
        <w:t>This Resolution is effective today.</w:t>
      </w:r>
    </w:p>
    <w:p w:rsidR="00CB42C3" w:rsidRDefault="00CB42C3" w14:paraId="6BF52D83" w14:textId="77777777">
      <w:pPr>
        <w:tabs>
          <w:tab w:val="left" w:pos="720"/>
          <w:tab w:val="left" w:pos="1296"/>
          <w:tab w:val="left" w:pos="2016"/>
          <w:tab w:val="left" w:pos="2736"/>
          <w:tab w:val="left" w:pos="3456"/>
          <w:tab w:val="left" w:pos="4176"/>
          <w:tab w:val="left" w:pos="5760"/>
        </w:tabs>
      </w:pPr>
    </w:p>
    <w:p w:rsidR="00CF17DE" w:rsidRDefault="00CF17DE" w14:paraId="37DFF2C7" w14:textId="5936A3B6">
      <w:pPr>
        <w:rPr>
          <w:snapToGrid w:val="0"/>
        </w:rPr>
      </w:pPr>
      <w:r>
        <w:rPr>
          <w:snapToGrid w:val="0"/>
        </w:rPr>
        <w:t xml:space="preserve">I certify that the foregoing resolution was duly introduced, passed and adopted at a conference of the Public Utilities Commission of the State of California held on </w:t>
      </w:r>
      <w:r w:rsidRPr="002A67E7" w:rsidR="00400A20">
        <w:rPr>
          <w:snapToGrid w:val="0"/>
        </w:rPr>
        <w:t>February</w:t>
      </w:r>
      <w:r w:rsidRPr="002A67E7" w:rsidR="005119A9">
        <w:rPr>
          <w:snapToGrid w:val="0"/>
        </w:rPr>
        <w:t xml:space="preserve"> </w:t>
      </w:r>
      <w:r w:rsidRPr="002A67E7" w:rsidR="002745EF">
        <w:rPr>
          <w:snapToGrid w:val="0"/>
        </w:rPr>
        <w:t>2</w:t>
      </w:r>
      <w:r w:rsidRPr="002A67E7" w:rsidR="00400A20">
        <w:rPr>
          <w:snapToGrid w:val="0"/>
        </w:rPr>
        <w:t>4</w:t>
      </w:r>
      <w:r w:rsidRPr="002A67E7" w:rsidR="00D90952">
        <w:rPr>
          <w:snapToGrid w:val="0"/>
        </w:rPr>
        <w:t>, 202</w:t>
      </w:r>
      <w:r w:rsidRPr="002A67E7" w:rsidR="007019BD">
        <w:rPr>
          <w:snapToGrid w:val="0"/>
        </w:rPr>
        <w:t>2</w:t>
      </w:r>
      <w:r>
        <w:rPr>
          <w:snapToGrid w:val="0"/>
        </w:rPr>
        <w:t>; the following Commissioners voting favorably thereon:</w:t>
      </w:r>
    </w:p>
    <w:p w:rsidR="00CF17DE" w:rsidRDefault="00CF17DE" w14:paraId="25717D42" w14:textId="77777777">
      <w:pPr>
        <w:tabs>
          <w:tab w:val="left" w:pos="720"/>
          <w:tab w:val="left" w:pos="1152"/>
          <w:tab w:val="left" w:pos="1728"/>
          <w:tab w:val="left" w:pos="3168"/>
          <w:tab w:val="left" w:pos="5040"/>
        </w:tabs>
        <w:ind w:right="144"/>
      </w:pPr>
    </w:p>
    <w:p w:rsidR="00CF17DE" w:rsidRDefault="00CF17DE" w14:paraId="0DDF12F7" w14:textId="77777777">
      <w:pPr>
        <w:tabs>
          <w:tab w:val="left" w:pos="720"/>
          <w:tab w:val="left" w:pos="1152"/>
          <w:tab w:val="left" w:pos="1728"/>
          <w:tab w:val="left" w:pos="3168"/>
          <w:tab w:val="left" w:pos="5040"/>
        </w:tabs>
        <w:ind w:right="144"/>
      </w:pPr>
    </w:p>
    <w:p w:rsidR="00CF17DE" w:rsidRDefault="00CF17DE" w14:paraId="41E733DF" w14:textId="77777777">
      <w:pPr>
        <w:tabs>
          <w:tab w:val="left" w:pos="720"/>
          <w:tab w:val="left" w:pos="1152"/>
          <w:tab w:val="left" w:pos="1728"/>
          <w:tab w:val="left" w:pos="3168"/>
          <w:tab w:val="left" w:pos="5040"/>
        </w:tabs>
        <w:ind w:right="144"/>
      </w:pPr>
    </w:p>
    <w:p w:rsidR="00CF17DE" w:rsidRDefault="00CF17DE" w14:paraId="5DBDB6F2" w14:textId="77777777">
      <w:pPr>
        <w:tabs>
          <w:tab w:val="left" w:pos="720"/>
          <w:tab w:val="left" w:pos="1152"/>
          <w:tab w:val="left" w:pos="1728"/>
          <w:tab w:val="left" w:pos="3168"/>
          <w:tab w:val="left" w:pos="5040"/>
        </w:tabs>
        <w:ind w:right="144"/>
      </w:pPr>
    </w:p>
    <w:p w:rsidR="00CF17DE" w:rsidRDefault="00CF17DE" w14:paraId="52203FF3"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3A42258B" w14:textId="7218D3E3">
      <w:r>
        <w:tab/>
      </w:r>
      <w:r>
        <w:tab/>
      </w:r>
      <w:r>
        <w:tab/>
      </w:r>
      <w:r>
        <w:tab/>
      </w:r>
      <w:r>
        <w:tab/>
      </w:r>
      <w:r>
        <w:tab/>
      </w:r>
      <w:r>
        <w:tab/>
      </w:r>
      <w:r>
        <w:tab/>
      </w:r>
      <w:r w:rsidR="00E5193E">
        <w:t>RACHEL PETERSON</w:t>
      </w:r>
    </w:p>
    <w:p w:rsidR="00CF17DE" w:rsidRDefault="00CF17DE" w14:paraId="16A71E4A" w14:textId="77777777">
      <w:r>
        <w:tab/>
      </w:r>
      <w:r>
        <w:tab/>
      </w:r>
      <w:r>
        <w:tab/>
      </w:r>
      <w:r>
        <w:tab/>
      </w:r>
      <w:r>
        <w:tab/>
      </w:r>
      <w:r>
        <w:tab/>
      </w:r>
      <w:r>
        <w:tab/>
      </w:r>
      <w:r>
        <w:tab/>
        <w:t>Executive Director</w:t>
      </w:r>
    </w:p>
    <w:sectPr w:rsidR="00CF17D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2A86" w14:textId="77777777" w:rsidR="0064054D" w:rsidRDefault="0064054D">
      <w:r>
        <w:separator/>
      </w:r>
    </w:p>
  </w:endnote>
  <w:endnote w:type="continuationSeparator" w:id="0">
    <w:p w14:paraId="5575C10F" w14:textId="77777777" w:rsidR="0064054D" w:rsidRDefault="0064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w:altName w:val="Segoe UI Historic"/>
    <w:charset w:val="00"/>
    <w:family w:val="auto"/>
    <w:pitch w:val="variable"/>
    <w:sig w:usb0="A00002FF" w:usb1="7800205A" w:usb2="146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BBFE" w14:textId="77777777" w:rsidR="003C086F" w:rsidRDefault="003C0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8374" w14:textId="77777777" w:rsidR="00CF17DE" w:rsidRDefault="00CF17DE">
    <w:pPr>
      <w:pStyle w:val="Footer"/>
    </w:pPr>
    <w:r>
      <w:rPr>
        <w:rStyle w:val="PageNumber"/>
      </w:rPr>
      <w:fldChar w:fldCharType="begin"/>
    </w:r>
    <w:r>
      <w:rPr>
        <w:rStyle w:val="PageNumber"/>
      </w:rPr>
      <w:instrText xml:space="preserve"> PAGE </w:instrText>
    </w:r>
    <w:r>
      <w:rPr>
        <w:rStyle w:val="PageNumber"/>
      </w:rPr>
      <w:fldChar w:fldCharType="separate"/>
    </w:r>
    <w:r w:rsidR="00ED2FD1">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F35F" w14:textId="7A10DB77" w:rsidR="00CF17DE" w:rsidRDefault="003C086F" w:rsidP="00CB3589">
    <w:pPr>
      <w:pStyle w:val="Footer"/>
      <w:tabs>
        <w:tab w:val="clear" w:pos="4320"/>
        <w:tab w:val="center" w:pos="4680"/>
      </w:tabs>
      <w:jc w:val="left"/>
    </w:pPr>
    <w:r>
      <w:t>443053595</w:t>
    </w:r>
    <w:r w:rsidR="0011188E" w:rsidRPr="009E1A25">
      <w:rPr>
        <w:rFonts w:ascii="Tahoma" w:hAnsi="Tahoma" w:cs="Tahoma"/>
        <w:sz w:val="24"/>
        <w:szCs w:val="24"/>
      </w:rPr>
      <w:t xml:space="preserve">  </w:t>
    </w:r>
    <w:r w:rsidR="009E1A25" w:rsidRPr="009E1A25">
      <w:rPr>
        <w:rFonts w:ascii="Tahoma" w:hAnsi="Tahoma" w:cs="Tahoma"/>
        <w:sz w:val="24"/>
        <w:szCs w:val="24"/>
      </w:rPr>
      <w:t xml:space="preserve">  </w:t>
    </w:r>
    <w:r w:rsidR="00CB3589">
      <w:rPr>
        <w:rFonts w:ascii="Tahoma" w:hAnsi="Tahoma" w:cs="Tahoma"/>
        <w:sz w:val="17"/>
        <w:szCs w:val="17"/>
      </w:rPr>
      <w:tab/>
    </w:r>
    <w:r w:rsidR="00CF17DE">
      <w:rPr>
        <w:rStyle w:val="PageNumber"/>
      </w:rPr>
      <w:fldChar w:fldCharType="begin"/>
    </w:r>
    <w:r w:rsidR="00CF17DE">
      <w:rPr>
        <w:rStyle w:val="PageNumber"/>
      </w:rPr>
      <w:instrText xml:space="preserve"> PAGE </w:instrText>
    </w:r>
    <w:r w:rsidR="00CF17DE">
      <w:rPr>
        <w:rStyle w:val="PageNumber"/>
      </w:rPr>
      <w:fldChar w:fldCharType="separate"/>
    </w:r>
    <w:r w:rsidR="00ED2FD1">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3F0B" w14:textId="77777777" w:rsidR="0064054D" w:rsidRDefault="0064054D">
      <w:r>
        <w:separator/>
      </w:r>
    </w:p>
  </w:footnote>
  <w:footnote w:type="continuationSeparator" w:id="0">
    <w:p w14:paraId="708069A4" w14:textId="77777777" w:rsidR="0064054D" w:rsidRDefault="0064054D">
      <w:r>
        <w:continuationSeparator/>
      </w:r>
    </w:p>
  </w:footnote>
  <w:footnote w:type="continuationNotice" w:id="1">
    <w:p w14:paraId="03683483" w14:textId="77777777" w:rsidR="0064054D" w:rsidRDefault="0064054D">
      <w:pPr>
        <w:rPr>
          <w:sz w:val="22"/>
        </w:rPr>
      </w:pPr>
    </w:p>
    <w:p w14:paraId="4FB34115" w14:textId="77777777" w:rsidR="0064054D" w:rsidRDefault="0064054D">
      <w:pPr>
        <w:jc w:val="right"/>
        <w:rPr>
          <w:sz w:val="22"/>
        </w:rPr>
      </w:pPr>
      <w:r>
        <w:rPr>
          <w:i/>
          <w:sz w:val="22"/>
        </w:rPr>
        <w:t>Footnote continued on next page</w:t>
      </w:r>
    </w:p>
  </w:footnote>
  <w:footnote w:id="2">
    <w:p w14:paraId="3E233587" w14:textId="5FABADF4" w:rsidR="00C10205" w:rsidRDefault="00C10205" w:rsidP="00AF3105">
      <w:pPr>
        <w:pStyle w:val="FootnoteText"/>
        <w:numPr>
          <w:ilvl w:val="0"/>
          <w:numId w:val="0"/>
        </w:numPr>
      </w:pPr>
      <w:r>
        <w:rPr>
          <w:rStyle w:val="FootnoteReference"/>
        </w:rPr>
        <w:footnoteRef/>
      </w:r>
      <w:r>
        <w:t xml:space="preserve"> D.20-05-053</w:t>
      </w:r>
      <w:r w:rsidR="00CB2F7A">
        <w:t xml:space="preserve"> at</w:t>
      </w:r>
      <w:r>
        <w:t xml:space="preserve"> 97.</w:t>
      </w:r>
    </w:p>
  </w:footnote>
  <w:footnote w:id="3">
    <w:p w14:paraId="151E847A" w14:textId="312922D0" w:rsidR="0049065C" w:rsidRDefault="0049065C" w:rsidP="0049065C">
      <w:pPr>
        <w:pStyle w:val="FootnoteText"/>
        <w:numPr>
          <w:ilvl w:val="0"/>
          <w:numId w:val="0"/>
        </w:numPr>
        <w:spacing w:after="0"/>
        <w:ind w:left="360" w:hanging="360"/>
      </w:pPr>
      <w:r>
        <w:rPr>
          <w:rStyle w:val="FootnoteReference"/>
        </w:rPr>
        <w:footnoteRef/>
      </w:r>
      <w:r>
        <w:t xml:space="preserve"> Table footnotes not reproduced. </w:t>
      </w:r>
    </w:p>
  </w:footnote>
  <w:footnote w:id="4">
    <w:p w14:paraId="6D59E5A5" w14:textId="239FDE02" w:rsidR="00D61D73" w:rsidRDefault="00D61D73" w:rsidP="0049065C">
      <w:pPr>
        <w:pStyle w:val="FootnoteText"/>
        <w:numPr>
          <w:ilvl w:val="0"/>
          <w:numId w:val="0"/>
        </w:numPr>
        <w:spacing w:after="0"/>
      </w:pPr>
      <w:r>
        <w:rPr>
          <w:rStyle w:val="FootnoteReference"/>
        </w:rPr>
        <w:footnoteRef/>
      </w:r>
      <w:r>
        <w:t xml:space="preserve"> D.20-05-053</w:t>
      </w:r>
      <w:r w:rsidR="008E6D69">
        <w:t xml:space="preserve"> at</w:t>
      </w:r>
      <w:r>
        <w:t xml:space="preserve"> 96.</w:t>
      </w:r>
    </w:p>
  </w:footnote>
  <w:footnote w:id="5">
    <w:p w14:paraId="2CCBE05B" w14:textId="77777777" w:rsidR="00D61D73" w:rsidRDefault="00D61D73" w:rsidP="0049065C">
      <w:pPr>
        <w:pStyle w:val="FootnoteText"/>
        <w:numPr>
          <w:ilvl w:val="0"/>
          <w:numId w:val="0"/>
        </w:numPr>
        <w:spacing w:after="0"/>
      </w:pPr>
      <w:r>
        <w:rPr>
          <w:rStyle w:val="FootnoteReference"/>
        </w:rPr>
        <w:footnoteRef/>
      </w:r>
      <w:r>
        <w:t xml:space="preserve"> </w:t>
      </w:r>
      <w:r w:rsidRPr="00D96D94">
        <w:rPr>
          <w:i/>
          <w:iCs/>
        </w:rPr>
        <w:t>Id.</w:t>
      </w:r>
    </w:p>
  </w:footnote>
  <w:footnote w:id="6">
    <w:p w14:paraId="246ACED0" w14:textId="27367B19" w:rsidR="00D61D73" w:rsidRDefault="00D61D73" w:rsidP="0049065C">
      <w:pPr>
        <w:pStyle w:val="FootnoteText"/>
        <w:numPr>
          <w:ilvl w:val="0"/>
          <w:numId w:val="0"/>
        </w:numPr>
        <w:spacing w:after="0"/>
      </w:pPr>
      <w:r>
        <w:rPr>
          <w:rStyle w:val="FootnoteReference"/>
        </w:rPr>
        <w:footnoteRef/>
      </w:r>
      <w:r>
        <w:t xml:space="preserve"> </w:t>
      </w:r>
      <w:r w:rsidRPr="00FE7736">
        <w:t>D.20-05-053</w:t>
      </w:r>
      <w:r w:rsidR="008E6D69">
        <w:t xml:space="preserve"> at</w:t>
      </w:r>
      <w:r w:rsidRPr="00FE7736">
        <w:t xml:space="preserve"> 97</w:t>
      </w:r>
      <w:r w:rsidR="00C2771D">
        <w:t>.</w:t>
      </w:r>
    </w:p>
  </w:footnote>
  <w:footnote w:id="7">
    <w:p w14:paraId="308CCD8B" w14:textId="5E40549E" w:rsidR="00D61D73" w:rsidRDefault="00D61D73" w:rsidP="00CB6748">
      <w:pPr>
        <w:pStyle w:val="FootnoteText"/>
        <w:numPr>
          <w:ilvl w:val="0"/>
          <w:numId w:val="0"/>
        </w:numPr>
        <w:spacing w:after="0"/>
      </w:pPr>
      <w:r>
        <w:rPr>
          <w:rStyle w:val="FootnoteReference"/>
        </w:rPr>
        <w:footnoteRef/>
      </w:r>
      <w:r>
        <w:t xml:space="preserve"> </w:t>
      </w:r>
      <w:r w:rsidRPr="00B76DAA">
        <w:t>AL 4419-G/6157-E</w:t>
      </w:r>
      <w:r w:rsidR="008E6D69">
        <w:t xml:space="preserve"> at</w:t>
      </w:r>
      <w:r w:rsidRPr="00B76DAA">
        <w:t xml:space="preserve"> </w:t>
      </w:r>
      <w:r>
        <w:t>3-4</w:t>
      </w:r>
      <w:r w:rsidRPr="00B76DAA">
        <w:t>.</w:t>
      </w:r>
    </w:p>
  </w:footnote>
  <w:footnote w:id="8">
    <w:p w14:paraId="24B60804" w14:textId="77777777" w:rsidR="00D61D73" w:rsidRDefault="00D61D73" w:rsidP="00CB6748">
      <w:pPr>
        <w:pStyle w:val="FootnoteText"/>
        <w:numPr>
          <w:ilvl w:val="0"/>
          <w:numId w:val="0"/>
        </w:numPr>
        <w:spacing w:after="0"/>
      </w:pPr>
      <w:r>
        <w:rPr>
          <w:rStyle w:val="FootnoteReference"/>
        </w:rPr>
        <w:footnoteRef/>
      </w:r>
      <w:r>
        <w:t xml:space="preserve"> </w:t>
      </w:r>
      <w:r w:rsidRPr="00D96D94">
        <w:rPr>
          <w:i/>
          <w:iCs/>
        </w:rPr>
        <w:t>Id.</w:t>
      </w:r>
    </w:p>
  </w:footnote>
  <w:footnote w:id="9">
    <w:p w14:paraId="07AE02A3" w14:textId="4C3883EB" w:rsidR="00D61D73" w:rsidRDefault="00D61D73" w:rsidP="00CB6748">
      <w:pPr>
        <w:pStyle w:val="FootnoteText"/>
        <w:numPr>
          <w:ilvl w:val="0"/>
          <w:numId w:val="0"/>
        </w:numPr>
        <w:spacing w:after="0"/>
      </w:pPr>
      <w:r>
        <w:rPr>
          <w:rStyle w:val="FootnoteReference"/>
        </w:rPr>
        <w:footnoteRef/>
      </w:r>
      <w:r>
        <w:t xml:space="preserve"> </w:t>
      </w:r>
      <w:r w:rsidRPr="00F87A40">
        <w:t>AL 4419-G/6157-E</w:t>
      </w:r>
      <w:r w:rsidR="008E6D69">
        <w:t xml:space="preserve"> at</w:t>
      </w:r>
      <w:r>
        <w:t xml:space="preserve"> 5.</w:t>
      </w:r>
    </w:p>
  </w:footnote>
  <w:footnote w:id="10">
    <w:p w14:paraId="39A7E3AF" w14:textId="77777777" w:rsidR="00D61D73" w:rsidRDefault="00D61D73" w:rsidP="00141A0B">
      <w:pPr>
        <w:pStyle w:val="FootnoteText"/>
        <w:numPr>
          <w:ilvl w:val="0"/>
          <w:numId w:val="0"/>
        </w:numPr>
        <w:spacing w:after="0"/>
      </w:pPr>
      <w:r>
        <w:rPr>
          <w:rStyle w:val="FootnoteReference"/>
        </w:rPr>
        <w:footnoteRef/>
      </w:r>
      <w:r>
        <w:t xml:space="preserve"> </w:t>
      </w:r>
      <w:r w:rsidRPr="00D96D94">
        <w:rPr>
          <w:i/>
          <w:iCs/>
        </w:rPr>
        <w:t>Id.</w:t>
      </w:r>
    </w:p>
  </w:footnote>
  <w:footnote w:id="11">
    <w:p w14:paraId="78D67A73" w14:textId="77777777" w:rsidR="00D61D73" w:rsidRDefault="00D61D73" w:rsidP="00141A0B">
      <w:pPr>
        <w:pStyle w:val="FootnoteText"/>
        <w:numPr>
          <w:ilvl w:val="0"/>
          <w:numId w:val="0"/>
        </w:numPr>
        <w:spacing w:after="0"/>
      </w:pPr>
      <w:r>
        <w:rPr>
          <w:rStyle w:val="FootnoteReference"/>
        </w:rPr>
        <w:footnoteRef/>
      </w:r>
      <w:r>
        <w:t xml:space="preserve"> </w:t>
      </w:r>
      <w:r w:rsidRPr="00B83328">
        <w:t>Pub. Util. Code § 8389(e)(6)(A)(i)(I).</w:t>
      </w:r>
    </w:p>
  </w:footnote>
  <w:footnote w:id="12">
    <w:p w14:paraId="572491BA" w14:textId="77777777" w:rsidR="00D61D73" w:rsidRDefault="00D61D73" w:rsidP="00141A0B">
      <w:pPr>
        <w:pStyle w:val="FootnoteText"/>
        <w:numPr>
          <w:ilvl w:val="0"/>
          <w:numId w:val="0"/>
        </w:numPr>
        <w:spacing w:after="0"/>
      </w:pPr>
      <w:r>
        <w:rPr>
          <w:rStyle w:val="FootnoteReference"/>
        </w:rPr>
        <w:footnoteRef/>
      </w:r>
      <w:r>
        <w:t xml:space="preserve"> Pub. Util. Code </w:t>
      </w:r>
      <w:r w:rsidRPr="00E35E3A">
        <w:t>§ 8389(e)(6)(A)(i)(II).</w:t>
      </w:r>
    </w:p>
  </w:footnote>
  <w:footnote w:id="13">
    <w:p w14:paraId="30F76177" w14:textId="77777777" w:rsidR="00D61D73" w:rsidRDefault="00D61D73" w:rsidP="00141A0B">
      <w:pPr>
        <w:pStyle w:val="FootnoteText"/>
        <w:numPr>
          <w:ilvl w:val="0"/>
          <w:numId w:val="0"/>
        </w:numPr>
        <w:spacing w:after="0"/>
      </w:pPr>
      <w:r>
        <w:rPr>
          <w:rStyle w:val="FootnoteReference"/>
        </w:rPr>
        <w:footnoteRef/>
      </w:r>
      <w:r>
        <w:t xml:space="preserve"> Pub. Util. Code </w:t>
      </w:r>
      <w:r w:rsidRPr="00675D34">
        <w:t>§ 8389(e)(6)(iii).</w:t>
      </w:r>
    </w:p>
  </w:footnote>
  <w:footnote w:id="14">
    <w:p w14:paraId="1D62E45B" w14:textId="63B4E5EF" w:rsidR="00D61D73" w:rsidRDefault="00D61D73" w:rsidP="00141A0B">
      <w:pPr>
        <w:pStyle w:val="FootnoteText"/>
        <w:numPr>
          <w:ilvl w:val="0"/>
          <w:numId w:val="0"/>
        </w:numPr>
        <w:spacing w:after="0"/>
      </w:pPr>
      <w:r>
        <w:rPr>
          <w:rStyle w:val="FootnoteReference"/>
        </w:rPr>
        <w:footnoteRef/>
      </w:r>
      <w:r>
        <w:t xml:space="preserve"> </w:t>
      </w:r>
      <w:r w:rsidRPr="003C2209">
        <w:t>AL 4419-G/6157-E</w:t>
      </w:r>
      <w:r w:rsidR="008E6D69">
        <w:t xml:space="preserve"> at</w:t>
      </w:r>
      <w:r w:rsidRPr="003C2209">
        <w:t xml:space="preserve"> </w:t>
      </w:r>
      <w:r>
        <w:t>3</w:t>
      </w:r>
      <w:r w:rsidRPr="003C2209">
        <w:t>.</w:t>
      </w:r>
    </w:p>
  </w:footnote>
  <w:footnote w:id="15">
    <w:p w14:paraId="75DF2D87" w14:textId="77777777" w:rsidR="00D61D73" w:rsidRDefault="00D61D73" w:rsidP="00141A0B">
      <w:pPr>
        <w:pStyle w:val="FootnoteText"/>
        <w:numPr>
          <w:ilvl w:val="0"/>
          <w:numId w:val="0"/>
        </w:numPr>
        <w:spacing w:after="0"/>
      </w:pPr>
      <w:r>
        <w:rPr>
          <w:rStyle w:val="FootnoteReference"/>
        </w:rPr>
        <w:footnoteRef/>
      </w:r>
      <w:r>
        <w:t xml:space="preserve"> </w:t>
      </w:r>
      <w:r w:rsidRPr="00550CDA">
        <w:rPr>
          <w:i/>
          <w:iCs/>
        </w:rPr>
        <w:t>Id.</w:t>
      </w:r>
    </w:p>
  </w:footnote>
  <w:footnote w:id="16">
    <w:p w14:paraId="0DE29646" w14:textId="77777777" w:rsidR="00D61D73" w:rsidRDefault="00D61D73" w:rsidP="00141A0B">
      <w:pPr>
        <w:pStyle w:val="FootnoteText"/>
        <w:numPr>
          <w:ilvl w:val="0"/>
          <w:numId w:val="0"/>
        </w:numPr>
      </w:pPr>
      <w:r>
        <w:rPr>
          <w:rStyle w:val="FootnoteReference"/>
        </w:rPr>
        <w:footnoteRef/>
      </w:r>
      <w:r>
        <w:t xml:space="preserve"> </w:t>
      </w:r>
      <w:r w:rsidRPr="00550CDA">
        <w:rPr>
          <w:i/>
          <w:iCs/>
        </w:rPr>
        <w:t>Id.</w:t>
      </w:r>
    </w:p>
  </w:footnote>
  <w:footnote w:id="17">
    <w:p w14:paraId="49EB3D77" w14:textId="12175731" w:rsidR="007E0EE1" w:rsidRDefault="007E0EE1" w:rsidP="00F43AF9">
      <w:pPr>
        <w:pStyle w:val="FootnoteText"/>
        <w:numPr>
          <w:ilvl w:val="0"/>
          <w:numId w:val="0"/>
        </w:numPr>
        <w:spacing w:after="0"/>
      </w:pPr>
      <w:r>
        <w:rPr>
          <w:rStyle w:val="FootnoteReference"/>
        </w:rPr>
        <w:footnoteRef/>
      </w:r>
      <w:r>
        <w:t xml:space="preserve"> “</w:t>
      </w:r>
      <w:r w:rsidRPr="00F43AF9">
        <w:t>PG&amp;E’s Chief Executive Officer departed PG&amp;E on August 3, 2020, shortly after PG&amp;E’s</w:t>
      </w:r>
      <w:r>
        <w:t xml:space="preserve"> </w:t>
      </w:r>
      <w:r w:rsidRPr="00F43AF9">
        <w:t>emergence from Chapter 11. In accordance with his departure arrangements, he was not</w:t>
      </w:r>
      <w:r>
        <w:t xml:space="preserve"> </w:t>
      </w:r>
      <w:r w:rsidRPr="00F43AF9">
        <w:t xml:space="preserve">eligible for awards under the 2020 STIP or for 2020 LTIP performance shares. </w:t>
      </w:r>
      <w:r w:rsidR="001228DC">
        <w:br/>
      </w:r>
      <w:r w:rsidRPr="00F43AF9">
        <w:t>He is not</w:t>
      </w:r>
      <w:r>
        <w:t xml:space="preserve"> </w:t>
      </w:r>
      <w:r w:rsidRPr="00F43AF9">
        <w:t xml:space="preserve">included in the averages in the chart.” </w:t>
      </w:r>
      <w:r w:rsidRPr="003C2209">
        <w:t>AL 4419-G/6157-E</w:t>
      </w:r>
      <w:r>
        <w:t xml:space="preserve"> at</w:t>
      </w:r>
      <w:r w:rsidRPr="003C2209">
        <w:t xml:space="preserve"> </w:t>
      </w:r>
      <w:r>
        <w:t>2</w:t>
      </w:r>
      <w:r w:rsidRPr="003C2209">
        <w:t>.</w:t>
      </w:r>
    </w:p>
  </w:footnote>
  <w:footnote w:id="18">
    <w:p w14:paraId="7D2F81AE" w14:textId="2C3B5186" w:rsidR="007433FC" w:rsidRDefault="007433FC" w:rsidP="004D39D7">
      <w:pPr>
        <w:pStyle w:val="FootnoteText"/>
        <w:numPr>
          <w:ilvl w:val="0"/>
          <w:numId w:val="0"/>
        </w:numPr>
        <w:spacing w:after="0"/>
      </w:pPr>
      <w:r>
        <w:rPr>
          <w:rStyle w:val="FootnoteReference"/>
        </w:rPr>
        <w:footnoteRef/>
      </w:r>
      <w:r>
        <w:t xml:space="preserve"> </w:t>
      </w:r>
      <w:r w:rsidRPr="00907740">
        <w:t xml:space="preserve">Cal Advocates’ Protest </w:t>
      </w:r>
      <w:r w:rsidR="00562C59">
        <w:t>at</w:t>
      </w:r>
      <w:r w:rsidRPr="00907740">
        <w:t xml:space="preserve"> </w:t>
      </w:r>
      <w:r>
        <w:t>4.</w:t>
      </w:r>
    </w:p>
  </w:footnote>
  <w:footnote w:id="19">
    <w:p w14:paraId="228ED90A" w14:textId="1FF89872" w:rsidR="007433FC" w:rsidRDefault="007433FC" w:rsidP="004D39D7">
      <w:pPr>
        <w:pStyle w:val="FootnoteText"/>
        <w:numPr>
          <w:ilvl w:val="0"/>
          <w:numId w:val="0"/>
        </w:numPr>
        <w:spacing w:after="0"/>
      </w:pPr>
      <w:r>
        <w:rPr>
          <w:rStyle w:val="FootnoteReference"/>
        </w:rPr>
        <w:footnoteRef/>
      </w:r>
      <w:r>
        <w:t xml:space="preserve"> </w:t>
      </w:r>
      <w:r w:rsidRPr="0024070D">
        <w:t xml:space="preserve">Cal Advocates’ Protest </w:t>
      </w:r>
      <w:r w:rsidR="00CA5EC7">
        <w:t>at</w:t>
      </w:r>
      <w:r>
        <w:t xml:space="preserve"> 4-5</w:t>
      </w:r>
      <w:r w:rsidRPr="0024070D">
        <w:t>.</w:t>
      </w:r>
    </w:p>
  </w:footnote>
  <w:footnote w:id="20">
    <w:p w14:paraId="5D291824" w14:textId="2877C45F" w:rsidR="007433FC" w:rsidRDefault="007433FC" w:rsidP="004D39D7">
      <w:pPr>
        <w:pStyle w:val="FootnoteText"/>
        <w:numPr>
          <w:ilvl w:val="0"/>
          <w:numId w:val="0"/>
        </w:numPr>
        <w:spacing w:after="0"/>
      </w:pPr>
      <w:r>
        <w:rPr>
          <w:rStyle w:val="FootnoteReference"/>
        </w:rPr>
        <w:footnoteRef/>
      </w:r>
      <w:r>
        <w:t xml:space="preserve"> </w:t>
      </w:r>
      <w:r w:rsidRPr="00EC12DE">
        <w:t xml:space="preserve">Cal Advocates’ Protest </w:t>
      </w:r>
      <w:r w:rsidR="00CA5EC7">
        <w:t>at</w:t>
      </w:r>
      <w:r w:rsidRPr="00EC12DE">
        <w:t xml:space="preserve"> </w:t>
      </w:r>
      <w:r>
        <w:t>6</w:t>
      </w:r>
      <w:r w:rsidRPr="00EC12DE">
        <w:t>.</w:t>
      </w:r>
    </w:p>
  </w:footnote>
  <w:footnote w:id="21">
    <w:p w14:paraId="4E3ACC24" w14:textId="3592F442" w:rsidR="000F5D15" w:rsidRDefault="000F5D15" w:rsidP="001835F3">
      <w:pPr>
        <w:pStyle w:val="FootnoteText"/>
        <w:numPr>
          <w:ilvl w:val="0"/>
          <w:numId w:val="0"/>
        </w:numPr>
        <w:spacing w:after="0"/>
      </w:pPr>
      <w:r>
        <w:rPr>
          <w:rStyle w:val="FootnoteReference"/>
        </w:rPr>
        <w:footnoteRef/>
      </w:r>
      <w:r>
        <w:t xml:space="preserve"> PG&amp;E’s Reply to Cal Advocates’ Protest</w:t>
      </w:r>
      <w:r w:rsidR="00CA5EC7">
        <w:t xml:space="preserve"> at</w:t>
      </w:r>
      <w:r>
        <w:t xml:space="preserve"> 2.</w:t>
      </w:r>
    </w:p>
  </w:footnote>
  <w:footnote w:id="22">
    <w:p w14:paraId="6C9625C1" w14:textId="43C4E21C" w:rsidR="00FB46B4" w:rsidRDefault="00FB46B4" w:rsidP="00877EFD">
      <w:pPr>
        <w:pStyle w:val="FootnoteText"/>
        <w:numPr>
          <w:ilvl w:val="0"/>
          <w:numId w:val="0"/>
        </w:numPr>
        <w:spacing w:after="0"/>
      </w:pPr>
      <w:r>
        <w:rPr>
          <w:rStyle w:val="FootnoteReference"/>
        </w:rPr>
        <w:footnoteRef/>
      </w:r>
      <w:r>
        <w:t xml:space="preserve"> </w:t>
      </w:r>
      <w:r w:rsidR="005C1554">
        <w:t xml:space="preserve">For additional information, </w:t>
      </w:r>
      <w:r>
        <w:t>note</w:t>
      </w:r>
      <w:r w:rsidR="005C1554">
        <w:t xml:space="preserve"> </w:t>
      </w:r>
      <w:r>
        <w:t xml:space="preserve">that PG&amp;E is </w:t>
      </w:r>
      <w:r w:rsidR="002470F9">
        <w:t xml:space="preserve">already </w:t>
      </w:r>
      <w:r>
        <w:t xml:space="preserve">required to file an annual report to the Commission </w:t>
      </w:r>
      <w:r w:rsidR="00877EFD">
        <w:t>including</w:t>
      </w:r>
      <w:r w:rsidR="005C1554">
        <w:t xml:space="preserve"> </w:t>
      </w:r>
      <w:r>
        <w:t>names and total compensation of Executive Officers pursuant to CPUC General Order 77-M</w:t>
      </w:r>
      <w:r w:rsidR="005C1554">
        <w:t>.</w:t>
      </w:r>
      <w:r>
        <w:t xml:space="preserve"> </w:t>
      </w:r>
    </w:p>
  </w:footnote>
  <w:footnote w:id="23">
    <w:p w14:paraId="02B24FCD" w14:textId="164C4648" w:rsidR="008D1C2F" w:rsidRDefault="008D1C2F" w:rsidP="00877EFD">
      <w:pPr>
        <w:pStyle w:val="FootnoteText"/>
        <w:numPr>
          <w:ilvl w:val="0"/>
          <w:numId w:val="0"/>
        </w:numPr>
        <w:spacing w:after="0"/>
        <w:ind w:left="360" w:hanging="360"/>
      </w:pPr>
      <w:r>
        <w:rPr>
          <w:rStyle w:val="FootnoteReference"/>
        </w:rPr>
        <w:footnoteRef/>
      </w:r>
      <w:r>
        <w:t xml:space="preserve"> PG&amp;E's Reply to Cal Advocates' Protest </w:t>
      </w:r>
      <w:r w:rsidR="00A8024A">
        <w:t>at</w:t>
      </w:r>
      <w: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CF8F" w14:textId="77777777" w:rsidR="003C086F" w:rsidRDefault="003C0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64C6" w14:textId="49BCD614" w:rsidR="00CF17DE" w:rsidRDefault="00CF17DE">
    <w:pPr>
      <w:pStyle w:val="Header"/>
      <w:tabs>
        <w:tab w:val="clear" w:pos="4320"/>
        <w:tab w:val="clear" w:pos="8640"/>
        <w:tab w:val="center" w:pos="4680"/>
        <w:tab w:val="right" w:pos="9180"/>
      </w:tabs>
    </w:pPr>
    <w:r>
      <w:t>Resolution E</w:t>
    </w:r>
    <w:r w:rsidR="00BE4737">
      <w:t>-5</w:t>
    </w:r>
    <w:r w:rsidR="005E1286">
      <w:t>18</w:t>
    </w:r>
    <w:r w:rsidR="00D266A2">
      <w:t>7</w:t>
    </w:r>
    <w:r w:rsidR="003F6E5A">
      <w:tab/>
    </w:r>
    <w:r>
      <w:t>DRAFT</w:t>
    </w:r>
    <w:r>
      <w:tab/>
    </w:r>
    <w:r w:rsidR="00F307F2">
      <w:t>February 24</w:t>
    </w:r>
    <w:r w:rsidR="008D3AFC">
      <w:t>, 202</w:t>
    </w:r>
    <w:r w:rsidR="003C66E1">
      <w:t>2</w:t>
    </w:r>
  </w:p>
  <w:p w14:paraId="0250B941" w14:textId="663E2242" w:rsidR="00CF17DE" w:rsidRDefault="00D81B97">
    <w:pPr>
      <w:pStyle w:val="Header"/>
      <w:tabs>
        <w:tab w:val="clear" w:pos="4320"/>
        <w:tab w:val="clear" w:pos="8640"/>
        <w:tab w:val="center" w:pos="4680"/>
        <w:tab w:val="right" w:pos="9180"/>
      </w:tabs>
    </w:pPr>
    <w:r>
      <w:t>P</w:t>
    </w:r>
    <w:r w:rsidR="00BE4737">
      <w:t xml:space="preserve">G&amp;E </w:t>
    </w:r>
    <w:r w:rsidR="00CF17DE">
      <w:t xml:space="preserve">AL </w:t>
    </w:r>
    <w:r w:rsidR="00D266A2">
      <w:t>4419</w:t>
    </w:r>
    <w:r w:rsidR="00CF17DE">
      <w:t>-</w:t>
    </w:r>
    <w:r w:rsidR="00D266A2">
      <w:t>G</w:t>
    </w:r>
    <w:r w:rsidR="00BE4737">
      <w:t>/</w:t>
    </w:r>
    <w:r>
      <w:t>6</w:t>
    </w:r>
    <w:r w:rsidR="00D266A2">
      <w:t>157</w:t>
    </w:r>
    <w:r w:rsidR="00BE4737">
      <w:t>-E</w:t>
    </w:r>
    <w:r w:rsidR="00CF17DE">
      <w:t>/</w:t>
    </w:r>
    <w:r w:rsidR="00BE4737">
      <w:t>mc8</w:t>
    </w:r>
  </w:p>
  <w:p w14:paraId="6DDFA45D" w14:textId="77777777" w:rsidR="00CF17DE" w:rsidRDefault="00CF1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CB6B"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5C6"/>
    <w:multiLevelType w:val="hybridMultilevel"/>
    <w:tmpl w:val="91AE6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52AC6"/>
    <w:multiLevelType w:val="hybridMultilevel"/>
    <w:tmpl w:val="4C5AA9F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3"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BB6981"/>
    <w:multiLevelType w:val="hybridMultilevel"/>
    <w:tmpl w:val="8D42A7F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6F033D5"/>
    <w:multiLevelType w:val="hybridMultilevel"/>
    <w:tmpl w:val="D7DE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00EC95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3367711"/>
    <w:multiLevelType w:val="hybridMultilevel"/>
    <w:tmpl w:val="195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836518"/>
    <w:multiLevelType w:val="hybridMultilevel"/>
    <w:tmpl w:val="20B0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69F7430"/>
    <w:multiLevelType w:val="hybridMultilevel"/>
    <w:tmpl w:val="4F70E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4" w15:restartNumberingAfterBreak="0">
    <w:nsid w:val="592D5509"/>
    <w:multiLevelType w:val="hybridMultilevel"/>
    <w:tmpl w:val="CD3A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E5E39"/>
    <w:multiLevelType w:val="hybridMultilevel"/>
    <w:tmpl w:val="079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472E7"/>
    <w:multiLevelType w:val="hybridMultilevel"/>
    <w:tmpl w:val="1B12D8DC"/>
    <w:lvl w:ilvl="0" w:tplc="04090001">
      <w:start w:val="1"/>
      <w:numFmt w:val="bullet"/>
      <w:lvlText w:val=""/>
      <w:lvlJc w:val="left"/>
      <w:pPr>
        <w:ind w:left="720" w:hanging="360"/>
      </w:pPr>
      <w:rPr>
        <w:rFonts w:ascii="Symbol" w:hAnsi="Symbol" w:hint="default"/>
      </w:rPr>
    </w:lvl>
    <w:lvl w:ilvl="1" w:tplc="A00EC95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4426C6"/>
    <w:multiLevelType w:val="hybridMultilevel"/>
    <w:tmpl w:val="9312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7"/>
  </w:num>
  <w:num w:numId="4">
    <w:abstractNumId w:val="13"/>
  </w:num>
  <w:num w:numId="5">
    <w:abstractNumId w:val="3"/>
  </w:num>
  <w:num w:numId="6">
    <w:abstractNumId w:val="9"/>
  </w:num>
  <w:num w:numId="7">
    <w:abstractNumId w:val="17"/>
  </w:num>
  <w:num w:numId="8">
    <w:abstractNumId w:val="19"/>
  </w:num>
  <w:num w:numId="9">
    <w:abstractNumId w:val="6"/>
  </w:num>
  <w:num w:numId="10">
    <w:abstractNumId w:val="12"/>
  </w:num>
  <w:num w:numId="11">
    <w:abstractNumId w:val="4"/>
  </w:num>
  <w:num w:numId="12">
    <w:abstractNumId w:val="16"/>
  </w:num>
  <w:num w:numId="13">
    <w:abstractNumId w:val="10"/>
  </w:num>
  <w:num w:numId="14">
    <w:abstractNumId w:val="8"/>
  </w:num>
  <w:num w:numId="15">
    <w:abstractNumId w:val="15"/>
  </w:num>
  <w:num w:numId="16">
    <w:abstractNumId w:val="5"/>
  </w:num>
  <w:num w:numId="17">
    <w:abstractNumId w:val="1"/>
  </w:num>
  <w:num w:numId="18">
    <w:abstractNumId w:val="18"/>
  </w:num>
  <w:num w:numId="19">
    <w:abstractNumId w:val="0"/>
  </w:num>
  <w:num w:numId="20">
    <w:abstractNumId w:val="14"/>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8C2"/>
    <w:rsid w:val="0000443A"/>
    <w:rsid w:val="000129A1"/>
    <w:rsid w:val="00013361"/>
    <w:rsid w:val="000209B6"/>
    <w:rsid w:val="0002296F"/>
    <w:rsid w:val="00025975"/>
    <w:rsid w:val="0002652B"/>
    <w:rsid w:val="00026962"/>
    <w:rsid w:val="00027D75"/>
    <w:rsid w:val="00034C59"/>
    <w:rsid w:val="00035209"/>
    <w:rsid w:val="0003523F"/>
    <w:rsid w:val="0003774F"/>
    <w:rsid w:val="00041136"/>
    <w:rsid w:val="000420E3"/>
    <w:rsid w:val="000519F4"/>
    <w:rsid w:val="000540EE"/>
    <w:rsid w:val="00054DF9"/>
    <w:rsid w:val="000606D6"/>
    <w:rsid w:val="00060DB0"/>
    <w:rsid w:val="000617C7"/>
    <w:rsid w:val="0006439C"/>
    <w:rsid w:val="0006587A"/>
    <w:rsid w:val="0006612F"/>
    <w:rsid w:val="00067D30"/>
    <w:rsid w:val="00070064"/>
    <w:rsid w:val="000712B6"/>
    <w:rsid w:val="00071688"/>
    <w:rsid w:val="00075569"/>
    <w:rsid w:val="00076D49"/>
    <w:rsid w:val="00077CB3"/>
    <w:rsid w:val="00082175"/>
    <w:rsid w:val="00085181"/>
    <w:rsid w:val="00086D0E"/>
    <w:rsid w:val="000910DF"/>
    <w:rsid w:val="00091F76"/>
    <w:rsid w:val="000933F2"/>
    <w:rsid w:val="00093DB2"/>
    <w:rsid w:val="000946B4"/>
    <w:rsid w:val="000A0C50"/>
    <w:rsid w:val="000A1403"/>
    <w:rsid w:val="000A6D3B"/>
    <w:rsid w:val="000B1D41"/>
    <w:rsid w:val="000B5D11"/>
    <w:rsid w:val="000C0528"/>
    <w:rsid w:val="000C1413"/>
    <w:rsid w:val="000C5A0C"/>
    <w:rsid w:val="000C79AD"/>
    <w:rsid w:val="000C7DAA"/>
    <w:rsid w:val="000D3A75"/>
    <w:rsid w:val="000D4AF2"/>
    <w:rsid w:val="000D5EAD"/>
    <w:rsid w:val="000D5FF2"/>
    <w:rsid w:val="000E1C4C"/>
    <w:rsid w:val="000E3A46"/>
    <w:rsid w:val="000E3F5D"/>
    <w:rsid w:val="000E6DB6"/>
    <w:rsid w:val="000E76FA"/>
    <w:rsid w:val="000E7DE6"/>
    <w:rsid w:val="000F0317"/>
    <w:rsid w:val="000F2762"/>
    <w:rsid w:val="000F3E3E"/>
    <w:rsid w:val="000F51FC"/>
    <w:rsid w:val="000F5D15"/>
    <w:rsid w:val="000F6D77"/>
    <w:rsid w:val="00103641"/>
    <w:rsid w:val="001038ED"/>
    <w:rsid w:val="0011188E"/>
    <w:rsid w:val="001167CB"/>
    <w:rsid w:val="00116979"/>
    <w:rsid w:val="001228DC"/>
    <w:rsid w:val="00122CE6"/>
    <w:rsid w:val="0012311C"/>
    <w:rsid w:val="001302A2"/>
    <w:rsid w:val="00130928"/>
    <w:rsid w:val="00131D20"/>
    <w:rsid w:val="00134A4C"/>
    <w:rsid w:val="0014036E"/>
    <w:rsid w:val="00140B3D"/>
    <w:rsid w:val="00140B7E"/>
    <w:rsid w:val="00141A0B"/>
    <w:rsid w:val="00141FFB"/>
    <w:rsid w:val="00142FB8"/>
    <w:rsid w:val="00147435"/>
    <w:rsid w:val="001500E7"/>
    <w:rsid w:val="0015360E"/>
    <w:rsid w:val="0015543D"/>
    <w:rsid w:val="00161F63"/>
    <w:rsid w:val="00165280"/>
    <w:rsid w:val="00165AA5"/>
    <w:rsid w:val="00166E89"/>
    <w:rsid w:val="00167324"/>
    <w:rsid w:val="001704A5"/>
    <w:rsid w:val="00170552"/>
    <w:rsid w:val="0017149F"/>
    <w:rsid w:val="0017180D"/>
    <w:rsid w:val="0017267E"/>
    <w:rsid w:val="00173B19"/>
    <w:rsid w:val="00183445"/>
    <w:rsid w:val="001835F3"/>
    <w:rsid w:val="00184B0A"/>
    <w:rsid w:val="00186F1E"/>
    <w:rsid w:val="0019006F"/>
    <w:rsid w:val="00190DED"/>
    <w:rsid w:val="00191445"/>
    <w:rsid w:val="001A670E"/>
    <w:rsid w:val="001B4D2E"/>
    <w:rsid w:val="001B78FB"/>
    <w:rsid w:val="001C0DA8"/>
    <w:rsid w:val="001C18F1"/>
    <w:rsid w:val="001C2594"/>
    <w:rsid w:val="001C6AAB"/>
    <w:rsid w:val="001D5B37"/>
    <w:rsid w:val="001E143D"/>
    <w:rsid w:val="001E1C50"/>
    <w:rsid w:val="001E265A"/>
    <w:rsid w:val="001E3FEB"/>
    <w:rsid w:val="001E46D2"/>
    <w:rsid w:val="001E6E72"/>
    <w:rsid w:val="001E6F3B"/>
    <w:rsid w:val="001E7CA8"/>
    <w:rsid w:val="001F5023"/>
    <w:rsid w:val="00205EA3"/>
    <w:rsid w:val="00206B46"/>
    <w:rsid w:val="00207E34"/>
    <w:rsid w:val="002111A0"/>
    <w:rsid w:val="00212BBA"/>
    <w:rsid w:val="00214835"/>
    <w:rsid w:val="00214FF6"/>
    <w:rsid w:val="002171E3"/>
    <w:rsid w:val="00217DB9"/>
    <w:rsid w:val="00220167"/>
    <w:rsid w:val="0022197B"/>
    <w:rsid w:val="0022767F"/>
    <w:rsid w:val="0023179C"/>
    <w:rsid w:val="00233DB3"/>
    <w:rsid w:val="002365EF"/>
    <w:rsid w:val="00241C28"/>
    <w:rsid w:val="0024585A"/>
    <w:rsid w:val="002470F9"/>
    <w:rsid w:val="0024771B"/>
    <w:rsid w:val="0025052D"/>
    <w:rsid w:val="0025476D"/>
    <w:rsid w:val="00254F05"/>
    <w:rsid w:val="00262CD8"/>
    <w:rsid w:val="00264FB7"/>
    <w:rsid w:val="002679EF"/>
    <w:rsid w:val="002724DC"/>
    <w:rsid w:val="00272664"/>
    <w:rsid w:val="002745EF"/>
    <w:rsid w:val="00282D87"/>
    <w:rsid w:val="00285F27"/>
    <w:rsid w:val="00287258"/>
    <w:rsid w:val="00293DD8"/>
    <w:rsid w:val="00295D5E"/>
    <w:rsid w:val="00296569"/>
    <w:rsid w:val="002A06BC"/>
    <w:rsid w:val="002A0A3F"/>
    <w:rsid w:val="002A39DB"/>
    <w:rsid w:val="002A3E01"/>
    <w:rsid w:val="002A67E7"/>
    <w:rsid w:val="002A75FF"/>
    <w:rsid w:val="002B20CE"/>
    <w:rsid w:val="002B2ABD"/>
    <w:rsid w:val="002B5ABB"/>
    <w:rsid w:val="002C19EE"/>
    <w:rsid w:val="002C2CD0"/>
    <w:rsid w:val="002D4882"/>
    <w:rsid w:val="002E1A7E"/>
    <w:rsid w:val="002E2E2D"/>
    <w:rsid w:val="002E4B4D"/>
    <w:rsid w:val="002E4E0B"/>
    <w:rsid w:val="002F1DCC"/>
    <w:rsid w:val="002F3122"/>
    <w:rsid w:val="002F4E85"/>
    <w:rsid w:val="002F6649"/>
    <w:rsid w:val="002F6D3E"/>
    <w:rsid w:val="00302256"/>
    <w:rsid w:val="003060AD"/>
    <w:rsid w:val="00307D39"/>
    <w:rsid w:val="003110F8"/>
    <w:rsid w:val="003114F6"/>
    <w:rsid w:val="00314481"/>
    <w:rsid w:val="00315D0E"/>
    <w:rsid w:val="00316770"/>
    <w:rsid w:val="003226E2"/>
    <w:rsid w:val="003233C9"/>
    <w:rsid w:val="00330F3E"/>
    <w:rsid w:val="00331BF2"/>
    <w:rsid w:val="00340FC6"/>
    <w:rsid w:val="00344837"/>
    <w:rsid w:val="003455B4"/>
    <w:rsid w:val="00347324"/>
    <w:rsid w:val="00354827"/>
    <w:rsid w:val="00355412"/>
    <w:rsid w:val="00366746"/>
    <w:rsid w:val="003702DF"/>
    <w:rsid w:val="003721BC"/>
    <w:rsid w:val="003757FA"/>
    <w:rsid w:val="0038140A"/>
    <w:rsid w:val="0038271D"/>
    <w:rsid w:val="003930CC"/>
    <w:rsid w:val="003938E5"/>
    <w:rsid w:val="00393FCE"/>
    <w:rsid w:val="003943F1"/>
    <w:rsid w:val="00394B3A"/>
    <w:rsid w:val="003960EA"/>
    <w:rsid w:val="003960EE"/>
    <w:rsid w:val="003A1CF3"/>
    <w:rsid w:val="003A6131"/>
    <w:rsid w:val="003B1839"/>
    <w:rsid w:val="003B1D3B"/>
    <w:rsid w:val="003C086F"/>
    <w:rsid w:val="003C4F78"/>
    <w:rsid w:val="003C66E1"/>
    <w:rsid w:val="003D5B48"/>
    <w:rsid w:val="003E0255"/>
    <w:rsid w:val="003E0353"/>
    <w:rsid w:val="003E1B45"/>
    <w:rsid w:val="003E67D6"/>
    <w:rsid w:val="003F0408"/>
    <w:rsid w:val="003F090D"/>
    <w:rsid w:val="003F15D7"/>
    <w:rsid w:val="003F41FC"/>
    <w:rsid w:val="003F5843"/>
    <w:rsid w:val="003F6E5A"/>
    <w:rsid w:val="00400A20"/>
    <w:rsid w:val="00400F6B"/>
    <w:rsid w:val="004043D6"/>
    <w:rsid w:val="00405F41"/>
    <w:rsid w:val="00406AFC"/>
    <w:rsid w:val="00410486"/>
    <w:rsid w:val="00410BD5"/>
    <w:rsid w:val="0041469B"/>
    <w:rsid w:val="00416263"/>
    <w:rsid w:val="004235C3"/>
    <w:rsid w:val="00427ECD"/>
    <w:rsid w:val="00432B18"/>
    <w:rsid w:val="00432BFB"/>
    <w:rsid w:val="00435BB1"/>
    <w:rsid w:val="0043664A"/>
    <w:rsid w:val="00440AB7"/>
    <w:rsid w:val="00442A77"/>
    <w:rsid w:val="00456EB7"/>
    <w:rsid w:val="004614C1"/>
    <w:rsid w:val="00461AF5"/>
    <w:rsid w:val="00461BD2"/>
    <w:rsid w:val="00461D7C"/>
    <w:rsid w:val="00462212"/>
    <w:rsid w:val="004624D7"/>
    <w:rsid w:val="00467956"/>
    <w:rsid w:val="00470B9B"/>
    <w:rsid w:val="00471A2C"/>
    <w:rsid w:val="0047217B"/>
    <w:rsid w:val="004746AB"/>
    <w:rsid w:val="00475AAF"/>
    <w:rsid w:val="00475E4B"/>
    <w:rsid w:val="00483111"/>
    <w:rsid w:val="004850B2"/>
    <w:rsid w:val="00485CED"/>
    <w:rsid w:val="004905D3"/>
    <w:rsid w:val="0049065C"/>
    <w:rsid w:val="0049179A"/>
    <w:rsid w:val="004A1329"/>
    <w:rsid w:val="004A4432"/>
    <w:rsid w:val="004A5397"/>
    <w:rsid w:val="004A5E93"/>
    <w:rsid w:val="004B0861"/>
    <w:rsid w:val="004B48B7"/>
    <w:rsid w:val="004B5086"/>
    <w:rsid w:val="004B7C82"/>
    <w:rsid w:val="004B7F87"/>
    <w:rsid w:val="004C1386"/>
    <w:rsid w:val="004C20F9"/>
    <w:rsid w:val="004C55B9"/>
    <w:rsid w:val="004C570D"/>
    <w:rsid w:val="004C59BC"/>
    <w:rsid w:val="004D3212"/>
    <w:rsid w:val="004D39D7"/>
    <w:rsid w:val="004D49E8"/>
    <w:rsid w:val="004E406F"/>
    <w:rsid w:val="004E454C"/>
    <w:rsid w:val="004E639A"/>
    <w:rsid w:val="004F2771"/>
    <w:rsid w:val="004F599A"/>
    <w:rsid w:val="004F6847"/>
    <w:rsid w:val="004F6C47"/>
    <w:rsid w:val="00501C98"/>
    <w:rsid w:val="0050264A"/>
    <w:rsid w:val="00502993"/>
    <w:rsid w:val="00503D8D"/>
    <w:rsid w:val="00506AD4"/>
    <w:rsid w:val="005111DA"/>
    <w:rsid w:val="005119A9"/>
    <w:rsid w:val="005129AE"/>
    <w:rsid w:val="00512CA6"/>
    <w:rsid w:val="00513C6F"/>
    <w:rsid w:val="005148C1"/>
    <w:rsid w:val="00514BC0"/>
    <w:rsid w:val="00515681"/>
    <w:rsid w:val="005161F2"/>
    <w:rsid w:val="00527EF6"/>
    <w:rsid w:val="005306CA"/>
    <w:rsid w:val="0053081C"/>
    <w:rsid w:val="00531C5A"/>
    <w:rsid w:val="00531F47"/>
    <w:rsid w:val="0053313F"/>
    <w:rsid w:val="00533326"/>
    <w:rsid w:val="00536119"/>
    <w:rsid w:val="005400D6"/>
    <w:rsid w:val="00541CB8"/>
    <w:rsid w:val="00550CDA"/>
    <w:rsid w:val="00551EED"/>
    <w:rsid w:val="005535A3"/>
    <w:rsid w:val="00554C6A"/>
    <w:rsid w:val="00555C11"/>
    <w:rsid w:val="005600F0"/>
    <w:rsid w:val="0056069B"/>
    <w:rsid w:val="00562C59"/>
    <w:rsid w:val="00562CE5"/>
    <w:rsid w:val="0056313D"/>
    <w:rsid w:val="00563942"/>
    <w:rsid w:val="0056728B"/>
    <w:rsid w:val="005753BE"/>
    <w:rsid w:val="00582374"/>
    <w:rsid w:val="00591C97"/>
    <w:rsid w:val="00593807"/>
    <w:rsid w:val="00593FFC"/>
    <w:rsid w:val="00596C5C"/>
    <w:rsid w:val="005A52C1"/>
    <w:rsid w:val="005B5B7E"/>
    <w:rsid w:val="005B65B6"/>
    <w:rsid w:val="005B6D58"/>
    <w:rsid w:val="005B7D1F"/>
    <w:rsid w:val="005C1554"/>
    <w:rsid w:val="005C2C35"/>
    <w:rsid w:val="005C3C31"/>
    <w:rsid w:val="005C47DE"/>
    <w:rsid w:val="005C6433"/>
    <w:rsid w:val="005C77D8"/>
    <w:rsid w:val="005D1253"/>
    <w:rsid w:val="005D2BE7"/>
    <w:rsid w:val="005D56AC"/>
    <w:rsid w:val="005D6CDD"/>
    <w:rsid w:val="005D7181"/>
    <w:rsid w:val="005E07F8"/>
    <w:rsid w:val="005E1286"/>
    <w:rsid w:val="005E4FDE"/>
    <w:rsid w:val="005E5AED"/>
    <w:rsid w:val="005E6B58"/>
    <w:rsid w:val="005F1942"/>
    <w:rsid w:val="005F2A57"/>
    <w:rsid w:val="006022F1"/>
    <w:rsid w:val="00605718"/>
    <w:rsid w:val="00612291"/>
    <w:rsid w:val="006136CC"/>
    <w:rsid w:val="00623AE5"/>
    <w:rsid w:val="006246BF"/>
    <w:rsid w:val="00624761"/>
    <w:rsid w:val="006270B6"/>
    <w:rsid w:val="00631168"/>
    <w:rsid w:val="006347C7"/>
    <w:rsid w:val="006348AB"/>
    <w:rsid w:val="00637746"/>
    <w:rsid w:val="0064054D"/>
    <w:rsid w:val="00641120"/>
    <w:rsid w:val="006442B8"/>
    <w:rsid w:val="00644554"/>
    <w:rsid w:val="00645D01"/>
    <w:rsid w:val="00650289"/>
    <w:rsid w:val="006533B7"/>
    <w:rsid w:val="00653B26"/>
    <w:rsid w:val="00656266"/>
    <w:rsid w:val="00656606"/>
    <w:rsid w:val="006617DB"/>
    <w:rsid w:val="0066281C"/>
    <w:rsid w:val="00665413"/>
    <w:rsid w:val="00666BFE"/>
    <w:rsid w:val="00667DD5"/>
    <w:rsid w:val="0067045F"/>
    <w:rsid w:val="00672021"/>
    <w:rsid w:val="00672249"/>
    <w:rsid w:val="006731B2"/>
    <w:rsid w:val="00673A6B"/>
    <w:rsid w:val="0068253C"/>
    <w:rsid w:val="00682905"/>
    <w:rsid w:val="0068463B"/>
    <w:rsid w:val="006846FA"/>
    <w:rsid w:val="00685E1F"/>
    <w:rsid w:val="00686C8F"/>
    <w:rsid w:val="00687F3F"/>
    <w:rsid w:val="00691F9C"/>
    <w:rsid w:val="006934C7"/>
    <w:rsid w:val="0069631C"/>
    <w:rsid w:val="006A0B40"/>
    <w:rsid w:val="006A3D12"/>
    <w:rsid w:val="006A5B1E"/>
    <w:rsid w:val="006B05EE"/>
    <w:rsid w:val="006B1F8F"/>
    <w:rsid w:val="006B2034"/>
    <w:rsid w:val="006B3317"/>
    <w:rsid w:val="006B3F8B"/>
    <w:rsid w:val="006B4699"/>
    <w:rsid w:val="006B5C26"/>
    <w:rsid w:val="006B733A"/>
    <w:rsid w:val="006C6F08"/>
    <w:rsid w:val="006D0218"/>
    <w:rsid w:val="006D469C"/>
    <w:rsid w:val="006D5628"/>
    <w:rsid w:val="006D6EE9"/>
    <w:rsid w:val="006D79E8"/>
    <w:rsid w:val="006E0D81"/>
    <w:rsid w:val="006E5D84"/>
    <w:rsid w:val="006E7185"/>
    <w:rsid w:val="006E7EA8"/>
    <w:rsid w:val="006F2D78"/>
    <w:rsid w:val="006F2FA8"/>
    <w:rsid w:val="007019BD"/>
    <w:rsid w:val="00701C41"/>
    <w:rsid w:val="007063CD"/>
    <w:rsid w:val="00707532"/>
    <w:rsid w:val="007121CB"/>
    <w:rsid w:val="00716A9C"/>
    <w:rsid w:val="00717CD6"/>
    <w:rsid w:val="00717E09"/>
    <w:rsid w:val="007200DF"/>
    <w:rsid w:val="007218F3"/>
    <w:rsid w:val="00721996"/>
    <w:rsid w:val="00723F04"/>
    <w:rsid w:val="007243ED"/>
    <w:rsid w:val="00725EE7"/>
    <w:rsid w:val="00730476"/>
    <w:rsid w:val="0073188B"/>
    <w:rsid w:val="0073319A"/>
    <w:rsid w:val="00735789"/>
    <w:rsid w:val="00737B9C"/>
    <w:rsid w:val="00742699"/>
    <w:rsid w:val="00743277"/>
    <w:rsid w:val="007433FC"/>
    <w:rsid w:val="00744212"/>
    <w:rsid w:val="00746165"/>
    <w:rsid w:val="00746321"/>
    <w:rsid w:val="00746325"/>
    <w:rsid w:val="007540BF"/>
    <w:rsid w:val="00754B1B"/>
    <w:rsid w:val="00756002"/>
    <w:rsid w:val="00757C40"/>
    <w:rsid w:val="00765757"/>
    <w:rsid w:val="00766657"/>
    <w:rsid w:val="00773886"/>
    <w:rsid w:val="0077613E"/>
    <w:rsid w:val="00776433"/>
    <w:rsid w:val="00777D78"/>
    <w:rsid w:val="00781378"/>
    <w:rsid w:val="007872E2"/>
    <w:rsid w:val="007912C2"/>
    <w:rsid w:val="0079221B"/>
    <w:rsid w:val="00794FB4"/>
    <w:rsid w:val="007A13AF"/>
    <w:rsid w:val="007A1AD1"/>
    <w:rsid w:val="007A281A"/>
    <w:rsid w:val="007A554C"/>
    <w:rsid w:val="007A5A9A"/>
    <w:rsid w:val="007A6D25"/>
    <w:rsid w:val="007A6E54"/>
    <w:rsid w:val="007A72A3"/>
    <w:rsid w:val="007B01A6"/>
    <w:rsid w:val="007B07EB"/>
    <w:rsid w:val="007B3785"/>
    <w:rsid w:val="007C0AEB"/>
    <w:rsid w:val="007C2C49"/>
    <w:rsid w:val="007C49FD"/>
    <w:rsid w:val="007C6911"/>
    <w:rsid w:val="007C6AD0"/>
    <w:rsid w:val="007D003E"/>
    <w:rsid w:val="007D3C20"/>
    <w:rsid w:val="007D578F"/>
    <w:rsid w:val="007D6250"/>
    <w:rsid w:val="007D67CA"/>
    <w:rsid w:val="007D7C4F"/>
    <w:rsid w:val="007E0EE1"/>
    <w:rsid w:val="007E14E7"/>
    <w:rsid w:val="007E1F96"/>
    <w:rsid w:val="007F5472"/>
    <w:rsid w:val="007F599A"/>
    <w:rsid w:val="008011A5"/>
    <w:rsid w:val="00801D70"/>
    <w:rsid w:val="00804A9C"/>
    <w:rsid w:val="00811581"/>
    <w:rsid w:val="00813C81"/>
    <w:rsid w:val="00814C8D"/>
    <w:rsid w:val="00816269"/>
    <w:rsid w:val="008207F4"/>
    <w:rsid w:val="00824349"/>
    <w:rsid w:val="00824779"/>
    <w:rsid w:val="008331CE"/>
    <w:rsid w:val="00836CAF"/>
    <w:rsid w:val="008443B2"/>
    <w:rsid w:val="00845D98"/>
    <w:rsid w:val="00846F56"/>
    <w:rsid w:val="00854036"/>
    <w:rsid w:val="00866DCF"/>
    <w:rsid w:val="00866EB0"/>
    <w:rsid w:val="00870D24"/>
    <w:rsid w:val="00871D92"/>
    <w:rsid w:val="00876700"/>
    <w:rsid w:val="00877EFD"/>
    <w:rsid w:val="00880547"/>
    <w:rsid w:val="008817ED"/>
    <w:rsid w:val="00885587"/>
    <w:rsid w:val="008858BB"/>
    <w:rsid w:val="00885C6C"/>
    <w:rsid w:val="00892FC4"/>
    <w:rsid w:val="00893910"/>
    <w:rsid w:val="008A073E"/>
    <w:rsid w:val="008A46D7"/>
    <w:rsid w:val="008A5D93"/>
    <w:rsid w:val="008A715C"/>
    <w:rsid w:val="008A767A"/>
    <w:rsid w:val="008B03E3"/>
    <w:rsid w:val="008B1ECF"/>
    <w:rsid w:val="008B3026"/>
    <w:rsid w:val="008C16E8"/>
    <w:rsid w:val="008C2289"/>
    <w:rsid w:val="008C261B"/>
    <w:rsid w:val="008C49FC"/>
    <w:rsid w:val="008D076A"/>
    <w:rsid w:val="008D1C2F"/>
    <w:rsid w:val="008D25BF"/>
    <w:rsid w:val="008D3AFC"/>
    <w:rsid w:val="008E0031"/>
    <w:rsid w:val="008E47B6"/>
    <w:rsid w:val="008E4B57"/>
    <w:rsid w:val="008E6797"/>
    <w:rsid w:val="008E6D69"/>
    <w:rsid w:val="008F12DC"/>
    <w:rsid w:val="008F5ACD"/>
    <w:rsid w:val="008F72BB"/>
    <w:rsid w:val="008F75A8"/>
    <w:rsid w:val="00905BBF"/>
    <w:rsid w:val="00906DF0"/>
    <w:rsid w:val="00910430"/>
    <w:rsid w:val="009119EC"/>
    <w:rsid w:val="009132CF"/>
    <w:rsid w:val="0091652F"/>
    <w:rsid w:val="009167B6"/>
    <w:rsid w:val="00924C37"/>
    <w:rsid w:val="00930207"/>
    <w:rsid w:val="00933181"/>
    <w:rsid w:val="00941AAC"/>
    <w:rsid w:val="00942F56"/>
    <w:rsid w:val="00944574"/>
    <w:rsid w:val="009516C2"/>
    <w:rsid w:val="00952FE5"/>
    <w:rsid w:val="009544E6"/>
    <w:rsid w:val="0095461E"/>
    <w:rsid w:val="00957678"/>
    <w:rsid w:val="009643DD"/>
    <w:rsid w:val="00965AA1"/>
    <w:rsid w:val="00966821"/>
    <w:rsid w:val="0097044D"/>
    <w:rsid w:val="009712D3"/>
    <w:rsid w:val="009722EC"/>
    <w:rsid w:val="009724EE"/>
    <w:rsid w:val="00977549"/>
    <w:rsid w:val="009809B1"/>
    <w:rsid w:val="00982FE1"/>
    <w:rsid w:val="00983491"/>
    <w:rsid w:val="009867DD"/>
    <w:rsid w:val="00994D26"/>
    <w:rsid w:val="00995308"/>
    <w:rsid w:val="009A24A8"/>
    <w:rsid w:val="009A2C92"/>
    <w:rsid w:val="009A50E0"/>
    <w:rsid w:val="009B0F51"/>
    <w:rsid w:val="009B276D"/>
    <w:rsid w:val="009B5CA7"/>
    <w:rsid w:val="009B67D2"/>
    <w:rsid w:val="009B6A00"/>
    <w:rsid w:val="009C6038"/>
    <w:rsid w:val="009D7160"/>
    <w:rsid w:val="009D7AC3"/>
    <w:rsid w:val="009E00B5"/>
    <w:rsid w:val="009E0CC3"/>
    <w:rsid w:val="009E1A25"/>
    <w:rsid w:val="009E5D21"/>
    <w:rsid w:val="009F1C08"/>
    <w:rsid w:val="009F3AB3"/>
    <w:rsid w:val="009F547C"/>
    <w:rsid w:val="00A0020E"/>
    <w:rsid w:val="00A0133B"/>
    <w:rsid w:val="00A03B03"/>
    <w:rsid w:val="00A03E14"/>
    <w:rsid w:val="00A10EC9"/>
    <w:rsid w:val="00A13290"/>
    <w:rsid w:val="00A1526C"/>
    <w:rsid w:val="00A15B4A"/>
    <w:rsid w:val="00A15E03"/>
    <w:rsid w:val="00A161EA"/>
    <w:rsid w:val="00A17066"/>
    <w:rsid w:val="00A218B6"/>
    <w:rsid w:val="00A21DE1"/>
    <w:rsid w:val="00A23C2F"/>
    <w:rsid w:val="00A24FFB"/>
    <w:rsid w:val="00A277E3"/>
    <w:rsid w:val="00A40613"/>
    <w:rsid w:val="00A413E4"/>
    <w:rsid w:val="00A439EB"/>
    <w:rsid w:val="00A44B70"/>
    <w:rsid w:val="00A45DED"/>
    <w:rsid w:val="00A51276"/>
    <w:rsid w:val="00A51979"/>
    <w:rsid w:val="00A5699C"/>
    <w:rsid w:val="00A60201"/>
    <w:rsid w:val="00A60246"/>
    <w:rsid w:val="00A60A8F"/>
    <w:rsid w:val="00A6219D"/>
    <w:rsid w:val="00A624F3"/>
    <w:rsid w:val="00A6680D"/>
    <w:rsid w:val="00A675E0"/>
    <w:rsid w:val="00A712C7"/>
    <w:rsid w:val="00A776C4"/>
    <w:rsid w:val="00A77EBE"/>
    <w:rsid w:val="00A8024A"/>
    <w:rsid w:val="00A8202C"/>
    <w:rsid w:val="00A83D53"/>
    <w:rsid w:val="00A841AB"/>
    <w:rsid w:val="00A916E1"/>
    <w:rsid w:val="00A9297F"/>
    <w:rsid w:val="00A92DEB"/>
    <w:rsid w:val="00AA52A8"/>
    <w:rsid w:val="00AA5AD2"/>
    <w:rsid w:val="00AB225D"/>
    <w:rsid w:val="00AB68F0"/>
    <w:rsid w:val="00AB7499"/>
    <w:rsid w:val="00AB7713"/>
    <w:rsid w:val="00AC1A86"/>
    <w:rsid w:val="00AC2926"/>
    <w:rsid w:val="00AC2B69"/>
    <w:rsid w:val="00AC51BE"/>
    <w:rsid w:val="00AD0EAE"/>
    <w:rsid w:val="00AD3748"/>
    <w:rsid w:val="00AD6C95"/>
    <w:rsid w:val="00AD7C4D"/>
    <w:rsid w:val="00AE4DC4"/>
    <w:rsid w:val="00AE664C"/>
    <w:rsid w:val="00AF1DF6"/>
    <w:rsid w:val="00AF3105"/>
    <w:rsid w:val="00AF3291"/>
    <w:rsid w:val="00AF77E7"/>
    <w:rsid w:val="00AF7CFE"/>
    <w:rsid w:val="00B00034"/>
    <w:rsid w:val="00B009C4"/>
    <w:rsid w:val="00B0132F"/>
    <w:rsid w:val="00B016A5"/>
    <w:rsid w:val="00B01ECF"/>
    <w:rsid w:val="00B03C9F"/>
    <w:rsid w:val="00B1086D"/>
    <w:rsid w:val="00B10E17"/>
    <w:rsid w:val="00B126C4"/>
    <w:rsid w:val="00B12FE2"/>
    <w:rsid w:val="00B14D07"/>
    <w:rsid w:val="00B17CEE"/>
    <w:rsid w:val="00B20AB3"/>
    <w:rsid w:val="00B220BA"/>
    <w:rsid w:val="00B22FB6"/>
    <w:rsid w:val="00B2391B"/>
    <w:rsid w:val="00B30CC0"/>
    <w:rsid w:val="00B355F6"/>
    <w:rsid w:val="00B42A75"/>
    <w:rsid w:val="00B43C6E"/>
    <w:rsid w:val="00B45E0A"/>
    <w:rsid w:val="00B47724"/>
    <w:rsid w:val="00B50FFB"/>
    <w:rsid w:val="00B547D0"/>
    <w:rsid w:val="00B57764"/>
    <w:rsid w:val="00B651A5"/>
    <w:rsid w:val="00B6550F"/>
    <w:rsid w:val="00B65F90"/>
    <w:rsid w:val="00B751B8"/>
    <w:rsid w:val="00B76960"/>
    <w:rsid w:val="00B838DC"/>
    <w:rsid w:val="00B83A89"/>
    <w:rsid w:val="00B84F20"/>
    <w:rsid w:val="00B8501E"/>
    <w:rsid w:val="00B86D0E"/>
    <w:rsid w:val="00B927B5"/>
    <w:rsid w:val="00B94436"/>
    <w:rsid w:val="00BA24E1"/>
    <w:rsid w:val="00BA6B83"/>
    <w:rsid w:val="00BB0A8B"/>
    <w:rsid w:val="00BB6678"/>
    <w:rsid w:val="00BC1566"/>
    <w:rsid w:val="00BC3318"/>
    <w:rsid w:val="00BC3C41"/>
    <w:rsid w:val="00BC6185"/>
    <w:rsid w:val="00BC6CB6"/>
    <w:rsid w:val="00BD052D"/>
    <w:rsid w:val="00BD1CF9"/>
    <w:rsid w:val="00BD2D3E"/>
    <w:rsid w:val="00BD7825"/>
    <w:rsid w:val="00BE3107"/>
    <w:rsid w:val="00BE38C5"/>
    <w:rsid w:val="00BE3D52"/>
    <w:rsid w:val="00BE4737"/>
    <w:rsid w:val="00BE47F7"/>
    <w:rsid w:val="00BE4B8E"/>
    <w:rsid w:val="00BE5A9F"/>
    <w:rsid w:val="00BE7E63"/>
    <w:rsid w:val="00BF13A2"/>
    <w:rsid w:val="00BF2E0A"/>
    <w:rsid w:val="00BF499E"/>
    <w:rsid w:val="00BF7436"/>
    <w:rsid w:val="00C00F3C"/>
    <w:rsid w:val="00C034B7"/>
    <w:rsid w:val="00C04CA7"/>
    <w:rsid w:val="00C052E6"/>
    <w:rsid w:val="00C10205"/>
    <w:rsid w:val="00C12173"/>
    <w:rsid w:val="00C15314"/>
    <w:rsid w:val="00C17E95"/>
    <w:rsid w:val="00C22754"/>
    <w:rsid w:val="00C23AB3"/>
    <w:rsid w:val="00C26024"/>
    <w:rsid w:val="00C269A5"/>
    <w:rsid w:val="00C2771D"/>
    <w:rsid w:val="00C3192D"/>
    <w:rsid w:val="00C31EC0"/>
    <w:rsid w:val="00C326EF"/>
    <w:rsid w:val="00C33745"/>
    <w:rsid w:val="00C34654"/>
    <w:rsid w:val="00C372DD"/>
    <w:rsid w:val="00C375C0"/>
    <w:rsid w:val="00C41E85"/>
    <w:rsid w:val="00C4384B"/>
    <w:rsid w:val="00C44633"/>
    <w:rsid w:val="00C516ED"/>
    <w:rsid w:val="00C52528"/>
    <w:rsid w:val="00C5349F"/>
    <w:rsid w:val="00C5425F"/>
    <w:rsid w:val="00C572C8"/>
    <w:rsid w:val="00C60DCD"/>
    <w:rsid w:val="00C62061"/>
    <w:rsid w:val="00C663BB"/>
    <w:rsid w:val="00C66D26"/>
    <w:rsid w:val="00C70EF1"/>
    <w:rsid w:val="00C71F11"/>
    <w:rsid w:val="00C766F2"/>
    <w:rsid w:val="00C86B4D"/>
    <w:rsid w:val="00C9002D"/>
    <w:rsid w:val="00C9263A"/>
    <w:rsid w:val="00CA1497"/>
    <w:rsid w:val="00CA310D"/>
    <w:rsid w:val="00CA5EC7"/>
    <w:rsid w:val="00CB0640"/>
    <w:rsid w:val="00CB1C6F"/>
    <w:rsid w:val="00CB21E5"/>
    <w:rsid w:val="00CB2F7A"/>
    <w:rsid w:val="00CB3589"/>
    <w:rsid w:val="00CB42C3"/>
    <w:rsid w:val="00CB4750"/>
    <w:rsid w:val="00CB5F9E"/>
    <w:rsid w:val="00CB6214"/>
    <w:rsid w:val="00CB6748"/>
    <w:rsid w:val="00CB6993"/>
    <w:rsid w:val="00CB77B3"/>
    <w:rsid w:val="00CC0EA6"/>
    <w:rsid w:val="00CC7AA6"/>
    <w:rsid w:val="00CC7FA7"/>
    <w:rsid w:val="00CD489D"/>
    <w:rsid w:val="00CD5903"/>
    <w:rsid w:val="00CD65AA"/>
    <w:rsid w:val="00CD73B2"/>
    <w:rsid w:val="00CE01A2"/>
    <w:rsid w:val="00CE15A2"/>
    <w:rsid w:val="00CE4B99"/>
    <w:rsid w:val="00CF0BF8"/>
    <w:rsid w:val="00CF1039"/>
    <w:rsid w:val="00CF17DE"/>
    <w:rsid w:val="00CF22DE"/>
    <w:rsid w:val="00CF7FC2"/>
    <w:rsid w:val="00D0484A"/>
    <w:rsid w:val="00D07E06"/>
    <w:rsid w:val="00D11CB2"/>
    <w:rsid w:val="00D137B9"/>
    <w:rsid w:val="00D167A2"/>
    <w:rsid w:val="00D20F6C"/>
    <w:rsid w:val="00D21DD2"/>
    <w:rsid w:val="00D258A2"/>
    <w:rsid w:val="00D2644E"/>
    <w:rsid w:val="00D266A2"/>
    <w:rsid w:val="00D40E5A"/>
    <w:rsid w:val="00D413EF"/>
    <w:rsid w:val="00D46876"/>
    <w:rsid w:val="00D46CED"/>
    <w:rsid w:val="00D47178"/>
    <w:rsid w:val="00D474AB"/>
    <w:rsid w:val="00D50349"/>
    <w:rsid w:val="00D50593"/>
    <w:rsid w:val="00D52173"/>
    <w:rsid w:val="00D52F2C"/>
    <w:rsid w:val="00D56D16"/>
    <w:rsid w:val="00D6039D"/>
    <w:rsid w:val="00D606F1"/>
    <w:rsid w:val="00D61D73"/>
    <w:rsid w:val="00D63D3F"/>
    <w:rsid w:val="00D646D5"/>
    <w:rsid w:val="00D65004"/>
    <w:rsid w:val="00D655D9"/>
    <w:rsid w:val="00D66BCE"/>
    <w:rsid w:val="00D767E5"/>
    <w:rsid w:val="00D81B97"/>
    <w:rsid w:val="00D82C66"/>
    <w:rsid w:val="00D832EA"/>
    <w:rsid w:val="00D9025D"/>
    <w:rsid w:val="00D90952"/>
    <w:rsid w:val="00D90EFF"/>
    <w:rsid w:val="00D919DF"/>
    <w:rsid w:val="00D95213"/>
    <w:rsid w:val="00D9645F"/>
    <w:rsid w:val="00D96D94"/>
    <w:rsid w:val="00DA4375"/>
    <w:rsid w:val="00DA4977"/>
    <w:rsid w:val="00DA5B9E"/>
    <w:rsid w:val="00DB08CE"/>
    <w:rsid w:val="00DB0AE9"/>
    <w:rsid w:val="00DB30CE"/>
    <w:rsid w:val="00DB49F5"/>
    <w:rsid w:val="00DB6F2C"/>
    <w:rsid w:val="00DC59C1"/>
    <w:rsid w:val="00DD39F1"/>
    <w:rsid w:val="00DD56DB"/>
    <w:rsid w:val="00DE3106"/>
    <w:rsid w:val="00DE3256"/>
    <w:rsid w:val="00DF2E09"/>
    <w:rsid w:val="00DF35CC"/>
    <w:rsid w:val="00DF729F"/>
    <w:rsid w:val="00E02127"/>
    <w:rsid w:val="00E021B5"/>
    <w:rsid w:val="00E0239B"/>
    <w:rsid w:val="00E04E8A"/>
    <w:rsid w:val="00E05A32"/>
    <w:rsid w:val="00E070FA"/>
    <w:rsid w:val="00E07802"/>
    <w:rsid w:val="00E106E5"/>
    <w:rsid w:val="00E116FC"/>
    <w:rsid w:val="00E12344"/>
    <w:rsid w:val="00E12C11"/>
    <w:rsid w:val="00E14095"/>
    <w:rsid w:val="00E15F74"/>
    <w:rsid w:val="00E22105"/>
    <w:rsid w:val="00E22E6E"/>
    <w:rsid w:val="00E26535"/>
    <w:rsid w:val="00E347EF"/>
    <w:rsid w:val="00E356B6"/>
    <w:rsid w:val="00E36B17"/>
    <w:rsid w:val="00E376E4"/>
    <w:rsid w:val="00E37E88"/>
    <w:rsid w:val="00E5193E"/>
    <w:rsid w:val="00E5288B"/>
    <w:rsid w:val="00E53192"/>
    <w:rsid w:val="00E53F68"/>
    <w:rsid w:val="00E56EE2"/>
    <w:rsid w:val="00E609C2"/>
    <w:rsid w:val="00E614D3"/>
    <w:rsid w:val="00E63187"/>
    <w:rsid w:val="00E63E5C"/>
    <w:rsid w:val="00E65FC1"/>
    <w:rsid w:val="00E6725C"/>
    <w:rsid w:val="00E71A08"/>
    <w:rsid w:val="00E73C13"/>
    <w:rsid w:val="00E8600C"/>
    <w:rsid w:val="00E903BB"/>
    <w:rsid w:val="00E91FE2"/>
    <w:rsid w:val="00E928CF"/>
    <w:rsid w:val="00EA0148"/>
    <w:rsid w:val="00EA0EDD"/>
    <w:rsid w:val="00EA112D"/>
    <w:rsid w:val="00EA1DD7"/>
    <w:rsid w:val="00EA541A"/>
    <w:rsid w:val="00EA5B90"/>
    <w:rsid w:val="00EA6B23"/>
    <w:rsid w:val="00EA7D41"/>
    <w:rsid w:val="00EB119C"/>
    <w:rsid w:val="00EB7AB5"/>
    <w:rsid w:val="00EC04F4"/>
    <w:rsid w:val="00EC06E5"/>
    <w:rsid w:val="00EC0D9D"/>
    <w:rsid w:val="00EC3829"/>
    <w:rsid w:val="00EC40E2"/>
    <w:rsid w:val="00EC5DAC"/>
    <w:rsid w:val="00EC6F25"/>
    <w:rsid w:val="00ED2FD1"/>
    <w:rsid w:val="00ED6D32"/>
    <w:rsid w:val="00EE2B2D"/>
    <w:rsid w:val="00EE4410"/>
    <w:rsid w:val="00EE5205"/>
    <w:rsid w:val="00EE749A"/>
    <w:rsid w:val="00EF18E9"/>
    <w:rsid w:val="00EF30D5"/>
    <w:rsid w:val="00EF359F"/>
    <w:rsid w:val="00EF52A5"/>
    <w:rsid w:val="00F002B6"/>
    <w:rsid w:val="00F16C02"/>
    <w:rsid w:val="00F17AA2"/>
    <w:rsid w:val="00F210C1"/>
    <w:rsid w:val="00F22086"/>
    <w:rsid w:val="00F246AC"/>
    <w:rsid w:val="00F25DDE"/>
    <w:rsid w:val="00F272D8"/>
    <w:rsid w:val="00F307F2"/>
    <w:rsid w:val="00F378E8"/>
    <w:rsid w:val="00F43AF9"/>
    <w:rsid w:val="00F43B0B"/>
    <w:rsid w:val="00F51818"/>
    <w:rsid w:val="00F51F8B"/>
    <w:rsid w:val="00F543B0"/>
    <w:rsid w:val="00F5468D"/>
    <w:rsid w:val="00F54F4C"/>
    <w:rsid w:val="00F5686D"/>
    <w:rsid w:val="00F61EF8"/>
    <w:rsid w:val="00F650E3"/>
    <w:rsid w:val="00F8023C"/>
    <w:rsid w:val="00F85128"/>
    <w:rsid w:val="00F94AD7"/>
    <w:rsid w:val="00F962F2"/>
    <w:rsid w:val="00F96607"/>
    <w:rsid w:val="00F97391"/>
    <w:rsid w:val="00FA0CE7"/>
    <w:rsid w:val="00FA16D6"/>
    <w:rsid w:val="00FA1755"/>
    <w:rsid w:val="00FA66E8"/>
    <w:rsid w:val="00FA6D9E"/>
    <w:rsid w:val="00FA7695"/>
    <w:rsid w:val="00FB46B4"/>
    <w:rsid w:val="00FC372B"/>
    <w:rsid w:val="00FC3EF2"/>
    <w:rsid w:val="00FD0BD4"/>
    <w:rsid w:val="00FD436F"/>
    <w:rsid w:val="00FD781D"/>
    <w:rsid w:val="00FE08F8"/>
    <w:rsid w:val="00FE6CAC"/>
    <w:rsid w:val="00FE71AD"/>
    <w:rsid w:val="00FF1457"/>
    <w:rsid w:val="00FF2370"/>
    <w:rsid w:val="00FF2DF8"/>
    <w:rsid w:val="00FF4AFC"/>
    <w:rsid w:val="00FF5909"/>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F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645D01"/>
    <w:rPr>
      <w:rFonts w:ascii="Segoe UI" w:hAnsi="Segoe UI" w:cs="Segoe UI"/>
      <w:sz w:val="18"/>
      <w:szCs w:val="18"/>
    </w:rPr>
  </w:style>
  <w:style w:type="character" w:customStyle="1" w:styleId="BalloonTextChar">
    <w:name w:val="Balloon Text Char"/>
    <w:basedOn w:val="DefaultParagraphFont"/>
    <w:link w:val="BalloonText"/>
    <w:rsid w:val="00645D01"/>
    <w:rPr>
      <w:rFonts w:ascii="Segoe UI" w:hAnsi="Segoe UI" w:cs="Segoe UI"/>
      <w:sz w:val="18"/>
      <w:szCs w:val="18"/>
    </w:rPr>
  </w:style>
  <w:style w:type="paragraph" w:styleId="Revision">
    <w:name w:val="Revision"/>
    <w:hidden/>
    <w:uiPriority w:val="99"/>
    <w:semiHidden/>
    <w:rsid w:val="00EA7D41"/>
    <w:rPr>
      <w:rFonts w:ascii="Palatino" w:hAnsi="Palatino"/>
      <w:sz w:val="26"/>
    </w:rPr>
  </w:style>
  <w:style w:type="character" w:styleId="CommentReference">
    <w:name w:val="annotation reference"/>
    <w:basedOn w:val="DefaultParagraphFont"/>
    <w:semiHidden/>
    <w:unhideWhenUsed/>
    <w:rsid w:val="00EA7D41"/>
    <w:rPr>
      <w:sz w:val="16"/>
      <w:szCs w:val="16"/>
    </w:rPr>
  </w:style>
  <w:style w:type="paragraph" w:styleId="CommentText">
    <w:name w:val="annotation text"/>
    <w:basedOn w:val="Normal"/>
    <w:link w:val="CommentTextChar"/>
    <w:unhideWhenUsed/>
    <w:rsid w:val="00EA7D41"/>
    <w:rPr>
      <w:sz w:val="20"/>
    </w:rPr>
  </w:style>
  <w:style w:type="character" w:customStyle="1" w:styleId="CommentTextChar">
    <w:name w:val="Comment Text Char"/>
    <w:basedOn w:val="DefaultParagraphFont"/>
    <w:link w:val="CommentText"/>
    <w:rsid w:val="00EA7D41"/>
    <w:rPr>
      <w:rFonts w:ascii="Palatino" w:hAnsi="Palatino"/>
    </w:rPr>
  </w:style>
  <w:style w:type="paragraph" w:styleId="CommentSubject">
    <w:name w:val="annotation subject"/>
    <w:basedOn w:val="CommentText"/>
    <w:next w:val="CommentText"/>
    <w:link w:val="CommentSubjectChar"/>
    <w:semiHidden/>
    <w:unhideWhenUsed/>
    <w:rsid w:val="00EA7D41"/>
    <w:rPr>
      <w:b/>
      <w:bCs/>
    </w:rPr>
  </w:style>
  <w:style w:type="character" w:customStyle="1" w:styleId="CommentSubjectChar">
    <w:name w:val="Comment Subject Char"/>
    <w:basedOn w:val="CommentTextChar"/>
    <w:link w:val="CommentSubject"/>
    <w:semiHidden/>
    <w:rsid w:val="00EA7D41"/>
    <w:rPr>
      <w:rFonts w:ascii="Palatino" w:hAnsi="Palatino"/>
      <w:b/>
      <w:bCs/>
    </w:rPr>
  </w:style>
  <w:style w:type="character" w:customStyle="1" w:styleId="Heading1Char">
    <w:name w:val="Heading 1 Char"/>
    <w:basedOn w:val="DefaultParagraphFont"/>
    <w:link w:val="Heading1"/>
    <w:rsid w:val="00CB6214"/>
    <w:rPr>
      <w:rFonts w:ascii="Helvetica" w:hAnsi="Helvetica"/>
      <w:b/>
      <w:caps/>
      <w:kern w:val="28"/>
      <w:sz w:val="26"/>
      <w:u w:val="single"/>
    </w:rPr>
  </w:style>
  <w:style w:type="character" w:customStyle="1" w:styleId="FootnoteTextChar">
    <w:name w:val="Footnote Text Char"/>
    <w:basedOn w:val="DefaultParagraphFont"/>
    <w:link w:val="FootnoteText"/>
    <w:semiHidden/>
    <w:rsid w:val="007C2C49"/>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7364099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0997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54e51f54-eda4-4cfd-b605-514d0435dd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F171DAE0FF8C4AA02C51A3215E4507" ma:contentTypeVersion="9" ma:contentTypeDescription="Create a new document." ma:contentTypeScope="" ma:versionID="b0620de8cb7d0a79115cb4999ebf9ba2">
  <xsd:schema xmlns:xsd="http://www.w3.org/2001/XMLSchema" xmlns:xs="http://www.w3.org/2001/XMLSchema" xmlns:p="http://schemas.microsoft.com/office/2006/metadata/properties" xmlns:ns2="54e51f54-eda4-4cfd-b605-514d0435dde5" xmlns:ns3="3f3cf13e-d741-429d-a0f2-c1032868b937" targetNamespace="http://schemas.microsoft.com/office/2006/metadata/properties" ma:root="true" ma:fieldsID="d7e1d581a0a58ea2d66260b10d8aa06e" ns2:_="" ns3:_="">
    <xsd:import namespace="54e51f54-eda4-4cfd-b605-514d0435dde5"/>
    <xsd:import namespace="3f3cf13e-d741-429d-a0f2-c1032868b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1f54-eda4-4cfd-b605-514d0435d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andTime" ma:index="16"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3cf13e-d741-429d-a0f2-c1032868b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4D3C3-7B8C-4BEB-809F-7B8EE96D5370}">
  <ds:schemaRefs>
    <ds:schemaRef ds:uri="http://schemas.microsoft.com/office/2006/metadata/properties"/>
    <ds:schemaRef ds:uri="http://schemas.microsoft.com/office/infopath/2007/PartnerControls"/>
    <ds:schemaRef ds:uri="54e51f54-eda4-4cfd-b605-514d0435dde5"/>
  </ds:schemaRefs>
</ds:datastoreItem>
</file>

<file path=customXml/itemProps2.xml><?xml version="1.0" encoding="utf-8"?>
<ds:datastoreItem xmlns:ds="http://schemas.openxmlformats.org/officeDocument/2006/customXml" ds:itemID="{6D59D2EA-BCBE-4DE2-8299-28E5BE402CDA}">
  <ds:schemaRefs>
    <ds:schemaRef ds:uri="http://schemas.microsoft.com/sharepoint/v3/contenttype/forms"/>
  </ds:schemaRefs>
</ds:datastoreItem>
</file>

<file path=customXml/itemProps3.xml><?xml version="1.0" encoding="utf-8"?>
<ds:datastoreItem xmlns:ds="http://schemas.openxmlformats.org/officeDocument/2006/customXml" ds:itemID="{A5F07E40-6A40-4427-9FED-536B919117DA}">
  <ds:schemaRefs>
    <ds:schemaRef ds:uri="http://schemas.openxmlformats.org/officeDocument/2006/bibliography"/>
  </ds:schemaRefs>
</ds:datastoreItem>
</file>

<file path=customXml/itemProps4.xml><?xml version="1.0" encoding="utf-8"?>
<ds:datastoreItem xmlns:ds="http://schemas.openxmlformats.org/officeDocument/2006/customXml" ds:itemID="{7380C1DC-E8CD-42C9-89BA-B9BBF5994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51f54-eda4-4cfd-b605-514d0435dde5"/>
    <ds:schemaRef ds:uri="3f3cf13e-d741-429d-a0f2-c1032868b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3050</ap:Words>
  <ap:Characters>17917</ap:Characters>
  <ap:Application>Microsoft Office Word</ap:Application>
  <ap:DocSecurity>0</ap:DocSecurity>
  <ap:Lines>149</ap:Lines>
  <ap:Paragraphs>41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20926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2000-06-01T18:55:00Z</cp:lastPrinted>
  <dcterms:created xsi:type="dcterms:W3CDTF">2022-01-20T11:24:24Z</dcterms:created>
  <dcterms:modified xsi:type="dcterms:W3CDTF">2022-01-20T11:24:24Z</dcterms:modified>
</cp:coreProperties>
</file>