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3B1A" w:rsidP="00F061A0" w:rsidRDefault="00F061A0" w14:paraId="400B92C2" w14:textId="5928C784">
      <w:pPr>
        <w:tabs>
          <w:tab w:val="center" w:pos="4680"/>
          <w:tab w:val="right" w:pos="9360"/>
        </w:tabs>
        <w:suppressAutoHyphens/>
      </w:pPr>
      <w:r>
        <w:t>ALJ/DBB/</w:t>
      </w:r>
      <w:r w:rsidRPr="00924736" w:rsidR="00947C7E">
        <w:t>AN4</w:t>
      </w:r>
      <w:r w:rsidR="00947C7E">
        <w:t>/</w:t>
      </w:r>
      <w:r>
        <w:t>nd3</w:t>
      </w:r>
      <w:r>
        <w:tab/>
      </w:r>
      <w:r w:rsidRPr="00F061A0">
        <w:rPr>
          <w:b/>
          <w:bCs/>
        </w:rPr>
        <w:t>PROPOSED DECISION</w:t>
      </w:r>
      <w:r w:rsidRPr="00F061A0">
        <w:rPr>
          <w:b/>
          <w:bCs/>
        </w:rPr>
        <w:tab/>
        <w:t>Agenda ID #</w:t>
      </w:r>
      <w:r w:rsidRPr="00CE2A71" w:rsidR="00CE2A71">
        <w:rPr>
          <w:rFonts w:ascii="Book Antiqua" w:hAnsi="Book Antiqua"/>
          <w:b/>
          <w:szCs w:val="20"/>
        </w:rPr>
        <w:t>20209</w:t>
      </w:r>
      <w:r w:rsidR="00A704E0">
        <w:rPr>
          <w:rFonts w:ascii="Book Antiqua" w:hAnsi="Book Antiqua"/>
          <w:b/>
          <w:szCs w:val="20"/>
        </w:rPr>
        <w:t xml:space="preserve"> (Rev.1)</w:t>
      </w:r>
    </w:p>
    <w:p w:rsidR="00F061A0" w:rsidP="00C86EEC" w:rsidRDefault="00C86EEC" w14:paraId="1ADC1EFB" w14:textId="07C06AEE">
      <w:pPr>
        <w:suppressAutoHyphens/>
        <w:jc w:val="right"/>
        <w:rPr>
          <w:b/>
          <w:bCs/>
        </w:rPr>
      </w:pPr>
      <w:r w:rsidRPr="00C86EEC">
        <w:rPr>
          <w:b/>
          <w:bCs/>
        </w:rPr>
        <w:t>Ratesetting</w:t>
      </w:r>
    </w:p>
    <w:p w:rsidRPr="00C86EEC" w:rsidR="00A704E0" w:rsidP="00C86EEC" w:rsidRDefault="00A704E0" w14:paraId="7BD2D1FF" w14:textId="62125C10">
      <w:pPr>
        <w:suppressAutoHyphens/>
        <w:jc w:val="right"/>
        <w:rPr>
          <w:b/>
          <w:bCs/>
        </w:rPr>
      </w:pPr>
      <w:r>
        <w:rPr>
          <w:b/>
          <w:bCs/>
        </w:rPr>
        <w:t xml:space="preserve">1/27/2022 </w:t>
      </w:r>
      <w:r w:rsidR="008B24BA">
        <w:rPr>
          <w:b/>
          <w:bCs/>
        </w:rPr>
        <w:t xml:space="preserve"> </w:t>
      </w:r>
      <w:r>
        <w:rPr>
          <w:b/>
          <w:bCs/>
        </w:rPr>
        <w:t>Item #14</w:t>
      </w:r>
    </w:p>
    <w:p w:rsidR="00C86EEC" w:rsidP="008738CA" w:rsidRDefault="00C86EEC" w14:paraId="70D48428" w14:textId="77777777">
      <w:pPr>
        <w:suppressAutoHyphens/>
      </w:pPr>
    </w:p>
    <w:p w:rsidR="001C3B1A" w:rsidP="008738CA" w:rsidRDefault="001C3B1A" w14:paraId="7360DCEC" w14:textId="77777777">
      <w:pPr>
        <w:suppressAutoHyphens/>
      </w:pPr>
    </w:p>
    <w:p w:rsidRPr="00BF0CB9" w:rsidR="00303977" w:rsidP="00303977" w:rsidRDefault="00A92D0B" w14:paraId="464345B5" w14:textId="3FBB65FA">
      <w:pPr>
        <w:suppressAutoHyphens/>
        <w:rPr>
          <w:b/>
          <w:bCs/>
          <w:u w:val="single"/>
        </w:rPr>
      </w:pPr>
      <w:r w:rsidRPr="008716FB">
        <w:t xml:space="preserve">Decision </w:t>
      </w:r>
      <w:r w:rsidRPr="00BF0CB9" w:rsidR="00303977">
        <w:rPr>
          <w:b/>
          <w:bCs/>
          <w:u w:val="single"/>
        </w:rPr>
        <w:t xml:space="preserve">PROPOSED DECISION OF ALJ </w:t>
      </w:r>
      <w:r w:rsidR="00303977">
        <w:rPr>
          <w:b/>
          <w:bCs/>
          <w:u w:val="single"/>
        </w:rPr>
        <w:t xml:space="preserve">CHIV AND </w:t>
      </w:r>
      <w:r w:rsidR="006A3763">
        <w:rPr>
          <w:b/>
          <w:bCs/>
          <w:u w:val="single"/>
        </w:rPr>
        <w:t>ALJ NOJAN</w:t>
      </w:r>
      <w:r w:rsidRPr="00BF0CB9" w:rsidR="00303977">
        <w:rPr>
          <w:b/>
          <w:bCs/>
          <w:u w:val="single"/>
        </w:rPr>
        <w:t xml:space="preserve"> (Mailed </w:t>
      </w:r>
      <w:r w:rsidR="00CE2A71">
        <w:rPr>
          <w:b/>
          <w:bCs/>
          <w:u w:val="single"/>
        </w:rPr>
        <w:t>12</w:t>
      </w:r>
      <w:r w:rsidRPr="00BF0CB9" w:rsidR="00303977">
        <w:rPr>
          <w:b/>
          <w:bCs/>
          <w:u w:val="single"/>
        </w:rPr>
        <w:t>/</w:t>
      </w:r>
      <w:r w:rsidR="00CE2A71">
        <w:rPr>
          <w:b/>
          <w:bCs/>
          <w:u w:val="single"/>
        </w:rPr>
        <w:t>24</w:t>
      </w:r>
      <w:r w:rsidRPr="00BF0CB9" w:rsidR="00303977">
        <w:rPr>
          <w:b/>
          <w:bCs/>
          <w:u w:val="single"/>
        </w:rPr>
        <w:t xml:space="preserve">/2021) </w:t>
      </w:r>
    </w:p>
    <w:p w:rsidRPr="008716FB" w:rsidR="00A92D0B" w:rsidP="008738CA" w:rsidRDefault="00A92D0B" w14:paraId="6D327C87" w14:textId="77777777">
      <w:pPr>
        <w:pStyle w:val="titlebar"/>
        <w:rPr>
          <w:rFonts w:ascii="Times New Roman" w:hAnsi="Times New Roman"/>
          <w:sz w:val="24"/>
          <w:szCs w:val="24"/>
        </w:rPr>
      </w:pPr>
    </w:p>
    <w:p w:rsidRPr="008716FB" w:rsidR="00A92D0B" w:rsidP="008738CA" w:rsidRDefault="00A92D0B" w14:paraId="44E03231" w14:textId="77777777">
      <w:pPr>
        <w:pStyle w:val="titlebar"/>
        <w:rPr>
          <w:rFonts w:ascii="Times New Roman" w:hAnsi="Times New Roman"/>
          <w:sz w:val="24"/>
          <w:szCs w:val="24"/>
        </w:rPr>
      </w:pPr>
    </w:p>
    <w:p w:rsidRPr="008716FB" w:rsidR="00A92D0B" w:rsidP="008738CA" w:rsidRDefault="00A92D0B" w14:paraId="67F2520C" w14:textId="77777777">
      <w:pPr>
        <w:pStyle w:val="titlebar"/>
        <w:rPr>
          <w:rFonts w:ascii="Arial" w:hAnsi="Arial"/>
          <w:sz w:val="24"/>
          <w:szCs w:val="24"/>
        </w:rPr>
      </w:pPr>
      <w:r w:rsidRPr="008716FB">
        <w:rPr>
          <w:rFonts w:ascii="Arial" w:hAnsi="Arial"/>
          <w:sz w:val="24"/>
          <w:szCs w:val="24"/>
        </w:rPr>
        <w:t>BEFORE THE PUBLIC UTILITIES COMMISSION OF THE STATE OF CALIFORNIA</w:t>
      </w:r>
    </w:p>
    <w:p w:rsidRPr="008716FB" w:rsidR="00A92D0B" w:rsidP="008738CA" w:rsidRDefault="00A92D0B" w14:paraId="564284CD" w14:textId="77777777">
      <w:pPr>
        <w:suppressAutoHyphens/>
      </w:pPr>
    </w:p>
    <w:tbl>
      <w:tblPr>
        <w:tblW w:w="9360" w:type="dxa"/>
        <w:shd w:val="clear" w:color="auto" w:fill="CCFFCC"/>
        <w:tblLayout w:type="fixed"/>
        <w:tblLook w:val="0000" w:firstRow="0" w:lastRow="0" w:firstColumn="0" w:lastColumn="0" w:noHBand="0" w:noVBand="0"/>
      </w:tblPr>
      <w:tblGrid>
        <w:gridCol w:w="4543"/>
        <w:gridCol w:w="4817"/>
      </w:tblGrid>
      <w:tr w:rsidRPr="008716FB" w:rsidR="001F6794" w:rsidTr="00361A97" w14:paraId="3942D7B4" w14:textId="77777777">
        <w:tc>
          <w:tcPr>
            <w:tcW w:w="4770" w:type="dxa"/>
            <w:tcBorders>
              <w:bottom w:val="single" w:color="auto" w:sz="4" w:space="0"/>
              <w:right w:val="single" w:color="auto" w:sz="4" w:space="0"/>
            </w:tcBorders>
            <w:shd w:val="clear" w:color="auto" w:fill="auto"/>
          </w:tcPr>
          <w:p w:rsidR="00A92D0B" w:rsidP="008738CA" w:rsidRDefault="006B393D" w14:paraId="201EF5E0" w14:textId="7DB373C2">
            <w:pPr>
              <w:tabs>
                <w:tab w:val="left" w:pos="1440"/>
                <w:tab w:val="left" w:pos="3600"/>
              </w:tabs>
            </w:pPr>
            <w:r w:rsidRPr="006B393D">
              <w:t>Order Instituting Rulemaking to Oversee the Resource Adequacy Program, Consider Program Refinements, and Establish Forward Resource Adequacy Procurement Obligations.</w:t>
            </w:r>
          </w:p>
          <w:p w:rsidRPr="008716FB" w:rsidR="001F6794" w:rsidP="008738CA" w:rsidRDefault="001F6794" w14:paraId="47850BD9" w14:textId="261C20B1">
            <w:pPr>
              <w:tabs>
                <w:tab w:val="left" w:pos="1440"/>
                <w:tab w:val="left" w:pos="3600"/>
              </w:tabs>
            </w:pPr>
          </w:p>
        </w:tc>
        <w:tc>
          <w:tcPr>
            <w:tcW w:w="5058" w:type="dxa"/>
            <w:tcBorders>
              <w:left w:val="single" w:color="auto" w:sz="4" w:space="0"/>
            </w:tcBorders>
            <w:shd w:val="clear" w:color="auto" w:fill="auto"/>
            <w:vAlign w:val="center"/>
          </w:tcPr>
          <w:p w:rsidRPr="008716FB" w:rsidR="00A92D0B" w:rsidP="008738CA" w:rsidRDefault="00932F66" w14:paraId="7EC7277D" w14:textId="33D99F6D">
            <w:pPr>
              <w:tabs>
                <w:tab w:val="left" w:pos="1440"/>
                <w:tab w:val="left" w:pos="3600"/>
              </w:tabs>
              <w:jc w:val="center"/>
            </w:pPr>
            <w:r w:rsidRPr="008716FB">
              <w:t>R</w:t>
            </w:r>
            <w:r w:rsidR="008D4244">
              <w:t xml:space="preserve">ulemaking </w:t>
            </w:r>
            <w:r w:rsidRPr="008716FB">
              <w:t>19</w:t>
            </w:r>
            <w:r w:rsidR="0092038A">
              <w:noBreakHyphen/>
            </w:r>
            <w:r w:rsidRPr="008716FB">
              <w:t>11</w:t>
            </w:r>
            <w:r w:rsidR="0092038A">
              <w:noBreakHyphen/>
            </w:r>
            <w:r w:rsidRPr="008716FB">
              <w:t>009</w:t>
            </w:r>
          </w:p>
        </w:tc>
      </w:tr>
    </w:tbl>
    <w:p w:rsidR="00FC72B7" w:rsidP="008738CA" w:rsidRDefault="00FC72B7" w14:paraId="5459E071" w14:textId="027475A6">
      <w:pPr>
        <w:jc w:val="center"/>
        <w:rPr>
          <w:b/>
        </w:rPr>
      </w:pPr>
    </w:p>
    <w:p w:rsidRPr="008716FB" w:rsidR="00617E5D" w:rsidP="008738CA" w:rsidRDefault="00617E5D" w14:paraId="48D21A2D" w14:textId="77777777">
      <w:pPr>
        <w:jc w:val="center"/>
        <w:rPr>
          <w:b/>
        </w:rPr>
      </w:pPr>
    </w:p>
    <w:p w:rsidRPr="008716FB" w:rsidR="00D070FB" w:rsidP="008738CA" w:rsidRDefault="00D070FB" w14:paraId="43292C7B" w14:textId="0569D41D">
      <w:pPr>
        <w:jc w:val="center"/>
        <w:rPr>
          <w:b/>
        </w:rPr>
      </w:pPr>
      <w:r w:rsidRPr="008716FB">
        <w:rPr>
          <w:b/>
        </w:rPr>
        <w:t>DECISION GRANTING COMPENSATION TO</w:t>
      </w:r>
    </w:p>
    <w:p w:rsidR="008D4244" w:rsidP="008738CA" w:rsidRDefault="00D070FB" w14:paraId="02F033CE" w14:textId="77777777">
      <w:pPr>
        <w:jc w:val="center"/>
        <w:rPr>
          <w:b/>
        </w:rPr>
      </w:pPr>
      <w:r w:rsidRPr="008716FB">
        <w:rPr>
          <w:b/>
        </w:rPr>
        <w:t xml:space="preserve">PROTECT OUR COMMUNITIES FOUNDATION </w:t>
      </w:r>
    </w:p>
    <w:p w:rsidRPr="008716FB" w:rsidR="00374FD1" w:rsidP="008738CA" w:rsidRDefault="00D070FB" w14:paraId="7DD45571" w14:textId="5F78E11D">
      <w:pPr>
        <w:jc w:val="center"/>
        <w:rPr>
          <w:b/>
        </w:rPr>
      </w:pPr>
      <w:r w:rsidRPr="008716FB">
        <w:rPr>
          <w:b/>
        </w:rPr>
        <w:t>FOR SUBSTANTIAL CONTRIBUTION TO DECISION 20</w:t>
      </w:r>
      <w:r w:rsidR="0092038A">
        <w:rPr>
          <w:b/>
        </w:rPr>
        <w:noBreakHyphen/>
      </w:r>
      <w:r w:rsidRPr="008716FB">
        <w:rPr>
          <w:b/>
        </w:rPr>
        <w:t>06</w:t>
      </w:r>
      <w:r w:rsidR="0092038A">
        <w:rPr>
          <w:b/>
        </w:rPr>
        <w:noBreakHyphen/>
      </w:r>
      <w:r w:rsidRPr="008716FB">
        <w:rPr>
          <w:b/>
        </w:rPr>
        <w:t>031</w:t>
      </w:r>
    </w:p>
    <w:p w:rsidRPr="008716FB" w:rsidR="00D070FB" w:rsidP="008738CA" w:rsidRDefault="00D070FB" w14:paraId="4680447A" w14:textId="77777777">
      <w:pPr>
        <w:jc w:val="center"/>
        <w:rPr>
          <w:b/>
          <w:shd w:val="clear" w:color="auto" w:fill="CCFFCC"/>
        </w:rPr>
      </w:pP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4585"/>
        <w:gridCol w:w="4775"/>
      </w:tblGrid>
      <w:tr w:rsidRPr="008716FB" w:rsidR="008716FB" w:rsidTr="004706D6" w14:paraId="0FE98F62" w14:textId="77777777">
        <w:tc>
          <w:tcPr>
            <w:tcW w:w="4585" w:type="dxa"/>
            <w:shd w:val="clear" w:color="auto" w:fill="auto"/>
          </w:tcPr>
          <w:p w:rsidRPr="008716FB" w:rsidR="00A92D0B" w:rsidP="00CE402F" w:rsidRDefault="005A63D4" w14:paraId="11570D4A" w14:textId="2246ABA9">
            <w:pPr>
              <w:tabs>
                <w:tab w:val="left" w:pos="1620"/>
                <w:tab w:val="right" w:pos="4500"/>
              </w:tabs>
            </w:pPr>
            <w:r w:rsidRPr="008716FB">
              <w:rPr>
                <w:b/>
              </w:rPr>
              <w:t>Intervenor</w:t>
            </w:r>
            <w:r w:rsidRPr="008716FB" w:rsidR="00F63C29">
              <w:rPr>
                <w:b/>
              </w:rPr>
              <w:t>:</w:t>
            </w:r>
            <w:r w:rsidRPr="008716FB" w:rsidR="00691528">
              <w:rPr>
                <w:b/>
              </w:rPr>
              <w:t xml:space="preserve"> </w:t>
            </w:r>
            <w:r w:rsidRPr="008716FB" w:rsidR="008B17C2">
              <w:t xml:space="preserve">The </w:t>
            </w:r>
            <w:r w:rsidRPr="008716FB" w:rsidR="00E23FE8">
              <w:t>Protect Our Communities Foundation</w:t>
            </w:r>
          </w:p>
        </w:tc>
        <w:tc>
          <w:tcPr>
            <w:tcW w:w="4775" w:type="dxa"/>
            <w:shd w:val="clear" w:color="auto" w:fill="auto"/>
          </w:tcPr>
          <w:p w:rsidRPr="008716FB" w:rsidR="00A92D0B" w:rsidP="00CE402F" w:rsidRDefault="00A92D0B" w14:paraId="53A584EE" w14:textId="3ACEB30F">
            <w:pPr>
              <w:tabs>
                <w:tab w:val="left" w:pos="1620"/>
                <w:tab w:val="right" w:pos="4500"/>
              </w:tabs>
              <w:rPr>
                <w:b/>
              </w:rPr>
            </w:pPr>
            <w:r w:rsidRPr="008716FB">
              <w:rPr>
                <w:b/>
              </w:rPr>
              <w:t>For contribution to D</w:t>
            </w:r>
            <w:r w:rsidRPr="008716FB" w:rsidR="00DE3A5D">
              <w:rPr>
                <w:b/>
              </w:rPr>
              <w:t xml:space="preserve">ecision (D.) </w:t>
            </w:r>
            <w:r w:rsidRPr="008716FB" w:rsidR="00812624">
              <w:rPr>
                <w:b/>
              </w:rPr>
              <w:t>20</w:t>
            </w:r>
            <w:r w:rsidR="0092038A">
              <w:rPr>
                <w:b/>
              </w:rPr>
              <w:noBreakHyphen/>
            </w:r>
            <w:r w:rsidRPr="008716FB" w:rsidR="00812624">
              <w:rPr>
                <w:b/>
              </w:rPr>
              <w:t>06</w:t>
            </w:r>
            <w:r w:rsidR="0092038A">
              <w:rPr>
                <w:b/>
              </w:rPr>
              <w:noBreakHyphen/>
            </w:r>
            <w:r w:rsidRPr="008716FB" w:rsidR="00812624">
              <w:rPr>
                <w:b/>
              </w:rPr>
              <w:t>031</w:t>
            </w:r>
          </w:p>
        </w:tc>
      </w:tr>
      <w:tr w:rsidRPr="008716FB" w:rsidR="008716FB" w:rsidTr="004706D6" w14:paraId="47003B8E" w14:textId="77777777">
        <w:tc>
          <w:tcPr>
            <w:tcW w:w="4585" w:type="dxa"/>
            <w:shd w:val="clear" w:color="auto" w:fill="auto"/>
          </w:tcPr>
          <w:p w:rsidRPr="008716FB" w:rsidR="00A92D0B" w:rsidP="00CE402F" w:rsidRDefault="00A92D0B" w14:paraId="0E2E4BD1" w14:textId="54B56341">
            <w:pPr>
              <w:tabs>
                <w:tab w:val="left" w:pos="1620"/>
                <w:tab w:val="right" w:pos="4500"/>
              </w:tabs>
              <w:rPr>
                <w:b/>
                <w:u w:val="single"/>
              </w:rPr>
            </w:pPr>
            <w:r w:rsidRPr="008716FB">
              <w:rPr>
                <w:b/>
              </w:rPr>
              <w:t>Claimed:</w:t>
            </w:r>
            <w:r w:rsidRPr="008716FB" w:rsidR="00F63C29">
              <w:rPr>
                <w:b/>
              </w:rPr>
              <w:t xml:space="preserve"> </w:t>
            </w:r>
            <w:r w:rsidRPr="008716FB" w:rsidR="002D21CA">
              <w:rPr>
                <w:b/>
              </w:rPr>
              <w:t xml:space="preserve"> </w:t>
            </w:r>
            <w:r w:rsidRPr="008716FB" w:rsidR="00FC72B7">
              <w:t>$</w:t>
            </w:r>
            <w:r w:rsidRPr="008716FB" w:rsidR="0097645A">
              <w:t>68,599.50</w:t>
            </w:r>
            <w:r w:rsidRPr="008716FB" w:rsidR="00A32DD4">
              <w:rPr>
                <w:rStyle w:val="FootnoteReference"/>
              </w:rPr>
              <w:footnoteReference w:id="1"/>
            </w:r>
          </w:p>
        </w:tc>
        <w:tc>
          <w:tcPr>
            <w:tcW w:w="4775" w:type="dxa"/>
            <w:tcBorders>
              <w:bottom w:val="single" w:color="auto" w:sz="4" w:space="0"/>
            </w:tcBorders>
            <w:shd w:val="clear" w:color="auto" w:fill="auto"/>
          </w:tcPr>
          <w:p w:rsidRPr="008716FB" w:rsidR="00A92D0B" w:rsidP="00CE402F" w:rsidRDefault="00A92D0B" w14:paraId="211F40A8" w14:textId="52596D01">
            <w:pPr>
              <w:tabs>
                <w:tab w:val="left" w:pos="1620"/>
                <w:tab w:val="right" w:pos="4500"/>
              </w:tabs>
              <w:rPr>
                <w:b/>
                <w:u w:val="single"/>
              </w:rPr>
            </w:pPr>
            <w:r w:rsidRPr="008716FB">
              <w:rPr>
                <w:b/>
              </w:rPr>
              <w:t>Awarded:</w:t>
            </w:r>
            <w:r w:rsidRPr="008716FB" w:rsidR="00FC72B7">
              <w:rPr>
                <w:b/>
              </w:rPr>
              <w:t xml:space="preserve">  </w:t>
            </w:r>
            <w:r w:rsidRPr="00F354A9" w:rsidR="00FC72B7">
              <w:rPr>
                <w:bCs/>
              </w:rPr>
              <w:t>$</w:t>
            </w:r>
            <w:r w:rsidRPr="00F50A15" w:rsidR="00DC39BD">
              <w:rPr>
                <w:bCs/>
                <w:iCs/>
              </w:rPr>
              <w:t>43,547.00</w:t>
            </w:r>
          </w:p>
        </w:tc>
      </w:tr>
      <w:tr w:rsidRPr="008716FB" w:rsidR="00361A97" w:rsidTr="004706D6" w14:paraId="5C56877D" w14:textId="77777777">
        <w:tc>
          <w:tcPr>
            <w:tcW w:w="4585" w:type="dxa"/>
            <w:shd w:val="clear" w:color="auto" w:fill="auto"/>
          </w:tcPr>
          <w:p w:rsidRPr="008716FB" w:rsidR="00A92D0B" w:rsidP="004706D6" w:rsidRDefault="00A92D0B" w14:paraId="6EF99E36" w14:textId="40C220A3">
            <w:pPr>
              <w:tabs>
                <w:tab w:val="left" w:pos="1620"/>
                <w:tab w:val="right" w:pos="4500"/>
              </w:tabs>
              <w:rPr>
                <w:u w:val="single"/>
              </w:rPr>
            </w:pPr>
            <w:r w:rsidRPr="008716FB">
              <w:rPr>
                <w:b/>
              </w:rPr>
              <w:t xml:space="preserve">Assigned Commissioner: </w:t>
            </w:r>
            <w:r w:rsidRPr="008716FB" w:rsidR="00581CC9">
              <w:t>Marybel Batjer</w:t>
            </w:r>
            <w:r w:rsidRPr="008716FB" w:rsidR="00581CC9">
              <w:rPr>
                <w:rStyle w:val="FootnoteReference"/>
              </w:rPr>
              <w:footnoteReference w:id="2"/>
            </w:r>
          </w:p>
        </w:tc>
        <w:tc>
          <w:tcPr>
            <w:tcW w:w="4775" w:type="dxa"/>
            <w:shd w:val="clear" w:color="auto" w:fill="auto"/>
          </w:tcPr>
          <w:p w:rsidRPr="008716FB" w:rsidR="0074615B" w:rsidP="00F354A9" w:rsidRDefault="00A92D0B" w14:paraId="79375F78" w14:textId="38B6AD6C">
            <w:pPr>
              <w:tabs>
                <w:tab w:val="left" w:pos="1620"/>
                <w:tab w:val="right" w:pos="4500"/>
              </w:tabs>
            </w:pPr>
            <w:r w:rsidRPr="008716FB">
              <w:rPr>
                <w:b/>
              </w:rPr>
              <w:t>Assigned ALJ</w:t>
            </w:r>
            <w:r w:rsidR="00E518BA">
              <w:rPr>
                <w:b/>
              </w:rPr>
              <w:t>s</w:t>
            </w:r>
            <w:r w:rsidRPr="008716FB">
              <w:rPr>
                <w:b/>
              </w:rPr>
              <w:t>:</w:t>
            </w:r>
            <w:r w:rsidRPr="008716FB" w:rsidR="00F63C29">
              <w:rPr>
                <w:b/>
              </w:rPr>
              <w:t xml:space="preserve"> </w:t>
            </w:r>
            <w:r w:rsidR="00123A52">
              <w:rPr>
                <w:b/>
              </w:rPr>
              <w:t xml:space="preserve"> </w:t>
            </w:r>
            <w:r w:rsidRPr="008716FB" w:rsidR="0074615B">
              <w:t>Debbie Chiv</w:t>
            </w:r>
            <w:r w:rsidR="00354DE2">
              <w:t xml:space="preserve"> and Amin</w:t>
            </w:r>
            <w:r w:rsidR="00F14EDF">
              <w:t> </w:t>
            </w:r>
            <w:r w:rsidR="00354DE2">
              <w:t>Nojan</w:t>
            </w:r>
            <w:r w:rsidRPr="008716FB" w:rsidR="00581CC9">
              <w:rPr>
                <w:rStyle w:val="FootnoteReference"/>
              </w:rPr>
              <w:footnoteReference w:id="3"/>
            </w:r>
            <w:r w:rsidRPr="008716FB" w:rsidR="0074615B">
              <w:t xml:space="preserve"> </w:t>
            </w:r>
          </w:p>
        </w:tc>
      </w:tr>
    </w:tbl>
    <w:p w:rsidRPr="008716FB" w:rsidR="00691528" w:rsidP="008738CA" w:rsidRDefault="00A92D0B" w14:paraId="3CEED871" w14:textId="77777777">
      <w:pPr>
        <w:keepNext/>
        <w:spacing w:before="480" w:after="240"/>
        <w:jc w:val="center"/>
        <w:rPr>
          <w:b/>
        </w:rPr>
      </w:pPr>
      <w:r w:rsidRPr="008716FB">
        <w:rPr>
          <w:b/>
        </w:rPr>
        <w:t>PART I:  PROCEDURAL ISSUES</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3865"/>
        <w:gridCol w:w="5495"/>
      </w:tblGrid>
      <w:tr w:rsidRPr="008716FB" w:rsidR="00361A97" w:rsidTr="007856AE" w14:paraId="3C5C25ED" w14:textId="77777777">
        <w:tc>
          <w:tcPr>
            <w:tcW w:w="3865" w:type="dxa"/>
            <w:shd w:val="clear" w:color="auto" w:fill="auto"/>
          </w:tcPr>
          <w:p w:rsidRPr="008716FB" w:rsidR="00A92D0B" w:rsidP="00E36A3E" w:rsidRDefault="00A92D0B" w14:paraId="1576A0A6" w14:textId="27B1B4CC">
            <w:pPr>
              <w:ind w:left="360" w:hanging="360"/>
              <w:rPr>
                <w:b/>
              </w:rPr>
            </w:pPr>
            <w:r w:rsidRPr="008716FB">
              <w:rPr>
                <w:b/>
              </w:rPr>
              <w:t>A.</w:t>
            </w:r>
            <w:r w:rsidR="00E36A3E">
              <w:rPr>
                <w:b/>
              </w:rPr>
              <w:tab/>
            </w:r>
            <w:r w:rsidRPr="008716FB">
              <w:rPr>
                <w:b/>
              </w:rPr>
              <w:t xml:space="preserve">Brief </w:t>
            </w:r>
            <w:r w:rsidRPr="008716FB" w:rsidR="00A319DE">
              <w:rPr>
                <w:b/>
              </w:rPr>
              <w:t>d</w:t>
            </w:r>
            <w:r w:rsidRPr="008716FB">
              <w:rPr>
                <w:b/>
              </w:rPr>
              <w:t xml:space="preserve">escription of Decision: </w:t>
            </w:r>
          </w:p>
        </w:tc>
        <w:tc>
          <w:tcPr>
            <w:tcW w:w="5495" w:type="dxa"/>
            <w:shd w:val="clear" w:color="auto" w:fill="auto"/>
          </w:tcPr>
          <w:p w:rsidRPr="008716FB" w:rsidR="00C02649" w:rsidP="007856AE" w:rsidRDefault="00E23FE8" w14:paraId="67B8ECAA" w14:textId="4FBD0FEF">
            <w:r w:rsidRPr="008716FB">
              <w:t>D.20</w:t>
            </w:r>
            <w:r w:rsidR="0092038A">
              <w:noBreakHyphen/>
            </w:r>
            <w:r w:rsidRPr="008716FB">
              <w:t>06</w:t>
            </w:r>
            <w:r w:rsidR="0092038A">
              <w:noBreakHyphen/>
            </w:r>
            <w:r w:rsidRPr="008716FB">
              <w:t>031 adopts 2021</w:t>
            </w:r>
            <w:r w:rsidR="0092038A">
              <w:noBreakHyphen/>
            </w:r>
            <w:r w:rsidRPr="008716FB">
              <w:t>2023 local capacity requirements and 2021 flexible capacity requirements to Commission</w:t>
            </w:r>
            <w:r w:rsidR="0092038A">
              <w:noBreakHyphen/>
            </w:r>
            <w:r w:rsidRPr="008716FB">
              <w:t>jurisdictional load</w:t>
            </w:r>
            <w:r w:rsidR="0092038A">
              <w:noBreakHyphen/>
            </w:r>
            <w:r w:rsidRPr="008716FB">
              <w:t xml:space="preserve">serving entities, as well as refinements to the Resource Adequacy program. </w:t>
            </w:r>
            <w:r w:rsidRPr="008716FB" w:rsidR="00FA717C">
              <w:t>The Decision requires additional review of the CAISO’s local capacity requirements (</w:t>
            </w:r>
            <w:r w:rsidR="007D4327">
              <w:t>“</w:t>
            </w:r>
            <w:r w:rsidRPr="008716FB" w:rsidR="00FA717C">
              <w:t>LCR</w:t>
            </w:r>
            <w:r w:rsidR="007D4327">
              <w:t>”</w:t>
            </w:r>
            <w:r w:rsidRPr="008716FB" w:rsidR="00FA717C">
              <w:t>) and behind the meter (</w:t>
            </w:r>
            <w:r w:rsidR="007D4327">
              <w:t>“</w:t>
            </w:r>
            <w:r w:rsidRPr="008716FB" w:rsidR="00FA717C">
              <w:t>BTM</w:t>
            </w:r>
            <w:r w:rsidR="007D4327">
              <w:t>”</w:t>
            </w:r>
            <w:r w:rsidRPr="008716FB" w:rsidR="00FA717C">
              <w:t xml:space="preserve">) hybrid resource qualifying </w:t>
            </w:r>
            <w:r w:rsidRPr="008716FB" w:rsidR="00FA717C">
              <w:lastRenderedPageBreak/>
              <w:t>capacity in the next proceeding track. The Decision revised the demand response protocols to allow for testing during dispatch times. Finally, the Decision made changes to the maximum cumulative capacity (</w:t>
            </w:r>
            <w:r w:rsidR="007D4327">
              <w:t>“</w:t>
            </w:r>
            <w:r w:rsidRPr="008716FB" w:rsidR="00FA717C">
              <w:t>MCC</w:t>
            </w:r>
            <w:r w:rsidR="007D4327">
              <w:t>”</w:t>
            </w:r>
            <w:r w:rsidRPr="008716FB" w:rsidR="00FA717C">
              <w:t>) buckets and instructed that parties further review the MCC buckets in Track 3.</w:t>
            </w:r>
          </w:p>
        </w:tc>
      </w:tr>
    </w:tbl>
    <w:p w:rsidRPr="008716FB" w:rsidR="00A92D0B" w:rsidP="0024540C" w:rsidRDefault="005A63D4" w14:paraId="2FBF046C" w14:textId="1776BEB5">
      <w:pPr>
        <w:keepNext/>
        <w:numPr>
          <w:ilvl w:val="0"/>
          <w:numId w:val="5"/>
        </w:numPr>
        <w:spacing w:before="240" w:after="240"/>
        <w:rPr>
          <w:b/>
        </w:rPr>
      </w:pPr>
      <w:r w:rsidRPr="008716FB">
        <w:rPr>
          <w:b/>
        </w:rPr>
        <w:lastRenderedPageBreak/>
        <w:t xml:space="preserve">Intervenor </w:t>
      </w:r>
      <w:r w:rsidRPr="008716FB" w:rsidR="00A92D0B">
        <w:rPr>
          <w:b/>
        </w:rPr>
        <w:t xml:space="preserve">must satisfy intervenor compensation </w:t>
      </w:r>
      <w:r w:rsidRPr="008716FB" w:rsidR="00DE3A5D">
        <w:rPr>
          <w:b/>
        </w:rPr>
        <w:t xml:space="preserve">requirements set forth in </w:t>
      </w:r>
      <w:r w:rsidR="00B31AE4">
        <w:rPr>
          <w:b/>
        </w:rPr>
        <w:t>Pub. Util.</w:t>
      </w:r>
      <w:r w:rsidRPr="008716FB" w:rsidR="00A92D0B">
        <w:rPr>
          <w:b/>
        </w:rPr>
        <w:t xml:space="preserve"> Code </w:t>
      </w:r>
      <w:r w:rsidR="00B31AE4">
        <w:rPr>
          <w:b/>
        </w:rPr>
        <w:t>§§ </w:t>
      </w:r>
      <w:r w:rsidRPr="008716FB" w:rsidR="00A92D0B">
        <w:rPr>
          <w:b/>
        </w:rPr>
        <w:t>1801</w:t>
      </w:r>
      <w:r w:rsidR="0092038A">
        <w:rPr>
          <w:b/>
        </w:rPr>
        <w:noBreakHyphen/>
      </w:r>
      <w:r w:rsidRPr="008716FB" w:rsidR="00A92D0B">
        <w:rPr>
          <w:b/>
        </w:rPr>
        <w:t>1812</w:t>
      </w:r>
      <w:r w:rsidRPr="008716FB" w:rsidR="003B6A1B">
        <w:rPr>
          <w:rStyle w:val="FootnoteReference"/>
          <w:b/>
        </w:rPr>
        <w:footnoteReference w:id="4"/>
      </w:r>
      <w:r w:rsidRPr="008716FB" w:rsidR="00A92D0B">
        <w:rPr>
          <w:b/>
        </w:rPr>
        <w:t>:</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4817"/>
        <w:gridCol w:w="2267"/>
        <w:gridCol w:w="2276"/>
      </w:tblGrid>
      <w:tr w:rsidRPr="008716FB" w:rsidR="008716FB" w:rsidTr="00FA5159" w14:paraId="640CF70A" w14:textId="77777777">
        <w:trPr>
          <w:tblHeader/>
        </w:trPr>
        <w:tc>
          <w:tcPr>
            <w:tcW w:w="4817" w:type="dxa"/>
            <w:tcBorders>
              <w:bottom w:val="single" w:color="auto" w:sz="4" w:space="0"/>
            </w:tcBorders>
            <w:shd w:val="clear" w:color="auto" w:fill="auto"/>
            <w:vAlign w:val="bottom"/>
          </w:tcPr>
          <w:p w:rsidRPr="008716FB" w:rsidR="00A92D0B" w:rsidP="00E36A3E" w:rsidRDefault="00A92D0B" w14:paraId="409E4D92" w14:textId="77777777">
            <w:pPr>
              <w:keepNext/>
              <w:tabs>
                <w:tab w:val="left" w:pos="360"/>
              </w:tabs>
              <w:jc w:val="center"/>
            </w:pPr>
          </w:p>
        </w:tc>
        <w:tc>
          <w:tcPr>
            <w:tcW w:w="2267" w:type="dxa"/>
            <w:tcBorders>
              <w:bottom w:val="single" w:color="auto" w:sz="4" w:space="0"/>
            </w:tcBorders>
            <w:shd w:val="clear" w:color="auto" w:fill="auto"/>
            <w:vAlign w:val="bottom"/>
          </w:tcPr>
          <w:p w:rsidRPr="008716FB" w:rsidR="00A92D0B" w:rsidP="00E36A3E" w:rsidRDefault="005A63D4" w14:paraId="1412A3C6" w14:textId="77777777">
            <w:pPr>
              <w:keepNext/>
              <w:tabs>
                <w:tab w:val="left" w:pos="360"/>
              </w:tabs>
              <w:jc w:val="center"/>
              <w:rPr>
                <w:b/>
              </w:rPr>
            </w:pPr>
            <w:r w:rsidRPr="008716FB">
              <w:rPr>
                <w:b/>
              </w:rPr>
              <w:t>Intervenor</w:t>
            </w:r>
          </w:p>
        </w:tc>
        <w:tc>
          <w:tcPr>
            <w:tcW w:w="2276" w:type="dxa"/>
            <w:tcBorders>
              <w:bottom w:val="single" w:color="auto" w:sz="4" w:space="0"/>
            </w:tcBorders>
            <w:shd w:val="clear" w:color="auto" w:fill="auto"/>
            <w:vAlign w:val="bottom"/>
          </w:tcPr>
          <w:p w:rsidRPr="008716FB" w:rsidR="00A92D0B" w:rsidP="00E36A3E" w:rsidRDefault="00A92D0B" w14:paraId="2A218C38" w14:textId="386C9A6A">
            <w:pPr>
              <w:keepNext/>
              <w:tabs>
                <w:tab w:val="left" w:pos="360"/>
              </w:tabs>
              <w:jc w:val="center"/>
              <w:rPr>
                <w:b/>
              </w:rPr>
            </w:pPr>
            <w:r w:rsidRPr="008716FB">
              <w:rPr>
                <w:b/>
              </w:rPr>
              <w:t xml:space="preserve">CPUC </w:t>
            </w:r>
            <w:r w:rsidRPr="008716FB" w:rsidR="0081626F">
              <w:rPr>
                <w:b/>
              </w:rPr>
              <w:t>Verification</w:t>
            </w:r>
          </w:p>
        </w:tc>
      </w:tr>
      <w:tr w:rsidRPr="008716FB" w:rsidR="008716FB" w:rsidTr="007856AE" w14:paraId="7D83D00D" w14:textId="77777777">
        <w:tc>
          <w:tcPr>
            <w:tcW w:w="936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716FB" w:rsidR="00A92D0B" w:rsidP="00D82FE0" w:rsidRDefault="00A92D0B" w14:paraId="606E2B66" w14:textId="76358B6D">
            <w:pPr>
              <w:keepNext/>
              <w:tabs>
                <w:tab w:val="left" w:pos="360"/>
              </w:tabs>
              <w:jc w:val="center"/>
              <w:rPr>
                <w:b/>
              </w:rPr>
            </w:pPr>
            <w:r w:rsidRPr="008716FB">
              <w:rPr>
                <w:b/>
              </w:rPr>
              <w:t>Timely filing of notice of intent to claim compensation (NOI) (</w:t>
            </w:r>
            <w:r w:rsidR="00B31AE4">
              <w:rPr>
                <w:b/>
              </w:rPr>
              <w:t>§ </w:t>
            </w:r>
            <w:r w:rsidRPr="008716FB">
              <w:rPr>
                <w:b/>
              </w:rPr>
              <w:t>1804(a)):</w:t>
            </w:r>
          </w:p>
        </w:tc>
      </w:tr>
      <w:tr w:rsidRPr="008716FB" w:rsidR="008716FB" w:rsidTr="007856AE" w14:paraId="160E284A" w14:textId="77777777">
        <w:tc>
          <w:tcPr>
            <w:tcW w:w="4817" w:type="dxa"/>
            <w:tcBorders>
              <w:top w:val="single" w:color="auto" w:sz="4" w:space="0"/>
            </w:tcBorders>
            <w:shd w:val="clear" w:color="auto" w:fill="auto"/>
          </w:tcPr>
          <w:p w:rsidRPr="008716FB" w:rsidR="00A92D0B" w:rsidP="00D82FE0" w:rsidRDefault="00A92D0B" w14:paraId="44D1876C" w14:textId="334A36FC">
            <w:pPr>
              <w:keepNext/>
              <w:ind w:left="360" w:hanging="360"/>
            </w:pPr>
            <w:r w:rsidRPr="008716FB">
              <w:t>1</w:t>
            </w:r>
            <w:r w:rsidR="00E36A3E">
              <w:t>.</w:t>
            </w:r>
            <w:r w:rsidR="00E36A3E">
              <w:tab/>
            </w:r>
            <w:r w:rsidRPr="008716FB">
              <w:t>Date of Prehearing Conference:</w:t>
            </w:r>
          </w:p>
        </w:tc>
        <w:tc>
          <w:tcPr>
            <w:tcW w:w="2267" w:type="dxa"/>
            <w:tcBorders>
              <w:top w:val="single" w:color="auto" w:sz="4" w:space="0"/>
            </w:tcBorders>
            <w:shd w:val="clear" w:color="auto" w:fill="auto"/>
          </w:tcPr>
          <w:p w:rsidRPr="008716FB" w:rsidR="00A92D0B" w:rsidP="00D82FE0" w:rsidRDefault="009F322E" w14:paraId="35450816" w14:textId="09097C98">
            <w:pPr>
              <w:keepNext/>
            </w:pPr>
            <w:r w:rsidRPr="008716FB">
              <w:t>12/16/2019</w:t>
            </w:r>
          </w:p>
        </w:tc>
        <w:tc>
          <w:tcPr>
            <w:tcW w:w="2276" w:type="dxa"/>
            <w:tcBorders>
              <w:top w:val="single" w:color="auto" w:sz="4" w:space="0"/>
            </w:tcBorders>
            <w:shd w:val="clear" w:color="auto" w:fill="auto"/>
          </w:tcPr>
          <w:p w:rsidRPr="008716FB" w:rsidR="00A92D0B" w:rsidP="00D82FE0" w:rsidRDefault="00581CC9" w14:paraId="34540344" w14:textId="1D8D83C9">
            <w:pPr>
              <w:keepNext/>
              <w:tabs>
                <w:tab w:val="left" w:pos="360"/>
              </w:tabs>
              <w:jc w:val="both"/>
            </w:pPr>
            <w:r w:rsidRPr="008716FB">
              <w:t>Verified</w:t>
            </w:r>
          </w:p>
        </w:tc>
      </w:tr>
      <w:tr w:rsidRPr="008716FB" w:rsidR="008716FB" w:rsidTr="007856AE" w14:paraId="24C85564" w14:textId="77777777">
        <w:tc>
          <w:tcPr>
            <w:tcW w:w="4817" w:type="dxa"/>
            <w:shd w:val="clear" w:color="auto" w:fill="auto"/>
          </w:tcPr>
          <w:p w:rsidRPr="008716FB" w:rsidR="00A92D0B" w:rsidP="00E36A3E" w:rsidRDefault="00A92D0B" w14:paraId="382C5788" w14:textId="412C4354">
            <w:pPr>
              <w:ind w:left="360" w:hanging="360"/>
            </w:pPr>
            <w:r w:rsidRPr="008716FB">
              <w:t>2</w:t>
            </w:r>
            <w:r w:rsidR="00E36A3E">
              <w:t>.</w:t>
            </w:r>
            <w:r w:rsidR="00E36A3E">
              <w:tab/>
            </w:r>
            <w:r w:rsidRPr="008716FB">
              <w:t xml:space="preserve">Other </w:t>
            </w:r>
            <w:r w:rsidRPr="008716FB" w:rsidR="00A319DE">
              <w:t>s</w:t>
            </w:r>
            <w:r w:rsidRPr="008716FB">
              <w:t xml:space="preserve">pecified </w:t>
            </w:r>
            <w:r w:rsidRPr="008716FB" w:rsidR="00A319DE">
              <w:t>d</w:t>
            </w:r>
            <w:r w:rsidRPr="008716FB">
              <w:t>ate for NOI:</w:t>
            </w:r>
          </w:p>
        </w:tc>
        <w:tc>
          <w:tcPr>
            <w:tcW w:w="2267" w:type="dxa"/>
            <w:shd w:val="clear" w:color="auto" w:fill="auto"/>
          </w:tcPr>
          <w:p w:rsidRPr="008716FB" w:rsidR="00A92D0B" w:rsidP="00D82FE0" w:rsidRDefault="00FD211D" w14:paraId="1826BC2C" w14:textId="4B9CFA61">
            <w:pPr>
              <w:keepNext/>
            </w:pPr>
            <w:r w:rsidRPr="008716FB">
              <w:t>N/A</w:t>
            </w:r>
          </w:p>
        </w:tc>
        <w:tc>
          <w:tcPr>
            <w:tcW w:w="2276" w:type="dxa"/>
            <w:shd w:val="clear" w:color="auto" w:fill="auto"/>
          </w:tcPr>
          <w:p w:rsidRPr="008716FB" w:rsidR="00A92D0B" w:rsidP="00D82FE0" w:rsidRDefault="00581CC9" w14:paraId="210DAD91" w14:textId="73FC5EB1">
            <w:pPr>
              <w:jc w:val="both"/>
            </w:pPr>
            <w:r w:rsidRPr="008716FB">
              <w:t>N/A</w:t>
            </w:r>
          </w:p>
        </w:tc>
      </w:tr>
      <w:tr w:rsidRPr="008716FB" w:rsidR="008716FB" w:rsidTr="007856AE" w14:paraId="4836EEA6" w14:textId="77777777">
        <w:tc>
          <w:tcPr>
            <w:tcW w:w="4817" w:type="dxa"/>
            <w:shd w:val="clear" w:color="auto" w:fill="auto"/>
          </w:tcPr>
          <w:p w:rsidRPr="008716FB" w:rsidR="00A92D0B" w:rsidP="00D82FE0" w:rsidRDefault="00A92D0B" w14:paraId="34809C45" w14:textId="5A1FC8ED">
            <w:pPr>
              <w:keepNext/>
              <w:ind w:left="360" w:hanging="360"/>
            </w:pPr>
            <w:r w:rsidRPr="008716FB">
              <w:t>3</w:t>
            </w:r>
            <w:r w:rsidR="00E36A3E">
              <w:t>.</w:t>
            </w:r>
            <w:r w:rsidR="00E36A3E">
              <w:tab/>
            </w:r>
            <w:r w:rsidRPr="008716FB">
              <w:t xml:space="preserve">Date NOI </w:t>
            </w:r>
            <w:r w:rsidRPr="008716FB" w:rsidR="00A319DE">
              <w:t>f</w:t>
            </w:r>
            <w:r w:rsidRPr="008716FB">
              <w:t>iled:</w:t>
            </w:r>
          </w:p>
        </w:tc>
        <w:tc>
          <w:tcPr>
            <w:tcW w:w="2267" w:type="dxa"/>
            <w:tcBorders>
              <w:bottom w:val="single" w:color="auto" w:sz="4" w:space="0"/>
            </w:tcBorders>
            <w:shd w:val="clear" w:color="auto" w:fill="auto"/>
          </w:tcPr>
          <w:p w:rsidRPr="008716FB" w:rsidR="00A92D0B" w:rsidP="00D82FE0" w:rsidRDefault="00686806" w14:paraId="44F7CCB9" w14:textId="3B54561B">
            <w:pPr>
              <w:keepNext/>
            </w:pPr>
            <w:r w:rsidRPr="008716FB">
              <w:t>1/15/2020</w:t>
            </w:r>
          </w:p>
        </w:tc>
        <w:tc>
          <w:tcPr>
            <w:tcW w:w="2276" w:type="dxa"/>
            <w:tcBorders>
              <w:bottom w:val="single" w:color="auto" w:sz="4" w:space="0"/>
            </w:tcBorders>
            <w:shd w:val="clear" w:color="auto" w:fill="auto"/>
          </w:tcPr>
          <w:p w:rsidRPr="008716FB" w:rsidR="00A92D0B" w:rsidP="00D82FE0" w:rsidRDefault="00581CC9" w14:paraId="71759DE3" w14:textId="5D2111E8">
            <w:pPr>
              <w:keepNext/>
              <w:jc w:val="both"/>
            </w:pPr>
            <w:r w:rsidRPr="008716FB">
              <w:t>Verified</w:t>
            </w:r>
          </w:p>
        </w:tc>
      </w:tr>
      <w:tr w:rsidRPr="008716FB" w:rsidR="008716FB" w:rsidTr="007856AE" w14:paraId="22BBCDE3" w14:textId="77777777">
        <w:tc>
          <w:tcPr>
            <w:tcW w:w="7084" w:type="dxa"/>
            <w:gridSpan w:val="2"/>
            <w:tcBorders>
              <w:bottom w:val="single" w:color="auto" w:sz="4" w:space="0"/>
            </w:tcBorders>
            <w:shd w:val="clear" w:color="auto" w:fill="auto"/>
          </w:tcPr>
          <w:p w:rsidRPr="008716FB" w:rsidR="00A92D0B" w:rsidP="00E36A3E" w:rsidRDefault="00A92D0B" w14:paraId="7E6E2068" w14:textId="106C1D05">
            <w:pPr>
              <w:ind w:left="360" w:hanging="360"/>
            </w:pPr>
            <w:r w:rsidRPr="008716FB">
              <w:t>4</w:t>
            </w:r>
            <w:r w:rsidR="00E36A3E">
              <w:t>.</w:t>
            </w:r>
            <w:r w:rsidR="00E36A3E">
              <w:tab/>
            </w:r>
            <w:r w:rsidRPr="008716FB">
              <w:t>Was the NOI timely filed?</w:t>
            </w:r>
          </w:p>
        </w:tc>
        <w:tc>
          <w:tcPr>
            <w:tcW w:w="2276" w:type="dxa"/>
            <w:tcBorders>
              <w:bottom w:val="single" w:color="auto" w:sz="4" w:space="0"/>
            </w:tcBorders>
            <w:shd w:val="clear" w:color="auto" w:fill="auto"/>
          </w:tcPr>
          <w:p w:rsidRPr="008716FB" w:rsidR="00A92D0B" w:rsidP="00D82FE0" w:rsidRDefault="00581CC9" w14:paraId="61DE2845" w14:textId="774252F7">
            <w:pPr>
              <w:keepNext/>
            </w:pPr>
            <w:r w:rsidRPr="008716FB">
              <w:t>Yes</w:t>
            </w:r>
          </w:p>
        </w:tc>
      </w:tr>
      <w:tr w:rsidRPr="008716FB" w:rsidR="008716FB" w:rsidTr="007856AE" w14:paraId="4CD7D46A" w14:textId="77777777">
        <w:tc>
          <w:tcPr>
            <w:tcW w:w="9360" w:type="dxa"/>
            <w:gridSpan w:val="3"/>
            <w:tcBorders>
              <w:top w:val="single" w:color="auto" w:sz="4" w:space="0"/>
              <w:left w:val="single" w:color="auto" w:sz="4" w:space="0"/>
              <w:bottom w:val="single" w:color="auto" w:sz="4" w:space="0"/>
              <w:right w:val="single" w:color="auto" w:sz="4" w:space="0"/>
            </w:tcBorders>
            <w:shd w:val="clear" w:color="auto" w:fill="E6E6E6"/>
          </w:tcPr>
          <w:p w:rsidR="00D82FE0" w:rsidP="00E36A3E" w:rsidRDefault="00A92D0B" w14:paraId="02AA9AF2" w14:textId="5BA1D3A6">
            <w:pPr>
              <w:keepNext/>
              <w:tabs>
                <w:tab w:val="left" w:pos="360"/>
              </w:tabs>
              <w:jc w:val="center"/>
              <w:rPr>
                <w:b/>
              </w:rPr>
            </w:pPr>
            <w:r w:rsidRPr="008716FB">
              <w:rPr>
                <w:b/>
              </w:rPr>
              <w:t xml:space="preserve">Showing of </w:t>
            </w:r>
            <w:r w:rsidRPr="008716FB" w:rsidR="00F63C29">
              <w:rPr>
                <w:b/>
              </w:rPr>
              <w:t xml:space="preserve">eligible </w:t>
            </w:r>
            <w:r w:rsidRPr="008716FB">
              <w:rPr>
                <w:b/>
              </w:rPr>
              <w:t xml:space="preserve">customer </w:t>
            </w:r>
            <w:r w:rsidRPr="008716FB" w:rsidR="00F63C29">
              <w:rPr>
                <w:b/>
              </w:rPr>
              <w:t>status (</w:t>
            </w:r>
            <w:r w:rsidR="00B31AE4">
              <w:rPr>
                <w:b/>
              </w:rPr>
              <w:t>§ </w:t>
            </w:r>
            <w:r w:rsidRPr="008716FB" w:rsidR="00F63C29">
              <w:rPr>
                <w:b/>
              </w:rPr>
              <w:t>1802(b)</w:t>
            </w:r>
            <w:r w:rsidR="00D82FE0">
              <w:rPr>
                <w:b/>
              </w:rPr>
              <w:t>)</w:t>
            </w:r>
            <w:r w:rsidRPr="008716FB" w:rsidR="00F63C29">
              <w:rPr>
                <w:b/>
              </w:rPr>
              <w:t xml:space="preserve"> </w:t>
            </w:r>
          </w:p>
          <w:p w:rsidRPr="008716FB" w:rsidR="00A92D0B" w:rsidP="00E36A3E" w:rsidRDefault="00F63C29" w14:paraId="19D649BF" w14:textId="2A60A904">
            <w:pPr>
              <w:keepNext/>
              <w:tabs>
                <w:tab w:val="left" w:pos="360"/>
              </w:tabs>
              <w:jc w:val="center"/>
              <w:rPr>
                <w:b/>
              </w:rPr>
            </w:pPr>
            <w:r w:rsidRPr="008716FB">
              <w:rPr>
                <w:b/>
              </w:rPr>
              <w:t xml:space="preserve">or eligible local government entity </w:t>
            </w:r>
            <w:r w:rsidRPr="008716FB" w:rsidR="00ED6B6B">
              <w:rPr>
                <w:b/>
              </w:rPr>
              <w:t>status</w:t>
            </w:r>
            <w:r w:rsidR="00D82FE0">
              <w:rPr>
                <w:b/>
              </w:rPr>
              <w:t xml:space="preserve"> </w:t>
            </w:r>
            <w:r w:rsidRPr="008716FB">
              <w:rPr>
                <w:b/>
              </w:rPr>
              <w:t>(</w:t>
            </w:r>
            <w:r w:rsidR="00B31AE4">
              <w:rPr>
                <w:b/>
              </w:rPr>
              <w:t>§§ </w:t>
            </w:r>
            <w:r w:rsidRPr="008716FB">
              <w:rPr>
                <w:b/>
              </w:rPr>
              <w:t>1802(d), 1802.4)</w:t>
            </w:r>
            <w:r w:rsidRPr="008716FB" w:rsidR="00A92D0B">
              <w:rPr>
                <w:b/>
              </w:rPr>
              <w:t>:</w:t>
            </w:r>
          </w:p>
        </w:tc>
      </w:tr>
      <w:tr w:rsidRPr="008716FB" w:rsidR="008716FB" w:rsidTr="007856AE" w14:paraId="259EC227" w14:textId="77777777">
        <w:tc>
          <w:tcPr>
            <w:tcW w:w="4817" w:type="dxa"/>
            <w:tcBorders>
              <w:top w:val="single" w:color="auto" w:sz="4" w:space="0"/>
            </w:tcBorders>
            <w:shd w:val="clear" w:color="auto" w:fill="auto"/>
          </w:tcPr>
          <w:p w:rsidRPr="008716FB" w:rsidR="00A92D0B" w:rsidP="00E36A3E" w:rsidRDefault="00A92D0B" w14:paraId="0EFCD0E9" w14:textId="1EA1F208">
            <w:pPr>
              <w:ind w:left="360" w:hanging="360"/>
            </w:pPr>
            <w:r w:rsidRPr="008716FB">
              <w:t>5</w:t>
            </w:r>
            <w:r w:rsidR="00E36A3E">
              <w:t>.</w:t>
            </w:r>
            <w:r w:rsidR="00E36A3E">
              <w:tab/>
            </w:r>
            <w:r w:rsidRPr="008716FB">
              <w:t xml:space="preserve">Based on ALJ ruling issued in proceeding </w:t>
            </w:r>
            <w:r w:rsidRPr="008716FB" w:rsidR="00E3786F">
              <w:t xml:space="preserve">  </w:t>
            </w:r>
            <w:r w:rsidRPr="008716FB">
              <w:t>number:</w:t>
            </w:r>
          </w:p>
        </w:tc>
        <w:tc>
          <w:tcPr>
            <w:tcW w:w="2267" w:type="dxa"/>
            <w:tcBorders>
              <w:top w:val="single" w:color="auto" w:sz="4" w:space="0"/>
            </w:tcBorders>
            <w:shd w:val="clear" w:color="auto" w:fill="auto"/>
          </w:tcPr>
          <w:p w:rsidRPr="008716FB" w:rsidR="00A92D0B" w:rsidP="00D82FE0" w:rsidRDefault="00FD211D" w14:paraId="13E72B6D" w14:textId="240D2BAC">
            <w:pPr>
              <w:keepNext/>
            </w:pPr>
            <w:r w:rsidRPr="008716FB">
              <w:t>R.18</w:t>
            </w:r>
            <w:r w:rsidR="0092038A">
              <w:noBreakHyphen/>
            </w:r>
            <w:r w:rsidRPr="008716FB">
              <w:t>12</w:t>
            </w:r>
            <w:r w:rsidR="0092038A">
              <w:noBreakHyphen/>
            </w:r>
            <w:r w:rsidRPr="008716FB">
              <w:t>005</w:t>
            </w:r>
          </w:p>
        </w:tc>
        <w:tc>
          <w:tcPr>
            <w:tcW w:w="2276" w:type="dxa"/>
            <w:tcBorders>
              <w:top w:val="single" w:color="auto" w:sz="4" w:space="0"/>
            </w:tcBorders>
            <w:shd w:val="clear" w:color="auto" w:fill="auto"/>
          </w:tcPr>
          <w:p w:rsidRPr="008716FB" w:rsidR="00A92D0B" w:rsidP="00D82FE0" w:rsidRDefault="00A03A55" w14:paraId="2679B197" w14:textId="30155064">
            <w:pPr>
              <w:keepNext/>
            </w:pPr>
            <w:r w:rsidRPr="008716FB">
              <w:t>Verified</w:t>
            </w:r>
          </w:p>
        </w:tc>
      </w:tr>
      <w:tr w:rsidRPr="008716FB" w:rsidR="008716FB" w:rsidTr="007856AE" w14:paraId="4E0FB3B6" w14:textId="77777777">
        <w:tc>
          <w:tcPr>
            <w:tcW w:w="4817" w:type="dxa"/>
            <w:shd w:val="clear" w:color="auto" w:fill="auto"/>
          </w:tcPr>
          <w:p w:rsidRPr="008716FB" w:rsidR="00A92D0B" w:rsidP="00E36A3E" w:rsidRDefault="00A92D0B" w14:paraId="568B12E8" w14:textId="45CECCA3">
            <w:pPr>
              <w:ind w:left="360" w:hanging="360"/>
            </w:pPr>
            <w:r w:rsidRPr="008716FB">
              <w:t>6</w:t>
            </w:r>
            <w:r w:rsidR="00E36A3E">
              <w:t>.</w:t>
            </w:r>
            <w:r w:rsidR="00E36A3E">
              <w:tab/>
            </w:r>
            <w:r w:rsidRPr="008716FB">
              <w:t>Date of ALJ ruling:</w:t>
            </w:r>
          </w:p>
        </w:tc>
        <w:tc>
          <w:tcPr>
            <w:tcW w:w="2267" w:type="dxa"/>
            <w:shd w:val="clear" w:color="auto" w:fill="auto"/>
          </w:tcPr>
          <w:p w:rsidRPr="008716FB" w:rsidR="00A92D0B" w:rsidP="00D82FE0" w:rsidRDefault="00FD211D" w14:paraId="306125B9" w14:textId="2CB2AB63">
            <w:pPr>
              <w:keepNext/>
            </w:pPr>
            <w:r w:rsidRPr="008716FB">
              <w:t>4/17/2019</w:t>
            </w:r>
          </w:p>
        </w:tc>
        <w:tc>
          <w:tcPr>
            <w:tcW w:w="2276" w:type="dxa"/>
            <w:shd w:val="clear" w:color="auto" w:fill="auto"/>
          </w:tcPr>
          <w:p w:rsidRPr="008716FB" w:rsidR="00A92D0B" w:rsidP="00D82FE0" w:rsidRDefault="00A03A55" w14:paraId="19F10313" w14:textId="02C175DF">
            <w:pPr>
              <w:keepNext/>
            </w:pPr>
            <w:r w:rsidRPr="008716FB">
              <w:t>Verified</w:t>
            </w:r>
          </w:p>
        </w:tc>
      </w:tr>
      <w:tr w:rsidRPr="008716FB" w:rsidR="008716FB" w:rsidTr="007856AE" w14:paraId="7F6C1E54" w14:textId="77777777">
        <w:tc>
          <w:tcPr>
            <w:tcW w:w="4817" w:type="dxa"/>
            <w:shd w:val="clear" w:color="auto" w:fill="auto"/>
          </w:tcPr>
          <w:p w:rsidRPr="008716FB" w:rsidR="00A92D0B" w:rsidP="00E36A3E" w:rsidRDefault="00A92D0B" w14:paraId="4B6E35B7" w14:textId="298D57BE">
            <w:pPr>
              <w:ind w:left="360" w:hanging="360"/>
            </w:pPr>
            <w:r w:rsidRPr="008716FB">
              <w:t>7</w:t>
            </w:r>
            <w:r w:rsidR="00E36A3E">
              <w:t>.</w:t>
            </w:r>
            <w:r w:rsidR="00E36A3E">
              <w:tab/>
            </w:r>
            <w:r w:rsidRPr="008716FB">
              <w:t>Based on another CPUC determination (specify):</w:t>
            </w:r>
          </w:p>
        </w:tc>
        <w:tc>
          <w:tcPr>
            <w:tcW w:w="2267" w:type="dxa"/>
            <w:tcBorders>
              <w:bottom w:val="single" w:color="auto" w:sz="4" w:space="0"/>
            </w:tcBorders>
            <w:shd w:val="clear" w:color="auto" w:fill="auto"/>
          </w:tcPr>
          <w:p w:rsidRPr="008716FB" w:rsidR="00A92D0B" w:rsidP="00D82FE0" w:rsidRDefault="00FD211D" w14:paraId="24BCD620" w14:textId="230AF08E">
            <w:pPr>
              <w:keepNext/>
            </w:pPr>
            <w:r w:rsidRPr="008716FB">
              <w:t>D.20</w:t>
            </w:r>
            <w:r w:rsidR="0092038A">
              <w:noBreakHyphen/>
            </w:r>
            <w:r w:rsidRPr="008716FB">
              <w:t>04</w:t>
            </w:r>
            <w:r w:rsidR="0092038A">
              <w:noBreakHyphen/>
            </w:r>
            <w:r w:rsidRPr="008716FB">
              <w:t>021;</w:t>
            </w:r>
          </w:p>
          <w:p w:rsidRPr="008716FB" w:rsidR="00FD211D" w:rsidP="00D82FE0" w:rsidRDefault="00FD211D" w14:paraId="1131E63A" w14:textId="1E6AE25D">
            <w:pPr>
              <w:keepNext/>
            </w:pPr>
            <w:r w:rsidRPr="008716FB">
              <w:t>D.20</w:t>
            </w:r>
            <w:r w:rsidR="0092038A">
              <w:noBreakHyphen/>
            </w:r>
            <w:r w:rsidRPr="008716FB">
              <w:t>04</w:t>
            </w:r>
            <w:r w:rsidR="0092038A">
              <w:noBreakHyphen/>
            </w:r>
            <w:r w:rsidRPr="008716FB">
              <w:t>017;</w:t>
            </w:r>
          </w:p>
          <w:p w:rsidRPr="008716FB" w:rsidR="00FD211D" w:rsidP="00D82FE0" w:rsidRDefault="00FD211D" w14:paraId="4AE5A591" w14:textId="78E8B5B9">
            <w:pPr>
              <w:keepNext/>
            </w:pPr>
            <w:r w:rsidRPr="008716FB">
              <w:t>D.19</w:t>
            </w:r>
            <w:r w:rsidR="0092038A">
              <w:noBreakHyphen/>
            </w:r>
            <w:r w:rsidRPr="008716FB">
              <w:t>12</w:t>
            </w:r>
            <w:r w:rsidR="0092038A">
              <w:noBreakHyphen/>
            </w:r>
            <w:r w:rsidRPr="008716FB">
              <w:t>017;</w:t>
            </w:r>
          </w:p>
          <w:p w:rsidRPr="008716FB" w:rsidR="00FD211D" w:rsidP="00D82FE0" w:rsidRDefault="00FD211D" w14:paraId="34A8A847" w14:textId="56F67ACB">
            <w:pPr>
              <w:keepNext/>
            </w:pPr>
            <w:r w:rsidRPr="008716FB">
              <w:t>D.19</w:t>
            </w:r>
            <w:r w:rsidR="0092038A">
              <w:noBreakHyphen/>
            </w:r>
            <w:r w:rsidRPr="008716FB">
              <w:t>10</w:t>
            </w:r>
            <w:r w:rsidR="0092038A">
              <w:noBreakHyphen/>
            </w:r>
            <w:r w:rsidRPr="008716FB">
              <w:t>047;</w:t>
            </w:r>
          </w:p>
          <w:p w:rsidRPr="008716FB" w:rsidR="00FD211D" w:rsidP="00D82FE0" w:rsidRDefault="00FD211D" w14:paraId="507B4907" w14:textId="4B9CFDEF">
            <w:pPr>
              <w:keepNext/>
            </w:pPr>
            <w:r w:rsidRPr="008716FB">
              <w:t>D.19</w:t>
            </w:r>
            <w:r w:rsidR="0092038A">
              <w:noBreakHyphen/>
            </w:r>
            <w:r w:rsidRPr="008716FB">
              <w:t>05</w:t>
            </w:r>
            <w:r w:rsidR="0092038A">
              <w:noBreakHyphen/>
            </w:r>
            <w:r w:rsidRPr="008716FB">
              <w:t>035;</w:t>
            </w:r>
          </w:p>
          <w:p w:rsidRPr="008716FB" w:rsidR="00FD211D" w:rsidP="00D82FE0" w:rsidRDefault="00FD211D" w14:paraId="5E0F9D32" w14:textId="0851D4E0">
            <w:pPr>
              <w:keepNext/>
            </w:pPr>
            <w:r w:rsidRPr="008716FB">
              <w:t>D.19</w:t>
            </w:r>
            <w:r w:rsidR="0092038A">
              <w:noBreakHyphen/>
            </w:r>
            <w:r w:rsidRPr="008716FB">
              <w:t>04</w:t>
            </w:r>
            <w:r w:rsidR="0092038A">
              <w:noBreakHyphen/>
            </w:r>
            <w:r w:rsidRPr="008716FB">
              <w:t>031.</w:t>
            </w:r>
          </w:p>
        </w:tc>
        <w:tc>
          <w:tcPr>
            <w:tcW w:w="2276" w:type="dxa"/>
            <w:tcBorders>
              <w:bottom w:val="single" w:color="auto" w:sz="4" w:space="0"/>
            </w:tcBorders>
            <w:shd w:val="clear" w:color="auto" w:fill="auto"/>
          </w:tcPr>
          <w:p w:rsidRPr="008716FB" w:rsidR="00A92D0B" w:rsidP="00D82FE0" w:rsidRDefault="00A03A55" w14:paraId="180E80B3" w14:textId="00FEA20C">
            <w:pPr>
              <w:keepNext/>
            </w:pPr>
            <w:r w:rsidRPr="008716FB">
              <w:t>Verified</w:t>
            </w:r>
          </w:p>
        </w:tc>
      </w:tr>
      <w:tr w:rsidRPr="008716FB" w:rsidR="008716FB" w:rsidTr="007856AE" w14:paraId="397CC4AD" w14:textId="77777777">
        <w:tc>
          <w:tcPr>
            <w:tcW w:w="7084" w:type="dxa"/>
            <w:gridSpan w:val="2"/>
            <w:tcBorders>
              <w:bottom w:val="single" w:color="auto" w:sz="4" w:space="0"/>
            </w:tcBorders>
            <w:shd w:val="clear" w:color="auto" w:fill="auto"/>
          </w:tcPr>
          <w:p w:rsidRPr="008716FB" w:rsidR="00A92D0B" w:rsidP="00E36A3E" w:rsidRDefault="00A92D0B" w14:paraId="71D46B68" w14:textId="2E6BD54A">
            <w:pPr>
              <w:ind w:left="360" w:hanging="360"/>
            </w:pPr>
            <w:r w:rsidRPr="008716FB">
              <w:t>8</w:t>
            </w:r>
            <w:r w:rsidR="00E36A3E">
              <w:t>.</w:t>
            </w:r>
            <w:r w:rsidR="00E36A3E">
              <w:tab/>
            </w:r>
            <w:r w:rsidRPr="008716FB">
              <w:t xml:space="preserve">Has the </w:t>
            </w:r>
            <w:r w:rsidRPr="008716FB" w:rsidR="005A63D4">
              <w:t xml:space="preserve">Intervenor </w:t>
            </w:r>
            <w:r w:rsidRPr="008716FB">
              <w:t xml:space="preserve">demonstrated customer </w:t>
            </w:r>
            <w:r w:rsidRPr="008716FB" w:rsidR="00ED6B6B">
              <w:t>status or eligible government entity status</w:t>
            </w:r>
            <w:r w:rsidRPr="008716FB">
              <w:t>?</w:t>
            </w:r>
          </w:p>
        </w:tc>
        <w:tc>
          <w:tcPr>
            <w:tcW w:w="2276" w:type="dxa"/>
            <w:tcBorders>
              <w:bottom w:val="single" w:color="auto" w:sz="4" w:space="0"/>
            </w:tcBorders>
            <w:shd w:val="clear" w:color="auto" w:fill="auto"/>
          </w:tcPr>
          <w:p w:rsidRPr="008716FB" w:rsidR="00A92D0B" w:rsidP="00E36A3E" w:rsidRDefault="00A03A55" w14:paraId="7D296E63" w14:textId="5A4D93AE">
            <w:pPr>
              <w:tabs>
                <w:tab w:val="left" w:pos="360"/>
              </w:tabs>
            </w:pPr>
            <w:r w:rsidRPr="008716FB">
              <w:t>Yes</w:t>
            </w:r>
          </w:p>
        </w:tc>
      </w:tr>
      <w:tr w:rsidRPr="008716FB" w:rsidR="008716FB" w:rsidTr="007856AE" w14:paraId="33231C71" w14:textId="77777777">
        <w:tc>
          <w:tcPr>
            <w:tcW w:w="9360" w:type="dxa"/>
            <w:gridSpan w:val="3"/>
            <w:tcBorders>
              <w:top w:val="single" w:color="auto" w:sz="4" w:space="0"/>
              <w:left w:val="single" w:color="auto" w:sz="4" w:space="0"/>
              <w:bottom w:val="single" w:color="auto" w:sz="4" w:space="0"/>
              <w:right w:val="single" w:color="auto" w:sz="4" w:space="0"/>
            </w:tcBorders>
            <w:shd w:val="clear" w:color="auto" w:fill="E6E6E6"/>
          </w:tcPr>
          <w:p w:rsidRPr="008716FB" w:rsidR="00A92D0B" w:rsidP="00D82FE0" w:rsidRDefault="00A92D0B" w14:paraId="0291EC4E" w14:textId="518C3820">
            <w:pPr>
              <w:keepNext/>
              <w:tabs>
                <w:tab w:val="left" w:pos="360"/>
              </w:tabs>
              <w:jc w:val="center"/>
            </w:pPr>
            <w:r w:rsidRPr="008716FB">
              <w:rPr>
                <w:b/>
              </w:rPr>
              <w:t xml:space="preserve">Showing of </w:t>
            </w:r>
            <w:r w:rsidR="007D4327">
              <w:rPr>
                <w:b/>
              </w:rPr>
              <w:t>“</w:t>
            </w:r>
            <w:r w:rsidRPr="008716FB">
              <w:rPr>
                <w:b/>
              </w:rPr>
              <w:t>significant</w:t>
            </w:r>
            <w:r w:rsidRPr="008716FB" w:rsidR="00F63C29">
              <w:rPr>
                <w:b/>
              </w:rPr>
              <w:t xml:space="preserve"> financial hardship</w:t>
            </w:r>
            <w:r w:rsidR="007D4327">
              <w:rPr>
                <w:b/>
              </w:rPr>
              <w:t>”</w:t>
            </w:r>
            <w:r w:rsidRPr="008716FB" w:rsidR="00F63C29">
              <w:rPr>
                <w:b/>
              </w:rPr>
              <w:t xml:space="preserve"> (</w:t>
            </w:r>
            <w:r w:rsidR="00B31AE4">
              <w:rPr>
                <w:b/>
              </w:rPr>
              <w:t>§ </w:t>
            </w:r>
            <w:r w:rsidRPr="008716FB" w:rsidR="00F63C29">
              <w:rPr>
                <w:b/>
              </w:rPr>
              <w:t>1802(</w:t>
            </w:r>
            <w:r w:rsidRPr="008716FB" w:rsidR="00175865">
              <w:rPr>
                <w:b/>
              </w:rPr>
              <w:t>h</w:t>
            </w:r>
            <w:r w:rsidRPr="008716FB" w:rsidR="00F63C29">
              <w:rPr>
                <w:b/>
              </w:rPr>
              <w:t xml:space="preserve">) or </w:t>
            </w:r>
            <w:r w:rsidR="00B31AE4">
              <w:rPr>
                <w:b/>
              </w:rPr>
              <w:t>§ </w:t>
            </w:r>
            <w:r w:rsidRPr="008716FB" w:rsidR="00F63C29">
              <w:rPr>
                <w:b/>
              </w:rPr>
              <w:t>1803.1(b))</w:t>
            </w:r>
            <w:r w:rsidRPr="008716FB" w:rsidR="00C02649">
              <w:rPr>
                <w:b/>
              </w:rPr>
              <w:t>:</w:t>
            </w:r>
          </w:p>
        </w:tc>
      </w:tr>
      <w:tr w:rsidRPr="008716FB" w:rsidR="008716FB" w:rsidTr="007856AE" w14:paraId="77F91856" w14:textId="77777777">
        <w:tc>
          <w:tcPr>
            <w:tcW w:w="4817" w:type="dxa"/>
            <w:tcBorders>
              <w:top w:val="single" w:color="auto" w:sz="4" w:space="0"/>
            </w:tcBorders>
            <w:shd w:val="clear" w:color="auto" w:fill="auto"/>
          </w:tcPr>
          <w:p w:rsidRPr="008716FB" w:rsidR="00A92D0B" w:rsidP="00E36A3E" w:rsidRDefault="00A92D0B" w14:paraId="6506E60E" w14:textId="79E2335F">
            <w:pPr>
              <w:ind w:left="360" w:hanging="360"/>
            </w:pPr>
            <w:r w:rsidRPr="008716FB">
              <w:t>9</w:t>
            </w:r>
            <w:r w:rsidR="00E36A3E">
              <w:t>.</w:t>
            </w:r>
            <w:r w:rsidR="00E36A3E">
              <w:tab/>
            </w:r>
            <w:r w:rsidRPr="008716FB">
              <w:t>Based on ALJ ruling issued in proceeding number:</w:t>
            </w:r>
          </w:p>
        </w:tc>
        <w:tc>
          <w:tcPr>
            <w:tcW w:w="2267" w:type="dxa"/>
            <w:tcBorders>
              <w:top w:val="single" w:color="auto" w:sz="4" w:space="0"/>
            </w:tcBorders>
            <w:shd w:val="clear" w:color="auto" w:fill="auto"/>
          </w:tcPr>
          <w:p w:rsidRPr="008716FB" w:rsidR="00A92D0B" w:rsidP="00D82FE0" w:rsidRDefault="00D568D0" w14:paraId="54B4911C" w14:textId="1663CE84">
            <w:pPr>
              <w:keepNext/>
            </w:pPr>
            <w:r w:rsidRPr="008716FB">
              <w:t>R.18</w:t>
            </w:r>
            <w:r w:rsidR="0092038A">
              <w:noBreakHyphen/>
            </w:r>
            <w:r w:rsidRPr="008716FB">
              <w:t>12</w:t>
            </w:r>
            <w:r w:rsidR="0092038A">
              <w:noBreakHyphen/>
            </w:r>
            <w:r w:rsidRPr="008716FB">
              <w:t>005</w:t>
            </w:r>
          </w:p>
        </w:tc>
        <w:tc>
          <w:tcPr>
            <w:tcW w:w="2276" w:type="dxa"/>
            <w:tcBorders>
              <w:top w:val="single" w:color="auto" w:sz="4" w:space="0"/>
            </w:tcBorders>
            <w:shd w:val="clear" w:color="auto" w:fill="auto"/>
          </w:tcPr>
          <w:p w:rsidRPr="008716FB" w:rsidR="00A92D0B" w:rsidP="00D82FE0" w:rsidRDefault="00A03A55" w14:paraId="2E2FB9D6" w14:textId="3B9DA412">
            <w:pPr>
              <w:keepNext/>
            </w:pPr>
            <w:r w:rsidRPr="008716FB">
              <w:t>Verified</w:t>
            </w:r>
          </w:p>
        </w:tc>
      </w:tr>
      <w:tr w:rsidRPr="008716FB" w:rsidR="008716FB" w:rsidTr="007856AE" w14:paraId="4AD750C1" w14:textId="77777777">
        <w:tc>
          <w:tcPr>
            <w:tcW w:w="4817" w:type="dxa"/>
            <w:shd w:val="clear" w:color="auto" w:fill="auto"/>
          </w:tcPr>
          <w:p w:rsidRPr="008716FB" w:rsidR="00A92D0B" w:rsidP="00E36A3E" w:rsidRDefault="00A92D0B" w14:paraId="2A279407" w14:textId="607F41E1">
            <w:pPr>
              <w:ind w:left="360" w:hanging="360"/>
            </w:pPr>
            <w:r w:rsidRPr="008716FB">
              <w:t>10.</w:t>
            </w:r>
            <w:r w:rsidRPr="008716FB">
              <w:tab/>
              <w:t>Date of ALJ ruling:</w:t>
            </w:r>
          </w:p>
        </w:tc>
        <w:tc>
          <w:tcPr>
            <w:tcW w:w="2267" w:type="dxa"/>
            <w:shd w:val="clear" w:color="auto" w:fill="auto"/>
          </w:tcPr>
          <w:p w:rsidRPr="008716FB" w:rsidR="00A92D0B" w:rsidP="00D82FE0" w:rsidRDefault="00D568D0" w14:paraId="4B66A2E4" w14:textId="76CCAFA0">
            <w:pPr>
              <w:keepNext/>
            </w:pPr>
            <w:r w:rsidRPr="008716FB">
              <w:t>4/17/2019</w:t>
            </w:r>
          </w:p>
        </w:tc>
        <w:tc>
          <w:tcPr>
            <w:tcW w:w="2276" w:type="dxa"/>
            <w:shd w:val="clear" w:color="auto" w:fill="auto"/>
          </w:tcPr>
          <w:p w:rsidRPr="008716FB" w:rsidR="00A92D0B" w:rsidP="00D82FE0" w:rsidRDefault="00A03A55" w14:paraId="3B83D035" w14:textId="6D33B597">
            <w:pPr>
              <w:keepNext/>
            </w:pPr>
            <w:r w:rsidRPr="008716FB">
              <w:t>Verified</w:t>
            </w:r>
          </w:p>
        </w:tc>
      </w:tr>
      <w:tr w:rsidRPr="008716FB" w:rsidR="008716FB" w:rsidTr="007856AE" w14:paraId="7C183C5E" w14:textId="77777777">
        <w:tc>
          <w:tcPr>
            <w:tcW w:w="4817" w:type="dxa"/>
            <w:shd w:val="clear" w:color="auto" w:fill="auto"/>
          </w:tcPr>
          <w:p w:rsidRPr="008716FB" w:rsidR="00357F1A" w:rsidP="00D82FE0" w:rsidRDefault="00357F1A" w14:paraId="4141CB3D" w14:textId="3F7DC67C">
            <w:pPr>
              <w:keepNext/>
              <w:ind w:left="360" w:hanging="360"/>
            </w:pPr>
            <w:r w:rsidRPr="008716FB">
              <w:lastRenderedPageBreak/>
              <w:t>11.</w:t>
            </w:r>
            <w:r w:rsidR="00E36A3E">
              <w:tab/>
            </w:r>
            <w:r w:rsidRPr="008716FB">
              <w:t>Based on another CPUC determination (specify):</w:t>
            </w:r>
          </w:p>
        </w:tc>
        <w:tc>
          <w:tcPr>
            <w:tcW w:w="2267" w:type="dxa"/>
            <w:shd w:val="clear" w:color="auto" w:fill="auto"/>
          </w:tcPr>
          <w:p w:rsidRPr="008716FB" w:rsidR="00357F1A" w:rsidP="00D82FE0" w:rsidRDefault="00FD211D" w14:paraId="2F8A6505" w14:textId="09F64E1B">
            <w:pPr>
              <w:keepNext/>
            </w:pPr>
            <w:r w:rsidRPr="008716FB">
              <w:t>D.20</w:t>
            </w:r>
            <w:r w:rsidR="0092038A">
              <w:noBreakHyphen/>
            </w:r>
            <w:r w:rsidRPr="008716FB">
              <w:t>04</w:t>
            </w:r>
            <w:r w:rsidR="0092038A">
              <w:noBreakHyphen/>
            </w:r>
            <w:r w:rsidRPr="008716FB">
              <w:t>021;</w:t>
            </w:r>
          </w:p>
          <w:p w:rsidRPr="008716FB" w:rsidR="00FD211D" w:rsidP="00D82FE0" w:rsidRDefault="00FD211D" w14:paraId="3D0FD0FB" w14:textId="42B3A120">
            <w:pPr>
              <w:keepNext/>
            </w:pPr>
            <w:r w:rsidRPr="008716FB">
              <w:t>D.20</w:t>
            </w:r>
            <w:r w:rsidR="0092038A">
              <w:noBreakHyphen/>
            </w:r>
            <w:r w:rsidRPr="008716FB">
              <w:t>04</w:t>
            </w:r>
            <w:r w:rsidR="0092038A">
              <w:noBreakHyphen/>
            </w:r>
            <w:r w:rsidRPr="008716FB">
              <w:t>017;</w:t>
            </w:r>
          </w:p>
          <w:p w:rsidRPr="008716FB" w:rsidR="00FD211D" w:rsidP="00D82FE0" w:rsidRDefault="00FD211D" w14:paraId="267CB735" w14:textId="29FCBA67">
            <w:pPr>
              <w:keepNext/>
            </w:pPr>
            <w:r w:rsidRPr="008716FB">
              <w:t>D.19</w:t>
            </w:r>
            <w:r w:rsidR="0092038A">
              <w:noBreakHyphen/>
            </w:r>
            <w:r w:rsidRPr="008716FB">
              <w:t>12</w:t>
            </w:r>
            <w:r w:rsidR="0092038A">
              <w:noBreakHyphen/>
            </w:r>
            <w:r w:rsidRPr="008716FB">
              <w:t>017;</w:t>
            </w:r>
          </w:p>
          <w:p w:rsidRPr="008716FB" w:rsidR="00FD211D" w:rsidP="00D82FE0" w:rsidRDefault="00FD211D" w14:paraId="327A377B" w14:textId="33B754C7">
            <w:pPr>
              <w:keepNext/>
            </w:pPr>
            <w:r w:rsidRPr="008716FB">
              <w:t>D.19</w:t>
            </w:r>
            <w:r w:rsidR="0092038A">
              <w:noBreakHyphen/>
            </w:r>
            <w:r w:rsidRPr="008716FB">
              <w:t>10</w:t>
            </w:r>
            <w:r w:rsidR="0092038A">
              <w:noBreakHyphen/>
            </w:r>
            <w:r w:rsidRPr="008716FB">
              <w:t>047;</w:t>
            </w:r>
          </w:p>
          <w:p w:rsidRPr="008716FB" w:rsidR="00FD211D" w:rsidP="00D82FE0" w:rsidRDefault="00FD211D" w14:paraId="141EB5CF" w14:textId="029E1309">
            <w:pPr>
              <w:keepNext/>
            </w:pPr>
            <w:r w:rsidRPr="008716FB">
              <w:t>D.19</w:t>
            </w:r>
            <w:r w:rsidR="0092038A">
              <w:noBreakHyphen/>
            </w:r>
            <w:r w:rsidRPr="008716FB">
              <w:t>05</w:t>
            </w:r>
            <w:r w:rsidR="0092038A">
              <w:noBreakHyphen/>
            </w:r>
            <w:r w:rsidRPr="008716FB">
              <w:t xml:space="preserve">035. </w:t>
            </w:r>
          </w:p>
        </w:tc>
        <w:tc>
          <w:tcPr>
            <w:tcW w:w="2276" w:type="dxa"/>
            <w:shd w:val="clear" w:color="auto" w:fill="auto"/>
          </w:tcPr>
          <w:p w:rsidRPr="008716FB" w:rsidR="00357F1A" w:rsidP="00D82FE0" w:rsidRDefault="00A03A55" w14:paraId="79318715" w14:textId="55540DEB">
            <w:pPr>
              <w:keepNext/>
            </w:pPr>
            <w:r w:rsidRPr="008716FB">
              <w:t>Verified</w:t>
            </w:r>
          </w:p>
        </w:tc>
      </w:tr>
      <w:tr w:rsidRPr="008716FB" w:rsidR="008716FB" w:rsidTr="007856AE" w14:paraId="4E8D20BF" w14:textId="77777777">
        <w:tc>
          <w:tcPr>
            <w:tcW w:w="7084" w:type="dxa"/>
            <w:gridSpan w:val="2"/>
            <w:tcBorders>
              <w:bottom w:val="single" w:color="auto" w:sz="4" w:space="0"/>
            </w:tcBorders>
            <w:shd w:val="clear" w:color="auto" w:fill="auto"/>
          </w:tcPr>
          <w:p w:rsidRPr="008716FB" w:rsidR="00A92D0B" w:rsidP="00E36A3E" w:rsidRDefault="00180E8C" w14:paraId="48D0D936" w14:textId="10E16E1E">
            <w:pPr>
              <w:ind w:left="360" w:hanging="360"/>
            </w:pPr>
            <w:r w:rsidRPr="008716FB">
              <w:t>12</w:t>
            </w:r>
            <w:r w:rsidR="00E36A3E">
              <w:t>.</w:t>
            </w:r>
            <w:r w:rsidR="00E36A3E">
              <w:tab/>
            </w:r>
            <w:r w:rsidRPr="008716FB" w:rsidR="00A92D0B">
              <w:t>Has the</w:t>
            </w:r>
            <w:r w:rsidRPr="008716FB" w:rsidR="00A319DE">
              <w:t xml:space="preserve"> </w:t>
            </w:r>
            <w:r w:rsidRPr="008716FB" w:rsidR="005A63D4">
              <w:t>Intervenor</w:t>
            </w:r>
            <w:r w:rsidRPr="008716FB" w:rsidR="00A92D0B">
              <w:t xml:space="preserve"> demonstrated significant financial hardship?</w:t>
            </w:r>
          </w:p>
        </w:tc>
        <w:tc>
          <w:tcPr>
            <w:tcW w:w="2276" w:type="dxa"/>
            <w:tcBorders>
              <w:bottom w:val="single" w:color="auto" w:sz="4" w:space="0"/>
            </w:tcBorders>
            <w:shd w:val="clear" w:color="auto" w:fill="auto"/>
          </w:tcPr>
          <w:p w:rsidRPr="008716FB" w:rsidR="00A92D0B" w:rsidP="00E36A3E" w:rsidRDefault="00A03A55" w14:paraId="0F29B839" w14:textId="29EBA5EF">
            <w:pPr>
              <w:tabs>
                <w:tab w:val="left" w:pos="360"/>
              </w:tabs>
            </w:pPr>
            <w:r w:rsidRPr="008716FB">
              <w:t>Yes</w:t>
            </w:r>
          </w:p>
        </w:tc>
      </w:tr>
      <w:tr w:rsidRPr="008716FB" w:rsidR="008716FB" w:rsidTr="007856AE" w14:paraId="60D4FD5C" w14:textId="77777777">
        <w:tc>
          <w:tcPr>
            <w:tcW w:w="9360" w:type="dxa"/>
            <w:gridSpan w:val="3"/>
            <w:tcBorders>
              <w:top w:val="single" w:color="auto" w:sz="4" w:space="0"/>
              <w:left w:val="single" w:color="auto" w:sz="4" w:space="0"/>
              <w:bottom w:val="single" w:color="auto" w:sz="4" w:space="0"/>
              <w:right w:val="single" w:color="auto" w:sz="4" w:space="0"/>
            </w:tcBorders>
            <w:shd w:val="clear" w:color="auto" w:fill="E6E6E6"/>
          </w:tcPr>
          <w:p w:rsidRPr="008716FB" w:rsidR="00A92D0B" w:rsidP="002B256C" w:rsidRDefault="00A92D0B" w14:paraId="172E2884" w14:textId="4D2DB05E">
            <w:pPr>
              <w:keepNext/>
              <w:tabs>
                <w:tab w:val="left" w:pos="360"/>
              </w:tabs>
              <w:jc w:val="center"/>
            </w:pPr>
            <w:r w:rsidRPr="008716FB">
              <w:rPr>
                <w:b/>
              </w:rPr>
              <w:t>Timely request for compensation (</w:t>
            </w:r>
            <w:r w:rsidR="00B31AE4">
              <w:rPr>
                <w:b/>
              </w:rPr>
              <w:t>§ </w:t>
            </w:r>
            <w:r w:rsidRPr="008716FB">
              <w:rPr>
                <w:b/>
              </w:rPr>
              <w:t>1804(c)):</w:t>
            </w:r>
          </w:p>
        </w:tc>
      </w:tr>
      <w:tr w:rsidRPr="008716FB" w:rsidR="008716FB" w:rsidTr="007856AE" w14:paraId="3E7938B0" w14:textId="77777777">
        <w:tc>
          <w:tcPr>
            <w:tcW w:w="4817" w:type="dxa"/>
            <w:tcBorders>
              <w:top w:val="single" w:color="auto" w:sz="4" w:space="0"/>
            </w:tcBorders>
            <w:shd w:val="clear" w:color="auto" w:fill="auto"/>
          </w:tcPr>
          <w:p w:rsidRPr="008716FB" w:rsidR="00A92D0B" w:rsidP="002B256C" w:rsidRDefault="00A92D0B" w14:paraId="66088F1B" w14:textId="6F577129">
            <w:pPr>
              <w:keepNext/>
              <w:ind w:left="360" w:hanging="360"/>
            </w:pPr>
            <w:r w:rsidRPr="008716FB">
              <w:t>13</w:t>
            </w:r>
            <w:r w:rsidR="00E36A3E">
              <w:t>.</w:t>
            </w:r>
            <w:r w:rsidR="00E36A3E">
              <w:tab/>
            </w:r>
            <w:r w:rsidRPr="008716FB">
              <w:t>Identify Final Decision:</w:t>
            </w:r>
          </w:p>
        </w:tc>
        <w:tc>
          <w:tcPr>
            <w:tcW w:w="2267" w:type="dxa"/>
            <w:tcBorders>
              <w:top w:val="single" w:color="auto" w:sz="4" w:space="0"/>
            </w:tcBorders>
            <w:shd w:val="clear" w:color="auto" w:fill="auto"/>
          </w:tcPr>
          <w:p w:rsidRPr="008716FB" w:rsidR="00A92D0B" w:rsidP="002B256C" w:rsidRDefault="007B54BF" w14:paraId="7166F318" w14:textId="421A400E">
            <w:pPr>
              <w:keepNext/>
            </w:pPr>
            <w:r w:rsidRPr="008716FB">
              <w:t>D.20</w:t>
            </w:r>
            <w:r w:rsidR="0092038A">
              <w:noBreakHyphen/>
            </w:r>
            <w:r w:rsidRPr="008716FB">
              <w:t>06</w:t>
            </w:r>
            <w:r w:rsidR="0092038A">
              <w:noBreakHyphen/>
            </w:r>
            <w:r w:rsidRPr="008716FB">
              <w:t>031</w:t>
            </w:r>
          </w:p>
        </w:tc>
        <w:tc>
          <w:tcPr>
            <w:tcW w:w="2276" w:type="dxa"/>
            <w:tcBorders>
              <w:top w:val="single" w:color="auto" w:sz="4" w:space="0"/>
            </w:tcBorders>
            <w:shd w:val="clear" w:color="auto" w:fill="auto"/>
          </w:tcPr>
          <w:p w:rsidRPr="008716FB" w:rsidR="00A92D0B" w:rsidP="002B256C" w:rsidRDefault="00A03A55" w14:paraId="1588DC54" w14:textId="06D46DA4">
            <w:pPr>
              <w:keepNext/>
            </w:pPr>
            <w:r w:rsidRPr="008716FB">
              <w:t>Verified</w:t>
            </w:r>
          </w:p>
        </w:tc>
      </w:tr>
      <w:tr w:rsidRPr="008716FB" w:rsidR="008716FB" w:rsidTr="007856AE" w14:paraId="6360DE59" w14:textId="77777777">
        <w:tc>
          <w:tcPr>
            <w:tcW w:w="4817" w:type="dxa"/>
            <w:shd w:val="clear" w:color="auto" w:fill="auto"/>
          </w:tcPr>
          <w:p w:rsidRPr="008716FB" w:rsidR="00A92D0B" w:rsidP="00E36A3E" w:rsidRDefault="00A92D0B" w14:paraId="4B809E4A" w14:textId="10334ADE">
            <w:pPr>
              <w:ind w:left="360" w:hanging="360"/>
            </w:pPr>
            <w:r w:rsidRPr="008716FB">
              <w:t>14</w:t>
            </w:r>
            <w:r w:rsidR="00E36A3E">
              <w:t>.</w:t>
            </w:r>
            <w:r w:rsidR="00E36A3E">
              <w:tab/>
            </w:r>
            <w:r w:rsidRPr="008716FB">
              <w:t xml:space="preserve">Date of </w:t>
            </w:r>
            <w:r w:rsidRPr="008716FB" w:rsidR="00A319DE">
              <w:t>i</w:t>
            </w:r>
            <w:r w:rsidRPr="008716FB">
              <w:t xml:space="preserve">ssuance of Final Order or Decision:    </w:t>
            </w:r>
          </w:p>
        </w:tc>
        <w:tc>
          <w:tcPr>
            <w:tcW w:w="2267" w:type="dxa"/>
            <w:shd w:val="clear" w:color="auto" w:fill="auto"/>
          </w:tcPr>
          <w:p w:rsidRPr="008716FB" w:rsidR="00A92D0B" w:rsidP="00D82FE0" w:rsidRDefault="00D12AC9" w14:paraId="20455B5F" w14:textId="255B4BF3">
            <w:pPr>
              <w:keepNext/>
            </w:pPr>
            <w:r w:rsidRPr="008716FB">
              <w:t>6/30/2020</w:t>
            </w:r>
          </w:p>
        </w:tc>
        <w:tc>
          <w:tcPr>
            <w:tcW w:w="2276" w:type="dxa"/>
            <w:shd w:val="clear" w:color="auto" w:fill="auto"/>
          </w:tcPr>
          <w:p w:rsidRPr="008716FB" w:rsidR="00A92D0B" w:rsidP="00D82FE0" w:rsidRDefault="00A03A55" w14:paraId="1FCF00DD" w14:textId="4DAD87A9">
            <w:pPr>
              <w:keepNext/>
            </w:pPr>
            <w:r w:rsidRPr="008716FB">
              <w:t>Verified</w:t>
            </w:r>
          </w:p>
        </w:tc>
      </w:tr>
      <w:tr w:rsidRPr="008716FB" w:rsidR="008716FB" w:rsidTr="007856AE" w14:paraId="723259E3" w14:textId="77777777">
        <w:tc>
          <w:tcPr>
            <w:tcW w:w="4817" w:type="dxa"/>
            <w:shd w:val="clear" w:color="auto" w:fill="auto"/>
          </w:tcPr>
          <w:p w:rsidRPr="008716FB" w:rsidR="00A92D0B" w:rsidP="003E54E7" w:rsidRDefault="00A92D0B" w14:paraId="163EE1CA" w14:textId="1C4D4ED7">
            <w:pPr>
              <w:keepNext/>
              <w:ind w:left="360" w:hanging="360"/>
            </w:pPr>
            <w:r w:rsidRPr="008716FB">
              <w:t>15</w:t>
            </w:r>
            <w:r w:rsidR="00E36A3E">
              <w:t>.</w:t>
            </w:r>
            <w:r w:rsidR="00E36A3E">
              <w:tab/>
            </w:r>
            <w:r w:rsidRPr="008716FB">
              <w:t>File date of compensation request:</w:t>
            </w:r>
          </w:p>
        </w:tc>
        <w:tc>
          <w:tcPr>
            <w:tcW w:w="2267" w:type="dxa"/>
            <w:shd w:val="clear" w:color="auto" w:fill="auto"/>
          </w:tcPr>
          <w:p w:rsidRPr="008716FB" w:rsidR="00A92D0B" w:rsidP="003E54E7" w:rsidRDefault="00D40661" w14:paraId="0568B39D" w14:textId="02CE55B6">
            <w:pPr>
              <w:keepNext/>
            </w:pPr>
            <w:r w:rsidRPr="008716FB">
              <w:t>8/28/2020</w:t>
            </w:r>
          </w:p>
        </w:tc>
        <w:tc>
          <w:tcPr>
            <w:tcW w:w="2276" w:type="dxa"/>
            <w:shd w:val="clear" w:color="auto" w:fill="auto"/>
          </w:tcPr>
          <w:p w:rsidRPr="008716FB" w:rsidR="00A92D0B" w:rsidP="003E54E7" w:rsidRDefault="00A03A55" w14:paraId="1CBF4E7A" w14:textId="207A8D18">
            <w:pPr>
              <w:keepNext/>
            </w:pPr>
            <w:r w:rsidRPr="008716FB">
              <w:t>Verified</w:t>
            </w:r>
          </w:p>
        </w:tc>
      </w:tr>
      <w:tr w:rsidRPr="008716FB" w:rsidR="00361A97" w:rsidTr="007856AE" w14:paraId="406BCA3A" w14:textId="77777777">
        <w:tc>
          <w:tcPr>
            <w:tcW w:w="7084" w:type="dxa"/>
            <w:gridSpan w:val="2"/>
            <w:shd w:val="clear" w:color="auto" w:fill="auto"/>
          </w:tcPr>
          <w:p w:rsidRPr="008716FB" w:rsidR="00A92D0B" w:rsidP="00E36A3E" w:rsidRDefault="00A92D0B" w14:paraId="10AF42D1" w14:textId="0E6F070E">
            <w:pPr>
              <w:ind w:left="360" w:hanging="360"/>
            </w:pPr>
            <w:r w:rsidRPr="008716FB">
              <w:t>16.</w:t>
            </w:r>
            <w:r w:rsidR="00E36A3E">
              <w:tab/>
            </w:r>
            <w:r w:rsidRPr="008716FB">
              <w:t>Was the request for compensation timely?</w:t>
            </w:r>
          </w:p>
        </w:tc>
        <w:tc>
          <w:tcPr>
            <w:tcW w:w="2276" w:type="dxa"/>
            <w:shd w:val="clear" w:color="auto" w:fill="auto"/>
          </w:tcPr>
          <w:p w:rsidRPr="008716FB" w:rsidR="00A92D0B" w:rsidP="00D82FE0" w:rsidRDefault="00A03A55" w14:paraId="2EA30E63" w14:textId="62A74C35">
            <w:pPr>
              <w:keepNext/>
            </w:pPr>
            <w:r w:rsidRPr="008716FB">
              <w:t>Yes</w:t>
            </w:r>
          </w:p>
        </w:tc>
      </w:tr>
    </w:tbl>
    <w:p w:rsidRPr="008716FB" w:rsidR="00A92D0B" w:rsidP="0024540C" w:rsidRDefault="00A92D0B" w14:paraId="0068592B" w14:textId="10CE8FD1">
      <w:pPr>
        <w:keepNext/>
        <w:numPr>
          <w:ilvl w:val="0"/>
          <w:numId w:val="5"/>
        </w:numPr>
        <w:spacing w:before="240" w:after="240"/>
        <w:rPr>
          <w:b/>
        </w:rPr>
      </w:pPr>
      <w:r w:rsidRPr="008716FB">
        <w:rPr>
          <w:b/>
        </w:rPr>
        <w:t>Additional Comments on Part I</w:t>
      </w:r>
      <w:r w:rsidRPr="008716FB" w:rsidR="00C02649">
        <w:rPr>
          <w:b/>
        </w:rPr>
        <w:t>:</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876"/>
        <w:gridCol w:w="6409"/>
        <w:gridCol w:w="2075"/>
      </w:tblGrid>
      <w:tr w:rsidRPr="008716FB" w:rsidR="008716FB" w:rsidTr="00CD7EFC" w14:paraId="046F77BA" w14:textId="77777777">
        <w:trPr>
          <w:tblHeader/>
        </w:trPr>
        <w:tc>
          <w:tcPr>
            <w:tcW w:w="876" w:type="dxa"/>
            <w:tcBorders>
              <w:bottom w:val="single" w:color="auto" w:sz="4" w:space="0"/>
            </w:tcBorders>
            <w:shd w:val="clear" w:color="auto" w:fill="D9D9D9" w:themeFill="background1" w:themeFillShade="D9"/>
            <w:vAlign w:val="bottom"/>
          </w:tcPr>
          <w:p w:rsidRPr="008716FB" w:rsidR="003C608A" w:rsidP="007856AE" w:rsidRDefault="003C608A" w14:paraId="0CB867A6" w14:textId="77777777">
            <w:pPr>
              <w:keepNext/>
              <w:tabs>
                <w:tab w:val="left" w:pos="360"/>
              </w:tabs>
              <w:jc w:val="center"/>
              <w:rPr>
                <w:b/>
              </w:rPr>
            </w:pPr>
            <w:r w:rsidRPr="008716FB">
              <w:rPr>
                <w:b/>
              </w:rPr>
              <w:t>#</w:t>
            </w:r>
          </w:p>
        </w:tc>
        <w:tc>
          <w:tcPr>
            <w:tcW w:w="6409" w:type="dxa"/>
            <w:tcBorders>
              <w:bottom w:val="single" w:color="auto" w:sz="4" w:space="0"/>
            </w:tcBorders>
            <w:shd w:val="clear" w:color="auto" w:fill="D9D9D9" w:themeFill="background1" w:themeFillShade="D9"/>
            <w:vAlign w:val="bottom"/>
          </w:tcPr>
          <w:p w:rsidRPr="008716FB" w:rsidR="003C608A" w:rsidP="007856AE" w:rsidRDefault="003C608A" w14:paraId="196D09DF" w14:textId="77777777">
            <w:pPr>
              <w:keepNext/>
              <w:tabs>
                <w:tab w:val="left" w:pos="360"/>
              </w:tabs>
              <w:jc w:val="center"/>
              <w:rPr>
                <w:b/>
              </w:rPr>
            </w:pPr>
            <w:r w:rsidRPr="008716FB">
              <w:rPr>
                <w:b/>
              </w:rPr>
              <w:t>Intervenor’s Comment(s)</w:t>
            </w:r>
          </w:p>
        </w:tc>
        <w:tc>
          <w:tcPr>
            <w:tcW w:w="2075" w:type="dxa"/>
            <w:shd w:val="clear" w:color="auto" w:fill="D9D9D9" w:themeFill="background1" w:themeFillShade="D9"/>
            <w:vAlign w:val="bottom"/>
          </w:tcPr>
          <w:p w:rsidRPr="008716FB" w:rsidR="003C608A" w:rsidP="007856AE" w:rsidRDefault="003C608A" w14:paraId="07207D31" w14:textId="77777777">
            <w:pPr>
              <w:keepNext/>
              <w:tabs>
                <w:tab w:val="left" w:pos="360"/>
              </w:tabs>
              <w:jc w:val="center"/>
              <w:rPr>
                <w:b/>
              </w:rPr>
            </w:pPr>
            <w:r w:rsidRPr="008716FB">
              <w:rPr>
                <w:b/>
              </w:rPr>
              <w:t>CPUC Discussion</w:t>
            </w:r>
          </w:p>
        </w:tc>
      </w:tr>
      <w:tr w:rsidRPr="008716FB" w:rsidR="00361A97" w:rsidTr="00CD7EFC" w14:paraId="1C6180A4" w14:textId="77777777">
        <w:trPr>
          <w:trHeight w:val="67"/>
        </w:trPr>
        <w:tc>
          <w:tcPr>
            <w:tcW w:w="876" w:type="dxa"/>
            <w:shd w:val="clear" w:color="auto" w:fill="auto"/>
          </w:tcPr>
          <w:p w:rsidRPr="008716FB" w:rsidR="003C608A" w:rsidP="009E5103" w:rsidRDefault="00027E34" w14:paraId="4350D384" w14:textId="2F412174">
            <w:pPr>
              <w:tabs>
                <w:tab w:val="left" w:pos="360"/>
              </w:tabs>
            </w:pPr>
            <w:r w:rsidRPr="008716FB">
              <w:t>B.</w:t>
            </w:r>
            <w:r w:rsidRPr="008716FB" w:rsidR="009F2A27">
              <w:t>9</w:t>
            </w:r>
            <w:r w:rsidR="0092038A">
              <w:noBreakHyphen/>
            </w:r>
            <w:r w:rsidRPr="008716FB" w:rsidR="009F2A27">
              <w:t>12</w:t>
            </w:r>
          </w:p>
        </w:tc>
        <w:tc>
          <w:tcPr>
            <w:tcW w:w="6409" w:type="dxa"/>
            <w:shd w:val="clear" w:color="auto" w:fill="auto"/>
          </w:tcPr>
          <w:p w:rsidRPr="008716FB" w:rsidR="003C608A" w:rsidP="007856AE" w:rsidRDefault="009F2A27" w14:paraId="0ECF4A98" w14:textId="27E45451">
            <w:pPr>
              <w:pStyle w:val="Default"/>
              <w:spacing w:after="240"/>
              <w:rPr>
                <w:color w:val="auto"/>
              </w:rPr>
            </w:pPr>
            <w:r w:rsidRPr="008716FB">
              <w:rPr>
                <w:color w:val="auto"/>
              </w:rPr>
              <w:t xml:space="preserve">Per </w:t>
            </w:r>
            <w:r w:rsidR="00B31AE4">
              <w:rPr>
                <w:color w:val="auto"/>
              </w:rPr>
              <w:t>Pub. Util.</w:t>
            </w:r>
            <w:r w:rsidRPr="008716FB">
              <w:rPr>
                <w:color w:val="auto"/>
              </w:rPr>
              <w:t xml:space="preserve"> Code </w:t>
            </w:r>
            <w:r w:rsidR="00B31AE4">
              <w:rPr>
                <w:color w:val="auto"/>
              </w:rPr>
              <w:t>§ </w:t>
            </w:r>
            <w:r w:rsidRPr="008716FB">
              <w:rPr>
                <w:color w:val="auto"/>
              </w:rPr>
              <w:t xml:space="preserve">1804(b), a </w:t>
            </w:r>
            <w:r w:rsidR="007D4327">
              <w:rPr>
                <w:color w:val="auto"/>
              </w:rPr>
              <w:t>“</w:t>
            </w:r>
            <w:r w:rsidRPr="008716FB">
              <w:rPr>
                <w:color w:val="auto"/>
              </w:rPr>
              <w:t>finding of significant financial hardship shall create a rebuttable presumption of eligibility for compensation in other commission proceedings commencing within one year of the date of that finding.</w:t>
            </w:r>
            <w:r w:rsidR="007D4327">
              <w:rPr>
                <w:color w:val="auto"/>
              </w:rPr>
              <w:t>”</w:t>
            </w:r>
            <w:r w:rsidRPr="008716FB">
              <w:rPr>
                <w:color w:val="auto"/>
              </w:rPr>
              <w:t xml:space="preserve"> This proceeding was commenced on November 13, 2019, which is within one year of D.19</w:t>
            </w:r>
            <w:r w:rsidR="0092038A">
              <w:rPr>
                <w:color w:val="auto"/>
              </w:rPr>
              <w:noBreakHyphen/>
            </w:r>
            <w:r w:rsidRPr="008716FB">
              <w:rPr>
                <w:color w:val="auto"/>
              </w:rPr>
              <w:t>12</w:t>
            </w:r>
            <w:r w:rsidR="0092038A">
              <w:rPr>
                <w:color w:val="auto"/>
              </w:rPr>
              <w:noBreakHyphen/>
            </w:r>
            <w:r w:rsidRPr="008716FB">
              <w:rPr>
                <w:color w:val="auto"/>
              </w:rPr>
              <w:t>017, D.19</w:t>
            </w:r>
            <w:r w:rsidR="0092038A">
              <w:rPr>
                <w:color w:val="auto"/>
              </w:rPr>
              <w:noBreakHyphen/>
            </w:r>
            <w:r w:rsidRPr="008716FB">
              <w:rPr>
                <w:color w:val="auto"/>
              </w:rPr>
              <w:t>10</w:t>
            </w:r>
            <w:r w:rsidR="0092038A">
              <w:rPr>
                <w:color w:val="auto"/>
              </w:rPr>
              <w:noBreakHyphen/>
            </w:r>
            <w:r w:rsidRPr="008716FB">
              <w:rPr>
                <w:color w:val="auto"/>
              </w:rPr>
              <w:t>047, D.19</w:t>
            </w:r>
            <w:r w:rsidR="0092038A">
              <w:rPr>
                <w:color w:val="auto"/>
              </w:rPr>
              <w:noBreakHyphen/>
            </w:r>
            <w:r w:rsidRPr="008716FB">
              <w:rPr>
                <w:color w:val="auto"/>
              </w:rPr>
              <w:t>05</w:t>
            </w:r>
            <w:r w:rsidR="0092038A">
              <w:rPr>
                <w:color w:val="auto"/>
              </w:rPr>
              <w:noBreakHyphen/>
            </w:r>
            <w:r w:rsidRPr="008716FB">
              <w:rPr>
                <w:color w:val="auto"/>
              </w:rPr>
              <w:t>035, and D.19</w:t>
            </w:r>
            <w:r w:rsidR="0092038A">
              <w:rPr>
                <w:color w:val="auto"/>
              </w:rPr>
              <w:noBreakHyphen/>
            </w:r>
            <w:r w:rsidRPr="008716FB">
              <w:rPr>
                <w:color w:val="auto"/>
              </w:rPr>
              <w:t>04</w:t>
            </w:r>
            <w:r w:rsidR="0092038A">
              <w:rPr>
                <w:color w:val="auto"/>
              </w:rPr>
              <w:noBreakHyphen/>
            </w:r>
            <w:r w:rsidRPr="008716FB">
              <w:rPr>
                <w:color w:val="auto"/>
              </w:rPr>
              <w:t>031. In addition, the April 17, 2019 ALJ ruling at page 6 and D.20</w:t>
            </w:r>
            <w:r w:rsidR="0092038A">
              <w:rPr>
                <w:color w:val="auto"/>
              </w:rPr>
              <w:noBreakHyphen/>
            </w:r>
            <w:r w:rsidRPr="008716FB">
              <w:rPr>
                <w:color w:val="auto"/>
              </w:rPr>
              <w:t>04</w:t>
            </w:r>
            <w:r w:rsidR="0092038A">
              <w:rPr>
                <w:color w:val="auto"/>
              </w:rPr>
              <w:noBreakHyphen/>
            </w:r>
            <w:r w:rsidRPr="008716FB">
              <w:rPr>
                <w:color w:val="auto"/>
              </w:rPr>
              <w:t>017 at pages 4</w:t>
            </w:r>
            <w:r w:rsidR="0092038A">
              <w:rPr>
                <w:color w:val="auto"/>
              </w:rPr>
              <w:noBreakHyphen/>
            </w:r>
            <w:r w:rsidRPr="008716FB">
              <w:rPr>
                <w:color w:val="auto"/>
              </w:rPr>
              <w:t xml:space="preserve">5 contain significant financial hardship determinations made in this proceeding. </w:t>
            </w:r>
          </w:p>
        </w:tc>
        <w:tc>
          <w:tcPr>
            <w:tcW w:w="2075" w:type="dxa"/>
            <w:shd w:val="clear" w:color="auto" w:fill="auto"/>
          </w:tcPr>
          <w:p w:rsidRPr="008716FB" w:rsidR="003C608A" w:rsidP="009E5103" w:rsidRDefault="00EC7077" w14:paraId="416D6250" w14:textId="7921DE2F">
            <w:pPr>
              <w:tabs>
                <w:tab w:val="left" w:pos="360"/>
              </w:tabs>
              <w:jc w:val="center"/>
            </w:pPr>
            <w:r w:rsidRPr="008716FB">
              <w:t>Noted</w:t>
            </w:r>
          </w:p>
        </w:tc>
      </w:tr>
    </w:tbl>
    <w:p w:rsidRPr="008716FB" w:rsidR="003B6A1B" w:rsidP="008738CA" w:rsidRDefault="00A92D0B" w14:paraId="501B5F3D" w14:textId="77777777">
      <w:pPr>
        <w:keepNext/>
        <w:spacing w:before="480" w:after="240"/>
        <w:jc w:val="center"/>
        <w:rPr>
          <w:b/>
        </w:rPr>
      </w:pPr>
      <w:r w:rsidRPr="008716FB">
        <w:rPr>
          <w:b/>
        </w:rPr>
        <w:t>PART II:  SUBSTANTIAL CONTRIBUTION</w:t>
      </w:r>
    </w:p>
    <w:p w:rsidRPr="008716FB" w:rsidR="00FE3BAE" w:rsidP="0024540C" w:rsidRDefault="00D075B1" w14:paraId="54593213" w14:textId="7C882D8A">
      <w:pPr>
        <w:keepNext/>
        <w:numPr>
          <w:ilvl w:val="0"/>
          <w:numId w:val="9"/>
        </w:numPr>
        <w:spacing w:before="240" w:after="240"/>
        <w:rPr>
          <w:b/>
        </w:rPr>
      </w:pPr>
      <w:r w:rsidRPr="008716FB">
        <w:rPr>
          <w:b/>
        </w:rPr>
        <w:t xml:space="preserve">Did the </w:t>
      </w:r>
      <w:r w:rsidRPr="008716FB" w:rsidR="005A63D4">
        <w:rPr>
          <w:b/>
        </w:rPr>
        <w:t>Intervenor</w:t>
      </w:r>
      <w:r w:rsidRPr="008716FB">
        <w:rPr>
          <w:b/>
        </w:rPr>
        <w:t xml:space="preserve"> substantially contribute to the final decision</w:t>
      </w:r>
      <w:r w:rsidRPr="008716FB" w:rsidR="00A92D0B">
        <w:rPr>
          <w:b/>
        </w:rPr>
        <w:t xml:space="preserve"> (</w:t>
      </w:r>
      <w:r w:rsidRPr="008716FB" w:rsidR="00A92D0B">
        <w:rPr>
          <w:b/>
          <w:i/>
        </w:rPr>
        <w:t>see</w:t>
      </w:r>
      <w:r w:rsidRPr="008716FB" w:rsidR="00A92D0B">
        <w:rPr>
          <w:b/>
        </w:rPr>
        <w:t xml:space="preserve"> </w:t>
      </w:r>
      <w:r w:rsidR="00B31AE4">
        <w:rPr>
          <w:b/>
        </w:rPr>
        <w:t>§ </w:t>
      </w:r>
      <w:r w:rsidRPr="008716FB" w:rsidR="00A92D0B">
        <w:rPr>
          <w:b/>
        </w:rPr>
        <w:t>1802(</w:t>
      </w:r>
      <w:r w:rsidRPr="008716FB" w:rsidR="00ED6B6B">
        <w:rPr>
          <w:b/>
        </w:rPr>
        <w:t>j</w:t>
      </w:r>
      <w:r w:rsidRPr="008716FB" w:rsidR="00A92D0B">
        <w:rPr>
          <w:b/>
        </w:rPr>
        <w:t xml:space="preserve">), </w:t>
      </w:r>
      <w:r w:rsidRPr="008716FB" w:rsidR="001E77CF">
        <w:rPr>
          <w:b/>
        </w:rPr>
        <w:br/>
      </w:r>
      <w:r w:rsidR="00B31AE4">
        <w:rPr>
          <w:b/>
        </w:rPr>
        <w:t>§ </w:t>
      </w:r>
      <w:r w:rsidRPr="008716FB" w:rsidR="00A92D0B">
        <w:rPr>
          <w:b/>
        </w:rPr>
        <w:t>1803(a)</w:t>
      </w:r>
      <w:r w:rsidRPr="008716FB" w:rsidR="00F30DA8">
        <w:rPr>
          <w:b/>
        </w:rPr>
        <w:t>,</w:t>
      </w:r>
      <w:r w:rsidRPr="008716FB" w:rsidR="00A92D0B">
        <w:rPr>
          <w:b/>
        </w:rPr>
        <w:t xml:space="preserve"> </w:t>
      </w:r>
      <w:r w:rsidRPr="008716FB" w:rsidR="00ED6B6B">
        <w:rPr>
          <w:b/>
        </w:rPr>
        <w:t xml:space="preserve">1803.1(a) </w:t>
      </w:r>
      <w:r w:rsidRPr="008716FB" w:rsidR="00F30DA8">
        <w:rPr>
          <w:b/>
        </w:rPr>
        <w:t>and</w:t>
      </w:r>
      <w:r w:rsidRPr="008716FB" w:rsidR="00A92D0B">
        <w:rPr>
          <w:b/>
        </w:rPr>
        <w:t xml:space="preserve"> D.98</w:t>
      </w:r>
      <w:r w:rsidR="0092038A">
        <w:rPr>
          <w:b/>
        </w:rPr>
        <w:noBreakHyphen/>
      </w:r>
      <w:r w:rsidRPr="008716FB" w:rsidR="00A92D0B">
        <w:rPr>
          <w:b/>
        </w:rPr>
        <w:t>04</w:t>
      </w:r>
      <w:r w:rsidR="0092038A">
        <w:rPr>
          <w:b/>
        </w:rPr>
        <w:noBreakHyphen/>
      </w:r>
      <w:r w:rsidRPr="008716FB" w:rsidR="00A92D0B">
        <w:rPr>
          <w:b/>
        </w:rPr>
        <w:t>059)</w:t>
      </w:r>
      <w:r w:rsidRPr="008716FB" w:rsidR="00C02649">
        <w:rPr>
          <w:b/>
        </w:rPr>
        <w:t>:</w:t>
      </w:r>
      <w:r w:rsidRPr="008716FB" w:rsidR="00A92D0B">
        <w:rPr>
          <w:b/>
        </w:rPr>
        <w:t xml:space="preserve">  </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3415"/>
        <w:gridCol w:w="3870"/>
        <w:gridCol w:w="2075"/>
      </w:tblGrid>
      <w:tr w:rsidRPr="008716FB" w:rsidR="008716FB" w:rsidTr="008906BC" w14:paraId="67755362" w14:textId="77777777">
        <w:trPr>
          <w:tblHeader/>
        </w:trPr>
        <w:tc>
          <w:tcPr>
            <w:tcW w:w="3415" w:type="dxa"/>
            <w:tcBorders>
              <w:bottom w:val="single" w:color="auto" w:sz="4" w:space="0"/>
            </w:tcBorders>
            <w:shd w:val="pct12" w:color="auto" w:fill="auto"/>
            <w:vAlign w:val="bottom"/>
          </w:tcPr>
          <w:p w:rsidR="00CD7EFC" w:rsidP="00443AB5" w:rsidRDefault="00D075B1" w14:paraId="27830994" w14:textId="77777777">
            <w:pPr>
              <w:keepNext/>
              <w:jc w:val="center"/>
              <w:rPr>
                <w:b/>
              </w:rPr>
            </w:pPr>
            <w:r w:rsidRPr="008716FB">
              <w:rPr>
                <w:b/>
              </w:rPr>
              <w:t xml:space="preserve">Intervenor’s </w:t>
            </w:r>
          </w:p>
          <w:p w:rsidRPr="008716FB" w:rsidR="00A92D0B" w:rsidP="00443AB5" w:rsidRDefault="00D075B1" w14:paraId="7CE2E5BB" w14:textId="2C75351B">
            <w:pPr>
              <w:keepNext/>
              <w:jc w:val="center"/>
              <w:rPr>
                <w:b/>
              </w:rPr>
            </w:pPr>
            <w:r w:rsidRPr="008716FB">
              <w:rPr>
                <w:b/>
              </w:rPr>
              <w:t>Claimed Contribution(s)</w:t>
            </w:r>
          </w:p>
        </w:tc>
        <w:tc>
          <w:tcPr>
            <w:tcW w:w="3870" w:type="dxa"/>
            <w:tcBorders>
              <w:bottom w:val="single" w:color="auto" w:sz="4" w:space="0"/>
            </w:tcBorders>
            <w:shd w:val="pct12" w:color="auto" w:fill="auto"/>
            <w:vAlign w:val="bottom"/>
          </w:tcPr>
          <w:p w:rsidR="00CD7EFC" w:rsidP="00443AB5" w:rsidRDefault="00A92D0B" w14:paraId="2077F5A2" w14:textId="77777777">
            <w:pPr>
              <w:keepNext/>
              <w:jc w:val="center"/>
              <w:rPr>
                <w:b/>
              </w:rPr>
            </w:pPr>
            <w:r w:rsidRPr="008716FB">
              <w:rPr>
                <w:b/>
              </w:rPr>
              <w:t xml:space="preserve">Specific References to </w:t>
            </w:r>
            <w:r w:rsidRPr="008716FB" w:rsidR="00D075B1">
              <w:rPr>
                <w:b/>
              </w:rPr>
              <w:t xml:space="preserve">Intervenor’s </w:t>
            </w:r>
          </w:p>
          <w:p w:rsidRPr="008716FB" w:rsidR="00A92D0B" w:rsidP="00443AB5" w:rsidRDefault="00D075B1" w14:paraId="2794272E" w14:textId="69133227">
            <w:pPr>
              <w:keepNext/>
              <w:jc w:val="center"/>
              <w:rPr>
                <w:b/>
              </w:rPr>
            </w:pPr>
            <w:r w:rsidRPr="008716FB">
              <w:rPr>
                <w:b/>
              </w:rPr>
              <w:t>Claimed Contribution(s)</w:t>
            </w:r>
          </w:p>
        </w:tc>
        <w:tc>
          <w:tcPr>
            <w:tcW w:w="2075" w:type="dxa"/>
            <w:shd w:val="pct12" w:color="auto" w:fill="auto"/>
            <w:vAlign w:val="bottom"/>
          </w:tcPr>
          <w:p w:rsidRPr="008716FB" w:rsidR="00A92D0B" w:rsidP="008906BC" w:rsidRDefault="00D075B1" w14:paraId="79AFC714" w14:textId="7D8F4A0E">
            <w:pPr>
              <w:keepNext/>
              <w:jc w:val="center"/>
              <w:rPr>
                <w:b/>
              </w:rPr>
            </w:pPr>
            <w:r w:rsidRPr="008716FB">
              <w:rPr>
                <w:b/>
              </w:rPr>
              <w:t>CPUC Discussion</w:t>
            </w:r>
          </w:p>
        </w:tc>
      </w:tr>
      <w:tr w:rsidRPr="008716FB" w:rsidR="008716FB" w:rsidTr="008906BC" w14:paraId="2E691FFC" w14:textId="77777777">
        <w:tc>
          <w:tcPr>
            <w:tcW w:w="3415" w:type="dxa"/>
            <w:shd w:val="clear" w:color="auto" w:fill="auto"/>
          </w:tcPr>
          <w:p w:rsidRPr="008716FB" w:rsidR="00AD2D29" w:rsidP="00CD7EFC" w:rsidRDefault="00AD2D29" w14:paraId="14317D45" w14:textId="026FEE52">
            <w:pPr>
              <w:spacing w:after="240"/>
            </w:pPr>
            <w:r w:rsidRPr="008716FB">
              <w:t xml:space="preserve">As previously noted in this IC claim, Protect Our Communities Foundation’s </w:t>
            </w:r>
            <w:r w:rsidRPr="008716FB" w:rsidR="004D1734">
              <w:t>preferred</w:t>
            </w:r>
            <w:r w:rsidRPr="008716FB">
              <w:t xml:space="preserve"> acronym is </w:t>
            </w:r>
            <w:r w:rsidRPr="008716FB" w:rsidR="004D1734">
              <w:t xml:space="preserve">now </w:t>
            </w:r>
            <w:r w:rsidRPr="008716FB">
              <w:t xml:space="preserve">PCF. </w:t>
            </w:r>
          </w:p>
          <w:p w:rsidRPr="008716FB" w:rsidR="00AD2D29" w:rsidP="00CD7EFC" w:rsidRDefault="00AD2D29" w14:paraId="499F8945" w14:textId="4F014165">
            <w:pPr>
              <w:spacing w:after="240"/>
            </w:pPr>
            <w:r w:rsidRPr="008716FB">
              <w:lastRenderedPageBreak/>
              <w:t>While PCF is our new acronym, we did not modify any of quotes from D.20</w:t>
            </w:r>
            <w:r w:rsidR="0092038A">
              <w:noBreakHyphen/>
            </w:r>
            <w:r w:rsidRPr="008716FB">
              <w:t>06</w:t>
            </w:r>
            <w:r w:rsidR="0092038A">
              <w:noBreakHyphen/>
            </w:r>
            <w:r w:rsidRPr="008716FB">
              <w:t xml:space="preserve">031. Thus, for the purpose of this substantial contribution section, PCF and POC are interchangeable. </w:t>
            </w:r>
          </w:p>
          <w:p w:rsidRPr="008716FB" w:rsidR="00AD2D29" w:rsidP="00F1003D" w:rsidRDefault="00AD2D29" w14:paraId="1B0CC007" w14:textId="51CD20E3">
            <w:pPr>
              <w:spacing w:after="240"/>
              <w:jc w:val="center"/>
              <w:rPr>
                <w:b/>
              </w:rPr>
            </w:pPr>
            <w:r w:rsidRPr="008716FB">
              <w:rPr>
                <w:b/>
              </w:rPr>
              <w:t>PCF = POC</w:t>
            </w:r>
          </w:p>
        </w:tc>
        <w:tc>
          <w:tcPr>
            <w:tcW w:w="3870" w:type="dxa"/>
            <w:shd w:val="clear" w:color="auto" w:fill="auto"/>
          </w:tcPr>
          <w:p w:rsidRPr="008716FB" w:rsidR="00AD2D29" w:rsidP="008738CA" w:rsidRDefault="00AD2D29" w14:paraId="532F95D2" w14:textId="24C6D27D">
            <w:pPr>
              <w:spacing w:before="120"/>
              <w:rPr>
                <w:b/>
              </w:rPr>
            </w:pPr>
          </w:p>
        </w:tc>
        <w:tc>
          <w:tcPr>
            <w:tcW w:w="2075" w:type="dxa"/>
            <w:shd w:val="clear" w:color="auto" w:fill="auto"/>
          </w:tcPr>
          <w:p w:rsidRPr="008716FB" w:rsidR="00AD2D29" w:rsidP="00CD7EFC" w:rsidRDefault="00EC7077" w14:paraId="63938BDA" w14:textId="3610537F">
            <w:pPr>
              <w:spacing w:after="240"/>
              <w:jc w:val="center"/>
            </w:pPr>
            <w:r w:rsidRPr="008716FB">
              <w:t>Noted</w:t>
            </w:r>
          </w:p>
        </w:tc>
      </w:tr>
      <w:tr w:rsidRPr="008716FB" w:rsidR="008716FB" w:rsidTr="008906BC" w14:paraId="79127B47" w14:textId="77777777">
        <w:tc>
          <w:tcPr>
            <w:tcW w:w="3415" w:type="dxa"/>
            <w:shd w:val="clear" w:color="auto" w:fill="auto"/>
          </w:tcPr>
          <w:p w:rsidRPr="008716FB" w:rsidR="00AD2D29" w:rsidP="00AC45F3" w:rsidRDefault="00AD2D29" w14:paraId="5DAFB17F" w14:textId="4DF64B0C">
            <w:r w:rsidRPr="008716FB">
              <w:rPr>
                <w:b/>
              </w:rPr>
              <w:t>Issue: Local and Flexible Capacity Requirements</w:t>
            </w:r>
          </w:p>
        </w:tc>
        <w:tc>
          <w:tcPr>
            <w:tcW w:w="3870" w:type="dxa"/>
            <w:shd w:val="clear" w:color="auto" w:fill="auto"/>
          </w:tcPr>
          <w:p w:rsidRPr="008716FB" w:rsidR="00AD2D29" w:rsidP="00AC45F3" w:rsidRDefault="00AD2D29" w14:paraId="38394215" w14:textId="5492F01E">
            <w:r w:rsidRPr="008716FB">
              <w:rPr>
                <w:b/>
              </w:rPr>
              <w:t>Issue: Local and Flexible Capacity Requirements</w:t>
            </w:r>
          </w:p>
        </w:tc>
        <w:tc>
          <w:tcPr>
            <w:tcW w:w="2075" w:type="dxa"/>
            <w:shd w:val="clear" w:color="auto" w:fill="auto"/>
          </w:tcPr>
          <w:p w:rsidRPr="008716FB" w:rsidR="00AD2D29" w:rsidP="007D4327" w:rsidRDefault="00AD2D29" w14:paraId="07A8FD85" w14:textId="77777777">
            <w:pPr>
              <w:spacing w:after="240"/>
            </w:pPr>
          </w:p>
        </w:tc>
      </w:tr>
      <w:tr w:rsidRPr="008716FB" w:rsidR="008716FB" w:rsidTr="008906BC" w14:paraId="1C152DF0" w14:textId="77777777">
        <w:tc>
          <w:tcPr>
            <w:tcW w:w="3415" w:type="dxa"/>
            <w:shd w:val="clear" w:color="auto" w:fill="auto"/>
          </w:tcPr>
          <w:p w:rsidRPr="008716FB" w:rsidR="00AD2D29" w:rsidP="008D5F9C" w:rsidRDefault="00AD2D29" w14:paraId="24128930" w14:textId="7A587810">
            <w:pPr>
              <w:spacing w:after="240"/>
            </w:pPr>
            <w:r w:rsidRPr="008716FB">
              <w:t xml:space="preserve">PCF argued that CAISO uses LCR standards that are more stringent than those required by NERC and WECC. PCF stated </w:t>
            </w:r>
            <w:r w:rsidR="007D4327">
              <w:t>“</w:t>
            </w:r>
            <w:r w:rsidRPr="008716FB">
              <w:t>[f]or each given condition, CAISO applies the most stringent of the three standards – NERC, WECC, or CAISO’s own standards. POC noted in its comments on the Draft LCR Report that the CAISO’s multilayered standards have led to California bearing much higher transmission costs than the rest of the U.S.</w:t>
            </w:r>
            <w:r w:rsidR="007D4327">
              <w:t>”</w:t>
            </w:r>
            <w:r w:rsidRPr="008716FB">
              <w:t xml:space="preserve"> </w:t>
            </w:r>
          </w:p>
          <w:p w:rsidRPr="008716FB" w:rsidR="00AD2D29" w:rsidP="008D5F9C" w:rsidRDefault="00AD2D29" w14:paraId="7625CB8E" w14:textId="1327FF14">
            <w:pPr>
              <w:spacing w:after="240"/>
            </w:pPr>
            <w:r w:rsidRPr="008716FB">
              <w:t>PCF Comments on the LCR Report (May 8, 2020)</w:t>
            </w:r>
            <w:r w:rsidR="008906BC">
              <w:t xml:space="preserve"> p. </w:t>
            </w:r>
            <w:r w:rsidRPr="008716FB">
              <w:t xml:space="preserve">5.  </w:t>
            </w:r>
          </w:p>
          <w:p w:rsidRPr="008716FB" w:rsidR="00AD2D29" w:rsidP="008D5F9C" w:rsidRDefault="00AD2D29" w14:paraId="10FFE8F7" w14:textId="28EE7096">
            <w:pPr>
              <w:spacing w:after="240"/>
            </w:pPr>
            <w:r w:rsidRPr="008716FB">
              <w:t>The Commission agreed with POC and ordered a working group to review CAISO's reliability standards.</w:t>
            </w:r>
          </w:p>
        </w:tc>
        <w:tc>
          <w:tcPr>
            <w:tcW w:w="3870" w:type="dxa"/>
            <w:shd w:val="clear" w:color="auto" w:fill="auto"/>
          </w:tcPr>
          <w:p w:rsidRPr="008716FB" w:rsidR="00AD2D29" w:rsidP="008D5F9C" w:rsidRDefault="007D4327" w14:paraId="5E61E815" w14:textId="43188A8E">
            <w:pPr>
              <w:spacing w:after="240"/>
            </w:pPr>
            <w:r>
              <w:t>“</w:t>
            </w:r>
            <w:r w:rsidRPr="008716FB" w:rsidR="00AD2D29">
              <w:t>POC also raises concerns about the Greater Bay Area LCR evaluation and asserts that the problem arises from CAISO’s application of the most stringent standards, which leads to unnecessary and expensive over procurement. POC states that in addition to the NERC and WECC reliability standards, CAISO applies its own 'Applicable Reliability Criteria' and that this third set is not necessary. 'POC encourages evaluation of CAISO’s reliability standards to determine if they result in higher transmission costs to ratepayers as compared to the rest of the country.'</w:t>
            </w:r>
            <w:r>
              <w:t>“</w:t>
            </w:r>
            <w:r w:rsidRPr="008716FB" w:rsidR="00AD2D29">
              <w:t xml:space="preserve"> D.20</w:t>
            </w:r>
            <w:r w:rsidR="0092038A">
              <w:noBreakHyphen/>
            </w:r>
            <w:r w:rsidRPr="008716FB" w:rsidR="00AD2D29">
              <w:t>06</w:t>
            </w:r>
            <w:r w:rsidR="0092038A">
              <w:noBreakHyphen/>
            </w:r>
            <w:r w:rsidRPr="008716FB" w:rsidR="00AD2D29">
              <w:t>031,</w:t>
            </w:r>
            <w:r w:rsidR="008906BC">
              <w:t xml:space="preserve"> pp. </w:t>
            </w:r>
            <w:r w:rsidRPr="008716FB" w:rsidR="00AD2D29">
              <w:t>11</w:t>
            </w:r>
            <w:r w:rsidR="0092038A">
              <w:noBreakHyphen/>
            </w:r>
            <w:r w:rsidRPr="008716FB" w:rsidR="00AD2D29">
              <w:t>12.</w:t>
            </w:r>
          </w:p>
          <w:p w:rsidRPr="008716FB" w:rsidR="00AD2D29" w:rsidP="008D5F9C" w:rsidRDefault="00AD2D29" w14:paraId="6D11534E" w14:textId="77777777">
            <w:pPr>
              <w:spacing w:after="240"/>
            </w:pPr>
          </w:p>
          <w:p w:rsidRPr="008716FB" w:rsidR="00AD2D29" w:rsidP="008D5F9C" w:rsidRDefault="00AD2D29" w14:paraId="4498F5FD" w14:textId="2AC8E1A4">
            <w:pPr>
              <w:spacing w:after="240"/>
            </w:pPr>
            <w:r w:rsidRPr="008716FB">
              <w:t>The Decision agreed with PCF by issuing Ordering Paragraph (OP) 5 and 6 which ordered the formation of a working group (WG) to evaluate the CAISO’s reliability standards. D.20</w:t>
            </w:r>
            <w:r w:rsidR="0092038A">
              <w:noBreakHyphen/>
            </w:r>
            <w:r w:rsidRPr="008716FB">
              <w:t>06</w:t>
            </w:r>
            <w:r w:rsidR="0092038A">
              <w:noBreakHyphen/>
            </w:r>
            <w:r w:rsidRPr="008716FB">
              <w:t>031, OP 5 and 6,</w:t>
            </w:r>
            <w:r w:rsidR="008906BC">
              <w:t xml:space="preserve"> pp. </w:t>
            </w:r>
            <w:r w:rsidRPr="008716FB">
              <w:t>91</w:t>
            </w:r>
            <w:r w:rsidR="0092038A">
              <w:noBreakHyphen/>
            </w:r>
            <w:r w:rsidRPr="008716FB">
              <w:t xml:space="preserve">92. </w:t>
            </w:r>
          </w:p>
        </w:tc>
        <w:tc>
          <w:tcPr>
            <w:tcW w:w="2075" w:type="dxa"/>
            <w:shd w:val="clear" w:color="auto" w:fill="auto"/>
          </w:tcPr>
          <w:p w:rsidRPr="008716FB" w:rsidR="00AD2D29" w:rsidP="007D4327" w:rsidRDefault="00925EEC" w14:paraId="3B21D5D5" w14:textId="0D9D86E1">
            <w:pPr>
              <w:spacing w:after="240"/>
              <w:jc w:val="center"/>
            </w:pPr>
            <w:r w:rsidRPr="008716FB">
              <w:t>Verified</w:t>
            </w:r>
          </w:p>
        </w:tc>
      </w:tr>
      <w:tr w:rsidRPr="008716FB" w:rsidR="008716FB" w:rsidTr="008906BC" w14:paraId="4AAA05AE" w14:textId="77777777">
        <w:tc>
          <w:tcPr>
            <w:tcW w:w="3415" w:type="dxa"/>
            <w:shd w:val="clear" w:color="auto" w:fill="auto"/>
          </w:tcPr>
          <w:p w:rsidRPr="008716FB" w:rsidR="00AD2D29" w:rsidP="008D5F9C" w:rsidRDefault="00AD2D29" w14:paraId="085AE0FC" w14:textId="58C659BC">
            <w:pPr>
              <w:spacing w:after="240"/>
            </w:pPr>
            <w:r w:rsidRPr="008716FB">
              <w:t xml:space="preserve">PCF argued that </w:t>
            </w:r>
            <w:r w:rsidR="007D4327">
              <w:t>“</w:t>
            </w:r>
            <w:r w:rsidRPr="008716FB">
              <w:t xml:space="preserve">energy storage information aids LSEs’ understanding of storage needs </w:t>
            </w:r>
            <w:r w:rsidRPr="008716FB">
              <w:lastRenderedPageBreak/>
              <w:t>and limitations in local capacity areas. However, POC recommends a reframing of the 2021 LCR Report’s storage discussion to highlight the path necessary to attain the SB 100 targets of 100% renewable energy.</w:t>
            </w:r>
            <w:r w:rsidR="007D4327">
              <w:t>”</w:t>
            </w:r>
            <w:r w:rsidRPr="008716FB">
              <w:t xml:space="preserve"> </w:t>
            </w:r>
          </w:p>
          <w:p w:rsidRPr="008716FB" w:rsidR="00AD2D29" w:rsidP="008D5F9C" w:rsidRDefault="00AD2D29" w14:paraId="11FCCEB5" w14:textId="19E169F2">
            <w:pPr>
              <w:spacing w:after="240"/>
            </w:pPr>
            <w:r w:rsidRPr="008716FB">
              <w:t>PCF Comments on the LCR Report (May 8, 2020)</w:t>
            </w:r>
            <w:r w:rsidR="008906BC">
              <w:t xml:space="preserve"> p. </w:t>
            </w:r>
            <w:r w:rsidRPr="008716FB">
              <w:t>6.</w:t>
            </w:r>
          </w:p>
        </w:tc>
        <w:tc>
          <w:tcPr>
            <w:tcW w:w="3870" w:type="dxa"/>
            <w:shd w:val="clear" w:color="auto" w:fill="auto"/>
          </w:tcPr>
          <w:p w:rsidRPr="008716FB" w:rsidR="00AD2D29" w:rsidP="007D4327" w:rsidRDefault="00AD2D29" w14:paraId="7147EF26" w14:textId="77777777">
            <w:pPr>
              <w:spacing w:after="240"/>
            </w:pPr>
            <w:r w:rsidRPr="008716FB">
              <w:lastRenderedPageBreak/>
              <w:t>The Decision highlighted PCF’s contribution:</w:t>
            </w:r>
          </w:p>
          <w:p w:rsidRPr="008716FB" w:rsidR="00AD2D29" w:rsidP="007D4327" w:rsidRDefault="007D4327" w14:paraId="6FAE6C81" w14:textId="211165B3">
            <w:pPr>
              <w:spacing w:after="240"/>
            </w:pPr>
            <w:r>
              <w:lastRenderedPageBreak/>
              <w:t>“</w:t>
            </w:r>
            <w:r w:rsidRPr="008716FB" w:rsidR="00AD2D29">
              <w:t>Several parties, including … POC … comment on CAISO’s inclusion of battery storage limits in the Final LCR Study.</w:t>
            </w:r>
            <w:r>
              <w:t>”</w:t>
            </w:r>
            <w:r w:rsidRPr="008716FB" w:rsidR="00AD2D29">
              <w:t xml:space="preserve"> and </w:t>
            </w:r>
            <w:r>
              <w:t>“</w:t>
            </w:r>
            <w:r w:rsidRPr="008716FB" w:rsidR="00AD2D29">
              <w:t>POC supports the new energy storage data for assisting LSEs’ understanding of storage needs in local areas but recommends that the storage discussion be reframed to ‘highlight the path necessary to attain the SB 100 targets of 100% renewable energy.’</w:t>
            </w:r>
            <w:r>
              <w:t>”</w:t>
            </w:r>
            <w:r w:rsidRPr="008716FB" w:rsidR="00AD2D29">
              <w:t xml:space="preserve"> D.20</w:t>
            </w:r>
            <w:r w:rsidR="0092038A">
              <w:noBreakHyphen/>
            </w:r>
            <w:r w:rsidRPr="008716FB" w:rsidR="00AD2D29">
              <w:t>06</w:t>
            </w:r>
            <w:r w:rsidR="0092038A">
              <w:noBreakHyphen/>
            </w:r>
            <w:r w:rsidRPr="008716FB" w:rsidR="00AD2D29">
              <w:t>031,</w:t>
            </w:r>
            <w:r w:rsidR="008906BC">
              <w:t xml:space="preserve"> p. </w:t>
            </w:r>
            <w:r w:rsidRPr="008716FB" w:rsidR="00AD2D29">
              <w:t>13</w:t>
            </w:r>
            <w:r w:rsidR="0092038A">
              <w:noBreakHyphen/>
            </w:r>
            <w:r w:rsidRPr="008716FB" w:rsidR="00AD2D29">
              <w:t>14.</w:t>
            </w:r>
          </w:p>
          <w:p w:rsidRPr="008716FB" w:rsidR="00AD2D29" w:rsidP="007D4327" w:rsidRDefault="00AD2D29" w14:paraId="2A92A629" w14:textId="5B10317D">
            <w:pPr>
              <w:spacing w:after="240"/>
            </w:pPr>
            <w:r w:rsidRPr="008716FB">
              <w:t xml:space="preserve">The Decision agreed with PCF by issuing OP 6(e) which ordered the future WG to </w:t>
            </w:r>
            <w:r w:rsidR="007D4327">
              <w:t>“</w:t>
            </w:r>
            <w:r w:rsidRPr="008716FB">
              <w:t>Inclusion of energy storage limits in the LCR report and its implications on future resource procurement</w:t>
            </w:r>
            <w:r w:rsidR="007D4327">
              <w:t>”</w:t>
            </w:r>
            <w:r w:rsidRPr="008716FB">
              <w:t>. D.20</w:t>
            </w:r>
            <w:r w:rsidR="0092038A">
              <w:noBreakHyphen/>
            </w:r>
            <w:r w:rsidRPr="008716FB">
              <w:t>06</w:t>
            </w:r>
            <w:r w:rsidR="0092038A">
              <w:noBreakHyphen/>
            </w:r>
            <w:r w:rsidRPr="008716FB">
              <w:t>031, OP 6(e),</w:t>
            </w:r>
            <w:r w:rsidR="008906BC">
              <w:t xml:space="preserve"> p. </w:t>
            </w:r>
            <w:r w:rsidRPr="008716FB">
              <w:t>91.</w:t>
            </w:r>
          </w:p>
        </w:tc>
        <w:tc>
          <w:tcPr>
            <w:tcW w:w="2075" w:type="dxa"/>
            <w:shd w:val="clear" w:color="auto" w:fill="auto"/>
          </w:tcPr>
          <w:p w:rsidRPr="008716FB" w:rsidR="00AD2D29" w:rsidP="007D4327" w:rsidRDefault="00925EEC" w14:paraId="56FD3368" w14:textId="627BB0CA">
            <w:pPr>
              <w:spacing w:after="240"/>
              <w:jc w:val="center"/>
            </w:pPr>
            <w:r w:rsidRPr="008716FB">
              <w:lastRenderedPageBreak/>
              <w:t>Verified</w:t>
            </w:r>
            <w:r w:rsidRPr="008716FB" w:rsidR="00DD7C84">
              <w:t xml:space="preserve"> </w:t>
            </w:r>
          </w:p>
        </w:tc>
      </w:tr>
      <w:tr w:rsidRPr="008716FB" w:rsidR="008716FB" w:rsidTr="008906BC" w14:paraId="0F4CEC53" w14:textId="77777777">
        <w:tc>
          <w:tcPr>
            <w:tcW w:w="3415" w:type="dxa"/>
            <w:shd w:val="clear" w:color="auto" w:fill="auto"/>
          </w:tcPr>
          <w:p w:rsidRPr="008716FB" w:rsidR="00AD2D29" w:rsidP="008D5F9C" w:rsidRDefault="00AD2D29" w14:paraId="5EADD234" w14:textId="77777777">
            <w:pPr>
              <w:spacing w:after="240"/>
            </w:pPr>
            <w:r w:rsidRPr="008716FB">
              <w:t xml:space="preserve">PCF highlighted the inconsistency found in CAISO’s reliability standards versus other balancing authorities as well as the excessively high standards which fail to serve ratepayers. </w:t>
            </w:r>
          </w:p>
          <w:p w:rsidRPr="008716FB" w:rsidR="00AD2D29" w:rsidP="008D5F9C" w:rsidRDefault="007D4327" w14:paraId="2D9A86B8" w14:textId="6F10C070">
            <w:pPr>
              <w:spacing w:after="240"/>
            </w:pPr>
            <w:r>
              <w:t>“</w:t>
            </w:r>
            <w:r w:rsidRPr="008716FB" w:rsidR="00AD2D29">
              <w:t xml:space="preserve">POC encourages the Commission to evaluate CAISO’s overly conservative application of reliability standards and to determine if those standards are in fact resulting in California’s abnormally high transmission costs compared to the rest of the country. POC requests that the Commission conduct an independent determination of the appropriate LCR reliability standard to apply to California </w:t>
            </w:r>
            <w:r w:rsidRPr="008716FB" w:rsidR="00AD2D29">
              <w:lastRenderedPageBreak/>
              <w:t>IOUs, and not leave this critically important consideration exclusively to the discretion of CAISO.</w:t>
            </w:r>
            <w:r>
              <w:t>”</w:t>
            </w:r>
            <w:r w:rsidRPr="008716FB" w:rsidR="00AD2D29">
              <w:t xml:space="preserve"> POC Comments on the Final LCR Report (May 8, 2020)</w:t>
            </w:r>
            <w:r w:rsidR="008906BC">
              <w:t xml:space="preserve"> p. </w:t>
            </w:r>
            <w:r w:rsidRPr="008716FB" w:rsidR="00AD2D29">
              <w:t>5.</w:t>
            </w:r>
          </w:p>
        </w:tc>
        <w:tc>
          <w:tcPr>
            <w:tcW w:w="3870" w:type="dxa"/>
            <w:shd w:val="clear" w:color="auto" w:fill="auto"/>
          </w:tcPr>
          <w:p w:rsidRPr="008716FB" w:rsidR="00AD2D29" w:rsidP="007D4327" w:rsidRDefault="00AD2D29" w14:paraId="61190A4D" w14:textId="77777777">
            <w:pPr>
              <w:spacing w:after="240"/>
            </w:pPr>
            <w:r w:rsidRPr="008716FB">
              <w:lastRenderedPageBreak/>
              <w:t>The Commission agreed with PCF’s analysis of the CAISO LCR Report and declined to adopt CAISO’s proposals.  The Decision established a working group to review the CAISO's reliability criteria more fully.</w:t>
            </w:r>
          </w:p>
          <w:p w:rsidRPr="008716FB" w:rsidR="00AD2D29" w:rsidP="007D4327" w:rsidRDefault="007D4327" w14:paraId="1C2F131E" w14:textId="604C9203">
            <w:pPr>
              <w:spacing w:after="240"/>
            </w:pPr>
            <w:r>
              <w:t>“</w:t>
            </w:r>
            <w:r w:rsidRPr="008716FB" w:rsidR="00AD2D29">
              <w:t xml:space="preserve">While CAISO states that the revised reliability criteria are intended to align with current mandatory reliability standards developed by NERC and WECC, the Commission has not directly considered this newly adopted local reliability criteria and the costs to ratepayers associated with this dramatic increase in the Greater Bay Area LCR. Therefore, the Commission declines to adopt the reliability criteria presented in CAISO’s Final 2021 LCR Report at </w:t>
            </w:r>
            <w:r w:rsidRPr="008716FB" w:rsidR="00AD2D29">
              <w:lastRenderedPageBreak/>
              <w:t>this time.... Parties should also have an opportunity to weigh in on the associated impacts of adopting the new reliability criteria, especially with regards to the added reliability and potential costs to ratepayers.</w:t>
            </w:r>
            <w:r>
              <w:t>”</w:t>
            </w:r>
            <w:r w:rsidRPr="008716FB" w:rsidR="00AD2D29">
              <w:t xml:space="preserve"> D.20</w:t>
            </w:r>
            <w:r w:rsidR="0092038A">
              <w:noBreakHyphen/>
            </w:r>
            <w:r w:rsidRPr="008716FB" w:rsidR="00AD2D29">
              <w:t>06</w:t>
            </w:r>
            <w:r w:rsidR="0092038A">
              <w:noBreakHyphen/>
            </w:r>
            <w:r w:rsidRPr="008716FB" w:rsidR="00AD2D29">
              <w:t>031,</w:t>
            </w:r>
            <w:r w:rsidR="008906BC">
              <w:t xml:space="preserve"> p. </w:t>
            </w:r>
            <w:r w:rsidRPr="008716FB" w:rsidR="00AD2D29">
              <w:t>14</w:t>
            </w:r>
            <w:r w:rsidR="0092038A">
              <w:noBreakHyphen/>
            </w:r>
            <w:r w:rsidRPr="008716FB" w:rsidR="00AD2D29">
              <w:t>15</w:t>
            </w:r>
          </w:p>
        </w:tc>
        <w:tc>
          <w:tcPr>
            <w:tcW w:w="2075" w:type="dxa"/>
            <w:shd w:val="clear" w:color="auto" w:fill="auto"/>
          </w:tcPr>
          <w:p w:rsidRPr="008716FB" w:rsidR="00AD2D29" w:rsidP="007D4327" w:rsidRDefault="00925EEC" w14:paraId="54FD2A4F" w14:textId="0D8CD654">
            <w:pPr>
              <w:spacing w:after="240"/>
              <w:jc w:val="center"/>
            </w:pPr>
            <w:r w:rsidRPr="008716FB">
              <w:lastRenderedPageBreak/>
              <w:t>Verified</w:t>
            </w:r>
            <w:r w:rsidRPr="008716FB" w:rsidR="00DD7C84">
              <w:t xml:space="preserve"> </w:t>
            </w:r>
          </w:p>
        </w:tc>
      </w:tr>
      <w:tr w:rsidRPr="008716FB" w:rsidR="008716FB" w:rsidTr="008906BC" w14:paraId="05CB109D" w14:textId="77777777">
        <w:tc>
          <w:tcPr>
            <w:tcW w:w="3415" w:type="dxa"/>
            <w:shd w:val="clear" w:color="auto" w:fill="auto"/>
          </w:tcPr>
          <w:p w:rsidRPr="008716FB" w:rsidR="00AD2D29" w:rsidP="008D5F9C" w:rsidRDefault="00AD2D29" w14:paraId="432352F2" w14:textId="7A863682">
            <w:pPr>
              <w:spacing w:after="240"/>
            </w:pPr>
            <w:r w:rsidRPr="008716FB">
              <w:t>PCF argued for a revision to the selection of proposed co</w:t>
            </w:r>
            <w:r w:rsidR="0092038A">
              <w:noBreakHyphen/>
            </w:r>
            <w:r w:rsidRPr="008716FB">
              <w:t xml:space="preserve">chairs for the local RA working group. </w:t>
            </w:r>
          </w:p>
          <w:p w:rsidRPr="008716FB" w:rsidR="00AD2D29" w:rsidP="008D5F9C" w:rsidRDefault="00AD2D29" w14:paraId="5FE75399" w14:textId="3D179305">
            <w:pPr>
              <w:spacing w:after="240"/>
            </w:pPr>
            <w:r w:rsidRPr="008716FB">
              <w:t xml:space="preserve"> </w:t>
            </w:r>
            <w:r w:rsidR="007D4327">
              <w:t>“</w:t>
            </w:r>
            <w:r w:rsidRPr="008716FB">
              <w:t>POC recommends that CAISO not be appointed co</w:t>
            </w:r>
            <w:r w:rsidR="0092038A">
              <w:noBreakHyphen/>
            </w:r>
            <w:r w:rsidRPr="008716FB">
              <w:t>chair of this working group. Allowing CAISO to control the discussion from a position of co</w:t>
            </w:r>
            <w:r w:rsidR="0092038A">
              <w:noBreakHyphen/>
            </w:r>
            <w:r w:rsidRPr="008716FB">
              <w:t>chair ignores the inherent bias CAISO possesses to defend its own reliability standards.</w:t>
            </w:r>
            <w:r w:rsidR="007D4327">
              <w:t>”</w:t>
            </w:r>
            <w:r w:rsidRPr="008716FB">
              <w:t xml:space="preserve"> POC Comments on the PD (June 11, 2020)</w:t>
            </w:r>
            <w:r w:rsidR="008906BC">
              <w:t xml:space="preserve"> p. </w:t>
            </w:r>
            <w:r w:rsidRPr="008716FB">
              <w:t xml:space="preserve">3. </w:t>
            </w:r>
          </w:p>
        </w:tc>
        <w:tc>
          <w:tcPr>
            <w:tcW w:w="3870" w:type="dxa"/>
            <w:shd w:val="clear" w:color="auto" w:fill="auto"/>
          </w:tcPr>
          <w:p w:rsidRPr="008716FB" w:rsidR="00AD2D29" w:rsidP="007D4327" w:rsidRDefault="00AD2D29" w14:paraId="7B7E405D" w14:textId="70988792">
            <w:pPr>
              <w:spacing w:after="240"/>
            </w:pPr>
            <w:r w:rsidRPr="008716FB">
              <w:t>The Commission agreed with PCF and revised the co</w:t>
            </w:r>
            <w:r w:rsidR="0092038A">
              <w:noBreakHyphen/>
            </w:r>
            <w:r w:rsidRPr="008716FB">
              <w:t xml:space="preserve">chair assignments </w:t>
            </w:r>
            <w:r w:rsidRPr="008716FB" w:rsidR="009015AB">
              <w:t>a</w:t>
            </w:r>
            <w:r w:rsidRPr="008716FB">
              <w:t>ccording to PCF’s recommendation.</w:t>
            </w:r>
          </w:p>
          <w:p w:rsidRPr="008716FB" w:rsidR="00AD2D29" w:rsidP="007D4327" w:rsidRDefault="007D4327" w14:paraId="35783BD4" w14:textId="70102753">
            <w:pPr>
              <w:spacing w:after="240"/>
            </w:pPr>
            <w:r>
              <w:t>“</w:t>
            </w:r>
            <w:r w:rsidRPr="008716FB" w:rsidR="00AD2D29">
              <w:t>We agree that a local RA working group should be established to evaluate CAISO’s updated criteria and other LCR related issues and propose improvements to the local RA requirement process. This working group shall be co</w:t>
            </w:r>
            <w:r w:rsidR="0092038A">
              <w:noBreakHyphen/>
            </w:r>
            <w:r w:rsidRPr="008716FB" w:rsidR="00AD2D29">
              <w:t>led by Energy Division and a consumer advocacy or environmental advocacy group.</w:t>
            </w:r>
            <w:r>
              <w:t>”</w:t>
            </w:r>
            <w:r w:rsidRPr="008716FB" w:rsidR="00AD2D29">
              <w:t xml:space="preserve"> D.20</w:t>
            </w:r>
            <w:r w:rsidR="0092038A">
              <w:noBreakHyphen/>
            </w:r>
            <w:r w:rsidRPr="008716FB" w:rsidR="00AD2D29">
              <w:t>06</w:t>
            </w:r>
            <w:r w:rsidR="0092038A">
              <w:noBreakHyphen/>
            </w:r>
            <w:r w:rsidRPr="008716FB" w:rsidR="00AD2D29">
              <w:t>031,</w:t>
            </w:r>
            <w:r w:rsidR="008906BC">
              <w:t xml:space="preserve"> p. </w:t>
            </w:r>
            <w:r w:rsidRPr="008716FB" w:rsidR="00AD2D29">
              <w:t>15</w:t>
            </w:r>
          </w:p>
          <w:p w:rsidRPr="008716FB" w:rsidR="00AD2D29" w:rsidP="007D4327" w:rsidRDefault="00AD2D29" w14:paraId="487EF085" w14:textId="224963FA">
            <w:pPr>
              <w:spacing w:after="240"/>
            </w:pPr>
            <w:r w:rsidRPr="008716FB">
              <w:t xml:space="preserve"> </w:t>
            </w:r>
            <w:r w:rsidR="007D4327">
              <w:t>“</w:t>
            </w:r>
            <w:r w:rsidRPr="008716FB">
              <w:t>POC states that CAISO or an IOU should not serve as co</w:t>
            </w:r>
            <w:r w:rsidR="0092038A">
              <w:noBreakHyphen/>
            </w:r>
            <w:r w:rsidRPr="008716FB">
              <w:t>chairs and that Energy Division should serve with a customer user group. We find it reasonable that Energy Division and a consumer or environmental advocacy group should serve as co</w:t>
            </w:r>
            <w:r w:rsidR="0092038A">
              <w:noBreakHyphen/>
            </w:r>
            <w:r w:rsidRPr="008716FB">
              <w:t>leads of the LCR working group.</w:t>
            </w:r>
            <w:r w:rsidR="007D4327">
              <w:t>”</w:t>
            </w:r>
            <w:r w:rsidRPr="008716FB">
              <w:t xml:space="preserve"> D.20</w:t>
            </w:r>
            <w:r w:rsidR="0092038A">
              <w:noBreakHyphen/>
            </w:r>
            <w:r w:rsidRPr="008716FB">
              <w:t>06</w:t>
            </w:r>
            <w:r w:rsidR="0092038A">
              <w:noBreakHyphen/>
            </w:r>
            <w:r w:rsidRPr="008716FB">
              <w:t>031,</w:t>
            </w:r>
            <w:r w:rsidR="008906BC">
              <w:t xml:space="preserve"> p. </w:t>
            </w:r>
            <w:r w:rsidRPr="008716FB">
              <w:t>79.</w:t>
            </w:r>
          </w:p>
        </w:tc>
        <w:tc>
          <w:tcPr>
            <w:tcW w:w="2075" w:type="dxa"/>
            <w:shd w:val="clear" w:color="auto" w:fill="auto"/>
          </w:tcPr>
          <w:p w:rsidRPr="008716FB" w:rsidR="00AD2D29" w:rsidP="007D4327" w:rsidRDefault="00925EEC" w14:paraId="48DDF349" w14:textId="41A46F11">
            <w:pPr>
              <w:spacing w:after="240"/>
              <w:jc w:val="center"/>
            </w:pPr>
            <w:r w:rsidRPr="008716FB">
              <w:t>Verified</w:t>
            </w:r>
            <w:r w:rsidRPr="008716FB" w:rsidR="00DD7C84">
              <w:t xml:space="preserve"> </w:t>
            </w:r>
          </w:p>
        </w:tc>
      </w:tr>
      <w:tr w:rsidRPr="008716FB" w:rsidR="008716FB" w:rsidTr="008906BC" w14:paraId="79573CB8" w14:textId="77777777">
        <w:tc>
          <w:tcPr>
            <w:tcW w:w="3415" w:type="dxa"/>
            <w:shd w:val="clear" w:color="auto" w:fill="auto"/>
          </w:tcPr>
          <w:p w:rsidRPr="008716FB" w:rsidR="00AD2D29" w:rsidP="008D5F9C" w:rsidRDefault="00AD2D29" w14:paraId="5ADB3E1D" w14:textId="3D921F8A">
            <w:pPr>
              <w:spacing w:after="240"/>
            </w:pPr>
            <w:r w:rsidRPr="008716FB">
              <w:t>PCF argued in favor of including each of the 4 issues (listed in D.20</w:t>
            </w:r>
            <w:r w:rsidR="0092038A">
              <w:noBreakHyphen/>
            </w:r>
            <w:r w:rsidRPr="008716FB">
              <w:t>06</w:t>
            </w:r>
            <w:r w:rsidR="0092038A">
              <w:noBreakHyphen/>
            </w:r>
            <w:r w:rsidRPr="008716FB">
              <w:t xml:space="preserve">031 and detailed to the right) in the working group scope. </w:t>
            </w:r>
          </w:p>
          <w:p w:rsidRPr="008716FB" w:rsidR="00AD2D29" w:rsidP="008D5F9C" w:rsidRDefault="00AD2D29" w14:paraId="27EABD79" w14:textId="77777777">
            <w:pPr>
              <w:spacing w:after="240"/>
            </w:pPr>
            <w:r w:rsidRPr="008716FB">
              <w:t xml:space="preserve">Issues 1 and 2: POC argued that the CAISO standards on top of NERC and WECC standards </w:t>
            </w:r>
            <w:r w:rsidRPr="008716FB">
              <w:lastRenderedPageBreak/>
              <w:t xml:space="preserve">creates an excessive and expensive web of reliability standards which fails to serve ratepayers' interests. POC recommended that the Commission should review the issue further. </w:t>
            </w:r>
          </w:p>
          <w:p w:rsidRPr="008716FB" w:rsidR="00AD2D29" w:rsidP="008D5F9C" w:rsidRDefault="00AD2D29" w14:paraId="737383C0" w14:textId="4C2F6B4C">
            <w:pPr>
              <w:spacing w:after="240"/>
            </w:pPr>
            <w:r w:rsidRPr="008716FB">
              <w:t>POC Comments on the Draft LCR Report (April 17, 2020)</w:t>
            </w:r>
            <w:r w:rsidR="008906BC">
              <w:t xml:space="preserve"> p. </w:t>
            </w:r>
            <w:r w:rsidRPr="008716FB">
              <w:t>3; POC Comments on the Final LCR Report (May 8, 2020)</w:t>
            </w:r>
            <w:r w:rsidR="008906BC">
              <w:t xml:space="preserve"> p. </w:t>
            </w:r>
            <w:r w:rsidRPr="008716FB">
              <w:t>5.; POC Comments on the PD (June 11, 2020)</w:t>
            </w:r>
            <w:r w:rsidR="008906BC">
              <w:t xml:space="preserve"> p. </w:t>
            </w:r>
            <w:r w:rsidRPr="008716FB">
              <w:t>3; POC Reply Comments on the PD (June 16, 2020)</w:t>
            </w:r>
            <w:r w:rsidR="008906BC">
              <w:t xml:space="preserve"> pp. </w:t>
            </w:r>
            <w:r w:rsidRPr="008716FB">
              <w:t>1</w:t>
            </w:r>
            <w:r w:rsidR="0092038A">
              <w:noBreakHyphen/>
            </w:r>
            <w:r w:rsidRPr="008716FB">
              <w:t>3.</w:t>
            </w:r>
          </w:p>
          <w:p w:rsidRPr="008716FB" w:rsidR="00AD2D29" w:rsidP="008D5F9C" w:rsidRDefault="00AD2D29" w14:paraId="55332356" w14:textId="63A6E78F">
            <w:pPr>
              <w:spacing w:after="240"/>
            </w:pPr>
            <w:r w:rsidRPr="008716FB">
              <w:t xml:space="preserve">Issue 3: POC argued that an independent determination of reliability would be needed to find the most appropriate criteria </w:t>
            </w:r>
            <w:r w:rsidR="0092038A">
              <w:noBreakHyphen/>
            </w:r>
            <w:r w:rsidRPr="008716FB">
              <w:t xml:space="preserve"> Category C, Category D, or other criteria to be determined. POC Reply Comments on the PD (June 16, 2020)</w:t>
            </w:r>
            <w:r w:rsidR="008906BC">
              <w:t xml:space="preserve"> pp. </w:t>
            </w:r>
            <w:r w:rsidRPr="008716FB">
              <w:t>1</w:t>
            </w:r>
            <w:r w:rsidR="0092038A">
              <w:noBreakHyphen/>
            </w:r>
            <w:r w:rsidRPr="008716FB">
              <w:t>3.</w:t>
            </w:r>
          </w:p>
          <w:p w:rsidRPr="008716FB" w:rsidR="00AD2D29" w:rsidP="007D4327" w:rsidRDefault="00AD2D29" w14:paraId="25DF8A0A" w14:textId="77777777">
            <w:pPr>
              <w:spacing w:after="240"/>
            </w:pPr>
          </w:p>
          <w:p w:rsidRPr="008716FB" w:rsidR="00AD2D29" w:rsidP="008D5F9C" w:rsidRDefault="00AD2D29" w14:paraId="463C6454" w14:textId="77777777">
            <w:pPr>
              <w:spacing w:after="240"/>
            </w:pPr>
            <w:r w:rsidRPr="008716FB">
              <w:t>Issue 5: POC argued for a review of the CAISO's LCR report storage evaluation and highlighted the importance of the storage evaluation on future resource procurement.</w:t>
            </w:r>
          </w:p>
          <w:p w:rsidRPr="008716FB" w:rsidR="00AD2D29" w:rsidP="008D5F9C" w:rsidRDefault="00AD2D29" w14:paraId="4651151E" w14:textId="5FFB1BCF">
            <w:pPr>
              <w:spacing w:after="240"/>
            </w:pPr>
            <w:r w:rsidRPr="008716FB">
              <w:t>POC Comments on the Final LCR Report (May 8, 2020)</w:t>
            </w:r>
            <w:r w:rsidR="008906BC">
              <w:t xml:space="preserve"> p. </w:t>
            </w:r>
            <w:r w:rsidRPr="008716FB">
              <w:t>6</w:t>
            </w:r>
            <w:r w:rsidR="0092038A">
              <w:noBreakHyphen/>
            </w:r>
            <w:r w:rsidRPr="008716FB">
              <w:t>8.</w:t>
            </w:r>
          </w:p>
        </w:tc>
        <w:tc>
          <w:tcPr>
            <w:tcW w:w="3870" w:type="dxa"/>
            <w:shd w:val="clear" w:color="auto" w:fill="auto"/>
          </w:tcPr>
          <w:p w:rsidRPr="008716FB" w:rsidR="00AD2D29" w:rsidP="007D4327" w:rsidRDefault="00AD2D29" w14:paraId="0EAD05F6" w14:textId="77777777">
            <w:pPr>
              <w:spacing w:after="240"/>
            </w:pPr>
            <w:r w:rsidRPr="008716FB">
              <w:lastRenderedPageBreak/>
              <w:t xml:space="preserve">The Commission agreed to review the CAISO standards compared to the NERC and WECC standards as PCF recommended. </w:t>
            </w:r>
          </w:p>
          <w:p w:rsidRPr="008716FB" w:rsidR="00AD2D29" w:rsidP="007D4327" w:rsidRDefault="00AD2D29" w14:paraId="1ECA6C09" w14:textId="77777777">
            <w:pPr>
              <w:spacing w:after="240"/>
            </w:pPr>
          </w:p>
          <w:p w:rsidRPr="008716FB" w:rsidR="00AD2D29" w:rsidP="007D4327" w:rsidRDefault="007D4327" w14:paraId="569F5B8D" w14:textId="0B249712">
            <w:pPr>
              <w:spacing w:after="240"/>
            </w:pPr>
            <w:r>
              <w:t>“</w:t>
            </w:r>
            <w:r w:rsidRPr="008716FB" w:rsidR="00AD2D29">
              <w:t xml:space="preserve">The working group should focus its immediate efforts on evaluating and </w:t>
            </w:r>
            <w:r w:rsidRPr="008716FB" w:rsidR="00AD2D29">
              <w:lastRenderedPageBreak/>
              <w:t>providing recommendations on the following issues. (1) Evaluation of the newly adopted CAISO reliability criteria in relation to NERC and WECC mandatory reliability standards; (2) Interpretation and implementation of CAISO’s reliability standards, mandatory NERC and WECC reliability standards, and the associated reliability benefits and costs;...</w:t>
            </w:r>
            <w:r>
              <w:t>”</w:t>
            </w:r>
            <w:r w:rsidRPr="008716FB" w:rsidR="00AD2D29">
              <w:t xml:space="preserve"> D.20</w:t>
            </w:r>
            <w:r w:rsidR="0092038A">
              <w:noBreakHyphen/>
            </w:r>
            <w:r w:rsidRPr="008716FB" w:rsidR="00AD2D29">
              <w:t>06</w:t>
            </w:r>
            <w:r w:rsidR="0092038A">
              <w:noBreakHyphen/>
            </w:r>
            <w:r w:rsidRPr="008716FB" w:rsidR="00AD2D29">
              <w:t>031,</w:t>
            </w:r>
            <w:r w:rsidR="008906BC">
              <w:t xml:space="preserve"> p. </w:t>
            </w:r>
            <w:r w:rsidRPr="008716FB" w:rsidR="00AD2D29">
              <w:t>15</w:t>
            </w:r>
          </w:p>
          <w:p w:rsidRPr="008716FB" w:rsidR="00AD2D29" w:rsidP="008738CA" w:rsidRDefault="00AD2D29" w14:paraId="3A881899" w14:textId="77777777">
            <w:pPr>
              <w:spacing w:before="120"/>
            </w:pPr>
          </w:p>
          <w:p w:rsidRPr="008716FB" w:rsidR="00AD2D29" w:rsidP="008738CA" w:rsidRDefault="00AD2D29" w14:paraId="12248066" w14:textId="77777777">
            <w:pPr>
              <w:spacing w:before="120"/>
            </w:pPr>
          </w:p>
          <w:p w:rsidRPr="008716FB" w:rsidR="00AD2D29" w:rsidP="008738CA" w:rsidRDefault="00AD2D29" w14:paraId="1D5E823A" w14:textId="77777777">
            <w:pPr>
              <w:spacing w:before="120"/>
            </w:pPr>
          </w:p>
          <w:p w:rsidRPr="008716FB" w:rsidR="00AD2D29" w:rsidP="007D4327" w:rsidRDefault="00AD2D29" w14:paraId="4DB6B540" w14:textId="77777777">
            <w:pPr>
              <w:spacing w:after="240"/>
            </w:pPr>
          </w:p>
          <w:p w:rsidRPr="008716FB" w:rsidR="00AD2D29" w:rsidP="007D4327" w:rsidRDefault="00AD2D29" w14:paraId="75542B58" w14:textId="77777777">
            <w:pPr>
              <w:spacing w:after="240"/>
            </w:pPr>
          </w:p>
          <w:p w:rsidRPr="008716FB" w:rsidR="00AD2D29" w:rsidP="007D4327" w:rsidRDefault="00AD2D29" w14:paraId="390FB9AB" w14:textId="77777777">
            <w:pPr>
              <w:spacing w:after="240"/>
            </w:pPr>
            <w:r w:rsidRPr="008716FB">
              <w:t>The Commission accepted PCF’s points about evaluating the Category C reliability criteria.</w:t>
            </w:r>
          </w:p>
          <w:p w:rsidRPr="008716FB" w:rsidR="00AD2D29" w:rsidP="007D4327" w:rsidRDefault="007D4327" w14:paraId="2B52A1C6" w14:textId="7BA91A39">
            <w:pPr>
              <w:spacing w:after="240"/>
            </w:pPr>
            <w:r>
              <w:t>“</w:t>
            </w:r>
            <w:r w:rsidRPr="008716FB" w:rsidR="00AD2D29">
              <w:t>…(3) Benefits and costs of the change from the old reliability criteria ‘Option 2/Category C’ to CAISO’s newly adopted reliability criteria;...</w:t>
            </w:r>
            <w:r>
              <w:t>”</w:t>
            </w:r>
            <w:r w:rsidRPr="008716FB" w:rsidR="00AD2D29">
              <w:t xml:space="preserve"> D.20</w:t>
            </w:r>
            <w:r w:rsidR="0092038A">
              <w:noBreakHyphen/>
            </w:r>
            <w:r w:rsidRPr="008716FB" w:rsidR="00AD2D29">
              <w:t>06</w:t>
            </w:r>
            <w:r w:rsidR="0092038A">
              <w:noBreakHyphen/>
            </w:r>
            <w:r w:rsidRPr="008716FB" w:rsidR="00AD2D29">
              <w:t>031,</w:t>
            </w:r>
            <w:r w:rsidR="008906BC">
              <w:t xml:space="preserve"> p. </w:t>
            </w:r>
            <w:r w:rsidRPr="008716FB" w:rsidR="00AD2D29">
              <w:t>15</w:t>
            </w:r>
          </w:p>
          <w:p w:rsidRPr="008716FB" w:rsidR="00AD2D29" w:rsidP="007D4327" w:rsidRDefault="00AD2D29" w14:paraId="1C14FBCE" w14:textId="77777777">
            <w:pPr>
              <w:spacing w:after="240"/>
            </w:pPr>
          </w:p>
          <w:p w:rsidRPr="008716FB" w:rsidR="00AD2D29" w:rsidP="007D4327" w:rsidRDefault="00AD2D29" w14:paraId="6C0CBD43" w14:textId="77777777">
            <w:pPr>
              <w:spacing w:after="240"/>
            </w:pPr>
          </w:p>
          <w:p w:rsidRPr="008716FB" w:rsidR="00AD2D29" w:rsidP="007D4327" w:rsidRDefault="00AD2D29" w14:paraId="3FC5B2B8" w14:textId="77777777">
            <w:pPr>
              <w:spacing w:after="240"/>
            </w:pPr>
            <w:r w:rsidRPr="008716FB">
              <w:t>The Commission accepted PCF’s recommendation to review energy storage limits and its relationship to future resource procurement:</w:t>
            </w:r>
          </w:p>
          <w:p w:rsidRPr="008716FB" w:rsidR="00AD2D29" w:rsidP="007D4327" w:rsidRDefault="007D4327" w14:paraId="2FA3FA1D" w14:textId="391744F0">
            <w:pPr>
              <w:spacing w:after="240"/>
            </w:pPr>
            <w:r>
              <w:t>“</w:t>
            </w:r>
            <w:r w:rsidRPr="008716FB" w:rsidR="00AD2D29">
              <w:t xml:space="preserve">…(5) Inclusion of energy storage limits in the LCR report and its </w:t>
            </w:r>
            <w:r w:rsidRPr="008716FB" w:rsidR="00AD2D29">
              <w:lastRenderedPageBreak/>
              <w:t>implications on future resource procurement;...</w:t>
            </w:r>
            <w:r>
              <w:t>”</w:t>
            </w:r>
            <w:r w:rsidRPr="008716FB" w:rsidR="00AD2D29">
              <w:t xml:space="preserve"> D.20</w:t>
            </w:r>
            <w:r w:rsidR="0092038A">
              <w:noBreakHyphen/>
            </w:r>
            <w:r w:rsidRPr="008716FB" w:rsidR="00AD2D29">
              <w:t>06</w:t>
            </w:r>
            <w:r w:rsidR="0092038A">
              <w:noBreakHyphen/>
            </w:r>
            <w:r w:rsidRPr="008716FB" w:rsidR="00AD2D29">
              <w:t>031,</w:t>
            </w:r>
            <w:r w:rsidR="008906BC">
              <w:t xml:space="preserve"> p. </w:t>
            </w:r>
            <w:r w:rsidRPr="008716FB" w:rsidR="00AD2D29">
              <w:t>15</w:t>
            </w:r>
          </w:p>
        </w:tc>
        <w:tc>
          <w:tcPr>
            <w:tcW w:w="2075" w:type="dxa"/>
            <w:shd w:val="clear" w:color="auto" w:fill="auto"/>
          </w:tcPr>
          <w:p w:rsidRPr="008716FB" w:rsidR="00AD2D29" w:rsidP="007D4327" w:rsidRDefault="00925EEC" w14:paraId="40BEF8B0" w14:textId="553CB1CA">
            <w:pPr>
              <w:spacing w:after="240"/>
              <w:jc w:val="center"/>
            </w:pPr>
            <w:r w:rsidRPr="008716FB">
              <w:lastRenderedPageBreak/>
              <w:t>Verified</w:t>
            </w:r>
          </w:p>
        </w:tc>
      </w:tr>
      <w:tr w:rsidRPr="008716FB" w:rsidR="008716FB" w:rsidTr="008906BC" w14:paraId="684EF4C9" w14:textId="77777777">
        <w:tc>
          <w:tcPr>
            <w:tcW w:w="3415" w:type="dxa"/>
            <w:shd w:val="clear" w:color="auto" w:fill="auto"/>
          </w:tcPr>
          <w:p w:rsidRPr="008716FB" w:rsidR="00AD2D29" w:rsidP="008D5F9C" w:rsidRDefault="00AD2D29" w14:paraId="434D9AA2" w14:textId="0F0558BE">
            <w:pPr>
              <w:spacing w:after="240"/>
            </w:pPr>
            <w:r w:rsidRPr="008716FB">
              <w:lastRenderedPageBreak/>
              <w:t xml:space="preserve">PCF advocated for the full range of CAISO’s reliability criteria to be examined and the Commission agreed to a wide scope of issues.  </w:t>
            </w:r>
          </w:p>
        </w:tc>
        <w:tc>
          <w:tcPr>
            <w:tcW w:w="3870" w:type="dxa"/>
            <w:shd w:val="clear" w:color="auto" w:fill="auto"/>
          </w:tcPr>
          <w:p w:rsidRPr="008716FB" w:rsidR="00AD2D29" w:rsidP="007D4327" w:rsidRDefault="00AD2D29" w14:paraId="6497E315" w14:textId="6E858B0E">
            <w:pPr>
              <w:spacing w:after="240"/>
            </w:pPr>
            <w:r w:rsidRPr="008716FB">
              <w:t>As a result of PCF’s arguments, the Decision set out a wide scope for the CAISO reliability criteria to be reviewed. D.20</w:t>
            </w:r>
            <w:r w:rsidR="0092038A">
              <w:noBreakHyphen/>
            </w:r>
            <w:r w:rsidRPr="008716FB">
              <w:t>06</w:t>
            </w:r>
            <w:r w:rsidR="0092038A">
              <w:noBreakHyphen/>
            </w:r>
            <w:r w:rsidRPr="008716FB">
              <w:t>031,</w:t>
            </w:r>
            <w:r w:rsidR="008906BC">
              <w:t xml:space="preserve"> p. </w:t>
            </w:r>
            <w:r w:rsidRPr="008716FB">
              <w:t>15</w:t>
            </w:r>
          </w:p>
          <w:p w:rsidRPr="008716FB" w:rsidR="00AD2D29" w:rsidP="007D4327" w:rsidRDefault="007D4327" w14:paraId="13321996" w14:textId="7B809599">
            <w:pPr>
              <w:spacing w:after="240"/>
            </w:pPr>
            <w:r>
              <w:t>“</w:t>
            </w:r>
            <w:r w:rsidRPr="008716FB" w:rsidR="00AD2D29">
              <w:t>POC disagrees to limiting the scope of issues, stating that examination of the reliability criteria is overdue and the updated criteria should be examined against standard utility reliability metrics.</w:t>
            </w:r>
            <w:r>
              <w:t>”</w:t>
            </w:r>
            <w:r w:rsidRPr="008716FB" w:rsidR="00AD2D29">
              <w:t xml:space="preserve"> D.20</w:t>
            </w:r>
            <w:r w:rsidR="0092038A">
              <w:noBreakHyphen/>
            </w:r>
            <w:r w:rsidRPr="008716FB" w:rsidR="00AD2D29">
              <w:t>06</w:t>
            </w:r>
            <w:r w:rsidR="0092038A">
              <w:noBreakHyphen/>
            </w:r>
            <w:r w:rsidRPr="008716FB" w:rsidR="00AD2D29">
              <w:t>031,</w:t>
            </w:r>
            <w:r w:rsidR="008906BC">
              <w:t xml:space="preserve"> p. </w:t>
            </w:r>
            <w:r w:rsidRPr="008716FB" w:rsidR="00AD2D29">
              <w:t>78.</w:t>
            </w:r>
          </w:p>
        </w:tc>
        <w:tc>
          <w:tcPr>
            <w:tcW w:w="2075" w:type="dxa"/>
            <w:shd w:val="clear" w:color="auto" w:fill="auto"/>
          </w:tcPr>
          <w:p w:rsidRPr="008716FB" w:rsidR="00BE2234" w:rsidP="007D4327" w:rsidRDefault="00925EEC" w14:paraId="040C5614" w14:textId="06B7BE5C">
            <w:pPr>
              <w:spacing w:after="240"/>
            </w:pPr>
            <w:r w:rsidRPr="008716FB">
              <w:t>Verified</w:t>
            </w:r>
            <w:r w:rsidRPr="008716FB" w:rsidR="00807226">
              <w:t xml:space="preserve">, however, </w:t>
            </w:r>
            <w:r w:rsidRPr="008716FB" w:rsidR="00B97698">
              <w:t xml:space="preserve">disallow </w:t>
            </w:r>
            <w:r w:rsidRPr="008716FB" w:rsidR="00362A42">
              <w:t xml:space="preserve">without prejudice </w:t>
            </w:r>
            <w:r w:rsidRPr="008716FB" w:rsidR="00B97698">
              <w:t>for citing the decision’s summary of party comments (pp. 77</w:t>
            </w:r>
            <w:r w:rsidR="0092038A">
              <w:noBreakHyphen/>
            </w:r>
            <w:r w:rsidRPr="008716FB" w:rsidR="00B97698">
              <w:t>86 of D.20</w:t>
            </w:r>
            <w:r w:rsidR="0092038A">
              <w:noBreakHyphen/>
            </w:r>
            <w:r w:rsidRPr="008716FB" w:rsidR="00B97698">
              <w:t>06</w:t>
            </w:r>
            <w:r w:rsidR="0092038A">
              <w:noBreakHyphen/>
            </w:r>
            <w:r w:rsidRPr="008716FB" w:rsidR="00B97698">
              <w:t>031) as the primary source of claimed substantial contribution.</w:t>
            </w:r>
            <w:r w:rsidRPr="008716FB" w:rsidR="00362A42">
              <w:t xml:space="preserve"> </w:t>
            </w:r>
          </w:p>
        </w:tc>
      </w:tr>
      <w:tr w:rsidRPr="008716FB" w:rsidR="008716FB" w:rsidTr="008906BC" w14:paraId="3C924B12" w14:textId="77777777">
        <w:tc>
          <w:tcPr>
            <w:tcW w:w="3415" w:type="dxa"/>
            <w:shd w:val="clear" w:color="auto" w:fill="auto"/>
          </w:tcPr>
          <w:p w:rsidRPr="008716FB" w:rsidR="00AD2D29" w:rsidP="008D5F9C" w:rsidRDefault="00AD2D29" w14:paraId="74016C01" w14:textId="4E5260B8">
            <w:r w:rsidRPr="008716FB">
              <w:rPr>
                <w:b/>
              </w:rPr>
              <w:t>Issue: Hybrid Resource Qualifying Capacity</w:t>
            </w:r>
          </w:p>
        </w:tc>
        <w:tc>
          <w:tcPr>
            <w:tcW w:w="3870" w:type="dxa"/>
            <w:shd w:val="clear" w:color="auto" w:fill="auto"/>
          </w:tcPr>
          <w:p w:rsidRPr="008716FB" w:rsidR="00AD2D29" w:rsidP="008D5F9C" w:rsidRDefault="00AD2D29" w14:paraId="75995C1E" w14:textId="49553F1F">
            <w:r w:rsidRPr="008716FB">
              <w:rPr>
                <w:b/>
              </w:rPr>
              <w:t>Issue: Hybrid Resource Qualifying Capacity</w:t>
            </w:r>
          </w:p>
        </w:tc>
        <w:tc>
          <w:tcPr>
            <w:tcW w:w="2075" w:type="dxa"/>
            <w:shd w:val="clear" w:color="auto" w:fill="auto"/>
          </w:tcPr>
          <w:p w:rsidRPr="008716FB" w:rsidR="00AD2D29" w:rsidP="007D4327" w:rsidRDefault="00AD2D29" w14:paraId="176FF18C" w14:textId="77777777">
            <w:pPr>
              <w:spacing w:after="240"/>
              <w:jc w:val="center"/>
            </w:pPr>
          </w:p>
        </w:tc>
      </w:tr>
      <w:tr w:rsidRPr="008716FB" w:rsidR="008716FB" w:rsidTr="008906BC" w14:paraId="761A6F4F" w14:textId="77777777">
        <w:tc>
          <w:tcPr>
            <w:tcW w:w="3415" w:type="dxa"/>
            <w:shd w:val="clear" w:color="auto" w:fill="auto"/>
          </w:tcPr>
          <w:p w:rsidRPr="008716FB" w:rsidR="00DD7C84" w:rsidP="008D5F9C" w:rsidRDefault="00DD7C84" w14:paraId="66635EA7" w14:textId="113F376D">
            <w:pPr>
              <w:spacing w:after="240"/>
            </w:pPr>
            <w:r w:rsidRPr="008716FB">
              <w:t>POC supported the Working Group definitions of hybrid and co</w:t>
            </w:r>
            <w:r w:rsidR="0092038A">
              <w:noBreakHyphen/>
            </w:r>
            <w:r w:rsidRPr="008716FB">
              <w:t xml:space="preserve">Located resources. </w:t>
            </w:r>
          </w:p>
          <w:p w:rsidRPr="008716FB" w:rsidR="00DD7C84" w:rsidP="008D5F9C" w:rsidRDefault="00DD7C84" w14:paraId="7F470565" w14:textId="6255DC79">
            <w:pPr>
              <w:spacing w:after="240"/>
              <w:rPr>
                <w:b/>
              </w:rPr>
            </w:pPr>
            <w:r w:rsidRPr="008716FB">
              <w:t>POC Comments on Working Group Reports (March 23, 2020)</w:t>
            </w:r>
            <w:r w:rsidR="008906BC">
              <w:t xml:space="preserve"> p. </w:t>
            </w:r>
            <w:r w:rsidRPr="008716FB">
              <w:t>7.</w:t>
            </w:r>
          </w:p>
        </w:tc>
        <w:tc>
          <w:tcPr>
            <w:tcW w:w="3870" w:type="dxa"/>
            <w:shd w:val="clear" w:color="auto" w:fill="auto"/>
          </w:tcPr>
          <w:p w:rsidRPr="008716FB" w:rsidR="00DD7C84" w:rsidP="007D4327" w:rsidRDefault="00DD7C84" w14:paraId="7C08BE50" w14:textId="77777777">
            <w:pPr>
              <w:spacing w:after="240"/>
            </w:pPr>
            <w:r w:rsidRPr="008716FB">
              <w:t>The Commission agreed with PCF’s and other parties’ recommendations as to the key and critical definitions important in these analyses.</w:t>
            </w:r>
          </w:p>
          <w:p w:rsidRPr="008716FB" w:rsidR="00DD7C84" w:rsidP="007D4327" w:rsidRDefault="007D4327" w14:paraId="62A6EDF9" w14:textId="4826B933">
            <w:pPr>
              <w:spacing w:after="240"/>
              <w:rPr>
                <w:b/>
              </w:rPr>
            </w:pPr>
            <w:r>
              <w:t>“</w:t>
            </w:r>
            <w:r w:rsidRPr="008716FB" w:rsidR="00DD7C84">
              <w:t>We agree that the Commission and the CAISO should be aligned on terminology to the extent possible, and find that the CAISO and the Working Group’s proposed definition of ‘hybrid’ and ‘co</w:t>
            </w:r>
            <w:r w:rsidR="0092038A">
              <w:noBreakHyphen/>
            </w:r>
            <w:r w:rsidRPr="008716FB" w:rsidR="00DD7C84">
              <w:t>located’ resources is reasonable. Therefore, the following definitions are adopted: a hybrid resource is ‘two or more resources (one of which is a storage project) located at a single point of interconnection with a single resource ID.’ Co</w:t>
            </w:r>
            <w:r w:rsidR="0092038A">
              <w:noBreakHyphen/>
            </w:r>
            <w:r w:rsidRPr="008716FB" w:rsidR="00DD7C84">
              <w:t>located resources are ‘two or more resources (one of which is a storage project) located at a single point of interconnection with two or more resource IDs.’</w:t>
            </w:r>
            <w:r>
              <w:t>”</w:t>
            </w:r>
            <w:r w:rsidRPr="008716FB" w:rsidR="00DD7C84">
              <w:t xml:space="preserve">  D.20</w:t>
            </w:r>
            <w:r w:rsidR="0092038A">
              <w:noBreakHyphen/>
            </w:r>
            <w:r w:rsidRPr="008716FB" w:rsidR="00DD7C84">
              <w:t>06</w:t>
            </w:r>
            <w:r w:rsidR="0092038A">
              <w:noBreakHyphen/>
            </w:r>
            <w:r w:rsidRPr="008716FB" w:rsidR="00DD7C84">
              <w:t>031,</w:t>
            </w:r>
            <w:r w:rsidR="008906BC">
              <w:t xml:space="preserve"> p. </w:t>
            </w:r>
            <w:r w:rsidRPr="008716FB" w:rsidR="00DD7C84">
              <w:t>28.</w:t>
            </w:r>
          </w:p>
        </w:tc>
        <w:tc>
          <w:tcPr>
            <w:tcW w:w="2075" w:type="dxa"/>
            <w:shd w:val="clear" w:color="auto" w:fill="auto"/>
          </w:tcPr>
          <w:p w:rsidRPr="008716FB" w:rsidR="00DD7C84" w:rsidP="008906BC" w:rsidRDefault="00460A85" w14:paraId="39045415" w14:textId="45A291D0">
            <w:pPr>
              <w:spacing w:after="240"/>
            </w:pPr>
            <w:r w:rsidRPr="008716FB">
              <w:t>Verified, however, w</w:t>
            </w:r>
            <w:r w:rsidRPr="008716FB" w:rsidR="00DD7C84">
              <w:t xml:space="preserve">hile PCF agreed with parties’ comments in the Working Group Report, the bulk of PCF’s comments discussed issues that did not substantially contribute to the decision. </w:t>
            </w:r>
          </w:p>
        </w:tc>
      </w:tr>
      <w:tr w:rsidRPr="008716FB" w:rsidR="008716FB" w:rsidTr="008906BC" w14:paraId="4C97732C" w14:textId="77777777">
        <w:tc>
          <w:tcPr>
            <w:tcW w:w="3415" w:type="dxa"/>
            <w:shd w:val="clear" w:color="auto" w:fill="auto"/>
          </w:tcPr>
          <w:p w:rsidRPr="008716FB" w:rsidR="00DD7C84" w:rsidP="008D5F9C" w:rsidRDefault="00DD7C84" w14:paraId="0DE0F152" w14:textId="403FCEB1">
            <w:pPr>
              <w:spacing w:after="240"/>
            </w:pPr>
            <w:r w:rsidRPr="008716FB">
              <w:lastRenderedPageBreak/>
              <w:t>POC recommended improvement of SCE’ proposal regarding hybrid and co</w:t>
            </w:r>
            <w:r w:rsidR="0092038A">
              <w:noBreakHyphen/>
            </w:r>
            <w:r w:rsidRPr="008716FB">
              <w:t xml:space="preserve">located resources but ultimately </w:t>
            </w:r>
            <w:r w:rsidR="007D4327">
              <w:t>“</w:t>
            </w:r>
            <w:r w:rsidRPr="008716FB">
              <w:t>agreed with Southern California Edison’s initial hybrid proposal in Track 2 to replace the existing methodology as a workable solution that addresses the main flaw of the existing interim methodology, which is undercounting the QC of the hybrid resource.</w:t>
            </w:r>
            <w:r w:rsidR="007D4327">
              <w:t>”</w:t>
            </w:r>
            <w:r w:rsidRPr="008716FB">
              <w:t xml:space="preserve"> POC Comment on Track 2 and Working Group Reports (April 2, 2020)</w:t>
            </w:r>
            <w:r w:rsidR="008906BC">
              <w:t xml:space="preserve"> p. </w:t>
            </w:r>
            <w:r w:rsidRPr="008716FB">
              <w:t>3</w:t>
            </w:r>
          </w:p>
        </w:tc>
        <w:tc>
          <w:tcPr>
            <w:tcW w:w="3870" w:type="dxa"/>
            <w:shd w:val="clear" w:color="auto" w:fill="auto"/>
          </w:tcPr>
          <w:p w:rsidRPr="008716FB" w:rsidR="00DD7C84" w:rsidP="007D4327" w:rsidRDefault="00DD7C84" w14:paraId="09968B05" w14:textId="25872DCF">
            <w:pPr>
              <w:spacing w:after="240"/>
            </w:pPr>
            <w:r w:rsidRPr="008716FB">
              <w:t xml:space="preserve">The Commission agreed with SCE and PCF and found that </w:t>
            </w:r>
            <w:r w:rsidR="007D4327">
              <w:t>“</w:t>
            </w:r>
            <w:r w:rsidRPr="008716FB">
              <w:t>SCE’s proposal offers an appropriate method for derating the renewable component of the resource.</w:t>
            </w:r>
            <w:r w:rsidR="007D4327">
              <w:t>”</w:t>
            </w:r>
            <w:r w:rsidRPr="008716FB">
              <w:t xml:space="preserve"> D.20</w:t>
            </w:r>
            <w:r w:rsidR="0092038A">
              <w:noBreakHyphen/>
            </w:r>
            <w:r w:rsidRPr="008716FB">
              <w:t>06</w:t>
            </w:r>
            <w:r w:rsidR="0092038A">
              <w:noBreakHyphen/>
            </w:r>
            <w:r w:rsidRPr="008716FB">
              <w:t>031,</w:t>
            </w:r>
            <w:r w:rsidR="008906BC">
              <w:t xml:space="preserve"> p. </w:t>
            </w:r>
            <w:r w:rsidRPr="008716FB">
              <w:t>29.</w:t>
            </w:r>
          </w:p>
        </w:tc>
        <w:tc>
          <w:tcPr>
            <w:tcW w:w="2075" w:type="dxa"/>
            <w:shd w:val="clear" w:color="auto" w:fill="auto"/>
          </w:tcPr>
          <w:p w:rsidRPr="008716FB" w:rsidR="00DD7C84" w:rsidP="008906BC" w:rsidRDefault="00460A85" w14:paraId="6F5FE314" w14:textId="7C4697A5">
            <w:pPr>
              <w:spacing w:after="240"/>
            </w:pPr>
            <w:r w:rsidRPr="008716FB">
              <w:t xml:space="preserve">Verified, however, </w:t>
            </w:r>
            <w:r w:rsidRPr="008716FB" w:rsidR="00B73B99">
              <w:t xml:space="preserve">PCF’s comments did not substantially contribute to the decision’s outcome. </w:t>
            </w:r>
            <w:r w:rsidRPr="008716FB" w:rsidR="00DD7C84">
              <w:t>PCF</w:t>
            </w:r>
            <w:r w:rsidRPr="008716FB" w:rsidR="00B73B99">
              <w:t xml:space="preserve">’s comments </w:t>
            </w:r>
            <w:r w:rsidRPr="008716FB" w:rsidR="00DD7C84">
              <w:t>largely restated other parties’ comments and</w:t>
            </w:r>
            <w:r w:rsidRPr="008716FB" w:rsidR="00B73B99">
              <w:t>/or</w:t>
            </w:r>
            <w:r w:rsidRPr="008716FB" w:rsidR="00DD7C84">
              <w:t xml:space="preserve"> the Working Group Report</w:t>
            </w:r>
            <w:r w:rsidRPr="008716FB" w:rsidR="00B73B99">
              <w:t>.</w:t>
            </w:r>
          </w:p>
        </w:tc>
      </w:tr>
      <w:tr w:rsidRPr="008716FB" w:rsidR="008716FB" w:rsidTr="008906BC" w14:paraId="6707BF51" w14:textId="77777777">
        <w:tc>
          <w:tcPr>
            <w:tcW w:w="3415" w:type="dxa"/>
            <w:shd w:val="clear" w:color="auto" w:fill="auto"/>
          </w:tcPr>
          <w:p w:rsidRPr="008716FB" w:rsidR="00B73B99" w:rsidP="008D5F9C" w:rsidRDefault="00B73B99" w14:paraId="5993E955" w14:textId="4E6BE33E">
            <w:pPr>
              <w:spacing w:after="240"/>
            </w:pPr>
            <w:r w:rsidRPr="008716FB">
              <w:t>PCF argued in favor of valuing hybrid and co</w:t>
            </w:r>
            <w:r w:rsidR="0092038A">
              <w:noBreakHyphen/>
            </w:r>
            <w:r w:rsidRPr="008716FB">
              <w:t>located resources equally:</w:t>
            </w:r>
          </w:p>
          <w:p w:rsidRPr="008716FB" w:rsidR="00B73B99" w:rsidP="008D5F9C" w:rsidRDefault="00B73B99" w14:paraId="3E9F265E" w14:textId="4168CC93">
            <w:pPr>
              <w:spacing w:after="240"/>
            </w:pPr>
            <w:r w:rsidRPr="008716FB">
              <w:t xml:space="preserve"> </w:t>
            </w:r>
            <w:r w:rsidR="007D4327">
              <w:t>“</w:t>
            </w:r>
            <w:r w:rsidRPr="008716FB">
              <w:t>POC recommends revising the SCE proposal to align with the SEIA</w:t>
            </w:r>
            <w:r w:rsidR="0092038A">
              <w:noBreakHyphen/>
            </w:r>
            <w:r w:rsidRPr="008716FB">
              <w:t>LSA comments, which adjust the proposal in two important ways. First, SCE’s proposal must be adapted to apply to single or multiple resource IDs as SEIA</w:t>
            </w:r>
            <w:r w:rsidR="0092038A">
              <w:noBreakHyphen/>
            </w:r>
            <w:r w:rsidRPr="008716FB">
              <w:t>LSA proposes. California Independent System Operator (</w:t>
            </w:r>
            <w:r w:rsidR="007D4327">
              <w:t>“</w:t>
            </w:r>
            <w:r w:rsidRPr="008716FB">
              <w:t>CAISO</w:t>
            </w:r>
            <w:r w:rsidR="007D4327">
              <w:t>”</w:t>
            </w:r>
            <w:r w:rsidRPr="008716FB">
              <w:t xml:space="preserve">) has already proposed a technical solution for opening the new methodology to single resource ID hybrids by use of a specific meter configuration. The configuration allows tracking of solar charging of the storage component </w:t>
            </w:r>
            <w:r w:rsidR="0092038A">
              <w:noBreakHyphen/>
            </w:r>
            <w:r w:rsidRPr="008716FB">
              <w:t xml:space="preserve"> for ITC reporting purposes </w:t>
            </w:r>
            <w:r w:rsidR="0092038A">
              <w:noBreakHyphen/>
            </w:r>
            <w:r w:rsidRPr="008716FB">
              <w:t xml:space="preserve"> and still works within the SCE hybrid proposal framework. POC recommends </w:t>
            </w:r>
            <w:r w:rsidRPr="008716FB">
              <w:lastRenderedPageBreak/>
              <w:t>that the Commission accept SCE’s Hybrid Counting proposal with single or multiple resource IDs.</w:t>
            </w:r>
            <w:r w:rsidR="007D4327">
              <w:t>”</w:t>
            </w:r>
            <w:r w:rsidRPr="008716FB">
              <w:t xml:space="preserve"> POC Comment on Track 2 and Working Group Reports (April 2, 2020)</w:t>
            </w:r>
            <w:r w:rsidR="008906BC">
              <w:t xml:space="preserve"> p. </w:t>
            </w:r>
            <w:r w:rsidRPr="008716FB">
              <w:t>3</w:t>
            </w:r>
          </w:p>
        </w:tc>
        <w:tc>
          <w:tcPr>
            <w:tcW w:w="3870" w:type="dxa"/>
            <w:shd w:val="clear" w:color="auto" w:fill="auto"/>
          </w:tcPr>
          <w:p w:rsidRPr="008716FB" w:rsidR="00B73B99" w:rsidP="007D4327" w:rsidRDefault="00B73B99" w14:paraId="1E381B05" w14:textId="12CF7C67">
            <w:pPr>
              <w:spacing w:after="240"/>
            </w:pPr>
            <w:r w:rsidRPr="008716FB">
              <w:lastRenderedPageBreak/>
              <w:t>The Commission agreed with PCF's position hybrid and co</w:t>
            </w:r>
            <w:r w:rsidR="0092038A">
              <w:noBreakHyphen/>
            </w:r>
            <w:r w:rsidRPr="008716FB">
              <w:t>located resources, stating:</w:t>
            </w:r>
          </w:p>
          <w:p w:rsidRPr="008716FB" w:rsidR="00B73B99" w:rsidP="007D4327" w:rsidRDefault="007D4327" w14:paraId="69714AAF" w14:textId="604D8A13">
            <w:pPr>
              <w:spacing w:after="240"/>
            </w:pPr>
            <w:r>
              <w:t>“</w:t>
            </w:r>
            <w:r w:rsidRPr="008716FB" w:rsidR="00B73B99">
              <w:t>...if a hybrid and a co</w:t>
            </w:r>
            <w:r w:rsidR="0092038A">
              <w:noBreakHyphen/>
            </w:r>
            <w:r w:rsidRPr="008716FB" w:rsidR="00B73B99">
              <w:t>located resource have identical physical characteristics and charging restrictions, the same QC value should apply to both. The Commission agrees with this view.</w:t>
            </w:r>
            <w:r>
              <w:t>”</w:t>
            </w:r>
            <w:r w:rsidRPr="008716FB" w:rsidR="00B73B99">
              <w:t xml:space="preserve"> D.20</w:t>
            </w:r>
            <w:r w:rsidR="0092038A">
              <w:noBreakHyphen/>
            </w:r>
            <w:r w:rsidRPr="008716FB" w:rsidR="00B73B99">
              <w:t>06</w:t>
            </w:r>
            <w:r w:rsidR="0092038A">
              <w:noBreakHyphen/>
            </w:r>
            <w:r w:rsidRPr="008716FB" w:rsidR="00B73B99">
              <w:t>031,</w:t>
            </w:r>
            <w:r w:rsidR="008906BC">
              <w:t xml:space="preserve"> p. </w:t>
            </w:r>
            <w:r w:rsidRPr="008716FB" w:rsidR="00B73B99">
              <w:t xml:space="preserve">29. </w:t>
            </w:r>
          </w:p>
          <w:p w:rsidRPr="008716FB" w:rsidR="00B73B99" w:rsidP="007D4327" w:rsidRDefault="007D4327" w14:paraId="7A8FADBA" w14:textId="02E41922">
            <w:pPr>
              <w:spacing w:after="240"/>
            </w:pPr>
            <w:r>
              <w:t>“</w:t>
            </w:r>
            <w:r w:rsidRPr="008716FB" w:rsidR="00B73B99">
              <w:t>SCE’s methodology is adopted for valuation of all IFM hybrid and co</w:t>
            </w:r>
            <w:r w:rsidR="0092038A">
              <w:noBreakHyphen/>
            </w:r>
            <w:r w:rsidRPr="008716FB" w:rsidR="00B73B99">
              <w:t>located resources planning to access the ITC.</w:t>
            </w:r>
            <w:r>
              <w:t>”</w:t>
            </w:r>
            <w:r w:rsidRPr="008716FB" w:rsidR="00B73B99">
              <w:t xml:space="preserve"> D.D.20</w:t>
            </w:r>
            <w:r w:rsidR="0092038A">
              <w:noBreakHyphen/>
            </w:r>
            <w:r w:rsidRPr="008716FB" w:rsidR="00B73B99">
              <w:t>06</w:t>
            </w:r>
            <w:r w:rsidR="0092038A">
              <w:noBreakHyphen/>
            </w:r>
            <w:r w:rsidRPr="008716FB" w:rsidR="00B73B99">
              <w:t>031,</w:t>
            </w:r>
            <w:r w:rsidR="008906BC">
              <w:t xml:space="preserve"> p. </w:t>
            </w:r>
            <w:r w:rsidRPr="008716FB" w:rsidR="00B73B99">
              <w:t>30.</w:t>
            </w:r>
          </w:p>
        </w:tc>
        <w:tc>
          <w:tcPr>
            <w:tcW w:w="2075" w:type="dxa"/>
            <w:shd w:val="clear" w:color="auto" w:fill="auto"/>
          </w:tcPr>
          <w:p w:rsidRPr="008716FB" w:rsidR="00B73B99" w:rsidP="008906BC" w:rsidRDefault="00460A85" w14:paraId="7508A0A5" w14:textId="142FB028">
            <w:pPr>
              <w:spacing w:after="240"/>
            </w:pPr>
            <w:r w:rsidRPr="008716FB">
              <w:t xml:space="preserve">Verified, however, </w:t>
            </w:r>
            <w:r w:rsidRPr="008716FB" w:rsidR="00B73B99">
              <w:t>PCF’s comments did not substantially contribute to the decision’s outcome. PCF’s comments largely restated other parties’ comments and/or the Working Group Report.</w:t>
            </w:r>
          </w:p>
        </w:tc>
      </w:tr>
      <w:tr w:rsidRPr="008716FB" w:rsidR="008716FB" w:rsidTr="008906BC" w14:paraId="62E05D32" w14:textId="77777777">
        <w:tc>
          <w:tcPr>
            <w:tcW w:w="3415" w:type="dxa"/>
            <w:shd w:val="clear" w:color="auto" w:fill="auto"/>
          </w:tcPr>
          <w:p w:rsidRPr="008716FB" w:rsidR="00B73B99" w:rsidP="008D5F9C" w:rsidRDefault="00B73B99" w14:paraId="7A6235C6" w14:textId="03C65156">
            <w:pPr>
              <w:spacing w:after="240"/>
            </w:pPr>
            <w:r w:rsidRPr="008716FB">
              <w:t xml:space="preserve">PCF argued that the Commission should expand hybrid NQC values to apply to BTM resources stating that </w:t>
            </w:r>
            <w:r w:rsidR="007D4327">
              <w:t>“</w:t>
            </w:r>
            <w:r w:rsidRPr="008716FB">
              <w:t>At the least, just as the PD directs unresolved issues on other topics to be taken up by working groups, the PD should direct further review and investigation into ways to access the opportunities and value presented by hybrid BTM resources.</w:t>
            </w:r>
            <w:r w:rsidR="007D4327">
              <w:t>”</w:t>
            </w:r>
            <w:r w:rsidRPr="008716FB">
              <w:t xml:space="preserve"> </w:t>
            </w:r>
          </w:p>
          <w:p w:rsidRPr="008716FB" w:rsidR="00B73B99" w:rsidP="008D5F9C" w:rsidRDefault="00B73B99" w14:paraId="64F028C2" w14:textId="3F6B2C41">
            <w:pPr>
              <w:spacing w:after="240"/>
            </w:pPr>
            <w:r w:rsidRPr="008716FB">
              <w:t>POC Comments on the PD (June 11, 2020)</w:t>
            </w:r>
            <w:r w:rsidR="008906BC">
              <w:t xml:space="preserve"> p. </w:t>
            </w:r>
            <w:r w:rsidRPr="008716FB">
              <w:t xml:space="preserve">10. </w:t>
            </w:r>
          </w:p>
        </w:tc>
        <w:tc>
          <w:tcPr>
            <w:tcW w:w="3870" w:type="dxa"/>
            <w:shd w:val="clear" w:color="auto" w:fill="auto"/>
          </w:tcPr>
          <w:p w:rsidRPr="008716FB" w:rsidR="00B73B99" w:rsidP="007D4327" w:rsidRDefault="00B73B99" w14:paraId="6E9CAE08" w14:textId="77777777">
            <w:pPr>
              <w:spacing w:after="240"/>
            </w:pPr>
            <w:r w:rsidRPr="008716FB">
              <w:t>The Commission agreed with PCF's position that BTM resources warranted further investigation and requested a joint public workshop, stating:</w:t>
            </w:r>
          </w:p>
          <w:p w:rsidRPr="008716FB" w:rsidR="00B73B99" w:rsidP="007D4327" w:rsidRDefault="007D4327" w14:paraId="6C58865F" w14:textId="6BF2E40F">
            <w:pPr>
              <w:spacing w:after="240"/>
            </w:pPr>
            <w:r>
              <w:t>“</w:t>
            </w:r>
            <w:r w:rsidRPr="008716FB" w:rsidR="00B73B99">
              <w:t>The Commission will request CAISO and CEC participation in a joint public workshop later this calendar year to plan the joint agency steps necessary to establish NQC values for hybrid BTM storage/solar resources with the goal of counting these resources in the RA program.</w:t>
            </w:r>
            <w:r>
              <w:t>”</w:t>
            </w:r>
            <w:r w:rsidRPr="008716FB" w:rsidR="00B73B99">
              <w:t xml:space="preserve"> D.20</w:t>
            </w:r>
            <w:r w:rsidR="0092038A">
              <w:noBreakHyphen/>
            </w:r>
            <w:r w:rsidRPr="008716FB" w:rsidR="00B73B99">
              <w:t>06</w:t>
            </w:r>
            <w:r w:rsidR="0092038A">
              <w:noBreakHyphen/>
            </w:r>
            <w:r w:rsidRPr="008716FB" w:rsidR="00B73B99">
              <w:t>031,</w:t>
            </w:r>
            <w:r w:rsidR="008906BC">
              <w:t xml:space="preserve"> p. </w:t>
            </w:r>
            <w:r w:rsidRPr="008716FB" w:rsidR="00B73B99">
              <w:t>33.</w:t>
            </w:r>
          </w:p>
        </w:tc>
        <w:tc>
          <w:tcPr>
            <w:tcW w:w="2075" w:type="dxa"/>
            <w:shd w:val="clear" w:color="auto" w:fill="auto"/>
          </w:tcPr>
          <w:p w:rsidRPr="008716FB" w:rsidR="00B73B99" w:rsidP="008906BC" w:rsidRDefault="00460A85" w14:paraId="1B27D9EF" w14:textId="620A81F0">
            <w:pPr>
              <w:spacing w:after="240"/>
            </w:pPr>
            <w:r w:rsidRPr="008716FB">
              <w:t xml:space="preserve">Verified, however, </w:t>
            </w:r>
            <w:r w:rsidRPr="008716FB" w:rsidR="00B73B99">
              <w:t xml:space="preserve">PCF’s comments did not substantially contribute to the decision’s outcome. </w:t>
            </w:r>
          </w:p>
        </w:tc>
      </w:tr>
      <w:tr w:rsidRPr="008716FB" w:rsidR="008716FB" w:rsidTr="008906BC" w14:paraId="0963D948" w14:textId="77777777">
        <w:tc>
          <w:tcPr>
            <w:tcW w:w="3415" w:type="dxa"/>
            <w:shd w:val="clear" w:color="auto" w:fill="auto"/>
          </w:tcPr>
          <w:p w:rsidRPr="008716FB" w:rsidR="00B73B99" w:rsidP="008D5F9C" w:rsidRDefault="00B73B99" w14:paraId="3B786F17" w14:textId="5C9792F3">
            <w:r w:rsidRPr="008716FB">
              <w:rPr>
                <w:b/>
              </w:rPr>
              <w:t xml:space="preserve">Issue: ELCC Value </w:t>
            </w:r>
            <w:r w:rsidR="0092038A">
              <w:rPr>
                <w:b/>
              </w:rPr>
              <w:noBreakHyphen/>
            </w:r>
            <w:r w:rsidRPr="008716FB">
              <w:rPr>
                <w:b/>
              </w:rPr>
              <w:t xml:space="preserve"> Average vs. Marginal </w:t>
            </w:r>
            <w:r w:rsidR="0092038A">
              <w:rPr>
                <w:b/>
              </w:rPr>
              <w:noBreakHyphen/>
            </w:r>
            <w:r w:rsidRPr="008716FB">
              <w:rPr>
                <w:b/>
              </w:rPr>
              <w:t xml:space="preserve"> renewable resources</w:t>
            </w:r>
          </w:p>
        </w:tc>
        <w:tc>
          <w:tcPr>
            <w:tcW w:w="3870" w:type="dxa"/>
            <w:shd w:val="clear" w:color="auto" w:fill="auto"/>
          </w:tcPr>
          <w:p w:rsidRPr="008716FB" w:rsidR="00B73B99" w:rsidP="008D5F9C" w:rsidRDefault="00B73B99" w14:paraId="164A892B" w14:textId="3A9A88F4">
            <w:r w:rsidRPr="008716FB">
              <w:rPr>
                <w:b/>
              </w:rPr>
              <w:t xml:space="preserve">Issue: ELCC Value </w:t>
            </w:r>
            <w:r w:rsidR="0092038A">
              <w:rPr>
                <w:b/>
              </w:rPr>
              <w:noBreakHyphen/>
            </w:r>
            <w:r w:rsidRPr="008716FB">
              <w:rPr>
                <w:b/>
              </w:rPr>
              <w:t xml:space="preserve"> Average vs. Marginal </w:t>
            </w:r>
            <w:r w:rsidR="0092038A">
              <w:rPr>
                <w:b/>
              </w:rPr>
              <w:noBreakHyphen/>
            </w:r>
            <w:r w:rsidRPr="008716FB">
              <w:rPr>
                <w:b/>
              </w:rPr>
              <w:t xml:space="preserve"> renewable resources</w:t>
            </w:r>
          </w:p>
        </w:tc>
        <w:tc>
          <w:tcPr>
            <w:tcW w:w="2075" w:type="dxa"/>
            <w:shd w:val="clear" w:color="auto" w:fill="auto"/>
          </w:tcPr>
          <w:p w:rsidRPr="008716FB" w:rsidR="00B73B99" w:rsidP="008D5F9C" w:rsidRDefault="00B73B99" w14:paraId="447CF8DC" w14:textId="77777777"/>
        </w:tc>
      </w:tr>
      <w:tr w:rsidRPr="008716FB" w:rsidR="008716FB" w:rsidTr="008906BC" w14:paraId="231BE1AA" w14:textId="77777777">
        <w:tc>
          <w:tcPr>
            <w:tcW w:w="3415" w:type="dxa"/>
            <w:shd w:val="clear" w:color="auto" w:fill="auto"/>
          </w:tcPr>
          <w:p w:rsidRPr="008716FB" w:rsidR="00B73B99" w:rsidP="008D5F9C" w:rsidRDefault="00B73B99" w14:paraId="41B41B7E" w14:textId="41985BB2">
            <w:pPr>
              <w:spacing w:after="240"/>
              <w:rPr>
                <w:b/>
              </w:rPr>
            </w:pPr>
            <w:r w:rsidRPr="008716FB">
              <w:t>The Decision specifically references PCF's arguments and contributions as noted.</w:t>
            </w:r>
          </w:p>
        </w:tc>
        <w:tc>
          <w:tcPr>
            <w:tcW w:w="3870" w:type="dxa"/>
            <w:shd w:val="clear" w:color="auto" w:fill="auto"/>
          </w:tcPr>
          <w:p w:rsidRPr="008716FB" w:rsidR="00B73B99" w:rsidP="007D4327" w:rsidRDefault="007D4327" w14:paraId="358F940F" w14:textId="53CF0B3E">
            <w:pPr>
              <w:spacing w:after="240"/>
            </w:pPr>
            <w:r>
              <w:t>“</w:t>
            </w:r>
            <w:r w:rsidRPr="008716FB" w:rsidR="00B73B99">
              <w:t>Other parties support an average ELCC calculation, including CAISO, Cal Advocates, POC, and SEIA</w:t>
            </w:r>
            <w:r w:rsidR="0092038A">
              <w:noBreakHyphen/>
            </w:r>
            <w:r w:rsidRPr="008716FB" w:rsidR="00B73B99">
              <w:t>LSA.</w:t>
            </w:r>
            <w:r>
              <w:t>”</w:t>
            </w:r>
            <w:r w:rsidRPr="008716FB" w:rsidR="00B73B99">
              <w:t xml:space="preserve"> D.20</w:t>
            </w:r>
            <w:r w:rsidR="0092038A">
              <w:noBreakHyphen/>
            </w:r>
            <w:r w:rsidRPr="008716FB" w:rsidR="00B73B99">
              <w:t>06</w:t>
            </w:r>
            <w:r w:rsidR="0092038A">
              <w:noBreakHyphen/>
            </w:r>
            <w:r w:rsidRPr="008716FB" w:rsidR="00B73B99">
              <w:t>031,</w:t>
            </w:r>
            <w:r w:rsidR="008906BC">
              <w:t xml:space="preserve"> p. </w:t>
            </w:r>
            <w:r w:rsidRPr="008716FB" w:rsidR="00B73B99">
              <w:t>35.</w:t>
            </w:r>
          </w:p>
        </w:tc>
        <w:tc>
          <w:tcPr>
            <w:tcW w:w="2075" w:type="dxa"/>
            <w:shd w:val="clear" w:color="auto" w:fill="auto"/>
          </w:tcPr>
          <w:p w:rsidRPr="008716FB" w:rsidR="00B73B99" w:rsidP="008906BC" w:rsidRDefault="00925EEC" w14:paraId="602FC16A" w14:textId="1E11E22C">
            <w:pPr>
              <w:spacing w:after="240"/>
              <w:jc w:val="center"/>
            </w:pPr>
            <w:r w:rsidRPr="008716FB">
              <w:t>Verified</w:t>
            </w:r>
          </w:p>
        </w:tc>
      </w:tr>
      <w:tr w:rsidRPr="008716FB" w:rsidR="008716FB" w:rsidTr="008906BC" w14:paraId="4209F9C2" w14:textId="77777777">
        <w:tc>
          <w:tcPr>
            <w:tcW w:w="3415" w:type="dxa"/>
            <w:shd w:val="clear" w:color="auto" w:fill="auto"/>
          </w:tcPr>
          <w:p w:rsidRPr="008716FB" w:rsidR="00B73B99" w:rsidP="008D5F9C" w:rsidRDefault="00B73B99" w14:paraId="340C4B9E" w14:textId="18C0CC54">
            <w:pPr>
              <w:spacing w:after="240"/>
            </w:pPr>
            <w:r w:rsidRPr="008716FB">
              <w:t xml:space="preserve">PCF provided extensive analysis why the current methodology </w:t>
            </w:r>
            <w:r w:rsidR="0092038A">
              <w:noBreakHyphen/>
            </w:r>
            <w:r w:rsidRPr="008716FB">
              <w:t xml:space="preserve"> the average ELCC methodology </w:t>
            </w:r>
            <w:r w:rsidR="0092038A">
              <w:noBreakHyphen/>
            </w:r>
            <w:r w:rsidRPr="008716FB">
              <w:t xml:space="preserve"> for valuing generating resources provides accurate assessment of value of the resource to the grid and should be retained and not changed or scrapped as other </w:t>
            </w:r>
            <w:r w:rsidRPr="008716FB">
              <w:lastRenderedPageBreak/>
              <w:t xml:space="preserve">parties argued. POC provided explanations and information detailing how the average ELCC puts all generators on a level playing field. </w:t>
            </w:r>
          </w:p>
          <w:p w:rsidRPr="008716FB" w:rsidR="00B73B99" w:rsidP="008D5F9C" w:rsidRDefault="00B73B99" w14:paraId="6B9856F8" w14:textId="245B1F0A">
            <w:pPr>
              <w:spacing w:after="240"/>
            </w:pPr>
            <w:r w:rsidRPr="008716FB">
              <w:t>POC Comments on Working Group Reports (March 23, 2020)</w:t>
            </w:r>
            <w:r w:rsidR="008906BC">
              <w:t xml:space="preserve"> p. </w:t>
            </w:r>
            <w:r w:rsidRPr="008716FB">
              <w:t>7.</w:t>
            </w:r>
            <w:r w:rsidR="008906BC">
              <w:t xml:space="preserve"> pp. </w:t>
            </w:r>
            <w:r w:rsidRPr="008716FB">
              <w:t>12</w:t>
            </w:r>
            <w:r w:rsidR="0092038A">
              <w:noBreakHyphen/>
            </w:r>
            <w:r w:rsidRPr="008716FB">
              <w:t>17.; POC Comment on Track 2 and Working Group Reports (April 2, 2020) pp.5</w:t>
            </w:r>
            <w:r w:rsidR="0092038A">
              <w:noBreakHyphen/>
            </w:r>
            <w:r w:rsidRPr="008716FB">
              <w:t xml:space="preserve">7. </w:t>
            </w:r>
          </w:p>
        </w:tc>
        <w:tc>
          <w:tcPr>
            <w:tcW w:w="3870" w:type="dxa"/>
            <w:shd w:val="clear" w:color="auto" w:fill="auto"/>
          </w:tcPr>
          <w:p w:rsidRPr="008716FB" w:rsidR="00B73B99" w:rsidP="007D4327" w:rsidRDefault="00B73B99" w14:paraId="492E868C" w14:textId="77777777">
            <w:pPr>
              <w:spacing w:after="240"/>
            </w:pPr>
            <w:r w:rsidRPr="008716FB">
              <w:lastRenderedPageBreak/>
              <w:t>The Commission agreed and retained average ELCC as the ELCC methodology for valuing generating resources.</w:t>
            </w:r>
          </w:p>
          <w:p w:rsidRPr="008716FB" w:rsidR="00B73B99" w:rsidP="007D4327" w:rsidRDefault="007D4327" w14:paraId="4E4D4D3F" w14:textId="21E02A2B">
            <w:pPr>
              <w:spacing w:after="240"/>
            </w:pPr>
            <w:r>
              <w:t>“</w:t>
            </w:r>
            <w:r w:rsidRPr="008716FB" w:rsidR="00B73B99">
              <w:t xml:space="preserve">The Commission recognizes parties’ substantial discussions on ELCC in Track 2. However, based on comments and the Working Group </w:t>
            </w:r>
            <w:r w:rsidRPr="008716FB" w:rsidR="00B73B99">
              <w:lastRenderedPageBreak/>
              <w:t>report, there is insufficient consensus among parties to expand or revise the ELCC methodology at this time. We acknowledge the rationale behind support for marginal ELCC values, although it is largely inconsistent with past practice regarding RA qualifying capacity values and requires further development.</w:t>
            </w:r>
            <w:r>
              <w:t>”</w:t>
            </w:r>
            <w:r w:rsidRPr="008716FB" w:rsidR="00B73B99">
              <w:t xml:space="preserve"> D.20</w:t>
            </w:r>
            <w:r w:rsidR="0092038A">
              <w:noBreakHyphen/>
            </w:r>
            <w:r w:rsidRPr="008716FB" w:rsidR="00B73B99">
              <w:t>06</w:t>
            </w:r>
            <w:r w:rsidR="0092038A">
              <w:noBreakHyphen/>
            </w:r>
            <w:r w:rsidRPr="008716FB" w:rsidR="00B73B99">
              <w:t>031,</w:t>
            </w:r>
            <w:r w:rsidR="008906BC">
              <w:t xml:space="preserve"> p. </w:t>
            </w:r>
            <w:r w:rsidRPr="008716FB" w:rsidR="00B73B99">
              <w:t>36</w:t>
            </w:r>
          </w:p>
        </w:tc>
        <w:tc>
          <w:tcPr>
            <w:tcW w:w="2075" w:type="dxa"/>
            <w:shd w:val="clear" w:color="auto" w:fill="auto"/>
          </w:tcPr>
          <w:p w:rsidRPr="008716FB" w:rsidR="00B73B99" w:rsidP="008906BC" w:rsidRDefault="00925EEC" w14:paraId="06994C1F" w14:textId="03C260D4">
            <w:pPr>
              <w:spacing w:after="240"/>
              <w:jc w:val="center"/>
            </w:pPr>
            <w:r w:rsidRPr="008716FB">
              <w:lastRenderedPageBreak/>
              <w:t>Verified</w:t>
            </w:r>
          </w:p>
        </w:tc>
      </w:tr>
      <w:tr w:rsidRPr="008716FB" w:rsidR="008716FB" w:rsidTr="008906BC" w14:paraId="75523C37" w14:textId="77777777">
        <w:tc>
          <w:tcPr>
            <w:tcW w:w="3415" w:type="dxa"/>
            <w:shd w:val="clear" w:color="auto" w:fill="auto"/>
          </w:tcPr>
          <w:p w:rsidRPr="008716FB" w:rsidR="00B73B99" w:rsidP="008D5F9C" w:rsidRDefault="00B73B99" w14:paraId="4AACE81F" w14:textId="45C62E89">
            <w:r w:rsidRPr="008716FB">
              <w:rPr>
                <w:b/>
              </w:rPr>
              <w:t>Issue: Demand Response Protocols</w:t>
            </w:r>
          </w:p>
        </w:tc>
        <w:tc>
          <w:tcPr>
            <w:tcW w:w="3870" w:type="dxa"/>
            <w:shd w:val="clear" w:color="auto" w:fill="auto"/>
          </w:tcPr>
          <w:p w:rsidRPr="008716FB" w:rsidR="00B73B99" w:rsidP="008D5F9C" w:rsidRDefault="00B73B99" w14:paraId="6651BACF" w14:textId="5EF406C0">
            <w:r w:rsidRPr="008716FB">
              <w:rPr>
                <w:b/>
              </w:rPr>
              <w:t>Issue: Demand Response Protocols</w:t>
            </w:r>
          </w:p>
        </w:tc>
        <w:tc>
          <w:tcPr>
            <w:tcW w:w="2075" w:type="dxa"/>
            <w:shd w:val="clear" w:color="auto" w:fill="auto"/>
          </w:tcPr>
          <w:p w:rsidRPr="008716FB" w:rsidR="00B73B99" w:rsidP="008906BC" w:rsidRDefault="00B73B99" w14:paraId="68789753" w14:textId="77777777">
            <w:pPr>
              <w:spacing w:after="240"/>
            </w:pPr>
          </w:p>
        </w:tc>
      </w:tr>
      <w:tr w:rsidRPr="008716FB" w:rsidR="008716FB" w:rsidTr="008906BC" w14:paraId="325DFD0F" w14:textId="77777777">
        <w:tc>
          <w:tcPr>
            <w:tcW w:w="3415" w:type="dxa"/>
            <w:shd w:val="clear" w:color="auto" w:fill="auto"/>
          </w:tcPr>
          <w:p w:rsidRPr="008716FB" w:rsidR="00B73B99" w:rsidP="008D5F9C" w:rsidRDefault="00B73B99" w14:paraId="52B3CA71" w14:textId="77777777">
            <w:pPr>
              <w:spacing w:after="240"/>
            </w:pPr>
            <w:r w:rsidRPr="008716FB">
              <w:t xml:space="preserve">PCF successfully argued that testing of DR resources should also provide DR value. </w:t>
            </w:r>
          </w:p>
          <w:p w:rsidRPr="008716FB" w:rsidR="00B73B99" w:rsidP="008D5F9C" w:rsidRDefault="007D4327" w14:paraId="566A30F5" w14:textId="38B68289">
            <w:pPr>
              <w:spacing w:after="240"/>
            </w:pPr>
            <w:r>
              <w:t>“</w:t>
            </w:r>
            <w:r w:rsidRPr="008716FB" w:rsidR="00B73B99">
              <w:t>POC disagrees with Energy Division’s and Cal Advocates’ approach. DR provides a much</w:t>
            </w:r>
            <w:r w:rsidR="0092038A">
              <w:noBreakHyphen/>
            </w:r>
            <w:r w:rsidRPr="008716FB" w:rsidR="00B73B99">
              <w:t>needed peaking resource and such extensive testing would exhaust much of the resource’s potential and value by using it on testing rather than at annual peak demand instances.</w:t>
            </w:r>
            <w:r>
              <w:t>”</w:t>
            </w:r>
            <w:r w:rsidRPr="008716FB" w:rsidR="00B73B99">
              <w:t xml:space="preserve"> POC Comment on Track 2 and Working Group Reports (April 2, 2020)</w:t>
            </w:r>
            <w:r w:rsidR="008906BC">
              <w:t xml:space="preserve"> p. </w:t>
            </w:r>
            <w:r w:rsidRPr="008716FB" w:rsidR="00B73B99">
              <w:t>8.</w:t>
            </w:r>
          </w:p>
          <w:p w:rsidRPr="008716FB" w:rsidR="00B73B99" w:rsidP="008D5F9C" w:rsidRDefault="007D4327" w14:paraId="693E0F08" w14:textId="2E2CDEA1">
            <w:pPr>
              <w:spacing w:after="240"/>
            </w:pPr>
            <w:r>
              <w:t>“</w:t>
            </w:r>
            <w:r w:rsidRPr="008716FB" w:rsidR="00B73B99">
              <w:t>[R]ather than testing DR in an unrealistic manner, DR should be used during actual peak, dispatched as needed, and penalized for non</w:t>
            </w:r>
            <w:r w:rsidR="0092038A">
              <w:noBreakHyphen/>
            </w:r>
            <w:r w:rsidRPr="008716FB" w:rsidR="00B73B99">
              <w:t>performance.</w:t>
            </w:r>
            <w:r>
              <w:t>”</w:t>
            </w:r>
            <w:r w:rsidRPr="008716FB" w:rsidR="00B73B99">
              <w:t xml:space="preserve"> </w:t>
            </w:r>
          </w:p>
          <w:p w:rsidRPr="008716FB" w:rsidR="00B73B99" w:rsidP="008D5F9C" w:rsidRDefault="00B73B99" w14:paraId="1ABCB103" w14:textId="5FEDB016">
            <w:pPr>
              <w:spacing w:after="240"/>
              <w:rPr>
                <w:b/>
              </w:rPr>
            </w:pPr>
            <w:r w:rsidRPr="008716FB">
              <w:t>POC Comment on Track 2 and Working Group Reports (April 2, 2020)</w:t>
            </w:r>
            <w:r w:rsidR="008906BC">
              <w:t xml:space="preserve"> p. </w:t>
            </w:r>
            <w:r w:rsidRPr="008716FB">
              <w:t>8.</w:t>
            </w:r>
          </w:p>
        </w:tc>
        <w:tc>
          <w:tcPr>
            <w:tcW w:w="3870" w:type="dxa"/>
            <w:shd w:val="clear" w:color="auto" w:fill="auto"/>
          </w:tcPr>
          <w:p w:rsidRPr="008716FB" w:rsidR="00B73B99" w:rsidP="007D4327" w:rsidRDefault="00B73B99" w14:paraId="48784581" w14:textId="2695F0AA">
            <w:pPr>
              <w:spacing w:after="240"/>
            </w:pPr>
            <w:r w:rsidRPr="008716FB">
              <w:t>The Commission agreed with PCF’</w:t>
            </w:r>
            <w:r w:rsidR="00251DE7">
              <w:t>s</w:t>
            </w:r>
            <w:r w:rsidRPr="008716FB">
              <w:t xml:space="preserve"> arguments and analysis that a DR provider can use a market dispatch of its resource to count as the DR resource's quarterly test dispatch:</w:t>
            </w:r>
          </w:p>
          <w:p w:rsidRPr="008716FB" w:rsidR="00B73B99" w:rsidP="007D4327" w:rsidRDefault="00B73B99" w14:paraId="490F4506" w14:textId="77777777">
            <w:pPr>
              <w:spacing w:after="240"/>
            </w:pPr>
          </w:p>
          <w:p w:rsidRPr="008716FB" w:rsidR="00B73B99" w:rsidP="007D4327" w:rsidRDefault="007D4327" w14:paraId="69D7C4E1" w14:textId="2D8D4497">
            <w:pPr>
              <w:spacing w:after="240"/>
            </w:pPr>
            <w:r>
              <w:t>“</w:t>
            </w:r>
            <w:r w:rsidRPr="008716FB" w:rsidR="00B73B99">
              <w:t>While we agree with Energy Division that DR resources should demonstrate that they are able to meet the minimum four</w:t>
            </w:r>
            <w:r w:rsidR="0092038A">
              <w:noBreakHyphen/>
            </w:r>
            <w:r w:rsidRPr="008716FB" w:rsidR="00B73B99">
              <w:t>hour dispatch requirement for all RA resources, it is inefficient to mandate uneconomic dispatches unnecessarily.</w:t>
            </w:r>
            <w:r>
              <w:t>”</w:t>
            </w:r>
            <w:r w:rsidRPr="008716FB" w:rsidR="00B73B99">
              <w:t xml:space="preserve"> D.20</w:t>
            </w:r>
            <w:r w:rsidR="0092038A">
              <w:noBreakHyphen/>
            </w:r>
            <w:r w:rsidRPr="008716FB" w:rsidR="00B73B99">
              <w:t>06</w:t>
            </w:r>
            <w:r w:rsidR="0092038A">
              <w:noBreakHyphen/>
            </w:r>
            <w:r w:rsidRPr="008716FB" w:rsidR="00B73B99">
              <w:t>031,</w:t>
            </w:r>
            <w:r w:rsidR="008906BC">
              <w:t xml:space="preserve"> p. </w:t>
            </w:r>
            <w:r w:rsidRPr="008716FB" w:rsidR="00B73B99">
              <w:t>40.</w:t>
            </w:r>
          </w:p>
          <w:p w:rsidRPr="008716FB" w:rsidR="00B73B99" w:rsidP="007D4327" w:rsidRDefault="00B73B99" w14:paraId="15A8D371" w14:textId="77777777">
            <w:pPr>
              <w:spacing w:after="240"/>
            </w:pPr>
          </w:p>
          <w:p w:rsidRPr="008716FB" w:rsidR="00B73B99" w:rsidP="007D4327" w:rsidRDefault="007D4327" w14:paraId="08C45884" w14:textId="0FD7266D">
            <w:pPr>
              <w:spacing w:after="240"/>
            </w:pPr>
            <w:r>
              <w:t>“</w:t>
            </w:r>
            <w:r w:rsidRPr="008716FB" w:rsidR="00B73B99">
              <w:t>...beginning with the 2021 RA compliance year, all third</w:t>
            </w:r>
            <w:r w:rsidR="0092038A">
              <w:noBreakHyphen/>
            </w:r>
            <w:r w:rsidRPr="008716FB" w:rsidR="00B73B99">
              <w:t>party DR resources procured by non</w:t>
            </w:r>
            <w:r w:rsidR="0092038A">
              <w:noBreakHyphen/>
            </w:r>
            <w:r w:rsidRPr="008716FB" w:rsidR="00B73B99">
              <w:t xml:space="preserve">IOU LSEs are required to dispatch for four consecutive hours during the RA measurement hours in every quarter of the delivery year. This requirement can be fulfilled either through a CAISO market dispatch or an </w:t>
            </w:r>
            <w:r w:rsidRPr="008716FB" w:rsidR="00B73B99">
              <w:lastRenderedPageBreak/>
              <w:t>out</w:t>
            </w:r>
            <w:r w:rsidR="0092038A">
              <w:noBreakHyphen/>
            </w:r>
            <w:r w:rsidRPr="008716FB" w:rsidR="00B73B99">
              <w:t>of</w:t>
            </w:r>
            <w:r w:rsidR="0092038A">
              <w:noBreakHyphen/>
            </w:r>
            <w:r w:rsidRPr="008716FB" w:rsidR="00B73B99">
              <w:t>market test with a preference for market dispatches.</w:t>
            </w:r>
            <w:r>
              <w:t>”</w:t>
            </w:r>
            <w:r w:rsidRPr="008716FB" w:rsidR="00B73B99">
              <w:t xml:space="preserve"> D.20</w:t>
            </w:r>
            <w:r w:rsidR="0092038A">
              <w:noBreakHyphen/>
            </w:r>
            <w:r w:rsidRPr="008716FB" w:rsidR="00B73B99">
              <w:t>06</w:t>
            </w:r>
            <w:r w:rsidR="0092038A">
              <w:noBreakHyphen/>
            </w:r>
            <w:r w:rsidRPr="008716FB" w:rsidR="00B73B99">
              <w:t>031,</w:t>
            </w:r>
            <w:r w:rsidR="008906BC">
              <w:t xml:space="preserve"> p. </w:t>
            </w:r>
            <w:r w:rsidRPr="008716FB" w:rsidR="00B73B99">
              <w:t>40.</w:t>
            </w:r>
          </w:p>
          <w:p w:rsidRPr="008716FB" w:rsidR="00B73B99" w:rsidP="007D4327" w:rsidRDefault="00B73B99" w14:paraId="6F8477D9" w14:textId="77777777">
            <w:pPr>
              <w:spacing w:after="240"/>
            </w:pPr>
          </w:p>
          <w:p w:rsidRPr="008716FB" w:rsidR="00B73B99" w:rsidP="007D4327" w:rsidRDefault="007D4327" w14:paraId="53DF8686" w14:textId="566390C2">
            <w:pPr>
              <w:spacing w:after="240"/>
            </w:pPr>
            <w:r>
              <w:t>“</w:t>
            </w:r>
            <w:r w:rsidRPr="008716FB" w:rsidR="00B73B99">
              <w:t>The Commission finds insufficient record support for adopting a minimum dispatch requirement at this time.</w:t>
            </w:r>
            <w:r>
              <w:t>”</w:t>
            </w:r>
            <w:r w:rsidRPr="008716FB" w:rsidR="00B73B99">
              <w:t xml:space="preserve"> D.20</w:t>
            </w:r>
            <w:r w:rsidR="0092038A">
              <w:noBreakHyphen/>
            </w:r>
            <w:r w:rsidRPr="008716FB" w:rsidR="00B73B99">
              <w:t>06</w:t>
            </w:r>
            <w:r w:rsidR="0092038A">
              <w:noBreakHyphen/>
            </w:r>
            <w:r w:rsidRPr="008716FB" w:rsidR="00B73B99">
              <w:t>031,</w:t>
            </w:r>
            <w:r w:rsidR="008906BC">
              <w:t xml:space="preserve"> p. </w:t>
            </w:r>
            <w:r w:rsidRPr="008716FB" w:rsidR="00B73B99">
              <w:t>41.</w:t>
            </w:r>
          </w:p>
        </w:tc>
        <w:tc>
          <w:tcPr>
            <w:tcW w:w="2075" w:type="dxa"/>
            <w:shd w:val="clear" w:color="auto" w:fill="auto"/>
          </w:tcPr>
          <w:p w:rsidRPr="008716FB" w:rsidR="00B73B99" w:rsidP="008906BC" w:rsidRDefault="002C67EE" w14:paraId="413892A1" w14:textId="12A4250F">
            <w:pPr>
              <w:spacing w:after="240"/>
            </w:pPr>
            <w:r w:rsidRPr="008716FB">
              <w:lastRenderedPageBreak/>
              <w:t xml:space="preserve">Verified, however, </w:t>
            </w:r>
            <w:r w:rsidRPr="008716FB" w:rsidR="00A95947">
              <w:t>PCF’s comments did not substantially contribute to the decision’s outcome. PCF’s comments</w:t>
            </w:r>
            <w:r w:rsidRPr="008716FB" w:rsidR="00367C98">
              <w:t xml:space="preserve"> also </w:t>
            </w:r>
            <w:r w:rsidRPr="008716FB" w:rsidR="00A95947">
              <w:t>largely restated other parties’ comments and/or the Working Group Report.</w:t>
            </w:r>
          </w:p>
        </w:tc>
      </w:tr>
      <w:tr w:rsidRPr="008716FB" w:rsidR="008716FB" w:rsidTr="008906BC" w14:paraId="040F81D1" w14:textId="77777777">
        <w:tc>
          <w:tcPr>
            <w:tcW w:w="3415" w:type="dxa"/>
            <w:shd w:val="clear" w:color="auto" w:fill="auto"/>
          </w:tcPr>
          <w:p w:rsidRPr="008716FB" w:rsidR="00B73B99" w:rsidP="008D5F9C" w:rsidRDefault="00B73B99" w14:paraId="2B925FB8" w14:textId="0C34C896">
            <w:pPr>
              <w:keepNext/>
            </w:pPr>
            <w:r w:rsidRPr="008716FB">
              <w:rPr>
                <w:b/>
              </w:rPr>
              <w:t>Issue: MCC Buckets</w:t>
            </w:r>
          </w:p>
        </w:tc>
        <w:tc>
          <w:tcPr>
            <w:tcW w:w="3870" w:type="dxa"/>
            <w:shd w:val="clear" w:color="auto" w:fill="auto"/>
          </w:tcPr>
          <w:p w:rsidRPr="008716FB" w:rsidR="00B73B99" w:rsidP="008D5F9C" w:rsidRDefault="00B73B99" w14:paraId="296ED755" w14:textId="5FFFDA2A">
            <w:pPr>
              <w:keepNext/>
            </w:pPr>
            <w:r w:rsidRPr="008716FB">
              <w:rPr>
                <w:b/>
              </w:rPr>
              <w:t>Issue: MCC Buckets</w:t>
            </w:r>
          </w:p>
        </w:tc>
        <w:tc>
          <w:tcPr>
            <w:tcW w:w="2075" w:type="dxa"/>
            <w:shd w:val="clear" w:color="auto" w:fill="auto"/>
          </w:tcPr>
          <w:p w:rsidRPr="008716FB" w:rsidR="00B73B99" w:rsidP="008D5F9C" w:rsidRDefault="00B73B99" w14:paraId="1C47A848" w14:textId="77777777">
            <w:pPr>
              <w:keepNext/>
            </w:pPr>
          </w:p>
        </w:tc>
      </w:tr>
      <w:tr w:rsidRPr="008716FB" w:rsidR="008716FB" w:rsidTr="008906BC" w14:paraId="2C0BEEC2" w14:textId="77777777">
        <w:tc>
          <w:tcPr>
            <w:tcW w:w="3415" w:type="dxa"/>
            <w:shd w:val="clear" w:color="auto" w:fill="auto"/>
          </w:tcPr>
          <w:p w:rsidRPr="008716FB" w:rsidR="00B73B99" w:rsidP="008D5F9C" w:rsidRDefault="00B73B99" w14:paraId="2462087C" w14:textId="75615585">
            <w:pPr>
              <w:spacing w:after="240"/>
              <w:rPr>
                <w:b/>
              </w:rPr>
            </w:pPr>
            <w:r w:rsidRPr="008716FB">
              <w:t xml:space="preserve">The Decision specifically acknowledges its consideration of PCF’s arguments. </w:t>
            </w:r>
          </w:p>
        </w:tc>
        <w:tc>
          <w:tcPr>
            <w:tcW w:w="3870" w:type="dxa"/>
            <w:shd w:val="clear" w:color="auto" w:fill="auto"/>
          </w:tcPr>
          <w:p w:rsidRPr="008716FB" w:rsidR="00B73B99" w:rsidP="008D5F9C" w:rsidRDefault="007D4327" w14:paraId="5FEC4CD8" w14:textId="2652F819">
            <w:pPr>
              <w:spacing w:after="240"/>
            </w:pPr>
            <w:r>
              <w:t>“</w:t>
            </w:r>
            <w:r w:rsidRPr="008716FB" w:rsidR="00B73B99">
              <w:t>Several parties oppose Energy Division’s proposal or recommend consideration in Track 3, including the Joint DER Parties, Joint Environmental Parties, SEIA/LSA, AWEA</w:t>
            </w:r>
            <w:r w:rsidR="0092038A">
              <w:noBreakHyphen/>
            </w:r>
            <w:r w:rsidRPr="008716FB" w:rsidR="00B73B99">
              <w:t>CA, CEERT, CLECA, POC, and Sunrun.</w:t>
            </w:r>
            <w:r>
              <w:t>”</w:t>
            </w:r>
            <w:r w:rsidRPr="008716FB" w:rsidR="00B73B99">
              <w:t xml:space="preserve"> D.20</w:t>
            </w:r>
            <w:r w:rsidR="0092038A">
              <w:noBreakHyphen/>
            </w:r>
            <w:r w:rsidRPr="008716FB" w:rsidR="00B73B99">
              <w:t>06</w:t>
            </w:r>
            <w:r w:rsidR="0092038A">
              <w:noBreakHyphen/>
            </w:r>
            <w:r w:rsidRPr="008716FB" w:rsidR="00B73B99">
              <w:t>031,</w:t>
            </w:r>
            <w:r w:rsidR="008906BC">
              <w:t xml:space="preserve"> p. </w:t>
            </w:r>
            <w:r w:rsidRPr="008716FB" w:rsidR="00B73B99">
              <w:t>53</w:t>
            </w:r>
          </w:p>
        </w:tc>
        <w:tc>
          <w:tcPr>
            <w:tcW w:w="2075" w:type="dxa"/>
            <w:shd w:val="clear" w:color="auto" w:fill="auto"/>
          </w:tcPr>
          <w:p w:rsidRPr="008716FB" w:rsidR="00B73B99" w:rsidP="008906BC" w:rsidRDefault="00925EEC" w14:paraId="074CE578" w14:textId="38084506">
            <w:pPr>
              <w:spacing w:after="240"/>
              <w:jc w:val="center"/>
            </w:pPr>
            <w:r w:rsidRPr="008716FB">
              <w:t>Verified</w:t>
            </w:r>
          </w:p>
        </w:tc>
      </w:tr>
      <w:tr w:rsidRPr="008716FB" w:rsidR="008716FB" w:rsidTr="008906BC" w14:paraId="6BB6B5A4" w14:textId="77777777">
        <w:tc>
          <w:tcPr>
            <w:tcW w:w="3415" w:type="dxa"/>
            <w:shd w:val="clear" w:color="auto" w:fill="auto"/>
          </w:tcPr>
          <w:p w:rsidRPr="008716FB" w:rsidR="00B73B99" w:rsidP="008D5F9C" w:rsidRDefault="00B73B99" w14:paraId="496FB4E0" w14:textId="463AE875">
            <w:pPr>
              <w:spacing w:after="240"/>
            </w:pPr>
            <w:r w:rsidRPr="008716FB">
              <w:t>PCF noted the limitations to all resources contained in Bucket 4 including nuclear, CHP, natural gas, biomass/biogas, hydro, and pumped hydro. PCF Comment on Track 2 and Working Group Reports (April 2, 2020)</w:t>
            </w:r>
            <w:r w:rsidR="008906BC">
              <w:t xml:space="preserve"> p. </w:t>
            </w:r>
            <w:r w:rsidRPr="008716FB">
              <w:t>11</w:t>
            </w:r>
            <w:r w:rsidR="0092038A">
              <w:noBreakHyphen/>
            </w:r>
            <w:r w:rsidRPr="008716FB">
              <w:t xml:space="preserve">12. </w:t>
            </w:r>
          </w:p>
          <w:p w:rsidRPr="008716FB" w:rsidR="00B73B99" w:rsidP="008D5F9C" w:rsidRDefault="00B73B99" w14:paraId="6ACE6052" w14:textId="498C3840">
            <w:pPr>
              <w:spacing w:after="240"/>
            </w:pPr>
            <w:r w:rsidRPr="008716FB">
              <w:t xml:space="preserve">While the Commission did not adopt POC's recommendation, the Commission considered and recognized the value of the information PCF submitted. </w:t>
            </w:r>
          </w:p>
        </w:tc>
        <w:tc>
          <w:tcPr>
            <w:tcW w:w="3870" w:type="dxa"/>
            <w:shd w:val="clear" w:color="auto" w:fill="auto"/>
          </w:tcPr>
          <w:p w:rsidRPr="008716FB" w:rsidR="00B73B99" w:rsidP="007D4327" w:rsidRDefault="00B73B99" w14:paraId="2356C652" w14:textId="77777777">
            <w:pPr>
              <w:spacing w:after="240"/>
            </w:pPr>
            <w:r w:rsidRPr="008716FB">
              <w:t>The Decision highlighted that parties, such as PCF, correctly evaluated the limits of Category 4 resources.</w:t>
            </w:r>
          </w:p>
          <w:p w:rsidRPr="008716FB" w:rsidR="00B73B99" w:rsidP="007D4327" w:rsidRDefault="007D4327" w14:paraId="0A522B0B" w14:textId="2C12C40A">
            <w:pPr>
              <w:spacing w:after="240"/>
            </w:pPr>
            <w:r>
              <w:t>“</w:t>
            </w:r>
            <w:r w:rsidRPr="008716FB" w:rsidR="00B73B99">
              <w:t>although parties correctly assert that some Category 4 resources have limitations, it is not necessary to identify and assess each particular limitation or to differentiate between regulatory and contractual limitations. Rather, market participants should categorize any individual dispatchable resource according to how its limitations affect its ability to meet the minimum requirements of each MCC bucket.</w:t>
            </w:r>
            <w:r>
              <w:t>”</w:t>
            </w:r>
            <w:r w:rsidRPr="008716FB" w:rsidR="00B73B99">
              <w:t xml:space="preserve"> D.20</w:t>
            </w:r>
            <w:r w:rsidR="0092038A">
              <w:noBreakHyphen/>
            </w:r>
            <w:r w:rsidRPr="008716FB" w:rsidR="00B73B99">
              <w:t>06</w:t>
            </w:r>
            <w:r w:rsidR="0092038A">
              <w:noBreakHyphen/>
            </w:r>
            <w:r w:rsidRPr="008716FB" w:rsidR="00B73B99">
              <w:t>031,</w:t>
            </w:r>
            <w:r w:rsidR="008906BC">
              <w:t xml:space="preserve"> p. </w:t>
            </w:r>
            <w:r w:rsidRPr="008716FB" w:rsidR="00B73B99">
              <w:t>55.</w:t>
            </w:r>
          </w:p>
        </w:tc>
        <w:tc>
          <w:tcPr>
            <w:tcW w:w="2075" w:type="dxa"/>
            <w:shd w:val="clear" w:color="auto" w:fill="auto"/>
          </w:tcPr>
          <w:p w:rsidRPr="008716FB" w:rsidR="00B73B99" w:rsidP="008906BC" w:rsidRDefault="002C67EE" w14:paraId="0D4A0537" w14:textId="6F1B9819">
            <w:pPr>
              <w:spacing w:after="240"/>
            </w:pPr>
            <w:r w:rsidRPr="008716FB">
              <w:t xml:space="preserve">Verified, however, </w:t>
            </w:r>
            <w:r w:rsidRPr="008716FB" w:rsidR="00763C59">
              <w:t xml:space="preserve">PCF’s comments did not substantially contribute to the decision’s outcome. </w:t>
            </w:r>
          </w:p>
        </w:tc>
      </w:tr>
      <w:tr w:rsidRPr="008716FB" w:rsidR="00361A97" w:rsidTr="008906BC" w14:paraId="1FE4B5A1" w14:textId="77777777">
        <w:tc>
          <w:tcPr>
            <w:tcW w:w="3415" w:type="dxa"/>
            <w:shd w:val="clear" w:color="auto" w:fill="auto"/>
          </w:tcPr>
          <w:p w:rsidRPr="008716FB" w:rsidR="00B73B99" w:rsidP="008D5F9C" w:rsidRDefault="00B73B99" w14:paraId="762585B8" w14:textId="40A23C26">
            <w:pPr>
              <w:spacing w:after="240"/>
            </w:pPr>
            <w:r w:rsidRPr="008716FB">
              <w:t xml:space="preserve">The Commission agreed with PCF’s argument that </w:t>
            </w:r>
            <w:r w:rsidR="007D4327">
              <w:t>“</w:t>
            </w:r>
            <w:r w:rsidRPr="008716FB">
              <w:t xml:space="preserve">[d]ue to the complicated interactions </w:t>
            </w:r>
            <w:r w:rsidRPr="008716FB">
              <w:lastRenderedPageBreak/>
              <w:t>between MCC buckets, rather than make a last</w:t>
            </w:r>
            <w:r w:rsidR="0092038A">
              <w:noBreakHyphen/>
            </w:r>
            <w:r w:rsidRPr="008716FB">
              <w:t>minute change, the PD should eliminate revisions to MCC buckets for now and direct further review of changes to the bucket categories within later tracks of the proceeding.</w:t>
            </w:r>
            <w:r w:rsidR="007D4327">
              <w:t>”</w:t>
            </w:r>
            <w:r w:rsidRPr="008716FB">
              <w:t xml:space="preserve"> POC comments on the PD (June 11, 2020)</w:t>
            </w:r>
            <w:r w:rsidR="008906BC">
              <w:t xml:space="preserve"> p. </w:t>
            </w:r>
            <w:r w:rsidRPr="008716FB">
              <w:t>11</w:t>
            </w:r>
          </w:p>
        </w:tc>
        <w:tc>
          <w:tcPr>
            <w:tcW w:w="3870" w:type="dxa"/>
            <w:shd w:val="clear" w:color="auto" w:fill="auto"/>
          </w:tcPr>
          <w:p w:rsidRPr="008716FB" w:rsidR="00B73B99" w:rsidP="007D4327" w:rsidRDefault="00B73B99" w14:paraId="2BE6898C" w14:textId="6DBD6D53">
            <w:pPr>
              <w:spacing w:after="240"/>
            </w:pPr>
            <w:r w:rsidRPr="008716FB">
              <w:lastRenderedPageBreak/>
              <w:t>D.20</w:t>
            </w:r>
            <w:r w:rsidR="0092038A">
              <w:noBreakHyphen/>
            </w:r>
            <w:r w:rsidRPr="008716FB">
              <w:t>06</w:t>
            </w:r>
            <w:r w:rsidR="0092038A">
              <w:noBreakHyphen/>
            </w:r>
            <w:r w:rsidRPr="008716FB">
              <w:t>031 included the possibility of MCC bucket revision in Track 3, as PCF had recommended.</w:t>
            </w:r>
          </w:p>
          <w:p w:rsidRPr="008716FB" w:rsidR="00B73B99" w:rsidP="007D4327" w:rsidRDefault="007D4327" w14:paraId="1887D6B6" w14:textId="1E4F4D12">
            <w:pPr>
              <w:spacing w:after="240"/>
            </w:pPr>
            <w:r>
              <w:lastRenderedPageBreak/>
              <w:t>“</w:t>
            </w:r>
            <w:r w:rsidRPr="008716FB" w:rsidR="00B73B99">
              <w:t>Some parties recommend that the MCC bucket rules should be interim and reconsidered in Track 3, including … POC… We agree that the MCC buckets adopted in this decision may be reconsidered and refined in Track 3 of this proceeding and we clarify this in the decision.</w:t>
            </w:r>
            <w:r>
              <w:t>”</w:t>
            </w:r>
            <w:r w:rsidRPr="008716FB" w:rsidR="00B73B99">
              <w:t xml:space="preserve"> D.20</w:t>
            </w:r>
            <w:r w:rsidR="0092038A">
              <w:noBreakHyphen/>
            </w:r>
            <w:r w:rsidRPr="008716FB" w:rsidR="00B73B99">
              <w:t>06</w:t>
            </w:r>
            <w:r w:rsidR="0092038A">
              <w:noBreakHyphen/>
            </w:r>
            <w:r w:rsidRPr="008716FB" w:rsidR="00B73B99">
              <w:t>031,</w:t>
            </w:r>
            <w:r w:rsidR="008906BC">
              <w:t xml:space="preserve"> p. </w:t>
            </w:r>
            <w:r w:rsidRPr="008716FB" w:rsidR="00B73B99">
              <w:t>83</w:t>
            </w:r>
            <w:r w:rsidR="0092038A">
              <w:noBreakHyphen/>
            </w:r>
            <w:r w:rsidRPr="008716FB" w:rsidR="00B73B99">
              <w:t>84.</w:t>
            </w:r>
          </w:p>
        </w:tc>
        <w:tc>
          <w:tcPr>
            <w:tcW w:w="2075" w:type="dxa"/>
            <w:shd w:val="clear" w:color="auto" w:fill="auto"/>
          </w:tcPr>
          <w:p w:rsidRPr="008716FB" w:rsidR="00B73B99" w:rsidP="008906BC" w:rsidRDefault="00460A85" w14:paraId="2E44C921" w14:textId="03F9B35A">
            <w:pPr>
              <w:spacing w:after="240"/>
            </w:pPr>
            <w:r w:rsidRPr="008716FB">
              <w:lastRenderedPageBreak/>
              <w:t xml:space="preserve">Verified, however, </w:t>
            </w:r>
            <w:r w:rsidRPr="008716FB" w:rsidR="00D83046">
              <w:t xml:space="preserve">PCF’s comments did not </w:t>
            </w:r>
            <w:r w:rsidRPr="008716FB" w:rsidR="00D83046">
              <w:lastRenderedPageBreak/>
              <w:t xml:space="preserve">substantially contribute to the decision’s outcome. </w:t>
            </w:r>
          </w:p>
        </w:tc>
      </w:tr>
    </w:tbl>
    <w:p w:rsidRPr="008716FB" w:rsidR="00A92D0B" w:rsidP="0024540C" w:rsidRDefault="00A92D0B" w14:paraId="0D4BCD3A" w14:textId="2C35E2E2">
      <w:pPr>
        <w:keepNext/>
        <w:numPr>
          <w:ilvl w:val="0"/>
          <w:numId w:val="9"/>
        </w:numPr>
        <w:spacing w:before="240" w:after="240"/>
        <w:rPr>
          <w:b/>
        </w:rPr>
      </w:pPr>
      <w:r w:rsidRPr="008716FB">
        <w:rPr>
          <w:b/>
        </w:rPr>
        <w:lastRenderedPageBreak/>
        <w:t>Duplication of Effort (</w:t>
      </w:r>
      <w:r w:rsidR="00B31AE4">
        <w:rPr>
          <w:b/>
        </w:rPr>
        <w:t>§ </w:t>
      </w:r>
      <w:r w:rsidRPr="008716FB">
        <w:rPr>
          <w:b/>
        </w:rPr>
        <w:t xml:space="preserve">1801.3(f) </w:t>
      </w:r>
      <w:r w:rsidRPr="008716FB" w:rsidR="00F30DA8">
        <w:rPr>
          <w:b/>
        </w:rPr>
        <w:t xml:space="preserve">and </w:t>
      </w:r>
      <w:r w:rsidR="00B31AE4">
        <w:rPr>
          <w:b/>
        </w:rPr>
        <w:t>§ </w:t>
      </w:r>
      <w:r w:rsidRPr="008716FB" w:rsidR="0022302F">
        <w:rPr>
          <w:b/>
        </w:rPr>
        <w:t>1802.5)</w:t>
      </w:r>
      <w:r w:rsidRPr="008716FB" w:rsidR="00C02649">
        <w:rPr>
          <w:b/>
        </w:rPr>
        <w:t>:</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bottom w:w="58" w:type="dxa"/>
        </w:tblCellMar>
        <w:tblLook w:val="01E0" w:firstRow="1" w:lastRow="1" w:firstColumn="1" w:lastColumn="1" w:noHBand="0" w:noVBand="0"/>
      </w:tblPr>
      <w:tblGrid>
        <w:gridCol w:w="5805"/>
        <w:gridCol w:w="1648"/>
        <w:gridCol w:w="1907"/>
      </w:tblGrid>
      <w:tr w:rsidRPr="008716FB" w:rsidR="008716FB" w:rsidTr="00443AB5" w14:paraId="76F3266C" w14:textId="77777777">
        <w:trPr>
          <w:tblHeader/>
        </w:trPr>
        <w:tc>
          <w:tcPr>
            <w:tcW w:w="6048" w:type="dxa"/>
            <w:shd w:val="clear" w:color="auto" w:fill="D9D9D9" w:themeFill="background1" w:themeFillShade="D9"/>
            <w:vAlign w:val="bottom"/>
          </w:tcPr>
          <w:p w:rsidRPr="008716FB" w:rsidR="00A92D0B" w:rsidP="00443AB5" w:rsidRDefault="00A92D0B" w14:paraId="300CEDBC" w14:textId="77777777">
            <w:pPr>
              <w:keepNext/>
              <w:jc w:val="center"/>
            </w:pPr>
          </w:p>
        </w:tc>
        <w:tc>
          <w:tcPr>
            <w:tcW w:w="1710" w:type="dxa"/>
            <w:tcBorders>
              <w:bottom w:val="single" w:color="auto" w:sz="4" w:space="0"/>
            </w:tcBorders>
            <w:shd w:val="clear" w:color="auto" w:fill="D9D9D9" w:themeFill="background1" w:themeFillShade="D9"/>
            <w:vAlign w:val="bottom"/>
          </w:tcPr>
          <w:p w:rsidRPr="008716FB" w:rsidR="00A92D0B" w:rsidP="00443AB5" w:rsidRDefault="005A63D4" w14:paraId="7B091096" w14:textId="77777777">
            <w:pPr>
              <w:keepNext/>
              <w:jc w:val="center"/>
              <w:rPr>
                <w:b/>
              </w:rPr>
            </w:pPr>
            <w:r w:rsidRPr="008716FB">
              <w:rPr>
                <w:b/>
              </w:rPr>
              <w:t>Interveno</w:t>
            </w:r>
            <w:r w:rsidRPr="008716FB" w:rsidR="00204E3A">
              <w:rPr>
                <w:b/>
              </w:rPr>
              <w:t>r</w:t>
            </w:r>
            <w:r w:rsidRPr="008716FB">
              <w:rPr>
                <w:b/>
              </w:rPr>
              <w:t xml:space="preserve">’s </w:t>
            </w:r>
            <w:r w:rsidRPr="008716FB" w:rsidR="00D075B1">
              <w:rPr>
                <w:b/>
              </w:rPr>
              <w:t>Assertion</w:t>
            </w:r>
          </w:p>
        </w:tc>
        <w:tc>
          <w:tcPr>
            <w:tcW w:w="1980" w:type="dxa"/>
            <w:shd w:val="clear" w:color="auto" w:fill="D9D9D9" w:themeFill="background1" w:themeFillShade="D9"/>
            <w:vAlign w:val="bottom"/>
          </w:tcPr>
          <w:p w:rsidRPr="008716FB" w:rsidR="00A92D0B" w:rsidP="00443AB5" w:rsidRDefault="00A92D0B" w14:paraId="25CE5081" w14:textId="77777777">
            <w:pPr>
              <w:keepNext/>
              <w:jc w:val="center"/>
              <w:rPr>
                <w:b/>
              </w:rPr>
            </w:pPr>
            <w:r w:rsidRPr="008716FB">
              <w:rPr>
                <w:b/>
              </w:rPr>
              <w:t xml:space="preserve">CPUC </w:t>
            </w:r>
            <w:r w:rsidRPr="008716FB" w:rsidR="00D075B1">
              <w:rPr>
                <w:b/>
              </w:rPr>
              <w:t>Discussion</w:t>
            </w:r>
          </w:p>
        </w:tc>
      </w:tr>
      <w:tr w:rsidRPr="008716FB" w:rsidR="008716FB" w:rsidTr="00FA5159" w14:paraId="24A12BE1" w14:textId="77777777">
        <w:tc>
          <w:tcPr>
            <w:tcW w:w="6048" w:type="dxa"/>
            <w:shd w:val="clear" w:color="auto" w:fill="auto"/>
          </w:tcPr>
          <w:p w:rsidRPr="008716FB" w:rsidR="00A92D0B" w:rsidP="00053C5A" w:rsidRDefault="00A92D0B" w14:paraId="6915FAF6" w14:textId="55102672">
            <w:pPr>
              <w:ind w:left="360" w:hanging="360"/>
              <w:rPr>
                <w:b/>
              </w:rPr>
            </w:pPr>
            <w:r w:rsidRPr="008716FB">
              <w:rPr>
                <w:b/>
              </w:rPr>
              <w:t>a.</w:t>
            </w:r>
            <w:r w:rsidRPr="008716FB">
              <w:rPr>
                <w:b/>
              </w:rPr>
              <w:tab/>
              <w:t xml:space="preserve">Was the </w:t>
            </w:r>
            <w:r w:rsidRPr="008716FB" w:rsidR="009E48E4">
              <w:rPr>
                <w:b/>
              </w:rPr>
              <w:t>Public Advocate</w:t>
            </w:r>
            <w:r w:rsidRPr="008716FB" w:rsidR="00621A7C">
              <w:rPr>
                <w:b/>
              </w:rPr>
              <w:t>’</w:t>
            </w:r>
            <w:r w:rsidRPr="008716FB" w:rsidR="009E48E4">
              <w:rPr>
                <w:b/>
              </w:rPr>
              <w:t xml:space="preserve">s Office of the Public Utilities Commission </w:t>
            </w:r>
            <w:r w:rsidRPr="008716FB">
              <w:rPr>
                <w:b/>
              </w:rPr>
              <w:t>(</w:t>
            </w:r>
            <w:r w:rsidRPr="008716FB" w:rsidR="00B55D78">
              <w:rPr>
                <w:b/>
              </w:rPr>
              <w:t>Cal Advocates</w:t>
            </w:r>
            <w:r w:rsidRPr="008716FB">
              <w:rPr>
                <w:b/>
              </w:rPr>
              <w:t>) a party to the proceeding?</w:t>
            </w:r>
            <w:r w:rsidRPr="008716FB" w:rsidR="009E48E4">
              <w:rPr>
                <w:rStyle w:val="FootnoteReference"/>
                <w:b/>
              </w:rPr>
              <w:footnoteReference w:id="5"/>
            </w:r>
          </w:p>
        </w:tc>
        <w:tc>
          <w:tcPr>
            <w:tcW w:w="1710" w:type="dxa"/>
            <w:shd w:val="clear" w:color="auto" w:fill="auto"/>
          </w:tcPr>
          <w:p w:rsidRPr="008716FB" w:rsidR="00A92D0B" w:rsidP="00AF7E13" w:rsidRDefault="00E30AD4" w14:paraId="0B49A7C8" w14:textId="1FCFB196">
            <w:pPr>
              <w:jc w:val="center"/>
            </w:pPr>
            <w:r w:rsidRPr="008716FB">
              <w:t xml:space="preserve">Yes. </w:t>
            </w:r>
          </w:p>
        </w:tc>
        <w:tc>
          <w:tcPr>
            <w:tcW w:w="1980" w:type="dxa"/>
            <w:shd w:val="clear" w:color="auto" w:fill="auto"/>
          </w:tcPr>
          <w:p w:rsidRPr="008716FB" w:rsidR="00A92D0B" w:rsidP="00AF7E13" w:rsidRDefault="00F0672D" w14:paraId="23B6532A" w14:textId="456E9E7D">
            <w:pPr>
              <w:jc w:val="center"/>
            </w:pPr>
            <w:r w:rsidRPr="008716FB">
              <w:t>Yes</w:t>
            </w:r>
          </w:p>
        </w:tc>
      </w:tr>
      <w:tr w:rsidRPr="008716FB" w:rsidR="008716FB" w:rsidTr="00FA5159" w14:paraId="3317BD71" w14:textId="77777777">
        <w:tc>
          <w:tcPr>
            <w:tcW w:w="6048" w:type="dxa"/>
            <w:shd w:val="clear" w:color="auto" w:fill="auto"/>
          </w:tcPr>
          <w:p w:rsidRPr="008716FB" w:rsidR="00A92D0B" w:rsidP="00053C5A" w:rsidRDefault="00A92D0B" w14:paraId="561D245D" w14:textId="77777777">
            <w:pPr>
              <w:ind w:left="360" w:hanging="360"/>
              <w:rPr>
                <w:b/>
              </w:rPr>
            </w:pPr>
            <w:r w:rsidRPr="008716FB">
              <w:rPr>
                <w:b/>
              </w:rPr>
              <w:t>b.</w:t>
            </w:r>
            <w:r w:rsidRPr="008716FB">
              <w:rPr>
                <w:b/>
              </w:rPr>
              <w:tab/>
              <w:t xml:space="preserve">Were there other parties to the proceeding with positions similar to yours? </w:t>
            </w:r>
          </w:p>
        </w:tc>
        <w:tc>
          <w:tcPr>
            <w:tcW w:w="1710" w:type="dxa"/>
            <w:shd w:val="clear" w:color="auto" w:fill="auto"/>
          </w:tcPr>
          <w:p w:rsidRPr="008716FB" w:rsidR="00A92D0B" w:rsidP="00AF7E13" w:rsidRDefault="00E30AD4" w14:paraId="3708E485" w14:textId="4B3C5777">
            <w:pPr>
              <w:jc w:val="center"/>
            </w:pPr>
            <w:r w:rsidRPr="008716FB">
              <w:t xml:space="preserve">Yes. </w:t>
            </w:r>
          </w:p>
        </w:tc>
        <w:tc>
          <w:tcPr>
            <w:tcW w:w="1980" w:type="dxa"/>
            <w:shd w:val="clear" w:color="auto" w:fill="auto"/>
          </w:tcPr>
          <w:p w:rsidRPr="008716FB" w:rsidR="00A92D0B" w:rsidP="00AF7E13" w:rsidRDefault="00F0672D" w14:paraId="6B3388E6" w14:textId="4F3CA143">
            <w:pPr>
              <w:jc w:val="center"/>
            </w:pPr>
            <w:r w:rsidRPr="008716FB">
              <w:t>Yes</w:t>
            </w:r>
          </w:p>
        </w:tc>
      </w:tr>
      <w:tr w:rsidRPr="008716FB" w:rsidR="008716FB" w:rsidTr="00FA5159" w14:paraId="0A51B7D4" w14:textId="77777777">
        <w:tc>
          <w:tcPr>
            <w:tcW w:w="7758" w:type="dxa"/>
            <w:gridSpan w:val="2"/>
            <w:shd w:val="clear" w:color="auto" w:fill="auto"/>
          </w:tcPr>
          <w:p w:rsidRPr="008716FB" w:rsidR="00A92D0B" w:rsidP="00053C5A" w:rsidRDefault="00A92D0B" w14:paraId="30CB6275" w14:textId="7D63B4F2">
            <w:pPr>
              <w:spacing w:after="240"/>
              <w:ind w:left="360" w:hanging="360"/>
            </w:pPr>
            <w:r w:rsidRPr="008716FB">
              <w:rPr>
                <w:b/>
              </w:rPr>
              <w:t>c.</w:t>
            </w:r>
            <w:r w:rsidRPr="008716FB">
              <w:rPr>
                <w:b/>
              </w:rPr>
              <w:tab/>
              <w:t>If so, provide name of other parties:</w:t>
            </w:r>
            <w:r w:rsidRPr="008716FB" w:rsidR="00E25078">
              <w:t xml:space="preserve"> </w:t>
            </w:r>
          </w:p>
          <w:p w:rsidRPr="008716FB" w:rsidR="00A92D0B" w:rsidP="00053C5A" w:rsidRDefault="00C50870" w14:paraId="0919176B" w14:textId="053EDE9C">
            <w:pPr>
              <w:spacing w:after="240"/>
              <w:ind w:left="360" w:hanging="360"/>
            </w:pPr>
            <w:r w:rsidRPr="008716FB">
              <w:t>Public Advocate’s Office</w:t>
            </w:r>
            <w:r w:rsidRPr="008716FB" w:rsidR="007233AC">
              <w:t>, SEIA</w:t>
            </w:r>
            <w:r w:rsidR="0092038A">
              <w:noBreakHyphen/>
            </w:r>
            <w:r w:rsidRPr="008716FB" w:rsidR="007233AC">
              <w:t>LSA, CalCCA, and others.</w:t>
            </w:r>
          </w:p>
        </w:tc>
        <w:tc>
          <w:tcPr>
            <w:tcW w:w="1980" w:type="dxa"/>
            <w:shd w:val="clear" w:color="auto" w:fill="auto"/>
          </w:tcPr>
          <w:p w:rsidRPr="008716FB" w:rsidR="00A92D0B" w:rsidP="00AF7E13" w:rsidRDefault="00F0672D" w14:paraId="22A40B49" w14:textId="5A4D982A">
            <w:pPr>
              <w:jc w:val="center"/>
            </w:pPr>
            <w:r w:rsidRPr="008716FB">
              <w:t>Verified</w:t>
            </w:r>
          </w:p>
        </w:tc>
      </w:tr>
      <w:tr w:rsidRPr="008716FB" w:rsidR="00361A97" w:rsidTr="00FA5159" w14:paraId="744830F5" w14:textId="77777777">
        <w:tc>
          <w:tcPr>
            <w:tcW w:w="7758" w:type="dxa"/>
            <w:gridSpan w:val="2"/>
            <w:shd w:val="clear" w:color="auto" w:fill="auto"/>
          </w:tcPr>
          <w:p w:rsidRPr="008716FB" w:rsidR="00A92D0B" w:rsidP="00053C5A" w:rsidRDefault="00A92D0B" w14:paraId="7C05FE5A" w14:textId="7CF7CF02">
            <w:pPr>
              <w:spacing w:after="240"/>
              <w:ind w:left="360" w:hanging="360"/>
            </w:pPr>
            <w:r w:rsidRPr="008716FB">
              <w:rPr>
                <w:b/>
              </w:rPr>
              <w:t>d.</w:t>
            </w:r>
            <w:r w:rsidRPr="008716FB">
              <w:rPr>
                <w:b/>
              </w:rPr>
              <w:tab/>
            </w:r>
            <w:r w:rsidRPr="008716FB" w:rsidR="00D075B1">
              <w:rPr>
                <w:b/>
              </w:rPr>
              <w:t xml:space="preserve">Intervenor’s </w:t>
            </w:r>
            <w:r w:rsidRPr="008716FB" w:rsidR="00A319DE">
              <w:rPr>
                <w:b/>
              </w:rPr>
              <w:t>c</w:t>
            </w:r>
            <w:r w:rsidRPr="008716FB" w:rsidR="00D075B1">
              <w:rPr>
                <w:b/>
              </w:rPr>
              <w:t xml:space="preserve">laim of </w:t>
            </w:r>
            <w:r w:rsidRPr="008716FB" w:rsidR="00A319DE">
              <w:rPr>
                <w:b/>
              </w:rPr>
              <w:t>n</w:t>
            </w:r>
            <w:r w:rsidRPr="008716FB" w:rsidR="00D075B1">
              <w:rPr>
                <w:b/>
              </w:rPr>
              <w:t>on</w:t>
            </w:r>
            <w:r w:rsidR="0092038A">
              <w:rPr>
                <w:b/>
              </w:rPr>
              <w:noBreakHyphen/>
            </w:r>
            <w:r w:rsidRPr="008716FB" w:rsidR="00A319DE">
              <w:rPr>
                <w:b/>
              </w:rPr>
              <w:t>d</w:t>
            </w:r>
            <w:r w:rsidRPr="008716FB" w:rsidR="00D075B1">
              <w:rPr>
                <w:b/>
              </w:rPr>
              <w:t>uplication:</w:t>
            </w:r>
            <w:r w:rsidRPr="008716FB" w:rsidR="00E25078">
              <w:t xml:space="preserve"> </w:t>
            </w:r>
          </w:p>
          <w:p w:rsidRPr="008716FB" w:rsidR="00A92D0B" w:rsidP="00FB52F7" w:rsidRDefault="008A5C63" w14:paraId="3228BB07" w14:textId="5425AD65">
            <w:pPr>
              <w:spacing w:after="240"/>
            </w:pPr>
            <w:r w:rsidRPr="008716FB">
              <w:t xml:space="preserve">To the extent PCF’s arguments were similar to other parties’ arguments, they supplemented, complemented, and contributed to the presentations by other parties; and they </w:t>
            </w:r>
            <w:r w:rsidRPr="008716FB" w:rsidR="0033071D">
              <w:t>were</w:t>
            </w:r>
            <w:r w:rsidRPr="008716FB">
              <w:t xml:space="preserve"> </w:t>
            </w:r>
            <w:r w:rsidRPr="008716FB" w:rsidR="0033071D">
              <w:t>neither</w:t>
            </w:r>
            <w:r w:rsidRPr="008716FB">
              <w:t xml:space="preserve"> unproductive nor unnecessary. </w:t>
            </w:r>
            <w:r w:rsidRPr="008716FB" w:rsidR="00365012">
              <w:t>To</w:t>
            </w:r>
            <w:r w:rsidRPr="008716FB" w:rsidR="0033071D">
              <w:t xml:space="preserve"> reduce duplication and coordinate effectively with other parties, PC</w:t>
            </w:r>
            <w:r w:rsidRPr="008716FB" w:rsidR="0051284B">
              <w:t xml:space="preserve">F participated in </w:t>
            </w:r>
            <w:r w:rsidRPr="008716FB" w:rsidR="007233AC">
              <w:t xml:space="preserve">various </w:t>
            </w:r>
            <w:r w:rsidRPr="008716FB" w:rsidR="00441F6D">
              <w:t>call</w:t>
            </w:r>
            <w:r w:rsidRPr="008716FB" w:rsidR="007233AC">
              <w:t>s with parties</w:t>
            </w:r>
            <w:r w:rsidRPr="008716FB" w:rsidR="00441F6D">
              <w:t xml:space="preserve"> discuss</w:t>
            </w:r>
            <w:r w:rsidRPr="008716FB" w:rsidR="007233AC">
              <w:t>ing</w:t>
            </w:r>
            <w:r w:rsidRPr="008716FB" w:rsidR="00441F6D">
              <w:t xml:space="preserve"> </w:t>
            </w:r>
            <w:r w:rsidRPr="008716FB" w:rsidR="007233AC">
              <w:t>RA</w:t>
            </w:r>
            <w:r w:rsidRPr="008716FB" w:rsidR="00365012">
              <w:t xml:space="preserve"> issues</w:t>
            </w:r>
            <w:r w:rsidRPr="008716FB" w:rsidR="00441F6D">
              <w:t>. In addition,</w:t>
            </w:r>
            <w:r w:rsidRPr="008716FB" w:rsidR="0051284B">
              <w:t xml:space="preserve"> PCF provided critical analyses to and identified deficiencies within CAISO’s draft and final LCR study, encouraging evaluation to minimize costs to ratepayers</w:t>
            </w:r>
            <w:r w:rsidRPr="008716FB" w:rsidR="00ED179F">
              <w:t xml:space="preserve"> that was supported by technical data and recommendations</w:t>
            </w:r>
            <w:r w:rsidRPr="008716FB" w:rsidR="007921E4">
              <w:t>, which other parties did not provide</w:t>
            </w:r>
            <w:r w:rsidRPr="008716FB" w:rsidR="00365012">
              <w:t>.</w:t>
            </w:r>
            <w:r w:rsidRPr="008716FB" w:rsidR="00CC0EBC">
              <w:t xml:space="preserve"> Some unique positions were PCF’s recommendation for</w:t>
            </w:r>
            <w:r w:rsidRPr="008716FB" w:rsidR="007233AC">
              <w:t xml:space="preserve"> further review of </w:t>
            </w:r>
            <w:r w:rsidRPr="008716FB" w:rsidR="00365012">
              <w:t>LCR in Southern California</w:t>
            </w:r>
            <w:r w:rsidRPr="008716FB" w:rsidR="00CC0EBC">
              <w:t>,</w:t>
            </w:r>
            <w:r w:rsidRPr="008716FB" w:rsidR="001A77C2">
              <w:t xml:space="preserve"> broad review of CAISO reliability criteria,</w:t>
            </w:r>
            <w:r w:rsidRPr="008716FB" w:rsidR="00CC0EBC">
              <w:t xml:space="preserve"> </w:t>
            </w:r>
            <w:r w:rsidRPr="008716FB" w:rsidR="001A77C2">
              <w:t xml:space="preserve">and </w:t>
            </w:r>
            <w:r w:rsidRPr="008716FB" w:rsidR="00CC0EBC">
              <w:t>selection of</w:t>
            </w:r>
            <w:r w:rsidRPr="008716FB" w:rsidR="001A77C2">
              <w:t xml:space="preserve"> the LCR</w:t>
            </w:r>
            <w:r w:rsidRPr="008716FB" w:rsidR="00CC0EBC">
              <w:t xml:space="preserve"> working group</w:t>
            </w:r>
            <w:r w:rsidRPr="008716FB" w:rsidR="001A77C2">
              <w:t>’s</w:t>
            </w:r>
            <w:r w:rsidRPr="008716FB" w:rsidR="00CC0EBC">
              <w:t xml:space="preserve"> leads</w:t>
            </w:r>
            <w:r w:rsidRPr="008716FB" w:rsidR="0051284B">
              <w:t xml:space="preserve">. </w:t>
            </w:r>
            <w:r w:rsidRPr="008716FB" w:rsidR="00ED179F">
              <w:t xml:space="preserve">PCF’s comments containing </w:t>
            </w:r>
            <w:r w:rsidRPr="008716FB" w:rsidR="00ED179F">
              <w:lastRenderedPageBreak/>
              <w:t>alternative</w:t>
            </w:r>
            <w:r w:rsidRPr="008716FB" w:rsidR="00365012">
              <w:t>s and</w:t>
            </w:r>
            <w:r w:rsidRPr="008716FB" w:rsidR="00ED179F">
              <w:t xml:space="preserve"> adjustments </w:t>
            </w:r>
            <w:r w:rsidRPr="008716FB" w:rsidR="00365012">
              <w:t xml:space="preserve">that </w:t>
            </w:r>
            <w:r w:rsidRPr="008716FB" w:rsidR="00ED179F">
              <w:t>enriched the Commission’s record and contributed to their deliberations and decision</w:t>
            </w:r>
            <w:r w:rsidR="0092038A">
              <w:noBreakHyphen/>
            </w:r>
            <w:r w:rsidRPr="008716FB" w:rsidR="00ED179F">
              <w:t xml:space="preserve">making. </w:t>
            </w:r>
            <w:r w:rsidRPr="008716FB" w:rsidR="007D57F9">
              <w:t xml:space="preserve">PCF’s comments were neither unproductive nor unnecessary because they substantially </w:t>
            </w:r>
            <w:r w:rsidRPr="008716FB" w:rsidR="0051284B">
              <w:t xml:space="preserve">enriched the Commission’s deliberations and assisted </w:t>
            </w:r>
            <w:r w:rsidRPr="008716FB" w:rsidR="00365012">
              <w:t>its</w:t>
            </w:r>
            <w:r w:rsidRPr="008716FB" w:rsidR="0051284B">
              <w:t xml:space="preserve"> decision</w:t>
            </w:r>
            <w:r w:rsidR="0092038A">
              <w:noBreakHyphen/>
            </w:r>
            <w:r w:rsidRPr="008716FB" w:rsidR="0051284B">
              <w:t xml:space="preserve">making. </w:t>
            </w:r>
          </w:p>
        </w:tc>
        <w:tc>
          <w:tcPr>
            <w:tcW w:w="1980" w:type="dxa"/>
            <w:shd w:val="clear" w:color="auto" w:fill="auto"/>
          </w:tcPr>
          <w:p w:rsidRPr="008716FB" w:rsidR="00A92D0B" w:rsidP="00AF7E13" w:rsidRDefault="00F0672D" w14:paraId="5F9BBA55" w14:textId="3FBACAAE">
            <w:pPr>
              <w:jc w:val="center"/>
            </w:pPr>
            <w:r w:rsidRPr="008716FB">
              <w:lastRenderedPageBreak/>
              <w:t>Noted</w:t>
            </w:r>
          </w:p>
        </w:tc>
      </w:tr>
    </w:tbl>
    <w:p w:rsidRPr="0024540C" w:rsidR="00A92D0B" w:rsidP="0024540C" w:rsidRDefault="00A92D0B" w14:paraId="4415DD51" w14:textId="7BFE4F1F">
      <w:pPr>
        <w:keepNext/>
        <w:numPr>
          <w:ilvl w:val="0"/>
          <w:numId w:val="9"/>
        </w:numPr>
        <w:spacing w:before="240" w:after="240"/>
        <w:rPr>
          <w:b/>
          <w:iCs/>
          <w:u w:val="single"/>
        </w:rPr>
      </w:pPr>
      <w:r w:rsidRPr="008716FB">
        <w:rPr>
          <w:b/>
        </w:rPr>
        <w:t>Additional Comments on Part II</w:t>
      </w:r>
      <w:r w:rsidRPr="008716FB" w:rsidR="00C02649">
        <w:rPr>
          <w:b/>
        </w:rPr>
        <w:t>:</w:t>
      </w:r>
      <w:r w:rsidRPr="008716FB">
        <w:rPr>
          <w:b/>
        </w:rPr>
        <w:t xml:space="preserve"> </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974"/>
        <w:gridCol w:w="6311"/>
        <w:gridCol w:w="2075"/>
      </w:tblGrid>
      <w:tr w:rsidRPr="008716FB" w:rsidR="008716FB" w:rsidTr="00443AB5" w14:paraId="52771334" w14:textId="77777777">
        <w:trPr>
          <w:tblHeader/>
        </w:trPr>
        <w:tc>
          <w:tcPr>
            <w:tcW w:w="974" w:type="dxa"/>
            <w:tcBorders>
              <w:bottom w:val="single" w:color="auto" w:sz="4" w:space="0"/>
            </w:tcBorders>
            <w:shd w:val="clear" w:color="auto" w:fill="D9D9D9" w:themeFill="background1" w:themeFillShade="D9"/>
            <w:vAlign w:val="bottom"/>
          </w:tcPr>
          <w:p w:rsidRPr="008716FB" w:rsidR="00963EEF" w:rsidP="00443AB5" w:rsidRDefault="00963EEF" w14:paraId="15D83D80" w14:textId="77777777">
            <w:pPr>
              <w:keepNext/>
              <w:tabs>
                <w:tab w:val="left" w:pos="360"/>
              </w:tabs>
              <w:jc w:val="center"/>
              <w:rPr>
                <w:b/>
              </w:rPr>
            </w:pPr>
            <w:r w:rsidRPr="008716FB">
              <w:rPr>
                <w:b/>
              </w:rPr>
              <w:t>#</w:t>
            </w:r>
          </w:p>
        </w:tc>
        <w:tc>
          <w:tcPr>
            <w:tcW w:w="6311" w:type="dxa"/>
            <w:tcBorders>
              <w:bottom w:val="single" w:color="auto" w:sz="4" w:space="0"/>
            </w:tcBorders>
            <w:shd w:val="clear" w:color="auto" w:fill="D9D9D9" w:themeFill="background1" w:themeFillShade="D9"/>
            <w:vAlign w:val="bottom"/>
          </w:tcPr>
          <w:p w:rsidRPr="008716FB" w:rsidR="00963EEF" w:rsidP="00443AB5" w:rsidRDefault="00963EEF" w14:paraId="23BC1F82" w14:textId="77777777">
            <w:pPr>
              <w:keepNext/>
              <w:tabs>
                <w:tab w:val="left" w:pos="360"/>
              </w:tabs>
              <w:jc w:val="center"/>
              <w:rPr>
                <w:b/>
              </w:rPr>
            </w:pPr>
            <w:r w:rsidRPr="008716FB">
              <w:rPr>
                <w:b/>
              </w:rPr>
              <w:t>Intervenor’s Comment</w:t>
            </w:r>
          </w:p>
        </w:tc>
        <w:tc>
          <w:tcPr>
            <w:tcW w:w="2075" w:type="dxa"/>
            <w:shd w:val="clear" w:color="auto" w:fill="D9D9D9" w:themeFill="background1" w:themeFillShade="D9"/>
            <w:vAlign w:val="bottom"/>
          </w:tcPr>
          <w:p w:rsidRPr="008716FB" w:rsidR="00963EEF" w:rsidP="00443AB5" w:rsidRDefault="00963EEF" w14:paraId="03118710" w14:textId="2E00A2F4">
            <w:pPr>
              <w:keepNext/>
              <w:tabs>
                <w:tab w:val="left" w:pos="360"/>
              </w:tabs>
              <w:jc w:val="center"/>
              <w:rPr>
                <w:b/>
              </w:rPr>
            </w:pPr>
            <w:r w:rsidRPr="008716FB">
              <w:rPr>
                <w:b/>
              </w:rPr>
              <w:t>CPUC</w:t>
            </w:r>
            <w:r w:rsidR="00361A97">
              <w:rPr>
                <w:b/>
              </w:rPr>
              <w:t xml:space="preserve"> </w:t>
            </w:r>
            <w:r w:rsidRPr="008716FB">
              <w:rPr>
                <w:b/>
              </w:rPr>
              <w:t>Discussion</w:t>
            </w:r>
          </w:p>
        </w:tc>
      </w:tr>
      <w:tr w:rsidRPr="008716FB" w:rsidR="008716FB" w:rsidTr="00FA5159" w14:paraId="58A3E16A" w14:textId="77777777">
        <w:trPr>
          <w:trHeight w:val="447"/>
        </w:trPr>
        <w:tc>
          <w:tcPr>
            <w:tcW w:w="974" w:type="dxa"/>
            <w:shd w:val="clear" w:color="auto" w:fill="auto"/>
          </w:tcPr>
          <w:p w:rsidRPr="008716FB" w:rsidR="00963EEF" w:rsidP="00E106A2" w:rsidRDefault="00F76303" w14:paraId="3D289A0B" w14:textId="31BD2C1B">
            <w:pPr>
              <w:tabs>
                <w:tab w:val="left" w:pos="360"/>
              </w:tabs>
              <w:jc w:val="center"/>
            </w:pPr>
            <w:r w:rsidRPr="008716FB">
              <w:t>II.A</w:t>
            </w:r>
          </w:p>
        </w:tc>
        <w:tc>
          <w:tcPr>
            <w:tcW w:w="6311" w:type="dxa"/>
            <w:shd w:val="clear" w:color="auto" w:fill="auto"/>
          </w:tcPr>
          <w:p w:rsidRPr="008716FB" w:rsidR="00963EEF" w:rsidP="00E106A2" w:rsidRDefault="00F76303" w14:paraId="5F84EC4B" w14:textId="77777777">
            <w:pPr>
              <w:tabs>
                <w:tab w:val="left" w:pos="360"/>
              </w:tabs>
              <w:spacing w:after="240"/>
              <w:rPr>
                <w:b/>
              </w:rPr>
            </w:pPr>
            <w:r w:rsidRPr="008716FB">
              <w:rPr>
                <w:b/>
              </w:rPr>
              <w:t xml:space="preserve">Substantial Contribution Includes Enriching Deliberations and the Record. </w:t>
            </w:r>
          </w:p>
          <w:p w:rsidRPr="008716FB" w:rsidR="00F76303" w:rsidP="00E106A2" w:rsidRDefault="007921E4" w14:paraId="59AA74E8" w14:textId="58279CC4">
            <w:pPr>
              <w:tabs>
                <w:tab w:val="left" w:pos="360"/>
              </w:tabs>
            </w:pPr>
            <w:r w:rsidRPr="008716FB">
              <w:t>As a threshold matter, many of PCF’s arguments and detailed analyses were considered and adopted by the Commission</w:t>
            </w:r>
            <w:r w:rsidRPr="008716FB" w:rsidR="002B63C8">
              <w:t>.</w:t>
            </w:r>
            <w:r w:rsidRPr="008716FB" w:rsidR="002D4D0E">
              <w:t xml:space="preserve"> However, the </w:t>
            </w:r>
            <w:r w:rsidRPr="008716FB" w:rsidR="002B63C8">
              <w:t>Commission</w:t>
            </w:r>
            <w:r w:rsidRPr="008716FB" w:rsidR="002D4D0E">
              <w:t xml:space="preserve"> considered and evaluated some of PCF’s information and advocacy and chose not to proceed in the manner advocated by PCF. </w:t>
            </w:r>
            <w:r w:rsidRPr="008716FB" w:rsidR="00F76303">
              <w:t>The Commission’s past decisions recognize that the Commission does not need to adopt an intervenor’s position on a particular issue for that intervenor to make a substantial contribution. D.08</w:t>
            </w:r>
            <w:r w:rsidR="0092038A">
              <w:noBreakHyphen/>
            </w:r>
            <w:r w:rsidRPr="008716FB" w:rsidR="00F76303">
              <w:t>04</w:t>
            </w:r>
            <w:r w:rsidR="0092038A">
              <w:noBreakHyphen/>
            </w:r>
            <w:r w:rsidRPr="008716FB" w:rsidR="00F76303">
              <w:t>004,</w:t>
            </w:r>
            <w:r w:rsidR="008906BC">
              <w:t xml:space="preserve"> p. </w:t>
            </w:r>
            <w:r w:rsidRPr="008716FB" w:rsidR="00F76303">
              <w:t>4</w:t>
            </w:r>
            <w:r w:rsidR="0092038A">
              <w:noBreakHyphen/>
            </w:r>
            <w:r w:rsidRPr="008716FB" w:rsidR="00F76303">
              <w:t>5; D.19</w:t>
            </w:r>
            <w:r w:rsidR="0092038A">
              <w:noBreakHyphen/>
            </w:r>
            <w:r w:rsidRPr="008716FB" w:rsidR="00F76303">
              <w:t>10</w:t>
            </w:r>
            <w:r w:rsidR="0092038A">
              <w:noBreakHyphen/>
            </w:r>
            <w:r w:rsidRPr="008716FB" w:rsidR="00F76303">
              <w:t>019, p.3; D.03</w:t>
            </w:r>
            <w:r w:rsidR="0092038A">
              <w:noBreakHyphen/>
            </w:r>
            <w:r w:rsidRPr="008716FB" w:rsidR="00F76303">
              <w:t>03</w:t>
            </w:r>
            <w:r w:rsidR="0092038A">
              <w:noBreakHyphen/>
            </w:r>
            <w:r w:rsidRPr="008716FB" w:rsidR="00F76303">
              <w:t>031, p.6 (</w:t>
            </w:r>
            <w:r w:rsidR="007D4327">
              <w:t>“</w:t>
            </w:r>
            <w:r w:rsidRPr="008716FB" w:rsidR="00F76303">
              <w:t>substantial contribution includes evidence or argument that supports part of the decision even if the Commission does not adopt a party’s position in total</w:t>
            </w:r>
            <w:r w:rsidR="007D4327">
              <w:t>”</w:t>
            </w:r>
            <w:r w:rsidRPr="008716FB" w:rsidR="00F76303">
              <w:t xml:space="preserve">). Rather, intervenors substantially contribute when they have </w:t>
            </w:r>
            <w:r w:rsidR="007D4327">
              <w:t>“</w:t>
            </w:r>
            <w:r w:rsidRPr="008716FB" w:rsidR="00F76303">
              <w:t>provided a unique perspective that enriched the Commission’s deliberations and the record.</w:t>
            </w:r>
            <w:r w:rsidR="007D4327">
              <w:t>”</w:t>
            </w:r>
            <w:r w:rsidRPr="008716FB" w:rsidR="00F76303">
              <w:t xml:space="preserve"> D.05</w:t>
            </w:r>
            <w:r w:rsidR="0092038A">
              <w:noBreakHyphen/>
            </w:r>
            <w:r w:rsidRPr="008716FB" w:rsidR="00F76303">
              <w:t>06</w:t>
            </w:r>
            <w:r w:rsidR="0092038A">
              <w:noBreakHyphen/>
            </w:r>
            <w:r w:rsidRPr="008716FB" w:rsidR="00F76303">
              <w:t>027,</w:t>
            </w:r>
            <w:r w:rsidR="008906BC">
              <w:t xml:space="preserve"> p. </w:t>
            </w:r>
            <w:r w:rsidRPr="008716FB" w:rsidR="00F76303">
              <w:t xml:space="preserve">5. Intervenors also substantially contribute when they provide a full discussion of the matters at issue so as to allow the Commission </w:t>
            </w:r>
            <w:r w:rsidR="007D4327">
              <w:t>“</w:t>
            </w:r>
            <w:r w:rsidRPr="008716FB" w:rsidR="00F76303">
              <w:t>to fully consider the consequences of adopting or rejecting</w:t>
            </w:r>
            <w:r w:rsidR="007D4327">
              <w:t>”</w:t>
            </w:r>
            <w:r w:rsidRPr="008716FB" w:rsidR="00F76303">
              <w:t xml:space="preserve"> the parties’ proposals, and when they </w:t>
            </w:r>
            <w:r w:rsidR="007D4327">
              <w:t>“</w:t>
            </w:r>
            <w:r w:rsidRPr="008716FB" w:rsidR="00F76303">
              <w:t>assist the Commission in the decision</w:t>
            </w:r>
            <w:r w:rsidR="0092038A">
              <w:noBreakHyphen/>
            </w:r>
            <w:r w:rsidRPr="008716FB" w:rsidR="00F76303">
              <w:t>making process.</w:t>
            </w:r>
            <w:r w:rsidR="007D4327">
              <w:t>”</w:t>
            </w:r>
            <w:r w:rsidRPr="008716FB" w:rsidR="00F76303">
              <w:t xml:space="preserve"> D.08</w:t>
            </w:r>
            <w:r w:rsidR="0092038A">
              <w:noBreakHyphen/>
            </w:r>
            <w:r w:rsidRPr="008716FB" w:rsidR="00F76303">
              <w:t>04</w:t>
            </w:r>
            <w:r w:rsidR="0092038A">
              <w:noBreakHyphen/>
            </w:r>
            <w:r w:rsidRPr="008716FB" w:rsidR="00F76303">
              <w:t>004,</w:t>
            </w:r>
            <w:r w:rsidR="008906BC">
              <w:t xml:space="preserve"> p. </w:t>
            </w:r>
            <w:r w:rsidRPr="008716FB" w:rsidR="00F76303">
              <w:t>5</w:t>
            </w:r>
            <w:r w:rsidR="0092038A">
              <w:noBreakHyphen/>
            </w:r>
            <w:r w:rsidRPr="008716FB" w:rsidR="00F76303">
              <w:t>6; D.19</w:t>
            </w:r>
            <w:r w:rsidR="0092038A">
              <w:noBreakHyphen/>
            </w:r>
            <w:r w:rsidRPr="008716FB" w:rsidR="00F76303">
              <w:t>10</w:t>
            </w:r>
            <w:r w:rsidR="0092038A">
              <w:noBreakHyphen/>
            </w:r>
            <w:r w:rsidRPr="008716FB" w:rsidR="00F76303">
              <w:t>019,</w:t>
            </w:r>
            <w:r w:rsidR="008906BC">
              <w:t xml:space="preserve"> p. </w:t>
            </w:r>
            <w:r w:rsidRPr="008716FB" w:rsidR="00F76303">
              <w:t xml:space="preserve">4. </w:t>
            </w:r>
          </w:p>
        </w:tc>
        <w:tc>
          <w:tcPr>
            <w:tcW w:w="2075" w:type="dxa"/>
            <w:shd w:val="clear" w:color="auto" w:fill="auto"/>
          </w:tcPr>
          <w:p w:rsidRPr="008716FB" w:rsidR="00963EEF" w:rsidP="008738CA" w:rsidRDefault="00F0672D" w14:paraId="7B53CB1C" w14:textId="580B3423">
            <w:pPr>
              <w:tabs>
                <w:tab w:val="left" w:pos="360"/>
              </w:tabs>
              <w:spacing w:before="120"/>
            </w:pPr>
            <w:r w:rsidRPr="008716FB">
              <w:t>Noted</w:t>
            </w:r>
          </w:p>
        </w:tc>
      </w:tr>
      <w:tr w:rsidRPr="008716FB" w:rsidR="00361A97" w:rsidTr="00FA5159" w14:paraId="530F6CE2" w14:textId="77777777">
        <w:trPr>
          <w:trHeight w:val="447"/>
        </w:trPr>
        <w:tc>
          <w:tcPr>
            <w:tcW w:w="974" w:type="dxa"/>
            <w:shd w:val="clear" w:color="auto" w:fill="auto"/>
          </w:tcPr>
          <w:p w:rsidRPr="008716FB" w:rsidR="00691528" w:rsidP="00E106A2" w:rsidRDefault="00B629E7" w14:paraId="220B7D3F" w14:textId="655153F0">
            <w:pPr>
              <w:tabs>
                <w:tab w:val="left" w:pos="360"/>
              </w:tabs>
              <w:jc w:val="center"/>
            </w:pPr>
            <w:r w:rsidRPr="008716FB">
              <w:t xml:space="preserve">II.B. </w:t>
            </w:r>
          </w:p>
        </w:tc>
        <w:tc>
          <w:tcPr>
            <w:tcW w:w="6311" w:type="dxa"/>
            <w:shd w:val="clear" w:color="auto" w:fill="auto"/>
          </w:tcPr>
          <w:p w:rsidRPr="008716FB" w:rsidR="00691528" w:rsidP="00E106A2" w:rsidRDefault="00B629E7" w14:paraId="6E6D946F" w14:textId="77777777">
            <w:pPr>
              <w:tabs>
                <w:tab w:val="left" w:pos="360"/>
              </w:tabs>
              <w:spacing w:after="240"/>
              <w:rPr>
                <w:b/>
              </w:rPr>
            </w:pPr>
            <w:r w:rsidRPr="008716FB">
              <w:rPr>
                <w:b/>
              </w:rPr>
              <w:t>No Duplication.</w:t>
            </w:r>
          </w:p>
          <w:p w:rsidRPr="008716FB" w:rsidR="006173D7" w:rsidP="00E106A2" w:rsidRDefault="00B629E7" w14:paraId="2DD09648" w14:textId="1E4189D3">
            <w:pPr>
              <w:tabs>
                <w:tab w:val="left" w:pos="360"/>
              </w:tabs>
            </w:pPr>
            <w:r w:rsidRPr="008716FB">
              <w:t>No reduction to PCF’s compensation due to duplication is warranted given the standard adopted by the Commission in D.03</w:t>
            </w:r>
            <w:r w:rsidR="0092038A">
              <w:noBreakHyphen/>
            </w:r>
            <w:r w:rsidRPr="008716FB">
              <w:t>03</w:t>
            </w:r>
            <w:r w:rsidR="0092038A">
              <w:noBreakHyphen/>
            </w:r>
            <w:r w:rsidRPr="008716FB">
              <w:t xml:space="preserve">031 and consistent with Public Utilities Code Sections 1801.3(b) &amp; (f), 1802(j), 1802.5, and 1803. Section 1803 sets forth the requirements for awarding intervenor compensation. </w:t>
            </w:r>
            <w:r w:rsidR="00B31AE4">
              <w:t>Pub. Util.</w:t>
            </w:r>
            <w:r w:rsidRPr="008716FB">
              <w:t xml:space="preserve"> Code, </w:t>
            </w:r>
            <w:r w:rsidR="00B31AE4">
              <w:t>§ </w:t>
            </w:r>
            <w:r w:rsidRPr="008716FB" w:rsidR="006173D7">
              <w:t>1803; D.03</w:t>
            </w:r>
            <w:r w:rsidR="0092038A">
              <w:noBreakHyphen/>
            </w:r>
            <w:r w:rsidRPr="008716FB" w:rsidR="006173D7">
              <w:t>03</w:t>
            </w:r>
            <w:r w:rsidR="0092038A">
              <w:noBreakHyphen/>
            </w:r>
            <w:r w:rsidRPr="008716FB" w:rsidR="006173D7">
              <w:t>031,</w:t>
            </w:r>
            <w:r w:rsidR="008906BC">
              <w:t xml:space="preserve"> p. </w:t>
            </w:r>
            <w:r w:rsidRPr="008716FB" w:rsidR="006173D7">
              <w:t>12</w:t>
            </w:r>
            <w:r w:rsidR="0092038A">
              <w:noBreakHyphen/>
            </w:r>
            <w:r w:rsidRPr="008716FB" w:rsidR="006173D7">
              <w:t xml:space="preserve">14. An award of compensation for reasonable fees for participation in a proceeding is required when an intervenor (1) complies with </w:t>
            </w:r>
            <w:r w:rsidRPr="008716FB" w:rsidR="006173D7">
              <w:lastRenderedPageBreak/>
              <w:t xml:space="preserve">Section 1804 and (2) </w:t>
            </w:r>
            <w:r w:rsidR="007D4327">
              <w:t>“</w:t>
            </w:r>
            <w:r w:rsidRPr="008716FB" w:rsidR="006173D7">
              <w:t>satisfies both of the following requirements: (a) The customer’s presentation makes a substantial contribution to the adoption, in whole or in part, of the Commission’s order or decision. (b) Participation or intervention without an award of fees or costs imposes a significant financial hardship.</w:t>
            </w:r>
            <w:r w:rsidR="007D4327">
              <w:t>”</w:t>
            </w:r>
            <w:r w:rsidRPr="008716FB" w:rsidR="006173D7">
              <w:t xml:space="preserve"> </w:t>
            </w:r>
            <w:r w:rsidR="00B31AE4">
              <w:t>Pub. Util.</w:t>
            </w:r>
            <w:r w:rsidRPr="008716FB" w:rsidR="006173D7">
              <w:t xml:space="preserve"> Code., </w:t>
            </w:r>
            <w:r w:rsidR="00B31AE4">
              <w:t>§ </w:t>
            </w:r>
            <w:r w:rsidRPr="008716FB" w:rsidR="006173D7">
              <w:t xml:space="preserve">1803. Section 1801.3(f) seeks to avoid only (1) </w:t>
            </w:r>
            <w:r w:rsidR="007D4327">
              <w:t>“</w:t>
            </w:r>
            <w:r w:rsidRPr="008716FB" w:rsidR="006173D7">
              <w:t>unproductive or unnecessary participation that duplicates the participation of similar interests otherwise adequately represented</w:t>
            </w:r>
            <w:r w:rsidR="007D4327">
              <w:t>”</w:t>
            </w:r>
            <w:r w:rsidRPr="008716FB" w:rsidR="006173D7">
              <w:t xml:space="preserve"> or (2) </w:t>
            </w:r>
            <w:r w:rsidR="007D4327">
              <w:t>“</w:t>
            </w:r>
            <w:r w:rsidRPr="008716FB" w:rsidR="006173D7">
              <w:t>participation that is not necessary for a fair determination of the proceeding.</w:t>
            </w:r>
            <w:r w:rsidR="007D4327">
              <w:t>”</w:t>
            </w:r>
            <w:r w:rsidRPr="008716FB" w:rsidR="006173D7">
              <w:t xml:space="preserve"> </w:t>
            </w:r>
            <w:r w:rsidR="00B31AE4">
              <w:t>Pub. Util.</w:t>
            </w:r>
            <w:r w:rsidRPr="008716FB" w:rsidR="006173D7">
              <w:t xml:space="preserve"> Code, </w:t>
            </w:r>
            <w:r w:rsidR="00B31AE4">
              <w:t>§ </w:t>
            </w:r>
            <w:r w:rsidRPr="008716FB" w:rsidR="006173D7">
              <w:t>1801.3, subd. (f); D.03</w:t>
            </w:r>
            <w:r w:rsidR="0092038A">
              <w:noBreakHyphen/>
            </w:r>
            <w:r w:rsidRPr="008716FB" w:rsidR="006173D7">
              <w:t>03</w:t>
            </w:r>
            <w:r w:rsidR="0092038A">
              <w:noBreakHyphen/>
            </w:r>
            <w:r w:rsidRPr="008716FB" w:rsidR="006173D7">
              <w:t>031,</w:t>
            </w:r>
            <w:r w:rsidR="008906BC">
              <w:t xml:space="preserve"> p. </w:t>
            </w:r>
            <w:r w:rsidRPr="008716FB" w:rsidR="006173D7">
              <w:t>15</w:t>
            </w:r>
            <w:r w:rsidR="0092038A">
              <w:noBreakHyphen/>
            </w:r>
            <w:r w:rsidRPr="008716FB" w:rsidR="006173D7">
              <w:t xml:space="preserve">18. The </w:t>
            </w:r>
            <w:r w:rsidR="007D4327">
              <w:t>“</w:t>
            </w:r>
            <w:r w:rsidRPr="008716FB" w:rsidR="006173D7">
              <w:t>duplication language contained in the first dependent clause requires the compensation opponent to establish three elements – duplication, similar interests, and adequate representation.</w:t>
            </w:r>
            <w:r w:rsidR="007D4327">
              <w:t>”</w:t>
            </w:r>
            <w:r w:rsidRPr="008716FB" w:rsidR="006173D7">
              <w:t xml:space="preserve"> D.03</w:t>
            </w:r>
            <w:r w:rsidR="0092038A">
              <w:noBreakHyphen/>
            </w:r>
            <w:r w:rsidRPr="008716FB" w:rsidR="006173D7">
              <w:t>03</w:t>
            </w:r>
            <w:r w:rsidR="0092038A">
              <w:noBreakHyphen/>
            </w:r>
            <w:r w:rsidRPr="008716FB" w:rsidR="006173D7">
              <w:t>031,</w:t>
            </w:r>
            <w:r w:rsidR="008906BC">
              <w:t xml:space="preserve"> p. </w:t>
            </w:r>
            <w:r w:rsidRPr="008716FB" w:rsidR="006173D7">
              <w:t xml:space="preserve">18. Section 1802.5 provides for full compensation where participation </w:t>
            </w:r>
            <w:r w:rsidR="007D4327">
              <w:t>“</w:t>
            </w:r>
            <w:r w:rsidRPr="008716FB" w:rsidR="006173D7">
              <w:t>materially supplements, complements, or contributes to the presentation of another party.</w:t>
            </w:r>
            <w:r w:rsidR="007D4327">
              <w:t>”</w:t>
            </w:r>
            <w:r w:rsidRPr="008716FB" w:rsidR="006173D7">
              <w:t xml:space="preserve"> </w:t>
            </w:r>
            <w:r w:rsidR="00B31AE4">
              <w:t>Pub. Util.</w:t>
            </w:r>
            <w:r w:rsidRPr="008716FB" w:rsidR="006173D7">
              <w:t xml:space="preserve"> Code, </w:t>
            </w:r>
            <w:r w:rsidR="00B31AE4">
              <w:t>§ </w:t>
            </w:r>
            <w:r w:rsidRPr="008716FB" w:rsidR="006173D7">
              <w:t xml:space="preserve">1802.5; </w:t>
            </w:r>
            <w:r w:rsidRPr="008716FB" w:rsidR="006173D7">
              <w:rPr>
                <w:i/>
              </w:rPr>
              <w:t xml:space="preserve">see also </w:t>
            </w:r>
            <w:r w:rsidRPr="008716FB" w:rsidR="006173D7">
              <w:t>D.03</w:t>
            </w:r>
            <w:r w:rsidR="0092038A">
              <w:noBreakHyphen/>
            </w:r>
            <w:r w:rsidRPr="008716FB" w:rsidR="006173D7">
              <w:t>03</w:t>
            </w:r>
            <w:r w:rsidR="0092038A">
              <w:noBreakHyphen/>
            </w:r>
            <w:r w:rsidRPr="008716FB" w:rsidR="006173D7">
              <w:t>031,</w:t>
            </w:r>
            <w:r w:rsidR="008906BC">
              <w:t xml:space="preserve"> p. </w:t>
            </w:r>
            <w:r w:rsidRPr="008716FB" w:rsidR="006173D7">
              <w:t xml:space="preserve">14. Additionally, the intervenor compensation statutory scheme is intended to </w:t>
            </w:r>
            <w:r w:rsidR="007D4327">
              <w:t>“</w:t>
            </w:r>
            <w:r w:rsidRPr="008716FB" w:rsidR="006173D7">
              <w:t>be administered in a manner that encourages the effective and efficient participation of all groups that have a stake in the public utility regulation process.</w:t>
            </w:r>
            <w:r w:rsidR="007D4327">
              <w:t>”</w:t>
            </w:r>
            <w:r w:rsidRPr="008716FB" w:rsidR="006173D7">
              <w:t xml:space="preserve"> </w:t>
            </w:r>
            <w:r w:rsidR="00B31AE4">
              <w:t>Pub. Util.</w:t>
            </w:r>
            <w:r w:rsidRPr="008716FB" w:rsidR="006173D7">
              <w:t xml:space="preserve"> Code, </w:t>
            </w:r>
            <w:r w:rsidR="00B31AE4">
              <w:t>§ </w:t>
            </w:r>
            <w:r w:rsidRPr="008716FB" w:rsidR="006173D7">
              <w:t>1801.3(b).</w:t>
            </w:r>
          </w:p>
        </w:tc>
        <w:tc>
          <w:tcPr>
            <w:tcW w:w="2075" w:type="dxa"/>
            <w:shd w:val="clear" w:color="auto" w:fill="auto"/>
          </w:tcPr>
          <w:p w:rsidRPr="008716FB" w:rsidR="00691528" w:rsidP="00E106A2" w:rsidRDefault="00F0672D" w14:paraId="35D7F57C" w14:textId="77777777">
            <w:pPr>
              <w:tabs>
                <w:tab w:val="left" w:pos="360"/>
              </w:tabs>
              <w:jc w:val="center"/>
            </w:pPr>
            <w:r w:rsidRPr="008716FB">
              <w:lastRenderedPageBreak/>
              <w:t>Noted</w:t>
            </w:r>
          </w:p>
          <w:p w:rsidRPr="008716FB" w:rsidR="00F0672D" w:rsidP="008738CA" w:rsidRDefault="00F0672D" w14:paraId="1FF9B92D" w14:textId="77777777">
            <w:pPr>
              <w:tabs>
                <w:tab w:val="left" w:pos="360"/>
              </w:tabs>
              <w:spacing w:before="120"/>
            </w:pPr>
          </w:p>
          <w:p w:rsidRPr="008716FB" w:rsidR="00F0672D" w:rsidP="008738CA" w:rsidRDefault="00F0672D" w14:paraId="556FE9E4" w14:textId="77777777">
            <w:pPr>
              <w:tabs>
                <w:tab w:val="left" w:pos="360"/>
              </w:tabs>
              <w:spacing w:before="120"/>
            </w:pPr>
          </w:p>
          <w:p w:rsidRPr="008716FB" w:rsidR="00F0672D" w:rsidP="008738CA" w:rsidRDefault="00F0672D" w14:paraId="00CCD5C3" w14:textId="77777777">
            <w:pPr>
              <w:tabs>
                <w:tab w:val="left" w:pos="360"/>
              </w:tabs>
              <w:spacing w:before="120"/>
            </w:pPr>
          </w:p>
          <w:p w:rsidRPr="008716FB" w:rsidR="00F0672D" w:rsidP="008738CA" w:rsidRDefault="00F0672D" w14:paraId="782DA58F" w14:textId="77777777">
            <w:pPr>
              <w:tabs>
                <w:tab w:val="left" w:pos="360"/>
              </w:tabs>
              <w:spacing w:before="120"/>
            </w:pPr>
          </w:p>
          <w:p w:rsidRPr="008716FB" w:rsidR="00F0672D" w:rsidP="008738CA" w:rsidRDefault="00F0672D" w14:paraId="3DB27FC7" w14:textId="77777777">
            <w:pPr>
              <w:tabs>
                <w:tab w:val="left" w:pos="360"/>
              </w:tabs>
              <w:spacing w:before="120"/>
            </w:pPr>
          </w:p>
          <w:p w:rsidRPr="008716FB" w:rsidR="00F0672D" w:rsidP="008738CA" w:rsidRDefault="00F0672D" w14:paraId="49CF33D7" w14:textId="77777777">
            <w:pPr>
              <w:tabs>
                <w:tab w:val="left" w:pos="360"/>
              </w:tabs>
              <w:spacing w:before="120"/>
            </w:pPr>
          </w:p>
          <w:p w:rsidRPr="008716FB" w:rsidR="00F0672D" w:rsidP="008738CA" w:rsidRDefault="00F0672D" w14:paraId="268015AA" w14:textId="77777777">
            <w:pPr>
              <w:tabs>
                <w:tab w:val="left" w:pos="360"/>
              </w:tabs>
              <w:spacing w:before="120"/>
            </w:pPr>
          </w:p>
          <w:p w:rsidRPr="008716FB" w:rsidR="00F0672D" w:rsidP="008738CA" w:rsidRDefault="00F0672D" w14:paraId="185D3DD7" w14:textId="77777777">
            <w:pPr>
              <w:tabs>
                <w:tab w:val="left" w:pos="360"/>
              </w:tabs>
              <w:spacing w:before="120"/>
            </w:pPr>
          </w:p>
          <w:p w:rsidRPr="008716FB" w:rsidR="00F0672D" w:rsidP="008738CA" w:rsidRDefault="00F0672D" w14:paraId="23519EBD" w14:textId="77777777">
            <w:pPr>
              <w:tabs>
                <w:tab w:val="left" w:pos="360"/>
              </w:tabs>
              <w:spacing w:before="120"/>
            </w:pPr>
          </w:p>
          <w:p w:rsidRPr="008716FB" w:rsidR="00F0672D" w:rsidP="008738CA" w:rsidRDefault="00F0672D" w14:paraId="6FD75E07" w14:textId="77777777">
            <w:pPr>
              <w:tabs>
                <w:tab w:val="left" w:pos="360"/>
              </w:tabs>
              <w:spacing w:before="120"/>
            </w:pPr>
          </w:p>
          <w:p w:rsidRPr="008716FB" w:rsidR="00F0672D" w:rsidP="008738CA" w:rsidRDefault="00F0672D" w14:paraId="77E976CA" w14:textId="77777777">
            <w:pPr>
              <w:tabs>
                <w:tab w:val="left" w:pos="360"/>
              </w:tabs>
              <w:spacing w:before="120"/>
            </w:pPr>
          </w:p>
          <w:p w:rsidRPr="008716FB" w:rsidR="00F0672D" w:rsidP="008738CA" w:rsidRDefault="00F0672D" w14:paraId="6F51C82B" w14:textId="77777777">
            <w:pPr>
              <w:tabs>
                <w:tab w:val="left" w:pos="360"/>
              </w:tabs>
              <w:spacing w:before="120"/>
            </w:pPr>
          </w:p>
          <w:p w:rsidRPr="008716FB" w:rsidR="00F0672D" w:rsidP="008738CA" w:rsidRDefault="00F0672D" w14:paraId="53AFA7AC" w14:textId="77777777">
            <w:pPr>
              <w:tabs>
                <w:tab w:val="left" w:pos="360"/>
              </w:tabs>
              <w:spacing w:before="120"/>
            </w:pPr>
          </w:p>
          <w:p w:rsidRPr="008716FB" w:rsidR="00F0672D" w:rsidP="008738CA" w:rsidRDefault="00F0672D" w14:paraId="311C150F" w14:textId="77777777">
            <w:pPr>
              <w:tabs>
                <w:tab w:val="left" w:pos="360"/>
              </w:tabs>
              <w:spacing w:before="120"/>
            </w:pPr>
          </w:p>
          <w:p w:rsidRPr="008716FB" w:rsidR="00F0672D" w:rsidP="008738CA" w:rsidRDefault="00F0672D" w14:paraId="1E510EAD" w14:textId="77777777">
            <w:pPr>
              <w:tabs>
                <w:tab w:val="left" w:pos="360"/>
              </w:tabs>
              <w:spacing w:before="120"/>
            </w:pPr>
          </w:p>
          <w:p w:rsidRPr="008716FB" w:rsidR="00F0672D" w:rsidP="008738CA" w:rsidRDefault="00F0672D" w14:paraId="4C766D55" w14:textId="77777777">
            <w:pPr>
              <w:tabs>
                <w:tab w:val="left" w:pos="360"/>
              </w:tabs>
              <w:spacing w:before="120"/>
            </w:pPr>
          </w:p>
          <w:p w:rsidRPr="008716FB" w:rsidR="00F0672D" w:rsidP="00E106A2" w:rsidRDefault="00F0672D" w14:paraId="36220B11" w14:textId="7B2FA87C">
            <w:pPr>
              <w:tabs>
                <w:tab w:val="left" w:pos="360"/>
              </w:tabs>
              <w:jc w:val="center"/>
            </w:pPr>
            <w:r w:rsidRPr="008716FB">
              <w:t>Noted</w:t>
            </w:r>
          </w:p>
        </w:tc>
      </w:tr>
    </w:tbl>
    <w:p w:rsidRPr="008716FB" w:rsidR="00B312DA" w:rsidP="008738CA" w:rsidRDefault="00A92D0B" w14:paraId="175C3F89" w14:textId="5A4AB7B7">
      <w:pPr>
        <w:keepNext/>
        <w:spacing w:before="480" w:after="240"/>
        <w:jc w:val="center"/>
        <w:rPr>
          <w:b/>
        </w:rPr>
      </w:pPr>
      <w:r w:rsidRPr="008716FB">
        <w:rPr>
          <w:b/>
        </w:rPr>
        <w:lastRenderedPageBreak/>
        <w:t>PART III:</w:t>
      </w:r>
      <w:r w:rsidR="008738CA">
        <w:rPr>
          <w:b/>
        </w:rPr>
        <w:t xml:space="preserve">  </w:t>
      </w:r>
      <w:r w:rsidRPr="008716FB">
        <w:rPr>
          <w:b/>
        </w:rPr>
        <w:t>REASONABLENESS OF REQUESTED COMPENSATION</w:t>
      </w:r>
    </w:p>
    <w:p w:rsidRPr="008716FB" w:rsidR="00A92D0B" w:rsidP="0024540C" w:rsidRDefault="00A92D0B" w14:paraId="6F74DAE2" w14:textId="1E210466">
      <w:pPr>
        <w:keepNext/>
        <w:numPr>
          <w:ilvl w:val="0"/>
          <w:numId w:val="10"/>
        </w:numPr>
        <w:spacing w:before="240" w:after="240"/>
        <w:rPr>
          <w:b/>
        </w:rPr>
      </w:pPr>
      <w:r w:rsidRPr="008716FB">
        <w:rPr>
          <w:b/>
        </w:rPr>
        <w:t xml:space="preserve">General Claim of Reasonableness </w:t>
      </w:r>
      <w:r w:rsidRPr="008716FB" w:rsidR="00F30DA8">
        <w:rPr>
          <w:b/>
        </w:rPr>
        <w:t>(</w:t>
      </w:r>
      <w:r w:rsidR="00B31AE4">
        <w:rPr>
          <w:b/>
        </w:rPr>
        <w:t>§ </w:t>
      </w:r>
      <w:r w:rsidRPr="008716FB">
        <w:rPr>
          <w:b/>
        </w:rPr>
        <w:t xml:space="preserve">1801 </w:t>
      </w:r>
      <w:r w:rsidRPr="008716FB" w:rsidR="00F30DA8">
        <w:rPr>
          <w:b/>
        </w:rPr>
        <w:t xml:space="preserve">and </w:t>
      </w:r>
      <w:r w:rsidR="00B31AE4">
        <w:rPr>
          <w:b/>
        </w:rPr>
        <w:t>§ </w:t>
      </w:r>
      <w:r w:rsidRPr="008716FB" w:rsidR="0022302F">
        <w:rPr>
          <w:b/>
        </w:rPr>
        <w:t>1806)</w:t>
      </w:r>
      <w:r w:rsidRPr="008716FB" w:rsidR="00C02649">
        <w:rPr>
          <w:b/>
        </w:rPr>
        <w:t>:</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bottom w:w="58" w:type="dxa"/>
        </w:tblCellMar>
        <w:tblLook w:val="01E0" w:firstRow="1" w:lastRow="1" w:firstColumn="1" w:lastColumn="1" w:noHBand="0" w:noVBand="0"/>
      </w:tblPr>
      <w:tblGrid>
        <w:gridCol w:w="7192"/>
        <w:gridCol w:w="2168"/>
      </w:tblGrid>
      <w:tr w:rsidRPr="008716FB" w:rsidR="008716FB" w:rsidTr="00443AB5" w14:paraId="4078AC87" w14:textId="77777777">
        <w:trPr>
          <w:tblHeader/>
        </w:trPr>
        <w:tc>
          <w:tcPr>
            <w:tcW w:w="7488" w:type="dxa"/>
            <w:tcBorders>
              <w:bottom w:val="single" w:color="auto" w:sz="4" w:space="0"/>
            </w:tcBorders>
            <w:shd w:val="clear" w:color="auto" w:fill="D9D9D9" w:themeFill="background1" w:themeFillShade="D9"/>
            <w:vAlign w:val="bottom"/>
          </w:tcPr>
          <w:p w:rsidRPr="008716FB" w:rsidR="00FE3BAE" w:rsidP="00443AB5" w:rsidRDefault="00FE3BAE" w14:paraId="70FDF5DA" w14:textId="77777777">
            <w:pPr>
              <w:keepNext/>
              <w:jc w:val="center"/>
              <w:rPr>
                <w:b/>
              </w:rPr>
            </w:pPr>
          </w:p>
        </w:tc>
        <w:tc>
          <w:tcPr>
            <w:tcW w:w="2250" w:type="dxa"/>
            <w:shd w:val="clear" w:color="auto" w:fill="D9D9D9" w:themeFill="background1" w:themeFillShade="D9"/>
            <w:vAlign w:val="bottom"/>
          </w:tcPr>
          <w:p w:rsidRPr="008716FB" w:rsidR="00FE3BAE" w:rsidP="00443AB5" w:rsidRDefault="00FE3BAE" w14:paraId="59CD9FCF" w14:textId="77777777">
            <w:pPr>
              <w:keepNext/>
              <w:jc w:val="center"/>
            </w:pPr>
            <w:r w:rsidRPr="008716FB">
              <w:rPr>
                <w:b/>
              </w:rPr>
              <w:t>CPUC Discussion</w:t>
            </w:r>
          </w:p>
        </w:tc>
      </w:tr>
      <w:tr w:rsidRPr="008716FB" w:rsidR="008716FB" w:rsidTr="00FA5159" w14:paraId="5708510E" w14:textId="77777777">
        <w:tc>
          <w:tcPr>
            <w:tcW w:w="7488" w:type="dxa"/>
            <w:tcBorders>
              <w:bottom w:val="single" w:color="auto" w:sz="4" w:space="0"/>
            </w:tcBorders>
            <w:shd w:val="clear" w:color="auto" w:fill="auto"/>
          </w:tcPr>
          <w:p w:rsidRPr="008716FB" w:rsidR="00FE3BAE" w:rsidP="00AF6148" w:rsidRDefault="00FE3BAE" w14:paraId="707F9932" w14:textId="7CD1E75F">
            <w:pPr>
              <w:spacing w:after="240"/>
              <w:ind w:left="360" w:hanging="360"/>
            </w:pPr>
            <w:r w:rsidRPr="008716FB">
              <w:rPr>
                <w:b/>
              </w:rPr>
              <w:t>a.</w:t>
            </w:r>
            <w:r w:rsidR="00AF6148">
              <w:rPr>
                <w:b/>
              </w:rPr>
              <w:tab/>
            </w:r>
            <w:r w:rsidRPr="008716FB">
              <w:rPr>
                <w:b/>
              </w:rPr>
              <w:t>Intervenor’s claim of cost reasonableness:</w:t>
            </w:r>
            <w:r w:rsidRPr="008716FB" w:rsidR="00E25078">
              <w:t xml:space="preserve"> </w:t>
            </w:r>
          </w:p>
          <w:p w:rsidRPr="008716FB" w:rsidR="00726EDE" w:rsidP="001B35CB" w:rsidRDefault="00A517EF" w14:paraId="2B1A1242" w14:textId="6DD66646">
            <w:pPr>
              <w:spacing w:after="240"/>
            </w:pPr>
            <w:r w:rsidRPr="008716FB">
              <w:t xml:space="preserve">PCF’s advocacy reflected in this request for compensation substantially contributed to a decision </w:t>
            </w:r>
            <w:r w:rsidRPr="008716FB" w:rsidR="004F6B38">
              <w:t xml:space="preserve">that will impact </w:t>
            </w:r>
            <w:r w:rsidRPr="008716FB" w:rsidR="001034D6">
              <w:t>California utility ratepayers and the public at large. Party review of the Track 2 proposals and working group reports provided valuable</w:t>
            </w:r>
            <w:r w:rsidRPr="008716FB" w:rsidR="00A64FBE">
              <w:t xml:space="preserve"> additional perspectives and information which aided </w:t>
            </w:r>
            <w:r w:rsidRPr="008716FB" w:rsidR="001034D6">
              <w:t xml:space="preserve">the Commission’s decision making and the implementation of local capacity obligations and the resource adequacy program. </w:t>
            </w:r>
            <w:r w:rsidRPr="008716FB" w:rsidR="00C534E3">
              <w:t xml:space="preserve">Through participating in the evaluation of these obligations and programs, PCF assisted the Commission’s review and </w:t>
            </w:r>
            <w:r w:rsidRPr="008716FB" w:rsidR="002D4D0E">
              <w:t xml:space="preserve">broadened the analytical choices available to the Commission </w:t>
            </w:r>
            <w:r w:rsidRPr="008716FB" w:rsidR="000D52B1">
              <w:t>which benefitted California utility ratepayers. PCF</w:t>
            </w:r>
            <w:r w:rsidRPr="008716FB" w:rsidR="00A64FBE">
              <w:t xml:space="preserve"> consciously worked with cost</w:t>
            </w:r>
            <w:r w:rsidR="0092038A">
              <w:noBreakHyphen/>
            </w:r>
            <w:r w:rsidRPr="008716FB" w:rsidR="00A64FBE">
              <w:t>effectiveness foremost in mind.</w:t>
            </w:r>
            <w:r w:rsidRPr="008716FB" w:rsidR="000D52B1">
              <w:t xml:space="preserve"> For example, </w:t>
            </w:r>
            <w:r w:rsidRPr="008716FB" w:rsidR="00F2640F">
              <w:t xml:space="preserve">PCF advocate Julia </w:t>
            </w:r>
            <w:r w:rsidRPr="008716FB" w:rsidR="00F2640F">
              <w:lastRenderedPageBreak/>
              <w:t>Severson, whose hourly rate is significantly lower than PCF’s expert and general counsel rates, assisted in the preparation of this claim to keep costs as low as possible.</w:t>
            </w:r>
            <w:r w:rsidRPr="008716FB" w:rsidR="00726EDE">
              <w:t xml:space="preserve"> PCF’s fees are small in comparison to the </w:t>
            </w:r>
            <w:r w:rsidRPr="008716FB" w:rsidR="00ED179F">
              <w:t xml:space="preserve">financial benefits that California ratepayers will ultimately realize from PCF’s contributions. </w:t>
            </w:r>
          </w:p>
        </w:tc>
        <w:tc>
          <w:tcPr>
            <w:tcW w:w="2250" w:type="dxa"/>
            <w:shd w:val="clear" w:color="auto" w:fill="auto"/>
          </w:tcPr>
          <w:p w:rsidRPr="008716FB" w:rsidR="00FE3BAE" w:rsidP="00814794" w:rsidRDefault="00F0672D" w14:paraId="223B4665" w14:textId="4BE88803">
            <w:pPr>
              <w:jc w:val="center"/>
            </w:pPr>
            <w:r w:rsidRPr="008716FB">
              <w:lastRenderedPageBreak/>
              <w:t>Noted</w:t>
            </w:r>
          </w:p>
        </w:tc>
      </w:tr>
      <w:tr w:rsidRPr="008716FB" w:rsidR="008716FB" w:rsidTr="00FA5159" w14:paraId="5548029C" w14:textId="77777777">
        <w:tc>
          <w:tcPr>
            <w:tcW w:w="7488" w:type="dxa"/>
            <w:shd w:val="clear" w:color="auto" w:fill="auto"/>
          </w:tcPr>
          <w:p w:rsidRPr="008716FB" w:rsidR="00FE3BAE" w:rsidP="00AF6148" w:rsidRDefault="00FE3BAE" w14:paraId="751A610C" w14:textId="6F441C3F">
            <w:pPr>
              <w:spacing w:after="240"/>
              <w:ind w:left="360" w:hanging="360"/>
            </w:pPr>
            <w:r w:rsidRPr="008716FB">
              <w:rPr>
                <w:b/>
              </w:rPr>
              <w:t>b.</w:t>
            </w:r>
            <w:r w:rsidR="00AF6148">
              <w:rPr>
                <w:b/>
              </w:rPr>
              <w:tab/>
            </w:r>
            <w:r w:rsidRPr="008716FB">
              <w:rPr>
                <w:b/>
              </w:rPr>
              <w:t>Reasonableness of hours claimed:</w:t>
            </w:r>
            <w:r w:rsidRPr="008716FB" w:rsidR="00E25078">
              <w:t xml:space="preserve"> </w:t>
            </w:r>
          </w:p>
          <w:p w:rsidRPr="008716FB" w:rsidR="00726EDE" w:rsidP="001B35CB" w:rsidRDefault="00E033C6" w14:paraId="694F0B63" w14:textId="6248F7A7">
            <w:pPr>
              <w:spacing w:after="240"/>
            </w:pPr>
            <w:bookmarkStart w:name="_Hlk49514696" w:id="0"/>
            <w:r w:rsidRPr="008716FB">
              <w:t>PCF’s comments both identified deficiencies in LCR studies and reports and provided alternative adjustments that enriched the Commission’s record and contributed to their decision</w:t>
            </w:r>
            <w:r w:rsidR="0092038A">
              <w:noBreakHyphen/>
            </w:r>
            <w:r w:rsidRPr="008716FB">
              <w:t>making, supported by technical data and well</w:t>
            </w:r>
            <w:r w:rsidR="0092038A">
              <w:noBreakHyphen/>
            </w:r>
            <w:r w:rsidRPr="008716FB">
              <w:t xml:space="preserve">developed recommendations. </w:t>
            </w:r>
            <w:bookmarkEnd w:id="0"/>
            <w:r w:rsidRPr="008716FB">
              <w:t xml:space="preserve">PCF’s hours expended are reasonable and the total amount is substantially lower than if PCF used an outside expert. </w:t>
            </w:r>
            <w:r w:rsidRPr="008716FB" w:rsidR="00A72482">
              <w:t xml:space="preserve">Time spent on general participation </w:t>
            </w:r>
            <w:r w:rsidRPr="008716FB">
              <w:t xml:space="preserve">by PCF representatives </w:t>
            </w:r>
            <w:r w:rsidRPr="008716FB" w:rsidR="00A72482">
              <w:t>enhance</w:t>
            </w:r>
            <w:r w:rsidRPr="008716FB" w:rsidR="00A731BA">
              <w:t>d</w:t>
            </w:r>
            <w:r w:rsidRPr="008716FB" w:rsidR="00A72482">
              <w:t xml:space="preserve"> PCF’s </w:t>
            </w:r>
            <w:r w:rsidRPr="008716FB" w:rsidR="00A731BA">
              <w:t xml:space="preserve">comments on various issues presented in PCF’s comments. PCF is not claiming any time spent by its board member, attorney Loretta Lynch, who has extensive PUC and utility regulatory experience and who reviewed PCF’s comments. Nor is </w:t>
            </w:r>
            <w:r w:rsidRPr="008716FB" w:rsidR="00F2640F">
              <w:t>PCF claiming any time spent on administrative matters</w:t>
            </w:r>
            <w:r w:rsidRPr="008716FB" w:rsidR="00A64FBE">
              <w:t xml:space="preserve">. </w:t>
            </w:r>
            <w:r w:rsidRPr="008716FB" w:rsidR="00F2640F">
              <w:t xml:space="preserve">All of the hours claimed in this request were reasonably necessary to PCF’s participation in this proceeding.  </w:t>
            </w:r>
          </w:p>
        </w:tc>
        <w:tc>
          <w:tcPr>
            <w:tcW w:w="2250" w:type="dxa"/>
            <w:shd w:val="clear" w:color="auto" w:fill="auto"/>
          </w:tcPr>
          <w:p w:rsidRPr="008716FB" w:rsidR="00FE3BAE" w:rsidP="00814794" w:rsidRDefault="00F0672D" w14:paraId="1874D625" w14:textId="62F68573">
            <w:pPr>
              <w:jc w:val="center"/>
            </w:pPr>
            <w:r w:rsidRPr="008716FB">
              <w:t>Noted</w:t>
            </w:r>
          </w:p>
        </w:tc>
      </w:tr>
      <w:tr w:rsidRPr="008716FB" w:rsidR="00361A97" w:rsidTr="00FA5159" w14:paraId="3FD38B74" w14:textId="77777777">
        <w:tc>
          <w:tcPr>
            <w:tcW w:w="7488" w:type="dxa"/>
            <w:shd w:val="clear" w:color="auto" w:fill="auto"/>
          </w:tcPr>
          <w:p w:rsidRPr="008716FB" w:rsidR="00FE3BAE" w:rsidP="001B35CB" w:rsidRDefault="00FE3BAE" w14:paraId="46990B37" w14:textId="54899995">
            <w:pPr>
              <w:spacing w:after="240"/>
              <w:ind w:left="360" w:hanging="360"/>
            </w:pPr>
            <w:r w:rsidRPr="008716FB">
              <w:rPr>
                <w:b/>
              </w:rPr>
              <w:t>c.</w:t>
            </w:r>
            <w:r w:rsidR="001B35CB">
              <w:rPr>
                <w:b/>
              </w:rPr>
              <w:tab/>
            </w:r>
            <w:r w:rsidRPr="008716FB">
              <w:rPr>
                <w:b/>
              </w:rPr>
              <w:t>Allocation of hours by issue:</w:t>
            </w:r>
            <w:r w:rsidRPr="008716FB" w:rsidR="00E25078">
              <w:t xml:space="preserve"> </w:t>
            </w:r>
          </w:p>
          <w:p w:rsidRPr="008716FB" w:rsidR="004E3AA4" w:rsidP="001B35CB" w:rsidRDefault="004E3AA4" w14:paraId="1A47AE1D" w14:textId="5BF618B5">
            <w:pPr>
              <w:spacing w:after="240"/>
            </w:pPr>
            <w:r w:rsidRPr="008716FB">
              <w:t xml:space="preserve">Based on the detail in the time sheets and the personal knowledge of PCF’s experts, the approximate allocation of time in this proceeding is as follows: </w:t>
            </w:r>
          </w:p>
          <w:tbl>
            <w:tblPr>
              <w:tblStyle w:val="TableGrid"/>
              <w:tblW w:w="0" w:type="auto"/>
              <w:tblLayout w:type="fixed"/>
              <w:tblLook w:val="04A0" w:firstRow="1" w:lastRow="0" w:firstColumn="1" w:lastColumn="0" w:noHBand="0" w:noVBand="1"/>
            </w:tblPr>
            <w:tblGrid>
              <w:gridCol w:w="4297"/>
              <w:gridCol w:w="1440"/>
            </w:tblGrid>
            <w:tr w:rsidRPr="008716FB" w:rsidR="008716FB" w:rsidTr="00814794" w14:paraId="2C578E75" w14:textId="77777777">
              <w:tc>
                <w:tcPr>
                  <w:tcW w:w="4297" w:type="dxa"/>
                </w:tcPr>
                <w:p w:rsidRPr="008716FB" w:rsidR="006E7896" w:rsidP="008738CA" w:rsidRDefault="006E7896" w14:paraId="1DF56E72" w14:textId="1E2B4CBA">
                  <w:r w:rsidRPr="008716FB">
                    <w:t>MCC Buckets</w:t>
                  </w:r>
                </w:p>
              </w:tc>
              <w:tc>
                <w:tcPr>
                  <w:tcW w:w="1440" w:type="dxa"/>
                </w:tcPr>
                <w:p w:rsidRPr="008716FB" w:rsidR="006E7896" w:rsidP="00814794" w:rsidRDefault="006E7896" w14:paraId="6B9ACA80" w14:textId="1902FFB6">
                  <w:pPr>
                    <w:jc w:val="center"/>
                  </w:pPr>
                  <w:r w:rsidRPr="008716FB">
                    <w:t>20%</w:t>
                  </w:r>
                </w:p>
              </w:tc>
            </w:tr>
            <w:tr w:rsidRPr="008716FB" w:rsidR="008716FB" w:rsidTr="00814794" w14:paraId="5CA0B2EC" w14:textId="77777777">
              <w:tc>
                <w:tcPr>
                  <w:tcW w:w="4297" w:type="dxa"/>
                </w:tcPr>
                <w:p w:rsidRPr="008716FB" w:rsidR="006E7896" w:rsidP="008738CA" w:rsidRDefault="006E7896" w14:paraId="3600DF05" w14:textId="65E68B99">
                  <w:r w:rsidRPr="008716FB">
                    <w:t>Local and Flex Capacity Requirements</w:t>
                  </w:r>
                </w:p>
              </w:tc>
              <w:tc>
                <w:tcPr>
                  <w:tcW w:w="1440" w:type="dxa"/>
                </w:tcPr>
                <w:p w:rsidRPr="008716FB" w:rsidR="006E7896" w:rsidP="00814794" w:rsidRDefault="006E7896" w14:paraId="5A78855A" w14:textId="19A2730E">
                  <w:pPr>
                    <w:jc w:val="center"/>
                  </w:pPr>
                  <w:r w:rsidRPr="008716FB">
                    <w:t>30%</w:t>
                  </w:r>
                </w:p>
              </w:tc>
            </w:tr>
            <w:tr w:rsidRPr="008716FB" w:rsidR="008716FB" w:rsidTr="00814794" w14:paraId="1F6E2819" w14:textId="77777777">
              <w:tc>
                <w:tcPr>
                  <w:tcW w:w="4297" w:type="dxa"/>
                </w:tcPr>
                <w:p w:rsidRPr="008716FB" w:rsidR="006E7896" w:rsidP="008738CA" w:rsidRDefault="006E7896" w14:paraId="1BFCF0C9" w14:textId="6763A218">
                  <w:r w:rsidRPr="008716FB">
                    <w:t>ELCC Methodology</w:t>
                  </w:r>
                </w:p>
              </w:tc>
              <w:tc>
                <w:tcPr>
                  <w:tcW w:w="1440" w:type="dxa"/>
                </w:tcPr>
                <w:p w:rsidRPr="008716FB" w:rsidR="006E7896" w:rsidP="00814794" w:rsidRDefault="006E7896" w14:paraId="51AE1BD2" w14:textId="52C5A3AB">
                  <w:pPr>
                    <w:jc w:val="center"/>
                  </w:pPr>
                  <w:r w:rsidRPr="008716FB">
                    <w:t>20%</w:t>
                  </w:r>
                </w:p>
              </w:tc>
            </w:tr>
            <w:tr w:rsidRPr="008716FB" w:rsidR="008716FB" w:rsidTr="00814794" w14:paraId="0A21CC1B" w14:textId="77777777">
              <w:tc>
                <w:tcPr>
                  <w:tcW w:w="4297" w:type="dxa"/>
                </w:tcPr>
                <w:p w:rsidRPr="008716FB" w:rsidR="006E7896" w:rsidP="008738CA" w:rsidRDefault="006E7896" w14:paraId="600514A2" w14:textId="013BD8CE">
                  <w:r w:rsidRPr="008716FB">
                    <w:t>Hybrid Resource Qualifying Capacity</w:t>
                  </w:r>
                </w:p>
              </w:tc>
              <w:tc>
                <w:tcPr>
                  <w:tcW w:w="1440" w:type="dxa"/>
                </w:tcPr>
                <w:p w:rsidRPr="008716FB" w:rsidR="006E7896" w:rsidP="00814794" w:rsidRDefault="006E7896" w14:paraId="3DF5649E" w14:textId="0D8745D5">
                  <w:pPr>
                    <w:jc w:val="center"/>
                  </w:pPr>
                  <w:r w:rsidRPr="008716FB">
                    <w:t>10%</w:t>
                  </w:r>
                </w:p>
              </w:tc>
            </w:tr>
            <w:tr w:rsidRPr="008716FB" w:rsidR="008716FB" w:rsidTr="00814794" w14:paraId="712DE2D4" w14:textId="77777777">
              <w:tc>
                <w:tcPr>
                  <w:tcW w:w="4297" w:type="dxa"/>
                </w:tcPr>
                <w:p w:rsidRPr="008716FB" w:rsidR="006E7896" w:rsidP="008738CA" w:rsidRDefault="006E7896" w14:paraId="4D9FDEF5" w14:textId="430B5978">
                  <w:r w:rsidRPr="008716FB">
                    <w:t>Demand Response</w:t>
                  </w:r>
                </w:p>
              </w:tc>
              <w:tc>
                <w:tcPr>
                  <w:tcW w:w="1440" w:type="dxa"/>
                </w:tcPr>
                <w:p w:rsidRPr="008716FB" w:rsidR="006E7896" w:rsidP="00814794" w:rsidRDefault="006E7896" w14:paraId="09392ADC" w14:textId="4CF9B6BA">
                  <w:pPr>
                    <w:jc w:val="center"/>
                  </w:pPr>
                  <w:r w:rsidRPr="008716FB">
                    <w:t>10%</w:t>
                  </w:r>
                </w:p>
              </w:tc>
            </w:tr>
            <w:tr w:rsidRPr="008716FB" w:rsidR="008716FB" w:rsidTr="00814794" w14:paraId="0F9741E0" w14:textId="77777777">
              <w:tc>
                <w:tcPr>
                  <w:tcW w:w="4297" w:type="dxa"/>
                </w:tcPr>
                <w:p w:rsidRPr="008716FB" w:rsidR="006E7896" w:rsidP="008738CA" w:rsidRDefault="006E7896" w14:paraId="0863E5F7" w14:textId="2C6C5BF4">
                  <w:r w:rsidRPr="008716FB">
                    <w:t>General Participation</w:t>
                  </w:r>
                </w:p>
              </w:tc>
              <w:tc>
                <w:tcPr>
                  <w:tcW w:w="1440" w:type="dxa"/>
                </w:tcPr>
                <w:p w:rsidRPr="008716FB" w:rsidR="006E7896" w:rsidP="00814794" w:rsidRDefault="006E7896" w14:paraId="7B79ED73" w14:textId="7F2CBC62">
                  <w:pPr>
                    <w:jc w:val="center"/>
                  </w:pPr>
                  <w:r w:rsidRPr="008716FB">
                    <w:t>10%</w:t>
                  </w:r>
                </w:p>
              </w:tc>
            </w:tr>
          </w:tbl>
          <w:p w:rsidRPr="00814794" w:rsidR="00691528" w:rsidP="008738CA" w:rsidRDefault="00814794" w14:paraId="3285939A" w14:textId="29F628B5">
            <w:pPr>
              <w:rPr>
                <w:sz w:val="4"/>
              </w:rPr>
            </w:pPr>
            <w:r w:rsidRPr="00814794">
              <w:rPr>
                <w:sz w:val="4"/>
              </w:rPr>
              <w:t xml:space="preserve"> </w:t>
            </w:r>
          </w:p>
        </w:tc>
        <w:tc>
          <w:tcPr>
            <w:tcW w:w="2250" w:type="dxa"/>
            <w:shd w:val="clear" w:color="auto" w:fill="auto"/>
          </w:tcPr>
          <w:p w:rsidRPr="008716FB" w:rsidR="00FE3BAE" w:rsidP="00814794" w:rsidRDefault="00F0672D" w14:paraId="497C4799" w14:textId="32DB8FC2">
            <w:pPr>
              <w:jc w:val="center"/>
            </w:pPr>
            <w:r w:rsidRPr="008716FB">
              <w:t>Noted</w:t>
            </w:r>
          </w:p>
        </w:tc>
      </w:tr>
    </w:tbl>
    <w:p w:rsidRPr="008716FB" w:rsidR="00A92D0B" w:rsidP="0024540C" w:rsidRDefault="00A92D0B" w14:paraId="710BC7D6" w14:textId="77777777">
      <w:pPr>
        <w:keepNext/>
        <w:numPr>
          <w:ilvl w:val="0"/>
          <w:numId w:val="10"/>
        </w:numPr>
        <w:spacing w:before="240" w:after="240"/>
        <w:rPr>
          <w:b/>
        </w:rPr>
      </w:pPr>
      <w:r w:rsidRPr="008716FB">
        <w:rPr>
          <w:b/>
        </w:rPr>
        <w:lastRenderedPageBreak/>
        <w:t>Specific Claim</w:t>
      </w:r>
      <w:r w:rsidRPr="008716FB" w:rsidR="00C02649">
        <w:rPr>
          <w:b/>
        </w:rPr>
        <w:t>:</w:t>
      </w:r>
      <w:r w:rsidRPr="008716FB" w:rsidR="00D075B1">
        <w:rPr>
          <w:b/>
        </w:rPr>
        <w:t>*</w:t>
      </w:r>
    </w:p>
    <w:tbl>
      <w:tblPr>
        <w:tblW w:w="10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bottom w:w="58" w:type="dxa"/>
        </w:tblCellMar>
        <w:tblLook w:val="01E0" w:firstRow="1" w:lastRow="1" w:firstColumn="1" w:lastColumn="1" w:noHBand="0" w:noVBand="0"/>
      </w:tblPr>
      <w:tblGrid>
        <w:gridCol w:w="1435"/>
        <w:gridCol w:w="751"/>
        <w:gridCol w:w="59"/>
        <w:gridCol w:w="777"/>
        <w:gridCol w:w="1113"/>
        <w:gridCol w:w="540"/>
        <w:gridCol w:w="1350"/>
        <w:gridCol w:w="630"/>
        <w:gridCol w:w="630"/>
        <w:gridCol w:w="810"/>
        <w:gridCol w:w="1080"/>
        <w:gridCol w:w="1380"/>
      </w:tblGrid>
      <w:tr w:rsidRPr="008716FB" w:rsidR="008716FB" w:rsidTr="009B3D0F" w14:paraId="780664A2" w14:textId="77777777">
        <w:trPr>
          <w:cantSplit/>
          <w:tblHeader/>
          <w:jc w:val="center"/>
        </w:trPr>
        <w:tc>
          <w:tcPr>
            <w:tcW w:w="7285" w:type="dxa"/>
            <w:gridSpan w:val="9"/>
            <w:tcBorders>
              <w:bottom w:val="single" w:color="auto" w:sz="4" w:space="0"/>
              <w:right w:val="single" w:color="auto" w:sz="24" w:space="0"/>
            </w:tcBorders>
            <w:shd w:val="clear" w:color="auto" w:fill="auto"/>
            <w:vAlign w:val="bottom"/>
          </w:tcPr>
          <w:p w:rsidRPr="008716FB" w:rsidR="00A92D0B" w:rsidP="00234745" w:rsidRDefault="00A92D0B" w14:paraId="6BFE54DA" w14:textId="77777777">
            <w:pPr>
              <w:keepNext/>
              <w:jc w:val="center"/>
              <w:rPr>
                <w:b/>
                <w:smallCaps/>
              </w:rPr>
            </w:pPr>
            <w:r w:rsidRPr="008716FB">
              <w:rPr>
                <w:b/>
                <w:smallCaps/>
              </w:rPr>
              <w:t>Claimed</w:t>
            </w:r>
          </w:p>
        </w:tc>
        <w:tc>
          <w:tcPr>
            <w:tcW w:w="3270" w:type="dxa"/>
            <w:gridSpan w:val="3"/>
            <w:tcBorders>
              <w:left w:val="single" w:color="auto" w:sz="24" w:space="0"/>
              <w:bottom w:val="single" w:color="auto" w:sz="4" w:space="0"/>
            </w:tcBorders>
            <w:shd w:val="clear" w:color="auto" w:fill="auto"/>
            <w:vAlign w:val="bottom"/>
          </w:tcPr>
          <w:p w:rsidRPr="008716FB" w:rsidR="00A92D0B" w:rsidP="00234745" w:rsidRDefault="00A92D0B" w14:paraId="170A0FA1" w14:textId="77777777">
            <w:pPr>
              <w:keepNext/>
              <w:jc w:val="center"/>
              <w:rPr>
                <w:b/>
                <w:smallCaps/>
              </w:rPr>
            </w:pPr>
            <w:r w:rsidRPr="008716FB">
              <w:rPr>
                <w:b/>
                <w:smallCaps/>
              </w:rPr>
              <w:t>CPUC Award</w:t>
            </w:r>
          </w:p>
        </w:tc>
      </w:tr>
      <w:tr w:rsidRPr="008716FB" w:rsidR="008716FB" w:rsidTr="009B3D0F" w14:paraId="0F5B6CAA" w14:textId="77777777">
        <w:trPr>
          <w:cantSplit/>
          <w:jc w:val="center"/>
        </w:trPr>
        <w:tc>
          <w:tcPr>
            <w:tcW w:w="10555" w:type="dxa"/>
            <w:gridSpan w:val="12"/>
            <w:tcBorders>
              <w:top w:val="single" w:color="auto" w:sz="4" w:space="0"/>
              <w:left w:val="single" w:color="auto" w:sz="4" w:space="0"/>
              <w:bottom w:val="single" w:color="auto" w:sz="4" w:space="0"/>
              <w:right w:val="single" w:color="auto" w:sz="4" w:space="0"/>
            </w:tcBorders>
            <w:shd w:val="clear" w:color="auto" w:fill="E6E6E6"/>
          </w:tcPr>
          <w:p w:rsidRPr="008716FB" w:rsidR="00A92D0B" w:rsidP="00234745" w:rsidRDefault="00A92D0B" w14:paraId="284F9031" w14:textId="77777777">
            <w:pPr>
              <w:keepNext/>
              <w:jc w:val="center"/>
              <w:rPr>
                <w:b/>
              </w:rPr>
            </w:pPr>
            <w:r w:rsidRPr="008716FB">
              <w:rPr>
                <w:b/>
              </w:rPr>
              <w:t>ATTORNEY, EXPERT, AND ADVOCATE FEES</w:t>
            </w:r>
          </w:p>
        </w:tc>
      </w:tr>
      <w:tr w:rsidRPr="008716FB" w:rsidR="008716FB" w:rsidTr="009B3D0F" w14:paraId="5A70C962" w14:textId="77777777">
        <w:trPr>
          <w:cantSplit/>
          <w:jc w:val="center"/>
        </w:trPr>
        <w:tc>
          <w:tcPr>
            <w:tcW w:w="1435" w:type="dxa"/>
            <w:tcBorders>
              <w:top w:val="single" w:color="auto" w:sz="4" w:space="0"/>
              <w:bottom w:val="single" w:color="auto" w:sz="4" w:space="0"/>
            </w:tcBorders>
            <w:shd w:val="clear" w:color="auto" w:fill="auto"/>
            <w:vAlign w:val="bottom"/>
          </w:tcPr>
          <w:p w:rsidRPr="008716FB" w:rsidR="00A92D0B" w:rsidP="00234745" w:rsidRDefault="00A92D0B" w14:paraId="41646676" w14:textId="77777777">
            <w:pPr>
              <w:keepNext/>
              <w:jc w:val="center"/>
              <w:rPr>
                <w:b/>
                <w:sz w:val="22"/>
                <w:szCs w:val="22"/>
              </w:rPr>
            </w:pPr>
            <w:r w:rsidRPr="008716FB">
              <w:rPr>
                <w:b/>
                <w:sz w:val="22"/>
                <w:szCs w:val="22"/>
              </w:rPr>
              <w:t>Item</w:t>
            </w:r>
          </w:p>
        </w:tc>
        <w:tc>
          <w:tcPr>
            <w:tcW w:w="751" w:type="dxa"/>
            <w:tcBorders>
              <w:top w:val="single" w:color="auto" w:sz="4" w:space="0"/>
              <w:bottom w:val="single" w:color="auto" w:sz="4" w:space="0"/>
            </w:tcBorders>
            <w:shd w:val="clear" w:color="auto" w:fill="auto"/>
            <w:vAlign w:val="bottom"/>
          </w:tcPr>
          <w:p w:rsidRPr="008716FB" w:rsidR="00A92D0B" w:rsidP="00234745" w:rsidRDefault="00A92D0B" w14:paraId="43BB9941" w14:textId="77777777">
            <w:pPr>
              <w:keepNext/>
              <w:jc w:val="center"/>
              <w:rPr>
                <w:b/>
                <w:sz w:val="22"/>
                <w:szCs w:val="22"/>
              </w:rPr>
            </w:pPr>
            <w:r w:rsidRPr="008716FB">
              <w:rPr>
                <w:b/>
                <w:sz w:val="22"/>
                <w:szCs w:val="22"/>
              </w:rPr>
              <w:t>Year</w:t>
            </w:r>
          </w:p>
        </w:tc>
        <w:tc>
          <w:tcPr>
            <w:tcW w:w="836" w:type="dxa"/>
            <w:gridSpan w:val="2"/>
            <w:tcBorders>
              <w:top w:val="single" w:color="auto" w:sz="4" w:space="0"/>
              <w:bottom w:val="single" w:color="auto" w:sz="4" w:space="0"/>
            </w:tcBorders>
            <w:shd w:val="clear" w:color="auto" w:fill="auto"/>
            <w:vAlign w:val="bottom"/>
          </w:tcPr>
          <w:p w:rsidRPr="008716FB" w:rsidR="00A92D0B" w:rsidP="00234745" w:rsidRDefault="00A92D0B" w14:paraId="0EF32B08" w14:textId="77777777">
            <w:pPr>
              <w:keepNext/>
              <w:jc w:val="center"/>
              <w:rPr>
                <w:b/>
                <w:sz w:val="22"/>
                <w:szCs w:val="22"/>
              </w:rPr>
            </w:pPr>
            <w:r w:rsidRPr="008716FB">
              <w:rPr>
                <w:b/>
                <w:sz w:val="22"/>
                <w:szCs w:val="22"/>
              </w:rPr>
              <w:t>Hours</w:t>
            </w:r>
          </w:p>
        </w:tc>
        <w:tc>
          <w:tcPr>
            <w:tcW w:w="1113" w:type="dxa"/>
            <w:tcBorders>
              <w:top w:val="single" w:color="auto" w:sz="4" w:space="0"/>
              <w:bottom w:val="single" w:color="auto" w:sz="4" w:space="0"/>
            </w:tcBorders>
            <w:shd w:val="clear" w:color="auto" w:fill="auto"/>
            <w:vAlign w:val="bottom"/>
          </w:tcPr>
          <w:p w:rsidRPr="008716FB" w:rsidR="00A92D0B" w:rsidP="00234745" w:rsidRDefault="00A92D0B" w14:paraId="21C69246" w14:textId="77777777">
            <w:pPr>
              <w:keepNext/>
              <w:jc w:val="center"/>
              <w:rPr>
                <w:b/>
                <w:sz w:val="22"/>
                <w:szCs w:val="22"/>
              </w:rPr>
            </w:pPr>
            <w:r w:rsidRPr="008716FB">
              <w:rPr>
                <w:b/>
                <w:sz w:val="22"/>
                <w:szCs w:val="22"/>
              </w:rPr>
              <w:t>Rate</w:t>
            </w:r>
            <w:r w:rsidRPr="008716FB" w:rsidR="00E3786F">
              <w:rPr>
                <w:b/>
                <w:sz w:val="22"/>
                <w:szCs w:val="22"/>
              </w:rPr>
              <w:t xml:space="preserve"> $</w:t>
            </w:r>
          </w:p>
        </w:tc>
        <w:tc>
          <w:tcPr>
            <w:tcW w:w="1890" w:type="dxa"/>
            <w:gridSpan w:val="2"/>
            <w:tcBorders>
              <w:top w:val="single" w:color="auto" w:sz="4" w:space="0"/>
              <w:bottom w:val="single" w:color="auto" w:sz="4" w:space="0"/>
              <w:right w:val="single" w:color="auto" w:sz="4" w:space="0"/>
            </w:tcBorders>
            <w:shd w:val="clear" w:color="auto" w:fill="auto"/>
            <w:vAlign w:val="bottom"/>
          </w:tcPr>
          <w:p w:rsidRPr="008716FB" w:rsidR="00A92D0B" w:rsidP="00234745" w:rsidRDefault="00A92D0B" w14:paraId="59E63C07" w14:textId="77777777">
            <w:pPr>
              <w:keepNext/>
              <w:jc w:val="center"/>
              <w:rPr>
                <w:b/>
                <w:sz w:val="22"/>
                <w:szCs w:val="22"/>
              </w:rPr>
            </w:pPr>
            <w:r w:rsidRPr="008716FB">
              <w:rPr>
                <w:b/>
                <w:sz w:val="22"/>
                <w:szCs w:val="22"/>
              </w:rPr>
              <w:t>Basis for Rate*</w:t>
            </w:r>
          </w:p>
        </w:tc>
        <w:tc>
          <w:tcPr>
            <w:tcW w:w="1260" w:type="dxa"/>
            <w:gridSpan w:val="2"/>
            <w:tcBorders>
              <w:top w:val="single" w:color="auto" w:sz="4" w:space="0"/>
              <w:left w:val="single" w:color="auto" w:sz="4" w:space="0"/>
              <w:bottom w:val="single" w:color="auto" w:sz="4" w:space="0"/>
              <w:right w:val="single" w:color="auto" w:sz="24" w:space="0"/>
            </w:tcBorders>
            <w:shd w:val="clear" w:color="auto" w:fill="auto"/>
            <w:vAlign w:val="bottom"/>
          </w:tcPr>
          <w:p w:rsidRPr="008716FB" w:rsidR="00A92D0B" w:rsidP="00234745" w:rsidRDefault="00A92D0B" w14:paraId="7099C603" w14:textId="77777777">
            <w:pPr>
              <w:keepNext/>
              <w:jc w:val="center"/>
              <w:rPr>
                <w:b/>
                <w:sz w:val="22"/>
                <w:szCs w:val="22"/>
              </w:rPr>
            </w:pPr>
            <w:r w:rsidRPr="008716FB">
              <w:rPr>
                <w:b/>
                <w:sz w:val="22"/>
                <w:szCs w:val="22"/>
              </w:rPr>
              <w:t>Total $</w:t>
            </w:r>
          </w:p>
        </w:tc>
        <w:tc>
          <w:tcPr>
            <w:tcW w:w="810" w:type="dxa"/>
            <w:tcBorders>
              <w:top w:val="single" w:color="auto" w:sz="4" w:space="0"/>
              <w:left w:val="single" w:color="auto" w:sz="4" w:space="0"/>
            </w:tcBorders>
            <w:shd w:val="clear" w:color="auto" w:fill="auto"/>
            <w:vAlign w:val="bottom"/>
          </w:tcPr>
          <w:p w:rsidRPr="008716FB" w:rsidR="00A92D0B" w:rsidP="00234745" w:rsidRDefault="00A92D0B" w14:paraId="564E4964" w14:textId="77777777">
            <w:pPr>
              <w:keepNext/>
              <w:jc w:val="center"/>
              <w:rPr>
                <w:b/>
                <w:sz w:val="22"/>
                <w:szCs w:val="22"/>
              </w:rPr>
            </w:pPr>
            <w:r w:rsidRPr="008716FB">
              <w:rPr>
                <w:b/>
                <w:sz w:val="22"/>
                <w:szCs w:val="22"/>
              </w:rPr>
              <w:t>Hours</w:t>
            </w:r>
          </w:p>
        </w:tc>
        <w:tc>
          <w:tcPr>
            <w:tcW w:w="1080" w:type="dxa"/>
            <w:tcBorders>
              <w:top w:val="single" w:color="auto" w:sz="4" w:space="0"/>
            </w:tcBorders>
            <w:shd w:val="clear" w:color="auto" w:fill="auto"/>
            <w:vAlign w:val="bottom"/>
          </w:tcPr>
          <w:p w:rsidRPr="008716FB" w:rsidR="00A92D0B" w:rsidP="00234745" w:rsidRDefault="00A92D0B" w14:paraId="1462552D" w14:textId="77777777">
            <w:pPr>
              <w:keepNext/>
              <w:jc w:val="center"/>
              <w:rPr>
                <w:b/>
                <w:sz w:val="22"/>
                <w:szCs w:val="22"/>
              </w:rPr>
            </w:pPr>
            <w:r w:rsidRPr="008716FB">
              <w:rPr>
                <w:b/>
                <w:sz w:val="22"/>
                <w:szCs w:val="22"/>
              </w:rPr>
              <w:t>Rate</w:t>
            </w:r>
            <w:r w:rsidRPr="008716FB" w:rsidR="00E3786F">
              <w:rPr>
                <w:b/>
                <w:sz w:val="22"/>
                <w:szCs w:val="22"/>
              </w:rPr>
              <w:t xml:space="preserve"> $</w:t>
            </w:r>
          </w:p>
        </w:tc>
        <w:tc>
          <w:tcPr>
            <w:tcW w:w="1380" w:type="dxa"/>
            <w:tcBorders>
              <w:top w:val="single" w:color="auto" w:sz="4" w:space="0"/>
            </w:tcBorders>
            <w:shd w:val="clear" w:color="auto" w:fill="auto"/>
            <w:vAlign w:val="bottom"/>
          </w:tcPr>
          <w:p w:rsidRPr="008716FB" w:rsidR="00A92D0B" w:rsidP="00234745" w:rsidRDefault="00A92D0B" w14:paraId="1B6A5CA4" w14:textId="77777777">
            <w:pPr>
              <w:keepNext/>
              <w:jc w:val="center"/>
              <w:rPr>
                <w:b/>
                <w:sz w:val="22"/>
                <w:szCs w:val="22"/>
              </w:rPr>
            </w:pPr>
            <w:r w:rsidRPr="008716FB">
              <w:rPr>
                <w:b/>
                <w:sz w:val="22"/>
                <w:szCs w:val="22"/>
              </w:rPr>
              <w:t>Total $</w:t>
            </w:r>
          </w:p>
        </w:tc>
      </w:tr>
      <w:tr w:rsidRPr="008716FB" w:rsidR="008716FB" w:rsidTr="009B3D0F" w14:paraId="38E0B4EA" w14:textId="77777777">
        <w:trPr>
          <w:cantSplit/>
          <w:jc w:val="center"/>
        </w:trPr>
        <w:tc>
          <w:tcPr>
            <w:tcW w:w="1435" w:type="dxa"/>
            <w:shd w:val="clear" w:color="auto" w:fill="auto"/>
          </w:tcPr>
          <w:p w:rsidR="005E022E" w:rsidP="00234745" w:rsidRDefault="005D0384" w14:paraId="547BADD9" w14:textId="77777777">
            <w:r w:rsidRPr="008716FB">
              <w:t xml:space="preserve">Bill Powers </w:t>
            </w:r>
          </w:p>
          <w:p w:rsidRPr="008716FB" w:rsidR="00A92D0B" w:rsidP="00234745" w:rsidRDefault="005D0384" w14:paraId="1F980DF3" w14:textId="567152A0">
            <w:r w:rsidRPr="008716FB">
              <w:t>(</w:t>
            </w:r>
            <w:r w:rsidRPr="008716FB" w:rsidR="00415928">
              <w:t>Expert)</w:t>
            </w:r>
          </w:p>
        </w:tc>
        <w:tc>
          <w:tcPr>
            <w:tcW w:w="751" w:type="dxa"/>
            <w:shd w:val="clear" w:color="auto" w:fill="auto"/>
          </w:tcPr>
          <w:p w:rsidRPr="008716FB" w:rsidR="00A92D0B" w:rsidP="009A3E96" w:rsidRDefault="00B1676F" w14:paraId="275BF57A" w14:textId="3221EF81">
            <w:pPr>
              <w:jc w:val="center"/>
            </w:pPr>
            <w:r w:rsidRPr="008716FB">
              <w:t>2020</w:t>
            </w:r>
          </w:p>
        </w:tc>
        <w:tc>
          <w:tcPr>
            <w:tcW w:w="836" w:type="dxa"/>
            <w:gridSpan w:val="2"/>
            <w:shd w:val="clear" w:color="auto" w:fill="auto"/>
          </w:tcPr>
          <w:p w:rsidRPr="008716FB" w:rsidR="00A92D0B" w:rsidP="009A3E96" w:rsidRDefault="00040CD8" w14:paraId="0DE506C4" w14:textId="11510E58">
            <w:pPr>
              <w:jc w:val="center"/>
            </w:pPr>
            <w:r w:rsidRPr="008716FB">
              <w:t>4.5</w:t>
            </w:r>
          </w:p>
        </w:tc>
        <w:tc>
          <w:tcPr>
            <w:tcW w:w="1113" w:type="dxa"/>
            <w:shd w:val="clear" w:color="auto" w:fill="auto"/>
          </w:tcPr>
          <w:p w:rsidR="003250C8" w:rsidP="009A3E96" w:rsidRDefault="00B1676F" w14:paraId="7CB59D04" w14:textId="1F3C533C">
            <w:pPr>
              <w:jc w:val="right"/>
            </w:pPr>
            <w:r w:rsidRPr="008716FB">
              <w:t>$291</w:t>
            </w:r>
            <w:r w:rsidR="009A3E96">
              <w:t>.00</w:t>
            </w:r>
          </w:p>
          <w:p w:rsidR="003250C8" w:rsidP="009A3E96" w:rsidRDefault="00C71B6B" w14:paraId="1520066F" w14:textId="15815F93">
            <w:pPr>
              <w:jc w:val="right"/>
            </w:pPr>
            <w:r w:rsidRPr="008716FB">
              <w:t>+ 2020</w:t>
            </w:r>
          </w:p>
          <w:p w:rsidRPr="008716FB" w:rsidR="00A92D0B" w:rsidP="009A3E96" w:rsidRDefault="00C71B6B" w14:paraId="26413E95" w14:textId="5E559AC9">
            <w:pPr>
              <w:jc w:val="right"/>
            </w:pPr>
            <w:r w:rsidRPr="008716FB">
              <w:t>COLA</w:t>
            </w:r>
          </w:p>
        </w:tc>
        <w:tc>
          <w:tcPr>
            <w:tcW w:w="1890" w:type="dxa"/>
            <w:gridSpan w:val="2"/>
            <w:tcBorders>
              <w:right w:val="single" w:color="auto" w:sz="4" w:space="0"/>
            </w:tcBorders>
            <w:shd w:val="clear" w:color="auto" w:fill="auto"/>
          </w:tcPr>
          <w:p w:rsidRPr="008716FB" w:rsidR="00C71B6B" w:rsidP="00234745" w:rsidRDefault="00661268" w14:paraId="300AA881" w14:textId="176C000C">
            <w:r w:rsidRPr="008716FB">
              <w:t xml:space="preserve">See comment #1. </w:t>
            </w:r>
          </w:p>
        </w:tc>
        <w:tc>
          <w:tcPr>
            <w:tcW w:w="1260" w:type="dxa"/>
            <w:gridSpan w:val="2"/>
            <w:tcBorders>
              <w:top w:val="single" w:color="auto" w:sz="4" w:space="0"/>
              <w:left w:val="single" w:color="auto" w:sz="4" w:space="0"/>
              <w:bottom w:val="single" w:color="auto" w:sz="4" w:space="0"/>
              <w:right w:val="single" w:color="auto" w:sz="24" w:space="0"/>
            </w:tcBorders>
            <w:shd w:val="clear" w:color="auto" w:fill="auto"/>
          </w:tcPr>
          <w:p w:rsidRPr="008716FB" w:rsidR="00A92D0B" w:rsidP="009A3E96" w:rsidRDefault="00040CD8" w14:paraId="23EF368E" w14:textId="17C4E8BF">
            <w:pPr>
              <w:jc w:val="right"/>
            </w:pPr>
            <w:r w:rsidRPr="008716FB">
              <w:t>$1,309.50</w:t>
            </w:r>
          </w:p>
        </w:tc>
        <w:tc>
          <w:tcPr>
            <w:tcW w:w="810" w:type="dxa"/>
            <w:tcBorders>
              <w:left w:val="single" w:color="auto" w:sz="4" w:space="0"/>
            </w:tcBorders>
            <w:shd w:val="clear" w:color="auto" w:fill="auto"/>
          </w:tcPr>
          <w:p w:rsidRPr="008716FB" w:rsidR="00A92D0B" w:rsidP="009A3E96" w:rsidRDefault="00695E4B" w14:paraId="2B0CA953" w14:textId="34185EE9">
            <w:pPr>
              <w:jc w:val="center"/>
            </w:pPr>
            <w:r w:rsidRPr="008716FB">
              <w:t>4.5</w:t>
            </w:r>
          </w:p>
        </w:tc>
        <w:tc>
          <w:tcPr>
            <w:tcW w:w="1080" w:type="dxa"/>
            <w:shd w:val="clear" w:color="auto" w:fill="auto"/>
          </w:tcPr>
          <w:p w:rsidR="009A3E96" w:rsidP="009A3E96" w:rsidRDefault="00F0672D" w14:paraId="519E28A0" w14:textId="77777777">
            <w:pPr>
              <w:jc w:val="right"/>
            </w:pPr>
            <w:r w:rsidRPr="008716FB">
              <w:t>$295.00</w:t>
            </w:r>
          </w:p>
          <w:p w:rsidRPr="008716FB" w:rsidR="00A92D0B" w:rsidP="00DD784E" w:rsidRDefault="00F0672D" w14:paraId="1FC8906C" w14:textId="5B3D16BD">
            <w:pPr>
              <w:jc w:val="center"/>
            </w:pPr>
            <w:r w:rsidRPr="008716FB">
              <w:t>[1]</w:t>
            </w:r>
          </w:p>
        </w:tc>
        <w:tc>
          <w:tcPr>
            <w:tcW w:w="1380" w:type="dxa"/>
            <w:shd w:val="clear" w:color="auto" w:fill="auto"/>
          </w:tcPr>
          <w:p w:rsidRPr="008716FB" w:rsidR="00A92D0B" w:rsidP="009A3E96" w:rsidRDefault="006011D8" w14:paraId="6C594CB5" w14:textId="3B926D58">
            <w:pPr>
              <w:jc w:val="right"/>
            </w:pPr>
            <w:r w:rsidRPr="008716FB">
              <w:t>$1,327.50</w:t>
            </w:r>
          </w:p>
        </w:tc>
      </w:tr>
      <w:tr w:rsidRPr="008716FB" w:rsidR="008716FB" w:rsidTr="009B3D0F" w14:paraId="78FC5ECE" w14:textId="77777777">
        <w:trPr>
          <w:cantSplit/>
          <w:jc w:val="center"/>
        </w:trPr>
        <w:tc>
          <w:tcPr>
            <w:tcW w:w="1435" w:type="dxa"/>
            <w:shd w:val="clear" w:color="auto" w:fill="auto"/>
          </w:tcPr>
          <w:p w:rsidR="005E022E" w:rsidP="003250C8" w:rsidRDefault="00415928" w14:paraId="59FA9FBC" w14:textId="77777777">
            <w:pPr>
              <w:keepNext/>
            </w:pPr>
            <w:r w:rsidRPr="008716FB">
              <w:t xml:space="preserve">Tyson </w:t>
            </w:r>
          </w:p>
          <w:p w:rsidR="005E022E" w:rsidP="003250C8" w:rsidRDefault="00415928" w14:paraId="1F7F9A1F" w14:textId="7D484E8E">
            <w:pPr>
              <w:keepNext/>
            </w:pPr>
            <w:r w:rsidRPr="008716FB">
              <w:t xml:space="preserve">Siegele </w:t>
            </w:r>
          </w:p>
          <w:p w:rsidRPr="008716FB" w:rsidR="00A92D0B" w:rsidP="003250C8" w:rsidRDefault="00415928" w14:paraId="1F8943E9" w14:textId="4F6CE44F">
            <w:pPr>
              <w:keepNext/>
            </w:pPr>
            <w:r w:rsidRPr="008716FB">
              <w:t>(Expert)</w:t>
            </w:r>
          </w:p>
        </w:tc>
        <w:tc>
          <w:tcPr>
            <w:tcW w:w="751" w:type="dxa"/>
            <w:shd w:val="clear" w:color="auto" w:fill="auto"/>
          </w:tcPr>
          <w:p w:rsidRPr="008716FB" w:rsidR="00A92D0B" w:rsidP="003250C8" w:rsidRDefault="00B1676F" w14:paraId="6FFEFF62" w14:textId="1FCC50B1">
            <w:pPr>
              <w:keepNext/>
              <w:jc w:val="center"/>
            </w:pPr>
            <w:r w:rsidRPr="008716FB">
              <w:t>2020</w:t>
            </w:r>
          </w:p>
        </w:tc>
        <w:tc>
          <w:tcPr>
            <w:tcW w:w="836" w:type="dxa"/>
            <w:gridSpan w:val="2"/>
            <w:shd w:val="clear" w:color="auto" w:fill="auto"/>
          </w:tcPr>
          <w:p w:rsidRPr="008716FB" w:rsidR="00A92D0B" w:rsidP="003250C8" w:rsidRDefault="00040CD8" w14:paraId="24984638" w14:textId="46C3B19B">
            <w:pPr>
              <w:keepNext/>
              <w:jc w:val="center"/>
            </w:pPr>
            <w:r w:rsidRPr="008716FB">
              <w:t>234</w:t>
            </w:r>
          </w:p>
        </w:tc>
        <w:tc>
          <w:tcPr>
            <w:tcW w:w="1113" w:type="dxa"/>
            <w:shd w:val="clear" w:color="auto" w:fill="auto"/>
          </w:tcPr>
          <w:p w:rsidR="003250C8" w:rsidP="003250C8" w:rsidRDefault="00B1676F" w14:paraId="07A49760" w14:textId="1A1AD15A">
            <w:pPr>
              <w:keepNext/>
              <w:jc w:val="right"/>
            </w:pPr>
            <w:r w:rsidRPr="008716FB">
              <w:t>$2</w:t>
            </w:r>
            <w:r w:rsidRPr="008716FB" w:rsidR="00D9537C">
              <w:t>80</w:t>
            </w:r>
            <w:r w:rsidR="009A3E96">
              <w:t>.00</w:t>
            </w:r>
          </w:p>
          <w:p w:rsidR="003250C8" w:rsidP="003250C8" w:rsidRDefault="00C71B6B" w14:paraId="27972819" w14:textId="11DE3AC5">
            <w:pPr>
              <w:keepNext/>
              <w:jc w:val="right"/>
            </w:pPr>
            <w:r w:rsidRPr="008716FB">
              <w:t>+ 2020</w:t>
            </w:r>
          </w:p>
          <w:p w:rsidRPr="008716FB" w:rsidR="00A92D0B" w:rsidP="003250C8" w:rsidRDefault="00C71B6B" w14:paraId="00CA9050" w14:textId="504FFC84">
            <w:pPr>
              <w:keepNext/>
              <w:jc w:val="right"/>
            </w:pPr>
            <w:r w:rsidRPr="008716FB">
              <w:t>COLA</w:t>
            </w:r>
          </w:p>
        </w:tc>
        <w:tc>
          <w:tcPr>
            <w:tcW w:w="1890" w:type="dxa"/>
            <w:gridSpan w:val="2"/>
            <w:tcBorders>
              <w:right w:val="single" w:color="auto" w:sz="4" w:space="0"/>
            </w:tcBorders>
            <w:shd w:val="clear" w:color="auto" w:fill="auto"/>
          </w:tcPr>
          <w:p w:rsidRPr="008716FB" w:rsidR="00A92D0B" w:rsidP="003250C8" w:rsidRDefault="003D099B" w14:paraId="760F08DA" w14:textId="0D388ADD">
            <w:pPr>
              <w:keepNext/>
            </w:pPr>
            <w:r w:rsidRPr="008716FB">
              <w:t xml:space="preserve">See comment #2. </w:t>
            </w:r>
          </w:p>
        </w:tc>
        <w:tc>
          <w:tcPr>
            <w:tcW w:w="1260" w:type="dxa"/>
            <w:gridSpan w:val="2"/>
            <w:tcBorders>
              <w:top w:val="single" w:color="auto" w:sz="4" w:space="0"/>
              <w:left w:val="single" w:color="auto" w:sz="4" w:space="0"/>
              <w:bottom w:val="single" w:color="auto" w:sz="4" w:space="0"/>
              <w:right w:val="single" w:color="auto" w:sz="24" w:space="0"/>
            </w:tcBorders>
            <w:shd w:val="clear" w:color="auto" w:fill="auto"/>
          </w:tcPr>
          <w:p w:rsidRPr="008716FB" w:rsidR="00A92D0B" w:rsidP="003250C8" w:rsidRDefault="00040CD8" w14:paraId="39D39174" w14:textId="31F7346E">
            <w:pPr>
              <w:keepNext/>
              <w:jc w:val="right"/>
            </w:pPr>
            <w:r w:rsidRPr="008716FB">
              <w:t>$65,520</w:t>
            </w:r>
          </w:p>
        </w:tc>
        <w:tc>
          <w:tcPr>
            <w:tcW w:w="810" w:type="dxa"/>
            <w:tcBorders>
              <w:left w:val="single" w:color="auto" w:sz="4" w:space="0"/>
            </w:tcBorders>
            <w:shd w:val="clear" w:color="auto" w:fill="auto"/>
          </w:tcPr>
          <w:p w:rsidR="009A3E96" w:rsidP="003250C8" w:rsidRDefault="00594AE5" w14:paraId="467F46D4" w14:textId="0AFBBC3D">
            <w:pPr>
              <w:keepNext/>
              <w:jc w:val="center"/>
            </w:pPr>
            <w:r>
              <w:t>139.3</w:t>
            </w:r>
          </w:p>
          <w:p w:rsidRPr="008716FB" w:rsidR="00A92D0B" w:rsidP="003250C8" w:rsidRDefault="00E3100C" w14:paraId="047FD0B5" w14:textId="36466AE3">
            <w:pPr>
              <w:keepNext/>
              <w:jc w:val="center"/>
            </w:pPr>
            <w:r w:rsidRPr="008716FB">
              <w:t>[2]</w:t>
            </w:r>
          </w:p>
        </w:tc>
        <w:tc>
          <w:tcPr>
            <w:tcW w:w="1080" w:type="dxa"/>
            <w:shd w:val="clear" w:color="auto" w:fill="auto"/>
          </w:tcPr>
          <w:p w:rsidR="009A3E96" w:rsidP="003250C8" w:rsidRDefault="007B5FBB" w14:paraId="2104141C" w14:textId="77777777">
            <w:pPr>
              <w:keepNext/>
              <w:jc w:val="right"/>
            </w:pPr>
            <w:r w:rsidRPr="008716FB">
              <w:t>$290.00</w:t>
            </w:r>
          </w:p>
          <w:p w:rsidRPr="008716FB" w:rsidR="00A92D0B" w:rsidP="00DD784E" w:rsidRDefault="007B5FBB" w14:paraId="367660C2" w14:textId="3B896568">
            <w:pPr>
              <w:keepNext/>
              <w:jc w:val="center"/>
            </w:pPr>
            <w:r w:rsidRPr="008716FB">
              <w:t>[2]</w:t>
            </w:r>
          </w:p>
        </w:tc>
        <w:tc>
          <w:tcPr>
            <w:tcW w:w="1380" w:type="dxa"/>
            <w:shd w:val="clear" w:color="auto" w:fill="auto"/>
          </w:tcPr>
          <w:p w:rsidRPr="008716FB" w:rsidR="00A92D0B" w:rsidP="003250C8" w:rsidRDefault="006011D8" w14:paraId="766AC45F" w14:textId="76711F96">
            <w:pPr>
              <w:keepNext/>
              <w:jc w:val="right"/>
            </w:pPr>
            <w:r w:rsidRPr="008716FB">
              <w:t>$</w:t>
            </w:r>
            <w:r w:rsidR="00594AE5">
              <w:t>40,397.00</w:t>
            </w:r>
          </w:p>
        </w:tc>
      </w:tr>
      <w:tr w:rsidRPr="008716FB" w:rsidR="008716FB" w:rsidTr="009B3D0F" w14:paraId="1B237C11" w14:textId="77777777">
        <w:trPr>
          <w:cantSplit/>
          <w:jc w:val="center"/>
        </w:trPr>
        <w:tc>
          <w:tcPr>
            <w:tcW w:w="7285" w:type="dxa"/>
            <w:gridSpan w:val="9"/>
            <w:tcBorders>
              <w:bottom w:val="single" w:color="auto" w:sz="4" w:space="0"/>
              <w:right w:val="single" w:color="auto" w:sz="24" w:space="0"/>
            </w:tcBorders>
            <w:shd w:val="clear" w:color="auto" w:fill="auto"/>
            <w:vAlign w:val="bottom"/>
          </w:tcPr>
          <w:p w:rsidRPr="008716FB" w:rsidR="00E3786F" w:rsidP="00234745" w:rsidRDefault="00E3786F" w14:paraId="2ECB6744" w14:textId="23BED089">
            <w:pPr>
              <w:tabs>
                <w:tab w:val="left" w:pos="957"/>
              </w:tabs>
              <w:ind w:right="162"/>
              <w:jc w:val="right"/>
              <w:rPr>
                <w:b/>
                <w:i/>
              </w:rPr>
            </w:pPr>
            <w:r w:rsidRPr="008716FB">
              <w:rPr>
                <w:b/>
                <w:i/>
              </w:rPr>
              <w:t>Subtotal: $</w:t>
            </w:r>
            <w:r w:rsidRPr="008716FB" w:rsidR="00040CD8">
              <w:rPr>
                <w:b/>
                <w:i/>
              </w:rPr>
              <w:t>66,829.50</w:t>
            </w:r>
          </w:p>
        </w:tc>
        <w:tc>
          <w:tcPr>
            <w:tcW w:w="3270" w:type="dxa"/>
            <w:gridSpan w:val="3"/>
            <w:tcBorders>
              <w:left w:val="single" w:color="auto" w:sz="24" w:space="0"/>
              <w:bottom w:val="single" w:color="auto" w:sz="4" w:space="0"/>
            </w:tcBorders>
            <w:shd w:val="clear" w:color="auto" w:fill="auto"/>
            <w:vAlign w:val="bottom"/>
          </w:tcPr>
          <w:p w:rsidRPr="008716FB" w:rsidR="00E3786F" w:rsidP="00234745" w:rsidRDefault="00E3786F" w14:paraId="4C4556E5" w14:textId="6CD5BCDE">
            <w:pPr>
              <w:tabs>
                <w:tab w:val="left" w:pos="957"/>
              </w:tabs>
              <w:ind w:right="162"/>
              <w:jc w:val="right"/>
            </w:pPr>
            <w:r w:rsidRPr="008716FB">
              <w:rPr>
                <w:b/>
                <w:i/>
              </w:rPr>
              <w:t xml:space="preserve">Subtotal: </w:t>
            </w:r>
            <w:r w:rsidRPr="008716FB">
              <w:rPr>
                <w:b/>
              </w:rPr>
              <w:t>$</w:t>
            </w:r>
            <w:r w:rsidRPr="00F50A15" w:rsidR="00594AE5">
              <w:rPr>
                <w:b/>
                <w:i/>
                <w:iCs/>
              </w:rPr>
              <w:t>41,724.50</w:t>
            </w:r>
          </w:p>
        </w:tc>
      </w:tr>
      <w:tr w:rsidRPr="008716FB" w:rsidR="008716FB" w:rsidTr="009B3D0F" w14:paraId="4F8FAF05" w14:textId="77777777">
        <w:trPr>
          <w:cantSplit/>
          <w:jc w:val="center"/>
        </w:trPr>
        <w:tc>
          <w:tcPr>
            <w:tcW w:w="10555" w:type="dxa"/>
            <w:gridSpan w:val="12"/>
            <w:tcBorders>
              <w:top w:val="single" w:color="auto" w:sz="4" w:space="0"/>
              <w:left w:val="single" w:color="auto" w:sz="4" w:space="0"/>
              <w:bottom w:val="single" w:color="auto" w:sz="4" w:space="0"/>
              <w:right w:val="single" w:color="auto" w:sz="4" w:space="0"/>
            </w:tcBorders>
            <w:shd w:val="clear" w:color="auto" w:fill="E6E6E6"/>
          </w:tcPr>
          <w:p w:rsidRPr="008716FB" w:rsidR="00A92D0B" w:rsidP="003250C8" w:rsidRDefault="00A92D0B" w14:paraId="41FE304C" w14:textId="77777777">
            <w:pPr>
              <w:keepNext/>
              <w:jc w:val="center"/>
            </w:pPr>
            <w:r w:rsidRPr="008716FB">
              <w:rPr>
                <w:b/>
              </w:rPr>
              <w:t xml:space="preserve">INTERVENOR COMPENSATION CLAIM PREPARATION </w:t>
            </w:r>
            <w:r w:rsidRPr="008716FB">
              <w:rPr>
                <w:b/>
                <w:smallCaps/>
              </w:rPr>
              <w:t xml:space="preserve"> **</w:t>
            </w:r>
          </w:p>
        </w:tc>
      </w:tr>
      <w:tr w:rsidRPr="008716FB" w:rsidR="008716FB" w:rsidTr="009B3D0F" w14:paraId="48B3E535" w14:textId="77777777">
        <w:trPr>
          <w:cantSplit/>
          <w:jc w:val="center"/>
        </w:trPr>
        <w:tc>
          <w:tcPr>
            <w:tcW w:w="1435" w:type="dxa"/>
            <w:tcBorders>
              <w:top w:val="single" w:color="auto" w:sz="4" w:space="0"/>
              <w:bottom w:val="single" w:color="auto" w:sz="4" w:space="0"/>
            </w:tcBorders>
            <w:shd w:val="clear" w:color="auto" w:fill="auto"/>
          </w:tcPr>
          <w:p w:rsidRPr="008716FB" w:rsidR="00A92D0B" w:rsidP="003250C8" w:rsidRDefault="00A92D0B" w14:paraId="563A43BB" w14:textId="77777777">
            <w:pPr>
              <w:keepNext/>
              <w:jc w:val="center"/>
              <w:rPr>
                <w:b/>
                <w:sz w:val="22"/>
                <w:szCs w:val="22"/>
              </w:rPr>
            </w:pPr>
            <w:r w:rsidRPr="008716FB">
              <w:rPr>
                <w:b/>
                <w:sz w:val="22"/>
                <w:szCs w:val="22"/>
              </w:rPr>
              <w:t>Item</w:t>
            </w:r>
          </w:p>
        </w:tc>
        <w:tc>
          <w:tcPr>
            <w:tcW w:w="751" w:type="dxa"/>
            <w:tcBorders>
              <w:top w:val="single" w:color="auto" w:sz="4" w:space="0"/>
              <w:bottom w:val="single" w:color="auto" w:sz="4" w:space="0"/>
            </w:tcBorders>
            <w:shd w:val="clear" w:color="auto" w:fill="auto"/>
          </w:tcPr>
          <w:p w:rsidRPr="008716FB" w:rsidR="00A92D0B" w:rsidP="003250C8" w:rsidRDefault="00A92D0B" w14:paraId="144552E0" w14:textId="77777777">
            <w:pPr>
              <w:keepNext/>
              <w:jc w:val="center"/>
              <w:rPr>
                <w:b/>
                <w:sz w:val="22"/>
                <w:szCs w:val="22"/>
              </w:rPr>
            </w:pPr>
            <w:r w:rsidRPr="008716FB">
              <w:rPr>
                <w:b/>
                <w:sz w:val="22"/>
                <w:szCs w:val="22"/>
              </w:rPr>
              <w:t>Year</w:t>
            </w:r>
          </w:p>
        </w:tc>
        <w:tc>
          <w:tcPr>
            <w:tcW w:w="836" w:type="dxa"/>
            <w:gridSpan w:val="2"/>
            <w:tcBorders>
              <w:top w:val="single" w:color="auto" w:sz="4" w:space="0"/>
              <w:bottom w:val="single" w:color="auto" w:sz="4" w:space="0"/>
            </w:tcBorders>
            <w:shd w:val="clear" w:color="auto" w:fill="auto"/>
          </w:tcPr>
          <w:p w:rsidRPr="008716FB" w:rsidR="00A92D0B" w:rsidP="003250C8" w:rsidRDefault="00A92D0B" w14:paraId="42890B1B" w14:textId="77777777">
            <w:pPr>
              <w:keepNext/>
              <w:jc w:val="center"/>
              <w:rPr>
                <w:b/>
                <w:sz w:val="22"/>
                <w:szCs w:val="22"/>
              </w:rPr>
            </w:pPr>
            <w:r w:rsidRPr="008716FB">
              <w:rPr>
                <w:b/>
                <w:sz w:val="22"/>
                <w:szCs w:val="22"/>
              </w:rPr>
              <w:t>Hours</w:t>
            </w:r>
          </w:p>
        </w:tc>
        <w:tc>
          <w:tcPr>
            <w:tcW w:w="1113" w:type="dxa"/>
            <w:tcBorders>
              <w:top w:val="single" w:color="auto" w:sz="4" w:space="0"/>
              <w:bottom w:val="single" w:color="auto" w:sz="4" w:space="0"/>
            </w:tcBorders>
            <w:shd w:val="clear" w:color="auto" w:fill="auto"/>
          </w:tcPr>
          <w:p w:rsidRPr="008716FB" w:rsidR="00A92D0B" w:rsidP="003250C8" w:rsidRDefault="00A92D0B" w14:paraId="1E7BD956" w14:textId="77777777">
            <w:pPr>
              <w:keepNext/>
              <w:jc w:val="center"/>
              <w:rPr>
                <w:b/>
                <w:sz w:val="22"/>
                <w:szCs w:val="22"/>
              </w:rPr>
            </w:pPr>
            <w:r w:rsidRPr="008716FB">
              <w:rPr>
                <w:b/>
                <w:sz w:val="22"/>
                <w:szCs w:val="22"/>
              </w:rPr>
              <w:t>Rate</w:t>
            </w:r>
            <w:r w:rsidRPr="008716FB" w:rsidR="00380703">
              <w:rPr>
                <w:b/>
                <w:sz w:val="22"/>
                <w:szCs w:val="22"/>
              </w:rPr>
              <w:t xml:space="preserve"> $</w:t>
            </w:r>
            <w:r w:rsidRPr="008716FB">
              <w:rPr>
                <w:b/>
                <w:sz w:val="22"/>
                <w:szCs w:val="22"/>
              </w:rPr>
              <w:t xml:space="preserve"> </w:t>
            </w:r>
          </w:p>
        </w:tc>
        <w:tc>
          <w:tcPr>
            <w:tcW w:w="1890" w:type="dxa"/>
            <w:gridSpan w:val="2"/>
            <w:tcBorders>
              <w:top w:val="single" w:color="auto" w:sz="4" w:space="0"/>
              <w:bottom w:val="single" w:color="auto" w:sz="4" w:space="0"/>
              <w:right w:val="single" w:color="auto" w:sz="4" w:space="0"/>
            </w:tcBorders>
            <w:shd w:val="clear" w:color="auto" w:fill="auto"/>
          </w:tcPr>
          <w:p w:rsidRPr="008716FB" w:rsidR="00A92D0B" w:rsidP="003250C8" w:rsidRDefault="00A92D0B" w14:paraId="104D7982" w14:textId="77777777">
            <w:pPr>
              <w:keepNext/>
              <w:jc w:val="center"/>
              <w:rPr>
                <w:b/>
                <w:sz w:val="22"/>
                <w:szCs w:val="22"/>
              </w:rPr>
            </w:pPr>
            <w:r w:rsidRPr="008716FB">
              <w:rPr>
                <w:b/>
                <w:sz w:val="22"/>
                <w:szCs w:val="22"/>
              </w:rPr>
              <w:t>Basis for Rate*</w:t>
            </w:r>
          </w:p>
        </w:tc>
        <w:tc>
          <w:tcPr>
            <w:tcW w:w="1260" w:type="dxa"/>
            <w:gridSpan w:val="2"/>
            <w:tcBorders>
              <w:top w:val="single" w:color="auto" w:sz="4" w:space="0"/>
              <w:left w:val="single" w:color="auto" w:sz="4" w:space="0"/>
              <w:bottom w:val="single" w:color="auto" w:sz="4" w:space="0"/>
              <w:right w:val="single" w:color="auto" w:sz="24" w:space="0"/>
            </w:tcBorders>
            <w:shd w:val="clear" w:color="auto" w:fill="auto"/>
          </w:tcPr>
          <w:p w:rsidRPr="008716FB" w:rsidR="00A92D0B" w:rsidP="003250C8" w:rsidRDefault="00A92D0B" w14:paraId="073B2BB9" w14:textId="77777777">
            <w:pPr>
              <w:keepNext/>
              <w:jc w:val="center"/>
              <w:rPr>
                <w:b/>
                <w:sz w:val="22"/>
                <w:szCs w:val="22"/>
              </w:rPr>
            </w:pPr>
            <w:r w:rsidRPr="008716FB">
              <w:rPr>
                <w:b/>
                <w:sz w:val="22"/>
                <w:szCs w:val="22"/>
              </w:rPr>
              <w:t>Total $</w:t>
            </w:r>
          </w:p>
        </w:tc>
        <w:tc>
          <w:tcPr>
            <w:tcW w:w="810" w:type="dxa"/>
            <w:tcBorders>
              <w:top w:val="single" w:color="auto" w:sz="4" w:space="0"/>
              <w:left w:val="single" w:color="auto" w:sz="4" w:space="0"/>
            </w:tcBorders>
            <w:shd w:val="clear" w:color="auto" w:fill="auto"/>
          </w:tcPr>
          <w:p w:rsidRPr="008716FB" w:rsidR="00A92D0B" w:rsidP="003250C8" w:rsidRDefault="00A92D0B" w14:paraId="0409143B" w14:textId="77777777">
            <w:pPr>
              <w:keepNext/>
              <w:jc w:val="center"/>
              <w:rPr>
                <w:b/>
                <w:sz w:val="22"/>
                <w:szCs w:val="22"/>
              </w:rPr>
            </w:pPr>
            <w:r w:rsidRPr="008716FB">
              <w:rPr>
                <w:b/>
                <w:sz w:val="22"/>
                <w:szCs w:val="22"/>
              </w:rPr>
              <w:t>Hours</w:t>
            </w:r>
          </w:p>
        </w:tc>
        <w:tc>
          <w:tcPr>
            <w:tcW w:w="1080" w:type="dxa"/>
            <w:tcBorders>
              <w:top w:val="single" w:color="auto" w:sz="4" w:space="0"/>
            </w:tcBorders>
            <w:shd w:val="clear" w:color="auto" w:fill="auto"/>
          </w:tcPr>
          <w:p w:rsidRPr="008716FB" w:rsidR="00A92D0B" w:rsidP="003250C8" w:rsidRDefault="00A92D0B" w14:paraId="6B59BB80" w14:textId="09AE492F">
            <w:pPr>
              <w:keepNext/>
              <w:jc w:val="center"/>
              <w:rPr>
                <w:b/>
                <w:sz w:val="22"/>
                <w:szCs w:val="22"/>
              </w:rPr>
            </w:pPr>
            <w:r w:rsidRPr="008716FB">
              <w:rPr>
                <w:b/>
                <w:sz w:val="22"/>
                <w:szCs w:val="22"/>
              </w:rPr>
              <w:t xml:space="preserve">Rate </w:t>
            </w:r>
            <w:r w:rsidR="00C95376">
              <w:rPr>
                <w:b/>
                <w:sz w:val="22"/>
                <w:szCs w:val="22"/>
              </w:rPr>
              <w:t>$</w:t>
            </w:r>
          </w:p>
        </w:tc>
        <w:tc>
          <w:tcPr>
            <w:tcW w:w="1380" w:type="dxa"/>
            <w:tcBorders>
              <w:top w:val="single" w:color="auto" w:sz="4" w:space="0"/>
            </w:tcBorders>
            <w:shd w:val="clear" w:color="auto" w:fill="auto"/>
          </w:tcPr>
          <w:p w:rsidRPr="008716FB" w:rsidR="00A92D0B" w:rsidP="003250C8" w:rsidRDefault="00A92D0B" w14:paraId="6C7B13CF" w14:textId="77777777">
            <w:pPr>
              <w:keepNext/>
              <w:jc w:val="center"/>
              <w:rPr>
                <w:b/>
                <w:sz w:val="22"/>
                <w:szCs w:val="22"/>
              </w:rPr>
            </w:pPr>
            <w:r w:rsidRPr="008716FB">
              <w:rPr>
                <w:b/>
                <w:sz w:val="22"/>
                <w:szCs w:val="22"/>
              </w:rPr>
              <w:t>Total $</w:t>
            </w:r>
          </w:p>
        </w:tc>
      </w:tr>
      <w:tr w:rsidRPr="008716FB" w:rsidR="008716FB" w:rsidTr="009B3D0F" w14:paraId="25086E67" w14:textId="77777777">
        <w:trPr>
          <w:cantSplit/>
          <w:jc w:val="center"/>
        </w:trPr>
        <w:tc>
          <w:tcPr>
            <w:tcW w:w="1435" w:type="dxa"/>
            <w:shd w:val="clear" w:color="auto" w:fill="auto"/>
          </w:tcPr>
          <w:p w:rsidR="005E022E" w:rsidP="003250C8" w:rsidRDefault="003B3F26" w14:paraId="1D6AA7F1" w14:textId="77777777">
            <w:pPr>
              <w:keepNext/>
            </w:pPr>
            <w:r w:rsidRPr="008716FB">
              <w:t xml:space="preserve">Julia </w:t>
            </w:r>
          </w:p>
          <w:p w:rsidRPr="008716FB" w:rsidR="00A92D0B" w:rsidP="003250C8" w:rsidRDefault="003B3F26" w14:paraId="386D0995" w14:textId="1541EE96">
            <w:pPr>
              <w:keepNext/>
            </w:pPr>
            <w:r w:rsidRPr="008716FB">
              <w:t>Severson</w:t>
            </w:r>
          </w:p>
        </w:tc>
        <w:tc>
          <w:tcPr>
            <w:tcW w:w="751" w:type="dxa"/>
            <w:shd w:val="clear" w:color="auto" w:fill="auto"/>
          </w:tcPr>
          <w:p w:rsidRPr="008716FB" w:rsidR="00A92D0B" w:rsidP="003250C8" w:rsidRDefault="003B3F26" w14:paraId="4A155F1D" w14:textId="5EFA1322">
            <w:pPr>
              <w:keepNext/>
              <w:jc w:val="center"/>
            </w:pPr>
            <w:r w:rsidRPr="008716FB">
              <w:t>2020</w:t>
            </w:r>
          </w:p>
        </w:tc>
        <w:tc>
          <w:tcPr>
            <w:tcW w:w="836" w:type="dxa"/>
            <w:gridSpan w:val="2"/>
            <w:shd w:val="clear" w:color="auto" w:fill="auto"/>
          </w:tcPr>
          <w:p w:rsidRPr="008716FB" w:rsidR="00A92D0B" w:rsidP="003250C8" w:rsidRDefault="00C150FB" w14:paraId="30EEA80A" w14:textId="6E0C26B1">
            <w:pPr>
              <w:keepNext/>
              <w:jc w:val="center"/>
            </w:pPr>
            <w:r w:rsidRPr="008716FB">
              <w:t>6</w:t>
            </w:r>
          </w:p>
        </w:tc>
        <w:tc>
          <w:tcPr>
            <w:tcW w:w="1113" w:type="dxa"/>
            <w:shd w:val="clear" w:color="auto" w:fill="auto"/>
          </w:tcPr>
          <w:p w:rsidRPr="008716FB" w:rsidR="00A92D0B" w:rsidP="003250C8" w:rsidRDefault="003B3F26" w14:paraId="4EB14C91" w14:textId="65497BF2">
            <w:pPr>
              <w:keepNext/>
              <w:jc w:val="right"/>
            </w:pPr>
            <w:r w:rsidRPr="008716FB">
              <w:t>$50</w:t>
            </w:r>
            <w:r w:rsidR="009A3E96">
              <w:t>.00</w:t>
            </w:r>
          </w:p>
        </w:tc>
        <w:tc>
          <w:tcPr>
            <w:tcW w:w="1890" w:type="dxa"/>
            <w:gridSpan w:val="2"/>
            <w:tcBorders>
              <w:right w:val="single" w:color="auto" w:sz="4" w:space="0"/>
            </w:tcBorders>
            <w:shd w:val="clear" w:color="auto" w:fill="auto"/>
          </w:tcPr>
          <w:p w:rsidRPr="008716FB" w:rsidR="00A92D0B" w:rsidP="003250C8" w:rsidRDefault="003B3F26" w14:paraId="02D334B7" w14:textId="61AAD635">
            <w:pPr>
              <w:keepNext/>
            </w:pPr>
            <w:r w:rsidRPr="008716FB">
              <w:t>½ of hourly rate</w:t>
            </w:r>
            <w:r w:rsidRPr="008716FB" w:rsidR="003D099B">
              <w:t>, see comment #3.</w:t>
            </w:r>
            <w:r w:rsidRPr="008716FB">
              <w:t xml:space="preserve"> </w:t>
            </w:r>
          </w:p>
        </w:tc>
        <w:tc>
          <w:tcPr>
            <w:tcW w:w="1260" w:type="dxa"/>
            <w:gridSpan w:val="2"/>
            <w:tcBorders>
              <w:top w:val="single" w:color="auto" w:sz="4" w:space="0"/>
              <w:left w:val="single" w:color="auto" w:sz="4" w:space="0"/>
              <w:bottom w:val="single" w:color="auto" w:sz="4" w:space="0"/>
              <w:right w:val="single" w:color="auto" w:sz="24" w:space="0"/>
            </w:tcBorders>
            <w:shd w:val="clear" w:color="auto" w:fill="auto"/>
          </w:tcPr>
          <w:p w:rsidRPr="008716FB" w:rsidR="00A92D0B" w:rsidP="003250C8" w:rsidRDefault="00C150FB" w14:paraId="7B9A0261" w14:textId="6E9EECE2">
            <w:pPr>
              <w:keepNext/>
              <w:jc w:val="right"/>
            </w:pPr>
            <w:r w:rsidRPr="008716FB">
              <w:t>$300</w:t>
            </w:r>
          </w:p>
        </w:tc>
        <w:tc>
          <w:tcPr>
            <w:tcW w:w="810" w:type="dxa"/>
            <w:tcBorders>
              <w:left w:val="single" w:color="auto" w:sz="4" w:space="0"/>
              <w:right w:val="single" w:color="auto" w:sz="4" w:space="0"/>
            </w:tcBorders>
            <w:shd w:val="clear" w:color="auto" w:fill="auto"/>
          </w:tcPr>
          <w:p w:rsidRPr="008716FB" w:rsidR="00A92D0B" w:rsidP="00DD784E" w:rsidRDefault="00594AE5" w14:paraId="5E5A4264" w14:textId="3A85123A">
            <w:pPr>
              <w:keepNext/>
              <w:jc w:val="center"/>
            </w:pPr>
            <w:r>
              <w:t>6</w:t>
            </w:r>
          </w:p>
        </w:tc>
        <w:tc>
          <w:tcPr>
            <w:tcW w:w="1080" w:type="dxa"/>
            <w:tcBorders>
              <w:left w:val="single" w:color="auto" w:sz="4" w:space="0"/>
            </w:tcBorders>
            <w:shd w:val="clear" w:color="auto" w:fill="auto"/>
          </w:tcPr>
          <w:p w:rsidRPr="008716FB" w:rsidR="00A92D0B" w:rsidP="003250C8" w:rsidRDefault="00D33965" w14:paraId="47B1F089" w14:textId="16599B15">
            <w:pPr>
              <w:keepNext/>
              <w:jc w:val="right"/>
            </w:pPr>
            <w:r w:rsidRPr="008716FB">
              <w:t>$50.00</w:t>
            </w:r>
          </w:p>
        </w:tc>
        <w:tc>
          <w:tcPr>
            <w:tcW w:w="1380" w:type="dxa"/>
            <w:shd w:val="clear" w:color="auto" w:fill="auto"/>
          </w:tcPr>
          <w:p w:rsidRPr="008716FB" w:rsidR="00A92D0B" w:rsidP="003250C8" w:rsidRDefault="006011D8" w14:paraId="10659B6D" w14:textId="7FFE6DB7">
            <w:pPr>
              <w:keepNext/>
              <w:jc w:val="right"/>
            </w:pPr>
            <w:r w:rsidRPr="008716FB">
              <w:t>$</w:t>
            </w:r>
            <w:r w:rsidR="00594AE5">
              <w:t>300.00</w:t>
            </w:r>
          </w:p>
        </w:tc>
      </w:tr>
      <w:tr w:rsidRPr="008716FB" w:rsidR="008716FB" w:rsidTr="009B3D0F" w14:paraId="7AB9EF54" w14:textId="77777777">
        <w:trPr>
          <w:cantSplit/>
          <w:jc w:val="center"/>
        </w:trPr>
        <w:tc>
          <w:tcPr>
            <w:tcW w:w="1435" w:type="dxa"/>
            <w:shd w:val="clear" w:color="auto" w:fill="auto"/>
          </w:tcPr>
          <w:p w:rsidR="005E022E" w:rsidP="003250C8" w:rsidRDefault="00BC3ABF" w14:paraId="2C394ECD" w14:textId="77777777">
            <w:pPr>
              <w:keepNext/>
            </w:pPr>
            <w:r w:rsidRPr="008716FB">
              <w:t xml:space="preserve">Tyson </w:t>
            </w:r>
          </w:p>
          <w:p w:rsidRPr="008716FB" w:rsidR="00A92D0B" w:rsidP="003250C8" w:rsidRDefault="00BC3ABF" w14:paraId="4F803C09" w14:textId="1FB98BEA">
            <w:pPr>
              <w:keepNext/>
            </w:pPr>
            <w:r w:rsidRPr="008716FB">
              <w:t>Siegele</w:t>
            </w:r>
          </w:p>
        </w:tc>
        <w:tc>
          <w:tcPr>
            <w:tcW w:w="751" w:type="dxa"/>
            <w:shd w:val="clear" w:color="auto" w:fill="auto"/>
          </w:tcPr>
          <w:p w:rsidRPr="008716FB" w:rsidR="00A92D0B" w:rsidP="003250C8" w:rsidRDefault="00BC3ABF" w14:paraId="058BFE37" w14:textId="52CE96AC">
            <w:pPr>
              <w:keepNext/>
              <w:jc w:val="center"/>
            </w:pPr>
            <w:r w:rsidRPr="008716FB">
              <w:t>2020</w:t>
            </w:r>
          </w:p>
        </w:tc>
        <w:tc>
          <w:tcPr>
            <w:tcW w:w="836" w:type="dxa"/>
            <w:gridSpan w:val="2"/>
            <w:shd w:val="clear" w:color="auto" w:fill="auto"/>
          </w:tcPr>
          <w:p w:rsidRPr="008716FB" w:rsidR="00A92D0B" w:rsidP="003250C8" w:rsidRDefault="00C150FB" w14:paraId="66A42865" w14:textId="7BFEB207">
            <w:pPr>
              <w:keepNext/>
              <w:jc w:val="center"/>
            </w:pPr>
            <w:r w:rsidRPr="008716FB">
              <w:t>10.5</w:t>
            </w:r>
          </w:p>
        </w:tc>
        <w:tc>
          <w:tcPr>
            <w:tcW w:w="1113" w:type="dxa"/>
            <w:shd w:val="clear" w:color="auto" w:fill="auto"/>
          </w:tcPr>
          <w:p w:rsidRPr="008716FB" w:rsidR="00A92D0B" w:rsidP="003250C8" w:rsidRDefault="00C71B6B" w14:paraId="42AE8F2C" w14:textId="4F24F237">
            <w:pPr>
              <w:keepNext/>
              <w:jc w:val="right"/>
            </w:pPr>
            <w:r w:rsidRPr="008716FB">
              <w:t>$1</w:t>
            </w:r>
            <w:r w:rsidRPr="008716FB" w:rsidR="00D9537C">
              <w:t>40</w:t>
            </w:r>
            <w:r w:rsidR="009A3E96">
              <w:t>.00</w:t>
            </w:r>
          </w:p>
        </w:tc>
        <w:tc>
          <w:tcPr>
            <w:tcW w:w="1890" w:type="dxa"/>
            <w:gridSpan w:val="2"/>
            <w:tcBorders>
              <w:right w:val="single" w:color="auto" w:sz="4" w:space="0"/>
            </w:tcBorders>
            <w:shd w:val="clear" w:color="auto" w:fill="auto"/>
          </w:tcPr>
          <w:p w:rsidRPr="008716FB" w:rsidR="00A92D0B" w:rsidP="003250C8" w:rsidRDefault="00B1676F" w14:paraId="3DB754B7" w14:textId="393CE810">
            <w:pPr>
              <w:keepNext/>
            </w:pPr>
            <w:r w:rsidRPr="008716FB">
              <w:t xml:space="preserve">½ of hourly rate. </w:t>
            </w:r>
          </w:p>
        </w:tc>
        <w:tc>
          <w:tcPr>
            <w:tcW w:w="1260" w:type="dxa"/>
            <w:gridSpan w:val="2"/>
            <w:tcBorders>
              <w:top w:val="single" w:color="auto" w:sz="4" w:space="0"/>
              <w:left w:val="single" w:color="auto" w:sz="4" w:space="0"/>
              <w:bottom w:val="single" w:color="auto" w:sz="4" w:space="0"/>
              <w:right w:val="single" w:color="auto" w:sz="24" w:space="0"/>
            </w:tcBorders>
            <w:shd w:val="clear" w:color="auto" w:fill="auto"/>
          </w:tcPr>
          <w:p w:rsidRPr="008716FB" w:rsidR="00A92D0B" w:rsidP="003250C8" w:rsidRDefault="00C150FB" w14:paraId="3D39C021" w14:textId="43F303A9">
            <w:pPr>
              <w:keepNext/>
              <w:jc w:val="right"/>
            </w:pPr>
            <w:r w:rsidRPr="008716FB">
              <w:t>$1,470</w:t>
            </w:r>
          </w:p>
        </w:tc>
        <w:tc>
          <w:tcPr>
            <w:tcW w:w="810" w:type="dxa"/>
            <w:tcBorders>
              <w:left w:val="single" w:color="auto" w:sz="4" w:space="0"/>
              <w:right w:val="single" w:color="auto" w:sz="4" w:space="0"/>
            </w:tcBorders>
            <w:shd w:val="clear" w:color="auto" w:fill="auto"/>
          </w:tcPr>
          <w:p w:rsidRPr="008716FB" w:rsidR="00A92D0B" w:rsidP="00DD784E" w:rsidRDefault="00594AE5" w14:paraId="6B8C8F0C" w14:textId="69D4F847">
            <w:pPr>
              <w:keepNext/>
              <w:jc w:val="center"/>
            </w:pPr>
            <w:r>
              <w:t>10.5</w:t>
            </w:r>
          </w:p>
        </w:tc>
        <w:tc>
          <w:tcPr>
            <w:tcW w:w="1080" w:type="dxa"/>
            <w:tcBorders>
              <w:left w:val="single" w:color="auto" w:sz="4" w:space="0"/>
            </w:tcBorders>
            <w:shd w:val="clear" w:color="auto" w:fill="auto"/>
          </w:tcPr>
          <w:p w:rsidR="003250C8" w:rsidP="003250C8" w:rsidRDefault="00D33965" w14:paraId="5B8F1BA9" w14:textId="77777777">
            <w:pPr>
              <w:keepNext/>
              <w:jc w:val="right"/>
            </w:pPr>
            <w:r w:rsidRPr="008716FB">
              <w:t>$145.00</w:t>
            </w:r>
          </w:p>
          <w:p w:rsidRPr="008716FB" w:rsidR="00A92D0B" w:rsidP="00DD784E" w:rsidRDefault="00D33965" w14:paraId="0A58B021" w14:textId="7CF8457F">
            <w:pPr>
              <w:keepNext/>
              <w:jc w:val="center"/>
            </w:pPr>
            <w:r w:rsidRPr="008716FB">
              <w:t>[2]</w:t>
            </w:r>
          </w:p>
        </w:tc>
        <w:tc>
          <w:tcPr>
            <w:tcW w:w="1380" w:type="dxa"/>
            <w:shd w:val="clear" w:color="auto" w:fill="auto"/>
          </w:tcPr>
          <w:p w:rsidRPr="008716FB" w:rsidR="00A92D0B" w:rsidP="003250C8" w:rsidRDefault="006011D8" w14:paraId="0769A3B4" w14:textId="6BD87387">
            <w:pPr>
              <w:keepNext/>
              <w:jc w:val="right"/>
            </w:pPr>
            <w:r w:rsidRPr="008716FB">
              <w:t>$</w:t>
            </w:r>
            <w:r w:rsidR="00594AE5">
              <w:t>1522.50</w:t>
            </w:r>
          </w:p>
        </w:tc>
      </w:tr>
      <w:tr w:rsidRPr="008716FB" w:rsidR="008716FB" w:rsidTr="009B3D0F" w14:paraId="266CEDD5" w14:textId="77777777">
        <w:trPr>
          <w:cantSplit/>
          <w:jc w:val="center"/>
        </w:trPr>
        <w:tc>
          <w:tcPr>
            <w:tcW w:w="7285" w:type="dxa"/>
            <w:gridSpan w:val="9"/>
            <w:tcBorders>
              <w:bottom w:val="single" w:color="auto" w:sz="4" w:space="0"/>
              <w:right w:val="single" w:color="auto" w:sz="24" w:space="0"/>
            </w:tcBorders>
            <w:shd w:val="clear" w:color="auto" w:fill="auto"/>
            <w:vAlign w:val="bottom"/>
          </w:tcPr>
          <w:p w:rsidRPr="008716FB" w:rsidR="00E15DC3" w:rsidP="003250C8" w:rsidRDefault="00E15DC3" w14:paraId="4A1F5988" w14:textId="6E099E68">
            <w:pPr>
              <w:keepNext/>
              <w:tabs>
                <w:tab w:val="left" w:pos="957"/>
              </w:tabs>
              <w:ind w:right="162"/>
              <w:jc w:val="right"/>
              <w:rPr>
                <w:b/>
                <w:i/>
              </w:rPr>
            </w:pPr>
            <w:r w:rsidRPr="008716FB">
              <w:rPr>
                <w:b/>
                <w:i/>
              </w:rPr>
              <w:t>Subtotal: $</w:t>
            </w:r>
            <w:r w:rsidRPr="008716FB" w:rsidR="00C150FB">
              <w:rPr>
                <w:b/>
                <w:i/>
              </w:rPr>
              <w:t>1,770</w:t>
            </w:r>
          </w:p>
        </w:tc>
        <w:tc>
          <w:tcPr>
            <w:tcW w:w="3270" w:type="dxa"/>
            <w:gridSpan w:val="3"/>
            <w:tcBorders>
              <w:left w:val="single" w:color="auto" w:sz="24" w:space="0"/>
              <w:bottom w:val="single" w:color="auto" w:sz="4" w:space="0"/>
            </w:tcBorders>
            <w:shd w:val="clear" w:color="auto" w:fill="auto"/>
            <w:vAlign w:val="bottom"/>
          </w:tcPr>
          <w:p w:rsidRPr="008716FB" w:rsidR="00E15DC3" w:rsidP="003250C8" w:rsidRDefault="00E15DC3" w14:paraId="2FBAA587" w14:textId="133A2AE3">
            <w:pPr>
              <w:keepNext/>
              <w:tabs>
                <w:tab w:val="left" w:pos="957"/>
              </w:tabs>
              <w:ind w:right="162"/>
              <w:jc w:val="right"/>
              <w:rPr>
                <w:b/>
                <w:i/>
              </w:rPr>
            </w:pPr>
            <w:r w:rsidRPr="008716FB">
              <w:rPr>
                <w:b/>
                <w:i/>
              </w:rPr>
              <w:t>Subtotal: $</w:t>
            </w:r>
            <w:r w:rsidR="00594AE5">
              <w:rPr>
                <w:b/>
                <w:i/>
              </w:rPr>
              <w:t>1,822.50</w:t>
            </w:r>
          </w:p>
        </w:tc>
      </w:tr>
      <w:tr w:rsidRPr="008716FB" w:rsidR="008716FB" w:rsidTr="009B3D0F" w14:paraId="06E7371A" w14:textId="77777777">
        <w:trPr>
          <w:cantSplit/>
          <w:jc w:val="center"/>
        </w:trPr>
        <w:tc>
          <w:tcPr>
            <w:tcW w:w="7285" w:type="dxa"/>
            <w:gridSpan w:val="9"/>
            <w:tcBorders>
              <w:top w:val="single" w:color="auto" w:sz="4" w:space="0"/>
              <w:bottom w:val="single" w:color="auto" w:sz="4" w:space="0"/>
              <w:right w:val="single" w:color="auto" w:sz="24" w:space="0"/>
            </w:tcBorders>
            <w:shd w:val="clear" w:color="auto" w:fill="E6E6E6"/>
            <w:vAlign w:val="bottom"/>
          </w:tcPr>
          <w:p w:rsidRPr="008716FB" w:rsidR="003B6A1B" w:rsidP="00234745" w:rsidRDefault="003B6A1B" w14:paraId="11B3B704" w14:textId="56ECA28E">
            <w:pPr>
              <w:tabs>
                <w:tab w:val="left" w:pos="957"/>
              </w:tabs>
              <w:ind w:right="72"/>
              <w:jc w:val="right"/>
              <w:rPr>
                <w:b/>
              </w:rPr>
            </w:pPr>
            <w:r w:rsidRPr="008716FB">
              <w:rPr>
                <w:b/>
                <w:i/>
              </w:rPr>
              <w:t>TOTAL REQUEST: $</w:t>
            </w:r>
            <w:r w:rsidRPr="008716FB" w:rsidR="00C150FB">
              <w:rPr>
                <w:b/>
                <w:i/>
              </w:rPr>
              <w:t>68,599.50</w:t>
            </w:r>
            <w:r w:rsidRPr="008716FB" w:rsidR="00A32DD4">
              <w:rPr>
                <w:rStyle w:val="FootnoteReference"/>
                <w:b/>
                <w:i/>
              </w:rPr>
              <w:footnoteReference w:id="6"/>
            </w:r>
          </w:p>
        </w:tc>
        <w:tc>
          <w:tcPr>
            <w:tcW w:w="3270" w:type="dxa"/>
            <w:gridSpan w:val="3"/>
            <w:tcBorders>
              <w:left w:val="single" w:color="auto" w:sz="24" w:space="0"/>
            </w:tcBorders>
            <w:shd w:val="clear" w:color="auto" w:fill="E6E6E6"/>
            <w:vAlign w:val="bottom"/>
          </w:tcPr>
          <w:p w:rsidRPr="008716FB" w:rsidR="003B6A1B" w:rsidP="00234745" w:rsidRDefault="003B6A1B" w14:paraId="3680D139" w14:textId="398BEF00">
            <w:pPr>
              <w:tabs>
                <w:tab w:val="left" w:pos="957"/>
              </w:tabs>
              <w:ind w:right="72"/>
              <w:jc w:val="right"/>
              <w:rPr>
                <w:b/>
              </w:rPr>
            </w:pPr>
            <w:r w:rsidRPr="008716FB">
              <w:rPr>
                <w:b/>
                <w:i/>
              </w:rPr>
              <w:t>TOTAL AWARD: $</w:t>
            </w:r>
            <w:r w:rsidR="00594AE5">
              <w:rPr>
                <w:b/>
                <w:i/>
              </w:rPr>
              <w:t>43,547.00</w:t>
            </w:r>
          </w:p>
        </w:tc>
      </w:tr>
      <w:tr w:rsidRPr="008716FB" w:rsidR="008716FB" w:rsidTr="009B3D0F" w14:paraId="6A909BC1" w14:textId="77777777">
        <w:trPr>
          <w:jc w:val="center"/>
        </w:trPr>
        <w:tc>
          <w:tcPr>
            <w:tcW w:w="10555" w:type="dxa"/>
            <w:gridSpan w:val="12"/>
            <w:tcBorders>
              <w:top w:val="single" w:color="auto" w:sz="4" w:space="0"/>
              <w:bottom w:val="single" w:color="auto" w:sz="4" w:space="0"/>
            </w:tcBorders>
            <w:shd w:val="clear" w:color="auto" w:fill="auto"/>
          </w:tcPr>
          <w:p w:rsidRPr="008716FB" w:rsidR="003B6A1B" w:rsidP="009A3E96" w:rsidRDefault="003B6A1B" w14:paraId="6F39872E" w14:textId="081D147A">
            <w:pPr>
              <w:spacing w:after="120"/>
            </w:pPr>
            <w:r w:rsidRPr="008716FB">
              <w:t xml:space="preserve">  *We remind all intervenors that Commission staff may audit the records and books of the intervenors to the extent necessary to verify the basis for the award (</w:t>
            </w:r>
            <w:r w:rsidR="00B31AE4">
              <w:t>§ </w:t>
            </w:r>
            <w:r w:rsidRPr="008716FB">
              <w:t xml:space="preserve">1804(d)).  Intervenors must make and retain adequate accounting and other documentation to support all claims for intervenor compensation.  Intervenor’s records should identify specific issues for which it seeks compensation, the actual time spent by each employee or consultant, the applicable hourly rates, fees paid to consultants and any other costs for which compensation was claimed.  The records pertaining to an award of compensation shall be retained for at least three years from the date of the final decision making the award. </w:t>
            </w:r>
          </w:p>
          <w:p w:rsidRPr="008716FB" w:rsidR="003B6A1B" w:rsidP="00234745" w:rsidRDefault="003B6A1B" w14:paraId="0D03EC65" w14:textId="77777777">
            <w:r w:rsidRPr="008716FB">
              <w:t>**Travel and Reasonable Claim preparation time are typically compensated at ½ of preparer’s normal hourly rate</w:t>
            </w:r>
            <w:r w:rsidRPr="008716FB" w:rsidDel="00D075B1">
              <w:t xml:space="preserve"> </w:t>
            </w:r>
          </w:p>
        </w:tc>
      </w:tr>
      <w:tr w:rsidRPr="008716FB" w:rsidR="008716FB" w:rsidTr="009B3D0F" w14:paraId="458B01A4" w14:textId="77777777">
        <w:trPr>
          <w:cantSplit/>
          <w:jc w:val="center"/>
        </w:trPr>
        <w:tc>
          <w:tcPr>
            <w:tcW w:w="10555" w:type="dxa"/>
            <w:gridSpan w:val="1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8716FB" w:rsidR="003B6A1B" w:rsidP="00BB7D62" w:rsidRDefault="003B6A1B" w14:paraId="48B43CBD" w14:textId="77777777">
            <w:pPr>
              <w:keepNext/>
              <w:jc w:val="center"/>
              <w:rPr>
                <w:b/>
                <w:smallCaps/>
              </w:rPr>
            </w:pPr>
            <w:r w:rsidRPr="008716FB">
              <w:rPr>
                <w:b/>
                <w:smallCaps/>
              </w:rPr>
              <w:t>ATTORNEY INFORMATION</w:t>
            </w:r>
          </w:p>
        </w:tc>
      </w:tr>
      <w:tr w:rsidRPr="008716FB" w:rsidR="008716FB" w:rsidTr="00791BE5" w14:paraId="790C92C0" w14:textId="77777777">
        <w:trPr>
          <w:cantSplit/>
          <w:trHeight w:val="173"/>
          <w:jc w:val="center"/>
        </w:trPr>
        <w:tc>
          <w:tcPr>
            <w:tcW w:w="2245" w:type="dxa"/>
            <w:gridSpan w:val="3"/>
            <w:tcBorders>
              <w:top w:val="single" w:color="auto" w:sz="4" w:space="0"/>
              <w:bottom w:val="single" w:color="auto" w:sz="4" w:space="0"/>
            </w:tcBorders>
            <w:shd w:val="clear" w:color="auto" w:fill="FFFFFF"/>
            <w:vAlign w:val="bottom"/>
          </w:tcPr>
          <w:p w:rsidRPr="008716FB" w:rsidR="003B6A1B" w:rsidP="007725DA" w:rsidRDefault="003B6A1B" w14:paraId="00CAC866" w14:textId="77777777">
            <w:pPr>
              <w:keepNext/>
              <w:jc w:val="center"/>
              <w:rPr>
                <w:b/>
                <w:sz w:val="22"/>
                <w:szCs w:val="22"/>
              </w:rPr>
            </w:pPr>
            <w:r w:rsidRPr="008716FB">
              <w:rPr>
                <w:b/>
                <w:sz w:val="22"/>
                <w:szCs w:val="22"/>
              </w:rPr>
              <w:t>Attorney</w:t>
            </w:r>
          </w:p>
        </w:tc>
        <w:tc>
          <w:tcPr>
            <w:tcW w:w="2430" w:type="dxa"/>
            <w:gridSpan w:val="3"/>
            <w:tcBorders>
              <w:top w:val="single" w:color="auto" w:sz="4" w:space="0"/>
              <w:bottom w:val="single" w:color="auto" w:sz="4" w:space="0"/>
            </w:tcBorders>
            <w:shd w:val="clear" w:color="auto" w:fill="FFFFFF"/>
            <w:vAlign w:val="bottom"/>
          </w:tcPr>
          <w:p w:rsidR="00791BE5" w:rsidP="007725DA" w:rsidRDefault="003B6A1B" w14:paraId="7AFE56DB" w14:textId="77777777">
            <w:pPr>
              <w:keepNext/>
              <w:jc w:val="center"/>
              <w:rPr>
                <w:b/>
                <w:sz w:val="22"/>
                <w:szCs w:val="22"/>
              </w:rPr>
            </w:pPr>
            <w:r w:rsidRPr="008716FB">
              <w:rPr>
                <w:b/>
                <w:sz w:val="22"/>
                <w:szCs w:val="22"/>
              </w:rPr>
              <w:t xml:space="preserve">Date Admitted </w:t>
            </w:r>
          </w:p>
          <w:p w:rsidRPr="008716FB" w:rsidR="003B6A1B" w:rsidP="007725DA" w:rsidRDefault="003B6A1B" w14:paraId="7E76A008" w14:textId="53BFAA8A">
            <w:pPr>
              <w:keepNext/>
              <w:jc w:val="center"/>
              <w:rPr>
                <w:b/>
                <w:sz w:val="22"/>
                <w:szCs w:val="22"/>
              </w:rPr>
            </w:pPr>
            <w:r w:rsidRPr="008716FB">
              <w:rPr>
                <w:b/>
                <w:sz w:val="22"/>
                <w:szCs w:val="22"/>
              </w:rPr>
              <w:t>to CA BAR</w:t>
            </w:r>
            <w:r w:rsidRPr="008716FB">
              <w:rPr>
                <w:rStyle w:val="FootnoteReference"/>
                <w:b/>
                <w:sz w:val="22"/>
                <w:szCs w:val="22"/>
              </w:rPr>
              <w:footnoteReference w:id="7"/>
            </w:r>
          </w:p>
        </w:tc>
        <w:tc>
          <w:tcPr>
            <w:tcW w:w="1980" w:type="dxa"/>
            <w:gridSpan w:val="2"/>
            <w:tcBorders>
              <w:top w:val="single" w:color="auto" w:sz="4" w:space="0"/>
              <w:bottom w:val="single" w:color="auto" w:sz="4" w:space="0"/>
            </w:tcBorders>
            <w:shd w:val="clear" w:color="auto" w:fill="FFFFFF"/>
            <w:vAlign w:val="bottom"/>
          </w:tcPr>
          <w:p w:rsidRPr="008716FB" w:rsidR="003B6A1B" w:rsidP="007725DA" w:rsidRDefault="003B6A1B" w14:paraId="27E64ED7" w14:textId="77777777">
            <w:pPr>
              <w:keepNext/>
              <w:jc w:val="center"/>
              <w:rPr>
                <w:b/>
                <w:sz w:val="22"/>
                <w:szCs w:val="22"/>
              </w:rPr>
            </w:pPr>
            <w:r w:rsidRPr="008716FB">
              <w:rPr>
                <w:b/>
                <w:sz w:val="22"/>
                <w:szCs w:val="22"/>
              </w:rPr>
              <w:t>Member Number</w:t>
            </w:r>
          </w:p>
        </w:tc>
        <w:tc>
          <w:tcPr>
            <w:tcW w:w="3900" w:type="dxa"/>
            <w:gridSpan w:val="4"/>
            <w:tcBorders>
              <w:top w:val="single" w:color="auto" w:sz="4" w:space="0"/>
              <w:bottom w:val="single" w:color="auto" w:sz="4" w:space="0"/>
            </w:tcBorders>
            <w:shd w:val="clear" w:color="auto" w:fill="FFFFFF"/>
            <w:vAlign w:val="bottom"/>
          </w:tcPr>
          <w:p w:rsidRPr="008716FB" w:rsidR="003B6A1B" w:rsidP="007725DA" w:rsidRDefault="003B6A1B" w14:paraId="496B5DC1" w14:textId="77777777">
            <w:pPr>
              <w:keepNext/>
              <w:jc w:val="center"/>
              <w:rPr>
                <w:b/>
                <w:sz w:val="22"/>
                <w:szCs w:val="22"/>
              </w:rPr>
            </w:pPr>
            <w:r w:rsidRPr="008716FB">
              <w:rPr>
                <w:b/>
                <w:sz w:val="22"/>
                <w:szCs w:val="22"/>
              </w:rPr>
              <w:t>Actions Affecting Eligibility (Yes/No?)</w:t>
            </w:r>
          </w:p>
          <w:p w:rsidRPr="008716FB" w:rsidR="003B6A1B" w:rsidP="007725DA" w:rsidRDefault="003B6A1B" w14:paraId="36F8922D" w14:textId="46777064">
            <w:pPr>
              <w:keepNext/>
              <w:jc w:val="center"/>
              <w:rPr>
                <w:b/>
                <w:sz w:val="22"/>
                <w:szCs w:val="22"/>
              </w:rPr>
            </w:pPr>
            <w:r w:rsidRPr="008716FB">
              <w:rPr>
                <w:b/>
                <w:sz w:val="22"/>
                <w:szCs w:val="22"/>
              </w:rPr>
              <w:t xml:space="preserve">If </w:t>
            </w:r>
            <w:r w:rsidR="007D4327">
              <w:rPr>
                <w:b/>
                <w:sz w:val="22"/>
                <w:szCs w:val="22"/>
              </w:rPr>
              <w:t>“</w:t>
            </w:r>
            <w:r w:rsidRPr="008716FB">
              <w:rPr>
                <w:b/>
                <w:sz w:val="22"/>
                <w:szCs w:val="22"/>
              </w:rPr>
              <w:t>Yes</w:t>
            </w:r>
            <w:r w:rsidR="007D4327">
              <w:rPr>
                <w:b/>
                <w:sz w:val="22"/>
                <w:szCs w:val="22"/>
              </w:rPr>
              <w:t>”</w:t>
            </w:r>
            <w:r w:rsidRPr="008716FB">
              <w:rPr>
                <w:b/>
                <w:sz w:val="22"/>
                <w:szCs w:val="22"/>
              </w:rPr>
              <w:t>, attach explanation</w:t>
            </w:r>
          </w:p>
        </w:tc>
      </w:tr>
      <w:tr w:rsidRPr="008716FB" w:rsidR="008716FB" w:rsidTr="00791BE5" w14:paraId="4DC5EE9B" w14:textId="77777777">
        <w:trPr>
          <w:cantSplit/>
          <w:trHeight w:val="172"/>
          <w:jc w:val="center"/>
        </w:trPr>
        <w:tc>
          <w:tcPr>
            <w:tcW w:w="2245" w:type="dxa"/>
            <w:gridSpan w:val="3"/>
            <w:tcBorders>
              <w:top w:val="single" w:color="auto" w:sz="4" w:space="0"/>
              <w:bottom w:val="single" w:color="auto" w:sz="4" w:space="0"/>
            </w:tcBorders>
            <w:shd w:val="clear" w:color="auto" w:fill="auto"/>
          </w:tcPr>
          <w:p w:rsidRPr="008716FB" w:rsidR="003B6A1B" w:rsidP="00234745" w:rsidRDefault="003B6A1B" w14:paraId="7266B7BF" w14:textId="77777777">
            <w:pPr>
              <w:jc w:val="center"/>
            </w:pPr>
          </w:p>
        </w:tc>
        <w:tc>
          <w:tcPr>
            <w:tcW w:w="2430" w:type="dxa"/>
            <w:gridSpan w:val="3"/>
            <w:tcBorders>
              <w:top w:val="single" w:color="auto" w:sz="4" w:space="0"/>
              <w:bottom w:val="single" w:color="auto" w:sz="4" w:space="0"/>
            </w:tcBorders>
            <w:shd w:val="clear" w:color="auto" w:fill="auto"/>
          </w:tcPr>
          <w:p w:rsidRPr="008716FB" w:rsidR="003B6A1B" w:rsidP="00234745" w:rsidRDefault="003B6A1B" w14:paraId="69A41F15" w14:textId="77777777">
            <w:pPr>
              <w:jc w:val="center"/>
            </w:pPr>
          </w:p>
        </w:tc>
        <w:tc>
          <w:tcPr>
            <w:tcW w:w="1980" w:type="dxa"/>
            <w:gridSpan w:val="2"/>
            <w:tcBorders>
              <w:top w:val="single" w:color="auto" w:sz="4" w:space="0"/>
              <w:bottom w:val="single" w:color="auto" w:sz="4" w:space="0"/>
            </w:tcBorders>
            <w:shd w:val="clear" w:color="auto" w:fill="auto"/>
          </w:tcPr>
          <w:p w:rsidRPr="008716FB" w:rsidR="003B6A1B" w:rsidP="00234745" w:rsidRDefault="003B6A1B" w14:paraId="58495CD7" w14:textId="77777777">
            <w:pPr>
              <w:jc w:val="center"/>
            </w:pPr>
          </w:p>
        </w:tc>
        <w:tc>
          <w:tcPr>
            <w:tcW w:w="3900" w:type="dxa"/>
            <w:gridSpan w:val="4"/>
            <w:tcBorders>
              <w:top w:val="single" w:color="auto" w:sz="4" w:space="0"/>
              <w:bottom w:val="single" w:color="auto" w:sz="4" w:space="0"/>
            </w:tcBorders>
            <w:shd w:val="clear" w:color="auto" w:fill="auto"/>
          </w:tcPr>
          <w:p w:rsidRPr="008716FB" w:rsidR="003B6A1B" w:rsidP="00234745" w:rsidRDefault="003B6A1B" w14:paraId="117B99BF" w14:textId="77777777">
            <w:pPr>
              <w:jc w:val="center"/>
            </w:pPr>
          </w:p>
        </w:tc>
      </w:tr>
    </w:tbl>
    <w:p w:rsidRPr="008716FB" w:rsidR="0022302F" w:rsidP="00C15CCE" w:rsidRDefault="00A92D0B" w14:paraId="67A6CABA" w14:textId="2B18D99E">
      <w:pPr>
        <w:keepNext/>
        <w:numPr>
          <w:ilvl w:val="0"/>
          <w:numId w:val="10"/>
        </w:numPr>
        <w:spacing w:before="240" w:after="240"/>
        <w:rPr>
          <w:b/>
        </w:rPr>
      </w:pPr>
      <w:r w:rsidRPr="008716FB">
        <w:rPr>
          <w:b/>
        </w:rPr>
        <w:lastRenderedPageBreak/>
        <w:t>Attachments Documenting Specific Claim and Comments on Part III</w:t>
      </w:r>
      <w:r w:rsidRPr="008716FB" w:rsidR="00C02649">
        <w:rPr>
          <w:b/>
        </w:rPr>
        <w:t>:</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1885"/>
        <w:gridCol w:w="7475"/>
      </w:tblGrid>
      <w:tr w:rsidRPr="008716FB" w:rsidR="008716FB" w:rsidTr="00EE54B5" w14:paraId="0C2B760A" w14:textId="77777777">
        <w:trPr>
          <w:tblHeader/>
        </w:trPr>
        <w:tc>
          <w:tcPr>
            <w:tcW w:w="1885" w:type="dxa"/>
            <w:shd w:val="clear" w:color="auto" w:fill="D9D9D9" w:themeFill="background1" w:themeFillShade="D9"/>
            <w:vAlign w:val="bottom"/>
          </w:tcPr>
          <w:p w:rsidR="00EE54B5" w:rsidP="00EE54B5" w:rsidRDefault="00A92D0B" w14:paraId="1EA81008" w14:textId="65334876">
            <w:pPr>
              <w:keepNext/>
              <w:tabs>
                <w:tab w:val="left" w:pos="1260"/>
              </w:tabs>
              <w:jc w:val="center"/>
              <w:rPr>
                <w:b/>
              </w:rPr>
            </w:pPr>
            <w:r w:rsidRPr="008716FB">
              <w:rPr>
                <w:b/>
              </w:rPr>
              <w:t>Attachment</w:t>
            </w:r>
          </w:p>
          <w:p w:rsidRPr="008716FB" w:rsidR="00A92D0B" w:rsidP="00EE54B5" w:rsidRDefault="00A92D0B" w14:paraId="42A1D838" w14:textId="307BBB67">
            <w:pPr>
              <w:keepNext/>
              <w:tabs>
                <w:tab w:val="left" w:pos="1260"/>
              </w:tabs>
              <w:jc w:val="center"/>
              <w:rPr>
                <w:b/>
              </w:rPr>
            </w:pPr>
            <w:r w:rsidRPr="008716FB">
              <w:rPr>
                <w:b/>
              </w:rPr>
              <w:t>or Comment #</w:t>
            </w:r>
          </w:p>
        </w:tc>
        <w:tc>
          <w:tcPr>
            <w:tcW w:w="7475" w:type="dxa"/>
            <w:tcBorders>
              <w:bottom w:val="single" w:color="auto" w:sz="4" w:space="0"/>
            </w:tcBorders>
            <w:shd w:val="clear" w:color="auto" w:fill="D9D9D9" w:themeFill="background1" w:themeFillShade="D9"/>
            <w:vAlign w:val="bottom"/>
          </w:tcPr>
          <w:p w:rsidRPr="008716FB" w:rsidR="00A92D0B" w:rsidP="00443AB5" w:rsidRDefault="00A92D0B" w14:paraId="55F0A65F" w14:textId="77777777">
            <w:pPr>
              <w:keepNext/>
              <w:tabs>
                <w:tab w:val="left" w:pos="1260"/>
              </w:tabs>
              <w:jc w:val="center"/>
              <w:rPr>
                <w:b/>
              </w:rPr>
            </w:pPr>
            <w:r w:rsidRPr="008716FB">
              <w:rPr>
                <w:b/>
              </w:rPr>
              <w:t>Description/Comment</w:t>
            </w:r>
          </w:p>
        </w:tc>
      </w:tr>
      <w:tr w:rsidRPr="008716FB" w:rsidR="008716FB" w:rsidTr="00EE54B5" w14:paraId="71F47148" w14:textId="77777777">
        <w:tc>
          <w:tcPr>
            <w:tcW w:w="1885" w:type="dxa"/>
            <w:tcBorders>
              <w:bottom w:val="single" w:color="auto" w:sz="4" w:space="0"/>
            </w:tcBorders>
            <w:shd w:val="clear" w:color="auto" w:fill="auto"/>
          </w:tcPr>
          <w:p w:rsidRPr="008716FB" w:rsidR="00A92D0B" w:rsidP="00EE54B5" w:rsidRDefault="003D099B" w14:paraId="7A5C03D8" w14:textId="651BDFB4">
            <w:pPr>
              <w:tabs>
                <w:tab w:val="left" w:pos="1260"/>
              </w:tabs>
              <w:jc w:val="center"/>
            </w:pPr>
            <w:r w:rsidRPr="008716FB">
              <w:t>Attmt #</w:t>
            </w:r>
            <w:r w:rsidRPr="008716FB" w:rsidR="00A92D0B">
              <w:t>1</w:t>
            </w:r>
          </w:p>
        </w:tc>
        <w:tc>
          <w:tcPr>
            <w:tcW w:w="7475" w:type="dxa"/>
            <w:tcBorders>
              <w:bottom w:val="single" w:color="auto" w:sz="4" w:space="0"/>
            </w:tcBorders>
            <w:shd w:val="clear" w:color="auto" w:fill="auto"/>
          </w:tcPr>
          <w:p w:rsidRPr="008716FB" w:rsidR="00A92D0B" w:rsidP="00EE54B5" w:rsidRDefault="00A92D0B" w14:paraId="370C67BC" w14:textId="77777777">
            <w:pPr>
              <w:tabs>
                <w:tab w:val="left" w:pos="1260"/>
              </w:tabs>
            </w:pPr>
            <w:r w:rsidRPr="008716FB">
              <w:t>Certificate of Service</w:t>
            </w:r>
          </w:p>
        </w:tc>
      </w:tr>
      <w:tr w:rsidRPr="008716FB" w:rsidR="008716FB" w:rsidTr="00EE54B5" w14:paraId="72C869B0" w14:textId="77777777">
        <w:tc>
          <w:tcPr>
            <w:tcW w:w="1885" w:type="dxa"/>
            <w:shd w:val="clear" w:color="auto" w:fill="auto"/>
          </w:tcPr>
          <w:p w:rsidRPr="008716FB" w:rsidR="00A92D0B" w:rsidP="00EE54B5" w:rsidRDefault="003D099B" w14:paraId="49AADD21" w14:textId="49467A4C">
            <w:pPr>
              <w:tabs>
                <w:tab w:val="left" w:pos="1260"/>
              </w:tabs>
              <w:jc w:val="center"/>
            </w:pPr>
            <w:r w:rsidRPr="008716FB">
              <w:t>Attmt #</w:t>
            </w:r>
            <w:r w:rsidRPr="008716FB" w:rsidR="0022302F">
              <w:t>2</w:t>
            </w:r>
          </w:p>
        </w:tc>
        <w:tc>
          <w:tcPr>
            <w:tcW w:w="7475" w:type="dxa"/>
            <w:shd w:val="clear" w:color="auto" w:fill="auto"/>
          </w:tcPr>
          <w:p w:rsidRPr="008716FB" w:rsidR="00E10C35" w:rsidP="00EE54B5" w:rsidRDefault="00E10C35" w14:paraId="3AF20C23" w14:textId="771524F4">
            <w:pPr>
              <w:tabs>
                <w:tab w:val="left" w:pos="1260"/>
              </w:tabs>
            </w:pPr>
            <w:r w:rsidRPr="008716FB">
              <w:t>Expert Time Sheet and Categorization</w:t>
            </w:r>
          </w:p>
        </w:tc>
      </w:tr>
      <w:tr w:rsidRPr="008716FB" w:rsidR="008716FB" w:rsidTr="00EE54B5" w14:paraId="42845056" w14:textId="77777777">
        <w:tc>
          <w:tcPr>
            <w:tcW w:w="1885" w:type="dxa"/>
            <w:shd w:val="clear" w:color="auto" w:fill="auto"/>
          </w:tcPr>
          <w:p w:rsidRPr="008716FB" w:rsidR="00E10C35" w:rsidP="00EE54B5" w:rsidRDefault="003D099B" w14:paraId="63073802" w14:textId="47A53F08">
            <w:pPr>
              <w:tabs>
                <w:tab w:val="left" w:pos="1260"/>
              </w:tabs>
              <w:jc w:val="center"/>
            </w:pPr>
            <w:r w:rsidRPr="008716FB">
              <w:t>Attmt #</w:t>
            </w:r>
            <w:r w:rsidRPr="008716FB" w:rsidR="00E10C35">
              <w:t>3</w:t>
            </w:r>
          </w:p>
        </w:tc>
        <w:tc>
          <w:tcPr>
            <w:tcW w:w="7475" w:type="dxa"/>
            <w:shd w:val="clear" w:color="auto" w:fill="auto"/>
          </w:tcPr>
          <w:p w:rsidRPr="008716FB" w:rsidR="00E10C35" w:rsidP="00EE54B5" w:rsidRDefault="00E10C35" w14:paraId="26FC9246" w14:textId="644CB5AB">
            <w:pPr>
              <w:tabs>
                <w:tab w:val="left" w:pos="1260"/>
              </w:tabs>
            </w:pPr>
            <w:r w:rsidRPr="008716FB">
              <w:t xml:space="preserve">Tyson Siegele </w:t>
            </w:r>
            <w:r w:rsidRPr="008716FB" w:rsidR="00BE4109">
              <w:t>Biography</w:t>
            </w:r>
          </w:p>
        </w:tc>
      </w:tr>
      <w:tr w:rsidRPr="008716FB" w:rsidR="008716FB" w:rsidTr="00EE54B5" w14:paraId="60F79D07" w14:textId="77777777">
        <w:tc>
          <w:tcPr>
            <w:tcW w:w="1885" w:type="dxa"/>
            <w:shd w:val="clear" w:color="auto" w:fill="auto"/>
          </w:tcPr>
          <w:p w:rsidRPr="008716FB" w:rsidR="00E10C35" w:rsidP="00EE54B5" w:rsidRDefault="003D099B" w14:paraId="0D413C20" w14:textId="0EACCCBE">
            <w:pPr>
              <w:tabs>
                <w:tab w:val="left" w:pos="1260"/>
              </w:tabs>
              <w:jc w:val="center"/>
            </w:pPr>
            <w:r w:rsidRPr="008716FB">
              <w:t>Attmt #</w:t>
            </w:r>
            <w:r w:rsidRPr="008716FB" w:rsidR="00E10C35">
              <w:t>4</w:t>
            </w:r>
          </w:p>
        </w:tc>
        <w:tc>
          <w:tcPr>
            <w:tcW w:w="7475" w:type="dxa"/>
            <w:shd w:val="clear" w:color="auto" w:fill="auto"/>
          </w:tcPr>
          <w:p w:rsidRPr="008716FB" w:rsidR="00E10C35" w:rsidP="00EE54B5" w:rsidRDefault="00E10C35" w14:paraId="1AAC59A4" w14:textId="662BA5C2">
            <w:pPr>
              <w:tabs>
                <w:tab w:val="left" w:pos="1260"/>
              </w:tabs>
            </w:pPr>
            <w:r w:rsidRPr="008716FB">
              <w:t>Julia Severson Resume</w:t>
            </w:r>
          </w:p>
        </w:tc>
      </w:tr>
      <w:tr w:rsidRPr="008716FB" w:rsidR="008716FB" w:rsidTr="00EE54B5" w14:paraId="66B2F27D" w14:textId="77777777">
        <w:tc>
          <w:tcPr>
            <w:tcW w:w="1885" w:type="dxa"/>
            <w:shd w:val="clear" w:color="auto" w:fill="auto"/>
          </w:tcPr>
          <w:p w:rsidRPr="008716FB" w:rsidR="003D099B" w:rsidP="00EE54B5" w:rsidRDefault="003D099B" w14:paraId="52F45FCE" w14:textId="515D80AF">
            <w:pPr>
              <w:tabs>
                <w:tab w:val="left" w:pos="1260"/>
              </w:tabs>
              <w:jc w:val="center"/>
            </w:pPr>
            <w:r w:rsidRPr="008716FB">
              <w:t>Comment #1</w:t>
            </w:r>
          </w:p>
        </w:tc>
        <w:tc>
          <w:tcPr>
            <w:tcW w:w="7475" w:type="dxa"/>
            <w:shd w:val="clear" w:color="auto" w:fill="auto"/>
          </w:tcPr>
          <w:p w:rsidRPr="008716FB" w:rsidR="003D099B" w:rsidP="00EE54B5" w:rsidRDefault="003D099B" w14:paraId="25CEADD9" w14:textId="77777777">
            <w:pPr>
              <w:tabs>
                <w:tab w:val="left" w:pos="1260"/>
              </w:tabs>
              <w:spacing w:after="240"/>
            </w:pPr>
            <w:r w:rsidRPr="008716FB">
              <w:t xml:space="preserve">Basis for rate of Bill Powers: </w:t>
            </w:r>
          </w:p>
          <w:p w:rsidRPr="008716FB" w:rsidR="00A40A32" w:rsidP="00EE54B5" w:rsidRDefault="003D099B" w14:paraId="782E1663" w14:textId="524E15E4">
            <w:pPr>
              <w:tabs>
                <w:tab w:val="left" w:pos="1260"/>
              </w:tabs>
              <w:spacing w:after="240"/>
            </w:pPr>
            <w:r w:rsidRPr="008716FB">
              <w:t>D.19</w:t>
            </w:r>
            <w:r w:rsidR="0092038A">
              <w:noBreakHyphen/>
            </w:r>
            <w:r w:rsidRPr="008716FB">
              <w:t>04</w:t>
            </w:r>
            <w:r w:rsidR="0092038A">
              <w:noBreakHyphen/>
            </w:r>
            <w:r w:rsidRPr="008716FB">
              <w:t>031 established a rate of $258 for 2018</w:t>
            </w:r>
            <w:r w:rsidRPr="008716FB" w:rsidR="00A40A32">
              <w:t xml:space="preserve">, PCF requested a 5% step increase for </w:t>
            </w:r>
            <w:r w:rsidR="0092038A">
              <w:t>Mr. </w:t>
            </w:r>
            <w:r w:rsidRPr="008716FB" w:rsidR="00A40A32">
              <w:t>Powers for 2018</w:t>
            </w:r>
            <w:r w:rsidRPr="008716FB">
              <w:t xml:space="preserve"> which is $271 for 2018. For 2019,</w:t>
            </w:r>
            <w:r w:rsidRPr="008716FB" w:rsidR="00A40A32">
              <w:t xml:space="preserve"> PCF requests the </w:t>
            </w:r>
            <w:r w:rsidRPr="008716FB">
              <w:t>2.35% COLA adjustment per ALJ</w:t>
            </w:r>
            <w:r w:rsidR="0092038A">
              <w:noBreakHyphen/>
            </w:r>
            <w:r w:rsidRPr="008716FB">
              <w:t xml:space="preserve">357, plus second 5% step increase. </w:t>
            </w:r>
          </w:p>
          <w:p w:rsidRPr="008716FB" w:rsidR="003D099B" w:rsidP="008738CA" w:rsidRDefault="003D099B" w14:paraId="231E7C81" w14:textId="6CE297E6">
            <w:r w:rsidRPr="008716FB">
              <w:t xml:space="preserve">2018: $258 + 5% </w:t>
            </w:r>
            <w:r w:rsidRPr="008716FB" w:rsidR="00A40A32">
              <w:t xml:space="preserve">step increase </w:t>
            </w:r>
            <w:r w:rsidRPr="008716FB">
              <w:t>= $27</w:t>
            </w:r>
            <w:r w:rsidRPr="008716FB" w:rsidR="00A40A32">
              <w:t>1</w:t>
            </w:r>
          </w:p>
          <w:p w:rsidRPr="008716FB" w:rsidR="00A40A32" w:rsidP="00EE54B5" w:rsidRDefault="003D099B" w14:paraId="73ACF9E1" w14:textId="7C62BC1D">
            <w:pPr>
              <w:tabs>
                <w:tab w:val="left" w:pos="1260"/>
              </w:tabs>
              <w:spacing w:after="240"/>
            </w:pPr>
            <w:r w:rsidRPr="008716FB">
              <w:t>2019: $27</w:t>
            </w:r>
            <w:r w:rsidRPr="008716FB" w:rsidR="00A40A32">
              <w:t>1</w:t>
            </w:r>
            <w:r w:rsidRPr="008716FB">
              <w:t xml:space="preserve"> + </w:t>
            </w:r>
            <w:r w:rsidRPr="008716FB" w:rsidR="00A40A32">
              <w:t>COLA = 278 + 5% step increase = $291</w:t>
            </w:r>
          </w:p>
          <w:p w:rsidRPr="008716FB" w:rsidR="00A40A32" w:rsidP="00EE54B5" w:rsidRDefault="00A40A32" w14:paraId="5C0AF2FE" w14:textId="43FED8DD">
            <w:pPr>
              <w:tabs>
                <w:tab w:val="left" w:pos="1260"/>
              </w:tabs>
              <w:spacing w:after="240"/>
            </w:pPr>
            <w:r w:rsidRPr="008716FB">
              <w:t>Both hourly rates are pending decision in proceeding R.16</w:t>
            </w:r>
            <w:r w:rsidR="0092038A">
              <w:noBreakHyphen/>
            </w:r>
            <w:r w:rsidRPr="008716FB">
              <w:t>02</w:t>
            </w:r>
            <w:r w:rsidR="0092038A">
              <w:noBreakHyphen/>
            </w:r>
            <w:r w:rsidRPr="008716FB">
              <w:t xml:space="preserve">007 on an intervenor compensation claim that PCF filed on June 28, 2019. </w:t>
            </w:r>
          </w:p>
          <w:p w:rsidRPr="008716FB" w:rsidR="003D099B" w:rsidP="00EE54B5" w:rsidRDefault="00A40A32" w14:paraId="040C4B57" w14:textId="22CB765B">
            <w:pPr>
              <w:tabs>
                <w:tab w:val="left" w:pos="1260"/>
              </w:tabs>
              <w:spacing w:after="240"/>
            </w:pPr>
            <w:r w:rsidRPr="008716FB">
              <w:t>2020: $291 + COLA</w:t>
            </w:r>
            <w:r w:rsidRPr="008716FB" w:rsidR="00D2080E">
              <w:t xml:space="preserve"> to be added for 2020 when COLA is issued. </w:t>
            </w:r>
          </w:p>
        </w:tc>
      </w:tr>
      <w:tr w:rsidRPr="008716FB" w:rsidR="008716FB" w:rsidTr="00EE54B5" w14:paraId="489C962F" w14:textId="77777777">
        <w:tc>
          <w:tcPr>
            <w:tcW w:w="1885" w:type="dxa"/>
            <w:shd w:val="clear" w:color="auto" w:fill="auto"/>
          </w:tcPr>
          <w:p w:rsidRPr="008716FB" w:rsidR="003D099B" w:rsidP="00EE54B5" w:rsidRDefault="003D099B" w14:paraId="47C37622" w14:textId="2C876675">
            <w:pPr>
              <w:tabs>
                <w:tab w:val="left" w:pos="1260"/>
              </w:tabs>
              <w:jc w:val="center"/>
            </w:pPr>
            <w:r w:rsidRPr="008716FB">
              <w:t>Comment #2</w:t>
            </w:r>
          </w:p>
        </w:tc>
        <w:tc>
          <w:tcPr>
            <w:tcW w:w="7475" w:type="dxa"/>
            <w:shd w:val="clear" w:color="auto" w:fill="auto"/>
          </w:tcPr>
          <w:p w:rsidRPr="008716FB" w:rsidR="00A40A32" w:rsidP="008738CA" w:rsidRDefault="003D099B" w14:paraId="5916A250" w14:textId="545DBD30">
            <w:pPr>
              <w:tabs>
                <w:tab w:val="left" w:pos="1260"/>
              </w:tabs>
            </w:pPr>
            <w:r w:rsidRPr="008716FB">
              <w:t>Basis for rate of Tyson Siegele:</w:t>
            </w:r>
          </w:p>
          <w:p w:rsidRPr="008716FB" w:rsidR="003D099B" w:rsidP="008738CA" w:rsidRDefault="00A6636C" w14:paraId="3745E9D6" w14:textId="7BCE6831">
            <w:pPr>
              <w:tabs>
                <w:tab w:val="left" w:pos="1260"/>
              </w:tabs>
            </w:pPr>
            <w:r w:rsidRPr="008716FB">
              <w:t xml:space="preserve">2018: PCF requested an hourly rate for </w:t>
            </w:r>
            <w:r w:rsidR="0092038A">
              <w:t>Mr. </w:t>
            </w:r>
            <w:r w:rsidRPr="008716FB">
              <w:t>Siegele per ALJ</w:t>
            </w:r>
            <w:r w:rsidR="0092038A">
              <w:noBreakHyphen/>
            </w:r>
            <w:r w:rsidRPr="008716FB">
              <w:t>357 = $260</w:t>
            </w:r>
          </w:p>
          <w:p w:rsidRPr="008716FB" w:rsidR="00A6636C" w:rsidP="00EE54B5" w:rsidRDefault="00A6636C" w14:paraId="3694045C" w14:textId="2B2FCA62">
            <w:pPr>
              <w:tabs>
                <w:tab w:val="left" w:pos="1260"/>
              </w:tabs>
              <w:spacing w:after="240"/>
            </w:pPr>
            <w:r w:rsidRPr="008716FB">
              <w:t>2019: PCF requested an hourly rate for MR. Siegele equal to the 2018 requested rate + 2.35% COLA = $266</w:t>
            </w:r>
          </w:p>
          <w:p w:rsidRPr="008716FB" w:rsidR="00A6636C" w:rsidP="00EE54B5" w:rsidRDefault="00A6636C" w14:paraId="142CB31C" w14:textId="15754FFC">
            <w:pPr>
              <w:tabs>
                <w:tab w:val="left" w:pos="1260"/>
              </w:tabs>
              <w:spacing w:after="240"/>
            </w:pPr>
            <w:r w:rsidRPr="008716FB">
              <w:t>Both hourly rates are pending decision in proceeding R.16</w:t>
            </w:r>
            <w:r w:rsidR="0092038A">
              <w:noBreakHyphen/>
            </w:r>
            <w:r w:rsidRPr="008716FB">
              <w:t>02</w:t>
            </w:r>
            <w:r w:rsidR="0092038A">
              <w:noBreakHyphen/>
            </w:r>
            <w:r w:rsidRPr="008716FB">
              <w:t xml:space="preserve">007 on an intervenor compensation claim that PCF filed on June 28, 2019. </w:t>
            </w:r>
          </w:p>
          <w:p w:rsidRPr="008716FB" w:rsidR="00A6636C" w:rsidP="00EE54B5" w:rsidRDefault="00A6636C" w14:paraId="3097BF8F" w14:textId="3EC46B37">
            <w:pPr>
              <w:tabs>
                <w:tab w:val="left" w:pos="1260"/>
              </w:tabs>
              <w:spacing w:after="240"/>
            </w:pPr>
            <w:r w:rsidRPr="008716FB">
              <w:t>2020: $266 + 5% step increase = $280 (rounded to nearest $5) + COLA</w:t>
            </w:r>
            <w:r w:rsidRPr="008716FB" w:rsidR="00D2080E">
              <w:t xml:space="preserve"> to be added for 2020 when COLA is issued.</w:t>
            </w:r>
          </w:p>
        </w:tc>
      </w:tr>
      <w:tr w:rsidRPr="008716FB" w:rsidR="008716FB" w:rsidTr="00EE54B5" w14:paraId="3D476A9D" w14:textId="77777777">
        <w:tc>
          <w:tcPr>
            <w:tcW w:w="1885" w:type="dxa"/>
            <w:shd w:val="clear" w:color="auto" w:fill="auto"/>
          </w:tcPr>
          <w:p w:rsidRPr="008716FB" w:rsidR="003D099B" w:rsidP="00EE54B5" w:rsidRDefault="003D099B" w14:paraId="582E39C9" w14:textId="410FB49C">
            <w:pPr>
              <w:tabs>
                <w:tab w:val="left" w:pos="1260"/>
              </w:tabs>
              <w:jc w:val="center"/>
            </w:pPr>
            <w:r w:rsidRPr="008716FB">
              <w:t>Comment #3</w:t>
            </w:r>
          </w:p>
        </w:tc>
        <w:tc>
          <w:tcPr>
            <w:tcW w:w="7475" w:type="dxa"/>
            <w:shd w:val="clear" w:color="auto" w:fill="auto"/>
          </w:tcPr>
          <w:p w:rsidRPr="008716FB" w:rsidR="003D099B" w:rsidP="008738CA" w:rsidRDefault="003D099B" w14:paraId="047FFE0C" w14:textId="77777777">
            <w:pPr>
              <w:tabs>
                <w:tab w:val="left" w:pos="1260"/>
              </w:tabs>
            </w:pPr>
            <w:r w:rsidRPr="008716FB">
              <w:t>Basis for rate of Julia Severson:</w:t>
            </w:r>
          </w:p>
          <w:p w:rsidRPr="008716FB" w:rsidR="003D099B" w:rsidP="00EE54B5" w:rsidRDefault="003D099B" w14:paraId="006BA938" w14:textId="460374BD">
            <w:pPr>
              <w:tabs>
                <w:tab w:val="left" w:pos="1260"/>
              </w:tabs>
              <w:spacing w:after="240"/>
            </w:pPr>
            <w:r w:rsidRPr="008716FB">
              <w:t>Julia Severson is an advocate at The Protect Our Communities Foundation. Recent rates approved for similar positions have been $130 or higher (D.18</w:t>
            </w:r>
            <w:r w:rsidR="0092038A">
              <w:noBreakHyphen/>
            </w:r>
            <w:r w:rsidRPr="008716FB">
              <w:t>10</w:t>
            </w:r>
            <w:r w:rsidR="0092038A">
              <w:noBreakHyphen/>
            </w:r>
            <w:r w:rsidRPr="008716FB">
              <w:t>017</w:t>
            </w:r>
            <w:r w:rsidRPr="008716FB" w:rsidR="00A6636C">
              <w:t>, Paralegal; D.18</w:t>
            </w:r>
            <w:r w:rsidR="0092038A">
              <w:noBreakHyphen/>
            </w:r>
            <w:r w:rsidRPr="008716FB" w:rsidR="00A6636C">
              <w:t>09</w:t>
            </w:r>
            <w:r w:rsidR="0092038A">
              <w:noBreakHyphen/>
            </w:r>
            <w:r w:rsidRPr="008716FB" w:rsidR="00A6636C">
              <w:t>039, D.19</w:t>
            </w:r>
            <w:r w:rsidR="0092038A">
              <w:noBreakHyphen/>
            </w:r>
            <w:r w:rsidRPr="008716FB" w:rsidR="00A6636C">
              <w:t>05</w:t>
            </w:r>
            <w:r w:rsidR="0092038A">
              <w:noBreakHyphen/>
            </w:r>
            <w:r w:rsidRPr="008716FB" w:rsidR="00A6636C">
              <w:t>035, D.19</w:t>
            </w:r>
            <w:r w:rsidR="0092038A">
              <w:noBreakHyphen/>
            </w:r>
            <w:r w:rsidRPr="008716FB" w:rsidR="00A6636C">
              <w:t>04</w:t>
            </w:r>
            <w:r w:rsidR="0092038A">
              <w:noBreakHyphen/>
            </w:r>
            <w:r w:rsidRPr="008716FB" w:rsidR="00A6636C">
              <w:t xml:space="preserve">031, Law Clerk). Given </w:t>
            </w:r>
            <w:r w:rsidR="0092038A">
              <w:t>Ms. </w:t>
            </w:r>
            <w:r w:rsidRPr="008716FB" w:rsidR="00A6636C">
              <w:t xml:space="preserve">Severson’s experience, PCF’s claimed rate falls within, and at the lower end of, rates provided to persons with similar abilities. </w:t>
            </w:r>
            <w:r w:rsidR="0092038A">
              <w:t>Ms. </w:t>
            </w:r>
            <w:r w:rsidRPr="008716FB" w:rsidR="00A6636C">
              <w:t xml:space="preserve">Severson’s resume is attached. </w:t>
            </w:r>
          </w:p>
        </w:tc>
      </w:tr>
    </w:tbl>
    <w:p w:rsidRPr="008716FB" w:rsidR="00A92D0B" w:rsidP="00712BE7" w:rsidRDefault="00A92D0B" w14:paraId="0D8B7003" w14:textId="74EDC5D7">
      <w:pPr>
        <w:keepNext/>
        <w:numPr>
          <w:ilvl w:val="0"/>
          <w:numId w:val="10"/>
        </w:numPr>
        <w:spacing w:before="240" w:after="240"/>
        <w:rPr>
          <w:b/>
        </w:rPr>
      </w:pPr>
      <w:r w:rsidRPr="008716FB">
        <w:rPr>
          <w:b/>
        </w:rPr>
        <w:lastRenderedPageBreak/>
        <w:t xml:space="preserve">CPUC </w:t>
      </w:r>
      <w:r w:rsidRPr="008716FB" w:rsidR="008C09F7">
        <w:rPr>
          <w:b/>
        </w:rPr>
        <w:t xml:space="preserve">Comments, </w:t>
      </w:r>
      <w:r w:rsidRPr="008716FB">
        <w:rPr>
          <w:b/>
        </w:rPr>
        <w:t>Disallowances</w:t>
      </w:r>
      <w:r w:rsidRPr="008716FB" w:rsidR="008C09F7">
        <w:rPr>
          <w:b/>
        </w:rPr>
        <w:t>,</w:t>
      </w:r>
      <w:r w:rsidRPr="008716FB" w:rsidR="00D075B1">
        <w:rPr>
          <w:b/>
        </w:rPr>
        <w:t xml:space="preserve"> </w:t>
      </w:r>
      <w:r w:rsidRPr="008716FB" w:rsidR="00A319DE">
        <w:rPr>
          <w:b/>
        </w:rPr>
        <w:t>and</w:t>
      </w:r>
      <w:r w:rsidRPr="008716FB" w:rsidR="00D075B1">
        <w:rPr>
          <w:b/>
        </w:rPr>
        <w:t xml:space="preserve"> </w:t>
      </w:r>
      <w:r w:rsidRPr="008716FB">
        <w:rPr>
          <w:b/>
        </w:rPr>
        <w:t xml:space="preserve">Adjustments </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1524"/>
        <w:gridCol w:w="7836"/>
      </w:tblGrid>
      <w:tr w:rsidRPr="008716FB" w:rsidR="008716FB" w:rsidTr="006558EF" w14:paraId="52CD0603" w14:textId="77777777">
        <w:trPr>
          <w:tblHeader/>
        </w:trPr>
        <w:tc>
          <w:tcPr>
            <w:tcW w:w="1524" w:type="dxa"/>
            <w:shd w:val="pct12" w:color="auto" w:fill="auto"/>
            <w:vAlign w:val="bottom"/>
          </w:tcPr>
          <w:p w:rsidRPr="008716FB" w:rsidR="00A92D0B" w:rsidP="00443AB5" w:rsidRDefault="00072C81" w14:paraId="3954EC4C" w14:textId="77777777">
            <w:pPr>
              <w:keepNext/>
              <w:tabs>
                <w:tab w:val="left" w:pos="1440"/>
              </w:tabs>
              <w:jc w:val="center"/>
              <w:rPr>
                <w:b/>
              </w:rPr>
            </w:pPr>
            <w:r w:rsidRPr="008716FB">
              <w:rPr>
                <w:b/>
              </w:rPr>
              <w:t>Item</w:t>
            </w:r>
          </w:p>
        </w:tc>
        <w:tc>
          <w:tcPr>
            <w:tcW w:w="7836" w:type="dxa"/>
            <w:shd w:val="pct12" w:color="auto" w:fill="auto"/>
            <w:vAlign w:val="bottom"/>
          </w:tcPr>
          <w:p w:rsidRPr="008716FB" w:rsidR="00A92D0B" w:rsidP="00443AB5" w:rsidRDefault="00A92D0B" w14:paraId="09F9E4D9" w14:textId="77777777">
            <w:pPr>
              <w:keepNext/>
              <w:tabs>
                <w:tab w:val="left" w:pos="1440"/>
              </w:tabs>
              <w:jc w:val="center"/>
              <w:rPr>
                <w:b/>
              </w:rPr>
            </w:pPr>
            <w:r w:rsidRPr="008716FB">
              <w:rPr>
                <w:b/>
              </w:rPr>
              <w:t>Reason</w:t>
            </w:r>
          </w:p>
        </w:tc>
      </w:tr>
      <w:tr w:rsidRPr="008716FB" w:rsidR="008716FB" w:rsidTr="006558EF" w14:paraId="69DEE01C" w14:textId="77777777">
        <w:tc>
          <w:tcPr>
            <w:tcW w:w="1524" w:type="dxa"/>
            <w:shd w:val="clear" w:color="auto" w:fill="auto"/>
          </w:tcPr>
          <w:p w:rsidRPr="008716FB" w:rsidR="00A92D0B" w:rsidP="00B200FD" w:rsidRDefault="005C4815" w14:paraId="1E6C8F3D" w14:textId="78A23464">
            <w:pPr>
              <w:tabs>
                <w:tab w:val="left" w:pos="1440"/>
              </w:tabs>
              <w:jc w:val="center"/>
            </w:pPr>
            <w:r w:rsidRPr="008716FB">
              <w:t>[1]</w:t>
            </w:r>
          </w:p>
        </w:tc>
        <w:tc>
          <w:tcPr>
            <w:tcW w:w="7836" w:type="dxa"/>
            <w:shd w:val="clear" w:color="auto" w:fill="auto"/>
          </w:tcPr>
          <w:p w:rsidRPr="008716FB" w:rsidR="007B5FBB" w:rsidP="00B200FD" w:rsidRDefault="007B5FBB" w14:paraId="45BFCB16" w14:textId="77AD0A01">
            <w:pPr>
              <w:tabs>
                <w:tab w:val="left" w:pos="1440"/>
              </w:tabs>
            </w:pPr>
            <w:r w:rsidRPr="008716FB">
              <w:t>Bill Powers’ 2020 Rate of $295.00 was verified with D.21</w:t>
            </w:r>
            <w:r w:rsidR="0092038A">
              <w:noBreakHyphen/>
            </w:r>
            <w:r w:rsidRPr="008716FB">
              <w:t>08</w:t>
            </w:r>
            <w:r w:rsidR="0092038A">
              <w:noBreakHyphen/>
            </w:r>
            <w:r w:rsidRPr="008716FB">
              <w:t>018</w:t>
            </w:r>
          </w:p>
        </w:tc>
      </w:tr>
      <w:tr w:rsidRPr="008716FB" w:rsidR="008716FB" w:rsidTr="006558EF" w14:paraId="0841936E" w14:textId="77777777">
        <w:tc>
          <w:tcPr>
            <w:tcW w:w="1524" w:type="dxa"/>
            <w:shd w:val="clear" w:color="auto" w:fill="auto"/>
          </w:tcPr>
          <w:p w:rsidRPr="008716FB" w:rsidR="005C4815" w:rsidP="00B200FD" w:rsidRDefault="005C4815" w14:paraId="371C47CC" w14:textId="4FF37A5C">
            <w:pPr>
              <w:tabs>
                <w:tab w:val="left" w:pos="1440"/>
              </w:tabs>
              <w:jc w:val="center"/>
            </w:pPr>
            <w:r w:rsidRPr="008716FB">
              <w:t>[2]</w:t>
            </w:r>
          </w:p>
        </w:tc>
        <w:tc>
          <w:tcPr>
            <w:tcW w:w="7836" w:type="dxa"/>
            <w:shd w:val="clear" w:color="auto" w:fill="auto"/>
          </w:tcPr>
          <w:p w:rsidRPr="008716FB" w:rsidR="001178BA" w:rsidP="00B200FD" w:rsidRDefault="003A22D6" w14:paraId="75C12B6E" w14:textId="63B23157">
            <w:pPr>
              <w:tabs>
                <w:tab w:val="left" w:pos="1440"/>
              </w:tabs>
              <w:spacing w:after="240"/>
            </w:pPr>
            <w:r w:rsidRPr="008716FB">
              <w:t>During the verification process of the claimed substantial contributions in Part II.A, a number of the claimed contributions were found to not substantially contribute to the decision</w:t>
            </w:r>
            <w:r w:rsidRPr="008716FB" w:rsidR="00807226">
              <w:t xml:space="preserve"> </w:t>
            </w:r>
            <w:r w:rsidRPr="008716FB" w:rsidR="00582B55">
              <w:t>and/</w:t>
            </w:r>
            <w:r w:rsidRPr="008716FB" w:rsidR="00807226">
              <w:t>or citing the decision’s summary of party comments as the primary source of claimed substantial contribution</w:t>
            </w:r>
            <w:r w:rsidRPr="008716FB">
              <w:t>. In particular, the Hybrid Resource Qualifying Capacity</w:t>
            </w:r>
            <w:r w:rsidRPr="008716FB" w:rsidR="009D67BD">
              <w:t xml:space="preserve"> and </w:t>
            </w:r>
            <w:r w:rsidRPr="008716FB">
              <w:t>Demand Response issues</w:t>
            </w:r>
            <w:r w:rsidRPr="008716FB" w:rsidR="009D67BD">
              <w:t xml:space="preserve"> largely restated other parties’ comments and/or the Working Group Report and we have disallowed the issues, containing 10% of requested hours per issue.</w:t>
            </w:r>
          </w:p>
          <w:p w:rsidRPr="008716FB" w:rsidR="00604C55" w:rsidP="00B200FD" w:rsidRDefault="00604C55" w14:paraId="6B9BE95C" w14:textId="402B9E1B">
            <w:pPr>
              <w:tabs>
                <w:tab w:val="left" w:pos="1440"/>
              </w:tabs>
              <w:spacing w:after="240"/>
            </w:pPr>
            <w:r w:rsidRPr="008716FB">
              <w:t xml:space="preserve">Similarly, the MCC Bucket issue also contained claimed contributions found not to contribute to the overall decision, therefore we are reducing the hours associated with the issue by 50%, to which MCC Bucket represents 20% of the </w:t>
            </w:r>
            <w:r w:rsidRPr="008716FB" w:rsidR="00232C2E">
              <w:t xml:space="preserve">total </w:t>
            </w:r>
            <w:r w:rsidRPr="008716FB">
              <w:t>claimed hours.</w:t>
            </w:r>
          </w:p>
          <w:p w:rsidRPr="008716FB" w:rsidR="00604C55" w:rsidP="00B200FD" w:rsidRDefault="001256E6" w14:paraId="3B5A9FEF" w14:textId="27614E3A">
            <w:pPr>
              <w:tabs>
                <w:tab w:val="left" w:pos="1440"/>
              </w:tabs>
              <w:spacing w:after="240"/>
            </w:pPr>
            <w:r w:rsidRPr="008716FB">
              <w:t xml:space="preserve">Hour Allocation </w:t>
            </w:r>
            <w:r w:rsidRPr="008716FB" w:rsidR="00604C55">
              <w:t>Reduction Breakdown</w:t>
            </w:r>
            <w:r w:rsidRPr="008716FB" w:rsidR="00232C2E">
              <w:t xml:space="preserve"> (10% per Issue)</w:t>
            </w:r>
            <w:r w:rsidRPr="008716FB" w:rsidR="00604C55">
              <w:t>:</w:t>
            </w:r>
          </w:p>
          <w:p w:rsidRPr="008716FB" w:rsidR="001256E6" w:rsidP="00B200FD" w:rsidRDefault="001256E6" w14:paraId="547437C6" w14:textId="098C7C80">
            <w:pPr>
              <w:tabs>
                <w:tab w:val="left" w:pos="1440"/>
              </w:tabs>
              <w:spacing w:after="240"/>
            </w:pPr>
            <w:r w:rsidRPr="008716FB">
              <w:t>Total Requested Hours: 234</w:t>
            </w:r>
          </w:p>
          <w:p w:rsidRPr="008716FB" w:rsidR="00604C55" w:rsidP="00B200FD" w:rsidRDefault="001256E6" w14:paraId="3143D9E5" w14:textId="77777777">
            <w:pPr>
              <w:tabs>
                <w:tab w:val="left" w:pos="1440"/>
              </w:tabs>
              <w:spacing w:after="240"/>
            </w:pPr>
            <w:r w:rsidRPr="008716FB">
              <w:t>MCC Buckets = 23.4 hours</w:t>
            </w:r>
          </w:p>
          <w:p w:rsidRPr="008716FB" w:rsidR="001256E6" w:rsidP="00B200FD" w:rsidRDefault="001256E6" w14:paraId="3AA844C0" w14:textId="613E70B7">
            <w:pPr>
              <w:tabs>
                <w:tab w:val="left" w:pos="1440"/>
              </w:tabs>
              <w:spacing w:after="240"/>
            </w:pPr>
            <w:r w:rsidRPr="008716FB">
              <w:t xml:space="preserve">Hybrid Resource Qualifying </w:t>
            </w:r>
            <w:r w:rsidRPr="008716FB" w:rsidR="00BE0257">
              <w:t>Capacity</w:t>
            </w:r>
            <w:r w:rsidRPr="008716FB">
              <w:t xml:space="preserve"> = 23.4 hours</w:t>
            </w:r>
          </w:p>
          <w:p w:rsidRPr="008716FB" w:rsidR="001256E6" w:rsidP="00B200FD" w:rsidRDefault="001256E6" w14:paraId="6B45A44D" w14:textId="77777777">
            <w:pPr>
              <w:tabs>
                <w:tab w:val="left" w:pos="1440"/>
              </w:tabs>
              <w:spacing w:after="240"/>
            </w:pPr>
            <w:r w:rsidRPr="008716FB">
              <w:t>Demand Response = 23.4 Hours</w:t>
            </w:r>
          </w:p>
          <w:p w:rsidRPr="008716FB" w:rsidR="00232C2E" w:rsidP="00B200FD" w:rsidRDefault="00232C2E" w14:paraId="52FB2830" w14:textId="37A5DCBE">
            <w:pPr>
              <w:tabs>
                <w:tab w:val="left" w:pos="1440"/>
              </w:tabs>
              <w:spacing w:after="240"/>
            </w:pPr>
            <w:r w:rsidRPr="008716FB">
              <w:t>Total Hour Reduction for MCC, HRQC and DR issues is 70.2 Hours</w:t>
            </w:r>
            <w:r w:rsidRPr="008716FB" w:rsidR="00711C45">
              <w:t xml:space="preserve"> for failure to make a substantial contribution.</w:t>
            </w:r>
          </w:p>
        </w:tc>
      </w:tr>
      <w:tr w:rsidRPr="008716FB" w:rsidR="008716FB" w:rsidTr="006558EF" w14:paraId="3728FD9A" w14:textId="77777777">
        <w:tc>
          <w:tcPr>
            <w:tcW w:w="1524" w:type="dxa"/>
            <w:shd w:val="clear" w:color="auto" w:fill="auto"/>
          </w:tcPr>
          <w:p w:rsidRPr="008716FB" w:rsidR="00232C2E" w:rsidP="00B200FD" w:rsidRDefault="00232C2E" w14:paraId="57C6219E" w14:textId="241F3707">
            <w:pPr>
              <w:tabs>
                <w:tab w:val="left" w:pos="1440"/>
              </w:tabs>
              <w:jc w:val="center"/>
            </w:pPr>
            <w:r w:rsidRPr="008716FB">
              <w:t>[3]</w:t>
            </w:r>
          </w:p>
        </w:tc>
        <w:tc>
          <w:tcPr>
            <w:tcW w:w="7836" w:type="dxa"/>
            <w:shd w:val="clear" w:color="auto" w:fill="auto"/>
          </w:tcPr>
          <w:p w:rsidR="00232C2E" w:rsidP="00B200FD" w:rsidRDefault="00232C2E" w14:paraId="36AC38E8" w14:textId="77777777">
            <w:pPr>
              <w:tabs>
                <w:tab w:val="left" w:pos="1440"/>
              </w:tabs>
              <w:spacing w:after="240"/>
            </w:pPr>
            <w:r w:rsidRPr="008716FB">
              <w:t xml:space="preserve">Upon verification of the submitted timesheets, entries from 4/3 to 4/12 contained work associated to Track 1 and other works </w:t>
            </w:r>
            <w:r w:rsidRPr="008716FB" w:rsidR="009A6068">
              <w:t xml:space="preserve">in a different proceeding, totaling 24.5 hours. </w:t>
            </w:r>
            <w:r w:rsidRPr="008716FB" w:rsidR="00F73F22">
              <w:t xml:space="preserve">We disallow for work </w:t>
            </w:r>
            <w:r w:rsidRPr="008716FB" w:rsidR="00711C45">
              <w:t>performed in another proceeding or track</w:t>
            </w:r>
            <w:r w:rsidRPr="008716FB" w:rsidR="00D33965">
              <w:t>.</w:t>
            </w:r>
          </w:p>
          <w:p w:rsidRPr="008716FB" w:rsidR="00594AE5" w:rsidP="00B200FD" w:rsidRDefault="00594AE5" w14:paraId="67049DDC" w14:textId="77D2352C">
            <w:pPr>
              <w:tabs>
                <w:tab w:val="left" w:pos="1440"/>
              </w:tabs>
              <w:spacing w:after="240"/>
            </w:pPr>
            <w:r w:rsidRPr="00594AE5">
              <w:t xml:space="preserve">Track 1 issues were addressed in a separate decision, D.20-06-028, which was issued in a separate rulemaking, R.17-09-020.  A March 20, 2020 ruling notified that a decision on Track 1 issues would be issued in R.17-09-020.  PCF </w:t>
            </w:r>
            <w:r w:rsidR="001F7FCD">
              <w:t>was a party to</w:t>
            </w:r>
            <w:r w:rsidRPr="00594AE5">
              <w:t xml:space="preserve"> R.17-09-020.  This decision addresses substantial contributions for D.20-06-031, and PCF’s claimed contributions to Track 1 for D.20-06-028 are not applicable.</w:t>
            </w:r>
          </w:p>
        </w:tc>
      </w:tr>
      <w:tr w:rsidRPr="008716FB" w:rsidR="008716FB" w:rsidTr="006558EF" w14:paraId="52155EFC" w14:textId="77777777">
        <w:tc>
          <w:tcPr>
            <w:tcW w:w="1524" w:type="dxa"/>
            <w:shd w:val="clear" w:color="auto" w:fill="auto"/>
          </w:tcPr>
          <w:p w:rsidRPr="008716FB" w:rsidR="00A92D0B" w:rsidP="00B200FD" w:rsidRDefault="005C4815" w14:paraId="26487933" w14:textId="485CB71B">
            <w:pPr>
              <w:tabs>
                <w:tab w:val="left" w:pos="1440"/>
              </w:tabs>
              <w:jc w:val="center"/>
            </w:pPr>
            <w:r w:rsidRPr="008716FB">
              <w:t>[</w:t>
            </w:r>
            <w:r w:rsidR="00594AE5">
              <w:t>4</w:t>
            </w:r>
            <w:r w:rsidRPr="008716FB">
              <w:t>]</w:t>
            </w:r>
          </w:p>
        </w:tc>
        <w:tc>
          <w:tcPr>
            <w:tcW w:w="7836" w:type="dxa"/>
            <w:shd w:val="clear" w:color="auto" w:fill="auto"/>
          </w:tcPr>
          <w:p w:rsidRPr="008716FB" w:rsidR="001178BA" w:rsidP="00B200FD" w:rsidRDefault="001178BA" w14:paraId="1F21D06F" w14:textId="23784DEC">
            <w:pPr>
              <w:tabs>
                <w:tab w:val="left" w:pos="1440"/>
              </w:tabs>
              <w:spacing w:after="240"/>
            </w:pPr>
            <w:r w:rsidRPr="008716FB">
              <w:t>Tyson Siegele’s 2019 Rate of $270.00 was verified with D.21</w:t>
            </w:r>
            <w:r w:rsidR="0092038A">
              <w:noBreakHyphen/>
            </w:r>
            <w:r w:rsidRPr="008716FB">
              <w:t>03</w:t>
            </w:r>
            <w:r w:rsidR="0092038A">
              <w:noBreakHyphen/>
            </w:r>
            <w:r w:rsidRPr="008716FB">
              <w:t xml:space="preserve">039. Using the 2019 Rate as a basis, we apply the requested 5% step increase and the 2020 </w:t>
            </w:r>
            <w:r w:rsidRPr="008716FB">
              <w:lastRenderedPageBreak/>
              <w:t>2.55% COLA, bringing Tyson Siegele’s 2020 Rate to $290.00. The calculations are:</w:t>
            </w:r>
          </w:p>
          <w:p w:rsidRPr="008716FB" w:rsidR="001178BA" w:rsidP="00B200FD" w:rsidRDefault="001178BA" w14:paraId="6F45F5E8" w14:textId="77777777">
            <w:pPr>
              <w:tabs>
                <w:tab w:val="left" w:pos="1440"/>
              </w:tabs>
              <w:spacing w:after="240"/>
            </w:pPr>
            <w:r w:rsidRPr="008716FB">
              <w:t>$270.00 * .05 = 13.5 + 270 = $283.50</w:t>
            </w:r>
          </w:p>
          <w:p w:rsidRPr="008716FB" w:rsidR="001178BA" w:rsidP="00B200FD" w:rsidRDefault="001178BA" w14:paraId="69F7BF56" w14:textId="77777777">
            <w:pPr>
              <w:tabs>
                <w:tab w:val="left" w:pos="1440"/>
              </w:tabs>
              <w:spacing w:after="240"/>
            </w:pPr>
            <w:r w:rsidRPr="008716FB">
              <w:t>$283.50 * 0.0255 = $7.23 + 283.50 = $290.72</w:t>
            </w:r>
          </w:p>
          <w:p w:rsidRPr="008716FB" w:rsidR="00A92D0B" w:rsidP="00B200FD" w:rsidRDefault="001178BA" w14:paraId="455E6A00" w14:textId="60744266">
            <w:pPr>
              <w:tabs>
                <w:tab w:val="left" w:pos="1440"/>
              </w:tabs>
              <w:spacing w:after="240"/>
            </w:pPr>
            <w:r w:rsidRPr="008716FB">
              <w:t>Rounding to the nearest $5 increment brings Tyson Siegele’s 2020 Rate to $290.00.</w:t>
            </w:r>
          </w:p>
        </w:tc>
      </w:tr>
    </w:tbl>
    <w:p w:rsidRPr="008716FB" w:rsidR="00A92D0B" w:rsidP="008738CA" w:rsidRDefault="00A92D0B" w14:paraId="18E9D359" w14:textId="20989AE8">
      <w:pPr>
        <w:keepNext/>
        <w:spacing w:before="480"/>
        <w:jc w:val="center"/>
        <w:rPr>
          <w:b/>
        </w:rPr>
      </w:pPr>
      <w:r w:rsidRPr="008716FB">
        <w:rPr>
          <w:b/>
        </w:rPr>
        <w:lastRenderedPageBreak/>
        <w:t>PART IV:</w:t>
      </w:r>
      <w:r w:rsidR="008738CA">
        <w:rPr>
          <w:b/>
        </w:rPr>
        <w:t xml:space="preserve">  </w:t>
      </w:r>
      <w:r w:rsidRPr="008716FB">
        <w:rPr>
          <w:b/>
        </w:rPr>
        <w:t>OPPOSITIONS AND COMMENTS</w:t>
      </w:r>
    </w:p>
    <w:p w:rsidR="008738CA" w:rsidP="008738CA" w:rsidRDefault="00A92D0B" w14:paraId="7EB0B0F2" w14:textId="77777777">
      <w:pPr>
        <w:keepNext/>
        <w:tabs>
          <w:tab w:val="left" w:pos="1260"/>
        </w:tabs>
        <w:jc w:val="center"/>
        <w:rPr>
          <w:b/>
        </w:rPr>
      </w:pPr>
      <w:r w:rsidRPr="008716FB">
        <w:rPr>
          <w:b/>
        </w:rPr>
        <w:t>Within 30 days after service of this Claim, Commission Staff</w:t>
      </w:r>
      <w:r w:rsidRPr="008716FB" w:rsidR="00F20061">
        <w:rPr>
          <w:b/>
        </w:rPr>
        <w:t xml:space="preserve"> </w:t>
      </w:r>
    </w:p>
    <w:p w:rsidRPr="008716FB" w:rsidR="00A92D0B" w:rsidP="008738CA" w:rsidRDefault="00A92D0B" w14:paraId="5D5DC317" w14:textId="23009BA3">
      <w:pPr>
        <w:keepNext/>
        <w:tabs>
          <w:tab w:val="left" w:pos="1260"/>
        </w:tabs>
        <w:spacing w:after="240"/>
        <w:jc w:val="center"/>
        <w:rPr>
          <w:b/>
        </w:rPr>
      </w:pPr>
      <w:r w:rsidRPr="008716FB">
        <w:rPr>
          <w:b/>
        </w:rPr>
        <w:t>or any other party may file a response to the Claim (</w:t>
      </w:r>
      <w:r w:rsidRPr="008716FB">
        <w:rPr>
          <w:b/>
          <w:i/>
        </w:rPr>
        <w:t>see</w:t>
      </w:r>
      <w:r w:rsidRPr="008716FB">
        <w:rPr>
          <w:b/>
        </w:rPr>
        <w:t xml:space="preserve"> </w:t>
      </w:r>
      <w:r w:rsidR="00B31AE4">
        <w:rPr>
          <w:b/>
        </w:rPr>
        <w:t>§ </w:t>
      </w:r>
      <w:r w:rsidRPr="008716FB">
        <w:rPr>
          <w:b/>
        </w:rPr>
        <w:t>1804(c))</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7331"/>
        <w:gridCol w:w="2029"/>
      </w:tblGrid>
      <w:tr w:rsidRPr="008716FB" w:rsidR="00361A97" w:rsidTr="00712BE7" w14:paraId="46A51699" w14:textId="77777777">
        <w:tc>
          <w:tcPr>
            <w:tcW w:w="7331" w:type="dxa"/>
            <w:shd w:val="clear" w:color="auto" w:fill="auto"/>
          </w:tcPr>
          <w:p w:rsidRPr="008716FB" w:rsidR="00A92D0B" w:rsidP="00712BE7" w:rsidRDefault="00A92D0B" w14:paraId="607B1FB9" w14:textId="050ACC9F">
            <w:pPr>
              <w:keepNext/>
              <w:ind w:left="360" w:hanging="360"/>
            </w:pPr>
            <w:r w:rsidRPr="008716FB">
              <w:rPr>
                <w:b/>
              </w:rPr>
              <w:t>A.</w:t>
            </w:r>
            <w:r w:rsidR="00712BE7">
              <w:rPr>
                <w:b/>
              </w:rPr>
              <w:tab/>
            </w:r>
            <w:r w:rsidRPr="008716FB">
              <w:rPr>
                <w:b/>
              </w:rPr>
              <w:t>Opposition:  Did any party oppose the Claim?</w:t>
            </w:r>
          </w:p>
        </w:tc>
        <w:tc>
          <w:tcPr>
            <w:tcW w:w="2029" w:type="dxa"/>
            <w:shd w:val="clear" w:color="auto" w:fill="auto"/>
          </w:tcPr>
          <w:p w:rsidRPr="008716FB" w:rsidR="00A92D0B" w:rsidP="00712BE7" w:rsidRDefault="00F46801" w14:paraId="6E7CD931" w14:textId="79A4951B">
            <w:pPr>
              <w:jc w:val="center"/>
            </w:pPr>
            <w:r w:rsidRPr="008716FB">
              <w:t>No</w:t>
            </w:r>
          </w:p>
        </w:tc>
      </w:tr>
      <w:tr w:rsidRPr="008716FB" w:rsidR="00361A97" w:rsidTr="00712BE7" w14:paraId="7A0D8740" w14:textId="77777777">
        <w:tc>
          <w:tcPr>
            <w:tcW w:w="7331" w:type="dxa"/>
            <w:shd w:val="clear" w:color="auto" w:fill="auto"/>
          </w:tcPr>
          <w:p w:rsidRPr="008716FB" w:rsidR="00A92D0B" w:rsidP="00712BE7" w:rsidRDefault="00A92D0B" w14:paraId="37D28D8D" w14:textId="40E7AB88">
            <w:pPr>
              <w:ind w:left="360" w:hanging="360"/>
            </w:pPr>
            <w:r w:rsidRPr="008716FB">
              <w:rPr>
                <w:b/>
              </w:rPr>
              <w:t>B.</w:t>
            </w:r>
            <w:r w:rsidR="00712BE7">
              <w:rPr>
                <w:b/>
              </w:rPr>
              <w:tab/>
            </w:r>
            <w:r w:rsidRPr="008716FB">
              <w:rPr>
                <w:b/>
              </w:rPr>
              <w:t>Comment Period:  Was the 30</w:t>
            </w:r>
            <w:r w:rsidR="0092038A">
              <w:rPr>
                <w:b/>
              </w:rPr>
              <w:noBreakHyphen/>
            </w:r>
            <w:r w:rsidRPr="008716FB">
              <w:rPr>
                <w:b/>
              </w:rPr>
              <w:t>day comment period waived (</w:t>
            </w:r>
            <w:r w:rsidRPr="008716FB">
              <w:rPr>
                <w:b/>
                <w:i/>
              </w:rPr>
              <w:t>see</w:t>
            </w:r>
            <w:r w:rsidR="00056E4B">
              <w:rPr>
                <w:b/>
              </w:rPr>
              <w:t> </w:t>
            </w:r>
            <w:r w:rsidRPr="008716FB">
              <w:rPr>
                <w:b/>
              </w:rPr>
              <w:t>Rule 14.6(</w:t>
            </w:r>
            <w:r w:rsidRPr="008716FB" w:rsidR="00963EEF">
              <w:rPr>
                <w:b/>
              </w:rPr>
              <w:t>c</w:t>
            </w:r>
            <w:r w:rsidRPr="008716FB">
              <w:rPr>
                <w:b/>
              </w:rPr>
              <w:t>)(6))?</w:t>
            </w:r>
          </w:p>
        </w:tc>
        <w:tc>
          <w:tcPr>
            <w:tcW w:w="2029" w:type="dxa"/>
            <w:shd w:val="clear" w:color="auto" w:fill="auto"/>
          </w:tcPr>
          <w:p w:rsidRPr="008716FB" w:rsidR="00A92D0B" w:rsidP="00712BE7" w:rsidRDefault="002F7F1E" w14:paraId="238D2D3F" w14:textId="62AB329A">
            <w:pPr>
              <w:jc w:val="center"/>
            </w:pPr>
            <w:r w:rsidRPr="008716FB">
              <w:t>No</w:t>
            </w:r>
          </w:p>
        </w:tc>
      </w:tr>
    </w:tbl>
    <w:p w:rsidRPr="007F620E" w:rsidR="005A3671" w:rsidP="00555394" w:rsidRDefault="005A3671" w14:paraId="1F67F460" w14:textId="77777777">
      <w:pPr>
        <w:keepNext/>
        <w:keepLines/>
        <w:spacing w:before="240" w:after="240"/>
        <w:ind w:firstLine="907"/>
        <w:rPr>
          <w:color w:val="000000"/>
        </w:rPr>
      </w:pPr>
      <w:r w:rsidRPr="007F620E">
        <w:rPr>
          <w:color w:val="000000"/>
        </w:rPr>
        <w:t>If not:</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1220"/>
        <w:gridCol w:w="3995"/>
        <w:gridCol w:w="4145"/>
      </w:tblGrid>
      <w:tr w:rsidRPr="007F620E" w:rsidR="008237EC" w:rsidTr="006558EF" w14:paraId="05AD8139" w14:textId="77777777">
        <w:trPr>
          <w:tblHeader/>
        </w:trPr>
        <w:tc>
          <w:tcPr>
            <w:tcW w:w="1220" w:type="dxa"/>
            <w:shd w:val="pct12" w:color="auto" w:fill="auto"/>
          </w:tcPr>
          <w:p w:rsidRPr="007F620E" w:rsidR="005A3671" w:rsidP="00555394" w:rsidRDefault="005A3671" w14:paraId="7216BF25" w14:textId="77777777">
            <w:pPr>
              <w:keepNext/>
              <w:keepLines/>
              <w:jc w:val="center"/>
              <w:rPr>
                <w:b/>
                <w:color w:val="000000"/>
              </w:rPr>
            </w:pPr>
            <w:r w:rsidRPr="007F620E">
              <w:rPr>
                <w:b/>
                <w:color w:val="000000"/>
              </w:rPr>
              <w:t>Party</w:t>
            </w:r>
          </w:p>
        </w:tc>
        <w:tc>
          <w:tcPr>
            <w:tcW w:w="3995" w:type="dxa"/>
            <w:shd w:val="pct12" w:color="auto" w:fill="auto"/>
          </w:tcPr>
          <w:p w:rsidRPr="007F620E" w:rsidR="005A3671" w:rsidP="00555394" w:rsidRDefault="005A3671" w14:paraId="6DAFD816" w14:textId="77777777">
            <w:pPr>
              <w:keepNext/>
              <w:keepLines/>
              <w:jc w:val="center"/>
              <w:rPr>
                <w:color w:val="000000"/>
              </w:rPr>
            </w:pPr>
            <w:r w:rsidRPr="007F620E">
              <w:rPr>
                <w:b/>
                <w:color w:val="000000"/>
              </w:rPr>
              <w:t>Comment</w:t>
            </w:r>
          </w:p>
        </w:tc>
        <w:tc>
          <w:tcPr>
            <w:tcW w:w="4145" w:type="dxa"/>
            <w:shd w:val="pct12" w:color="auto" w:fill="auto"/>
          </w:tcPr>
          <w:p w:rsidRPr="007F620E" w:rsidR="005A3671" w:rsidP="00555394" w:rsidRDefault="005A3671" w14:paraId="0E01C8B2" w14:textId="77777777">
            <w:pPr>
              <w:keepNext/>
              <w:keepLines/>
              <w:jc w:val="center"/>
              <w:rPr>
                <w:color w:val="000000"/>
              </w:rPr>
            </w:pPr>
            <w:r w:rsidRPr="007F620E">
              <w:rPr>
                <w:b/>
                <w:color w:val="000000"/>
              </w:rPr>
              <w:t>CPUC Discussion</w:t>
            </w:r>
          </w:p>
        </w:tc>
      </w:tr>
      <w:tr w:rsidRPr="007F620E" w:rsidR="005A3671" w:rsidTr="006558EF" w14:paraId="0834A8D6" w14:textId="77777777">
        <w:tc>
          <w:tcPr>
            <w:tcW w:w="1220" w:type="dxa"/>
            <w:shd w:val="clear" w:color="auto" w:fill="auto"/>
          </w:tcPr>
          <w:p w:rsidRPr="007F620E" w:rsidR="005A3671" w:rsidP="00555394" w:rsidRDefault="005A3671" w14:paraId="56E23371" w14:textId="3BA1560D">
            <w:pPr>
              <w:jc w:val="center"/>
              <w:rPr>
                <w:color w:val="000000"/>
              </w:rPr>
            </w:pPr>
            <w:r>
              <w:rPr>
                <w:color w:val="000000"/>
              </w:rPr>
              <w:t>PCF</w:t>
            </w:r>
          </w:p>
        </w:tc>
        <w:tc>
          <w:tcPr>
            <w:tcW w:w="3995" w:type="dxa"/>
            <w:shd w:val="clear" w:color="auto" w:fill="auto"/>
          </w:tcPr>
          <w:p w:rsidRPr="007F620E" w:rsidR="005A3671" w:rsidP="00555394" w:rsidRDefault="008237EC" w14:paraId="3EDC56C9" w14:textId="4EB88592">
            <w:pPr>
              <w:rPr>
                <w:color w:val="000000"/>
              </w:rPr>
            </w:pPr>
            <w:r w:rsidRPr="008237EC">
              <w:rPr>
                <w:color w:val="000000"/>
              </w:rPr>
              <w:t>PCF</w:t>
            </w:r>
            <w:r>
              <w:rPr>
                <w:color w:val="000000"/>
              </w:rPr>
              <w:t xml:space="preserve"> </w:t>
            </w:r>
            <w:r w:rsidRPr="008237EC">
              <w:rPr>
                <w:color w:val="000000"/>
              </w:rPr>
              <w:t>disagrees with the PD’s reductions for these three issue areas because the PD’s reductions do not</w:t>
            </w:r>
            <w:r>
              <w:rPr>
                <w:color w:val="000000"/>
              </w:rPr>
              <w:t xml:space="preserve"> </w:t>
            </w:r>
            <w:r w:rsidRPr="008237EC">
              <w:rPr>
                <w:color w:val="000000"/>
              </w:rPr>
              <w:t>align with statutory requirements for the intervenor compensation program, do not align with</w:t>
            </w:r>
            <w:r>
              <w:rPr>
                <w:color w:val="000000"/>
              </w:rPr>
              <w:t xml:space="preserve"> </w:t>
            </w:r>
            <w:r w:rsidRPr="008237EC">
              <w:rPr>
                <w:color w:val="000000"/>
              </w:rPr>
              <w:t>established commission precedent, and do not align with the only decision thus far that has</w:t>
            </w:r>
            <w:r>
              <w:rPr>
                <w:color w:val="000000"/>
              </w:rPr>
              <w:t xml:space="preserve"> </w:t>
            </w:r>
            <w:r w:rsidRPr="008237EC">
              <w:rPr>
                <w:color w:val="000000"/>
              </w:rPr>
              <w:t>issued an award for a intervenor’s contribution to D.20</w:t>
            </w:r>
            <w:r w:rsidR="00555394">
              <w:rPr>
                <w:color w:val="000000"/>
              </w:rPr>
              <w:noBreakHyphen/>
            </w:r>
            <w:r w:rsidRPr="008237EC">
              <w:rPr>
                <w:color w:val="000000"/>
              </w:rPr>
              <w:t>06</w:t>
            </w:r>
            <w:r w:rsidR="00555394">
              <w:rPr>
                <w:color w:val="000000"/>
              </w:rPr>
              <w:noBreakHyphen/>
            </w:r>
            <w:r w:rsidRPr="008237EC">
              <w:rPr>
                <w:color w:val="000000"/>
              </w:rPr>
              <w:t>031.</w:t>
            </w:r>
          </w:p>
        </w:tc>
        <w:tc>
          <w:tcPr>
            <w:tcW w:w="4145" w:type="dxa"/>
            <w:shd w:val="clear" w:color="auto" w:fill="auto"/>
          </w:tcPr>
          <w:p w:rsidRPr="007F620E" w:rsidR="006C18CF" w:rsidP="00555394" w:rsidRDefault="006C18CF" w14:paraId="25FA239B" w14:textId="6234FDEA">
            <w:pPr>
              <w:rPr>
                <w:color w:val="000000"/>
              </w:rPr>
            </w:pPr>
            <w:r w:rsidRPr="006C18CF">
              <w:rPr>
                <w:color w:val="000000"/>
              </w:rPr>
              <w:t>The fact that a Commission decision summarizes a party’s comments or identifies a party’s comments does not, in and of itself, necessarily mean that the Commission finds that the party substantially contributed to a decision. Indeed, in numerous instances, a party may merely agree with other party’s comments and/or duplicate other party’s comments, without providing any substantial contribution.</w:t>
            </w:r>
          </w:p>
        </w:tc>
      </w:tr>
      <w:tr w:rsidRPr="007F620E" w:rsidR="005A3671" w:rsidTr="006558EF" w14:paraId="78077DA8" w14:textId="77777777">
        <w:tc>
          <w:tcPr>
            <w:tcW w:w="1220" w:type="dxa"/>
            <w:shd w:val="clear" w:color="auto" w:fill="auto"/>
          </w:tcPr>
          <w:p w:rsidRPr="007F620E" w:rsidR="005A3671" w:rsidP="00555394" w:rsidRDefault="005A3671" w14:paraId="17B7E0F8" w14:textId="33C14A05">
            <w:pPr>
              <w:jc w:val="center"/>
              <w:rPr>
                <w:color w:val="000000"/>
              </w:rPr>
            </w:pPr>
            <w:r>
              <w:rPr>
                <w:color w:val="000000"/>
              </w:rPr>
              <w:t>PCF</w:t>
            </w:r>
          </w:p>
        </w:tc>
        <w:tc>
          <w:tcPr>
            <w:tcW w:w="3995" w:type="dxa"/>
            <w:shd w:val="clear" w:color="auto" w:fill="auto"/>
          </w:tcPr>
          <w:p w:rsidRPr="007F620E" w:rsidR="005A3671" w:rsidP="00555394" w:rsidRDefault="006C18CF" w14:paraId="043E35EE" w14:textId="510BC77B">
            <w:pPr>
              <w:rPr>
                <w:color w:val="000000"/>
              </w:rPr>
            </w:pPr>
            <w:r w:rsidRPr="006C18CF">
              <w:rPr>
                <w:color w:val="000000"/>
              </w:rPr>
              <w:t xml:space="preserve">24.5 hours for Track 1 work should be reinstated. </w:t>
            </w:r>
            <w:r w:rsidRPr="00171C5C" w:rsidR="00171C5C">
              <w:rPr>
                <w:color w:val="000000"/>
              </w:rPr>
              <w:t>Because PCF became a party to the RA proceeding at the beginning of R.19</w:t>
            </w:r>
            <w:r w:rsidR="00555394">
              <w:rPr>
                <w:color w:val="000000"/>
              </w:rPr>
              <w:noBreakHyphen/>
            </w:r>
            <w:r w:rsidRPr="00171C5C" w:rsidR="00171C5C">
              <w:rPr>
                <w:color w:val="000000"/>
              </w:rPr>
              <w:t>11</w:t>
            </w:r>
            <w:r w:rsidR="00555394">
              <w:rPr>
                <w:color w:val="000000"/>
              </w:rPr>
              <w:noBreakHyphen/>
            </w:r>
            <w:r w:rsidRPr="00171C5C" w:rsidR="00171C5C">
              <w:rPr>
                <w:color w:val="000000"/>
              </w:rPr>
              <w:t>009 and was not</w:t>
            </w:r>
            <w:r w:rsidR="00171C5C">
              <w:rPr>
                <w:color w:val="000000"/>
              </w:rPr>
              <w:t xml:space="preserve"> </w:t>
            </w:r>
            <w:r w:rsidRPr="00171C5C" w:rsidR="00171C5C">
              <w:rPr>
                <w:color w:val="000000"/>
              </w:rPr>
              <w:t>a party of the prior RA proceeding, PCF had no other option but to submit its substantial</w:t>
            </w:r>
            <w:r w:rsidR="00171C5C">
              <w:rPr>
                <w:color w:val="000000"/>
              </w:rPr>
              <w:t xml:space="preserve"> </w:t>
            </w:r>
            <w:r w:rsidRPr="00171C5C" w:rsidR="00171C5C">
              <w:rPr>
                <w:color w:val="000000"/>
              </w:rPr>
              <w:t xml:space="preserve">contributions on Track 1 </w:t>
            </w:r>
            <w:r w:rsidRPr="00171C5C" w:rsidR="00171C5C">
              <w:rPr>
                <w:color w:val="000000"/>
              </w:rPr>
              <w:lastRenderedPageBreak/>
              <w:t>of R.19</w:t>
            </w:r>
            <w:r w:rsidR="00555394">
              <w:rPr>
                <w:color w:val="000000"/>
              </w:rPr>
              <w:noBreakHyphen/>
            </w:r>
            <w:r w:rsidRPr="00171C5C" w:rsidR="00171C5C">
              <w:rPr>
                <w:color w:val="000000"/>
              </w:rPr>
              <w:t>11</w:t>
            </w:r>
            <w:r w:rsidR="00555394">
              <w:rPr>
                <w:color w:val="000000"/>
              </w:rPr>
              <w:noBreakHyphen/>
            </w:r>
            <w:r w:rsidRPr="00171C5C" w:rsidR="00171C5C">
              <w:rPr>
                <w:color w:val="000000"/>
              </w:rPr>
              <w:t>009 under the first decision within proceeding R.19</w:t>
            </w:r>
            <w:r w:rsidR="00555394">
              <w:rPr>
                <w:color w:val="000000"/>
              </w:rPr>
              <w:noBreakHyphen/>
            </w:r>
            <w:r w:rsidRPr="00171C5C" w:rsidR="00171C5C">
              <w:rPr>
                <w:color w:val="000000"/>
              </w:rPr>
              <w:t>11</w:t>
            </w:r>
            <w:r w:rsidR="00555394">
              <w:rPr>
                <w:color w:val="000000"/>
              </w:rPr>
              <w:noBreakHyphen/>
            </w:r>
            <w:r w:rsidRPr="00171C5C" w:rsidR="00171C5C">
              <w:rPr>
                <w:color w:val="000000"/>
              </w:rPr>
              <w:t>009.</w:t>
            </w:r>
            <w:r w:rsidRPr="006C18CF">
              <w:rPr>
                <w:color w:val="000000"/>
              </w:rPr>
              <w:t xml:space="preserve"> </w:t>
            </w:r>
          </w:p>
        </w:tc>
        <w:tc>
          <w:tcPr>
            <w:tcW w:w="4145" w:type="dxa"/>
            <w:shd w:val="clear" w:color="auto" w:fill="auto"/>
          </w:tcPr>
          <w:p w:rsidRPr="007F620E" w:rsidR="005A3671" w:rsidP="00555394" w:rsidRDefault="00171C5C" w14:paraId="61A7A8E7" w14:textId="6548A174">
            <w:pPr>
              <w:rPr>
                <w:color w:val="000000"/>
              </w:rPr>
            </w:pPr>
            <w:r>
              <w:rPr>
                <w:color w:val="000000"/>
              </w:rPr>
              <w:lastRenderedPageBreak/>
              <w:t>We have confirmed PCF to be a party of R.17</w:t>
            </w:r>
            <w:r w:rsidR="00555394">
              <w:rPr>
                <w:color w:val="000000"/>
              </w:rPr>
              <w:noBreakHyphen/>
            </w:r>
            <w:r>
              <w:rPr>
                <w:color w:val="000000"/>
              </w:rPr>
              <w:t>09</w:t>
            </w:r>
            <w:r w:rsidR="00555394">
              <w:rPr>
                <w:color w:val="000000"/>
              </w:rPr>
              <w:noBreakHyphen/>
            </w:r>
            <w:r>
              <w:rPr>
                <w:color w:val="000000"/>
              </w:rPr>
              <w:t>020</w:t>
            </w:r>
            <w:r w:rsidR="00A24544">
              <w:rPr>
                <w:color w:val="000000"/>
              </w:rPr>
              <w:t>, therefore work performed should have been submitted with corresponding proceeding.</w:t>
            </w:r>
          </w:p>
        </w:tc>
      </w:tr>
      <w:tr w:rsidRPr="007F620E" w:rsidR="0018470F" w:rsidTr="006558EF" w14:paraId="25A40949" w14:textId="77777777">
        <w:tc>
          <w:tcPr>
            <w:tcW w:w="1220" w:type="dxa"/>
            <w:shd w:val="clear" w:color="auto" w:fill="auto"/>
          </w:tcPr>
          <w:p w:rsidR="0018470F" w:rsidP="00555394" w:rsidRDefault="0018470F" w14:paraId="6F0BD86F" w14:textId="4D388F88">
            <w:pPr>
              <w:jc w:val="center"/>
              <w:rPr>
                <w:color w:val="000000"/>
              </w:rPr>
            </w:pPr>
            <w:r>
              <w:rPr>
                <w:color w:val="000000"/>
              </w:rPr>
              <w:lastRenderedPageBreak/>
              <w:t>PCF</w:t>
            </w:r>
          </w:p>
        </w:tc>
        <w:tc>
          <w:tcPr>
            <w:tcW w:w="3995" w:type="dxa"/>
            <w:shd w:val="clear" w:color="auto" w:fill="auto"/>
          </w:tcPr>
          <w:p w:rsidRPr="006C18CF" w:rsidR="0018470F" w:rsidP="00555394" w:rsidRDefault="0018470F" w14:paraId="347B1AC1" w14:textId="00A77936">
            <w:pPr>
              <w:rPr>
                <w:color w:val="000000"/>
              </w:rPr>
            </w:pPr>
            <w:r w:rsidRPr="0018470F">
              <w:rPr>
                <w:color w:val="000000"/>
              </w:rPr>
              <w:t>The PD incorrectly categorized hours of PCF’s submitted time as clerical</w:t>
            </w:r>
            <w:r>
              <w:rPr>
                <w:color w:val="000000"/>
              </w:rPr>
              <w:t xml:space="preserve"> and </w:t>
            </w:r>
            <w:r w:rsidRPr="0018470F">
              <w:rPr>
                <w:color w:val="000000"/>
              </w:rPr>
              <w:t>PCF updates its timesheets to adhere to the format required by Commission</w:t>
            </w:r>
            <w:r>
              <w:rPr>
                <w:color w:val="000000"/>
              </w:rPr>
              <w:t xml:space="preserve"> </w:t>
            </w:r>
            <w:r w:rsidRPr="0018470F">
              <w:rPr>
                <w:color w:val="000000"/>
              </w:rPr>
              <w:t>rules.</w:t>
            </w:r>
          </w:p>
        </w:tc>
        <w:tc>
          <w:tcPr>
            <w:tcW w:w="4145" w:type="dxa"/>
            <w:shd w:val="clear" w:color="auto" w:fill="auto"/>
          </w:tcPr>
          <w:p w:rsidR="0018470F" w:rsidP="00555394" w:rsidRDefault="00A3373E" w14:paraId="61793D9B" w14:textId="14340FD8">
            <w:pPr>
              <w:spacing w:after="240"/>
              <w:rPr>
                <w:color w:val="000000"/>
              </w:rPr>
            </w:pPr>
            <w:r>
              <w:rPr>
                <w:color w:val="000000"/>
              </w:rPr>
              <w:t>The Commission finds</w:t>
            </w:r>
            <w:r w:rsidR="0018470F">
              <w:rPr>
                <w:color w:val="000000"/>
              </w:rPr>
              <w:t xml:space="preserve"> the explanation reasonable </w:t>
            </w:r>
            <w:r>
              <w:rPr>
                <w:color w:val="000000"/>
              </w:rPr>
              <w:t>and have awarded the 2.5 hours associated with the 6/11</w:t>
            </w:r>
            <w:r w:rsidR="00FC1CD9">
              <w:rPr>
                <w:color w:val="000000"/>
              </w:rPr>
              <w:t>/2020</w:t>
            </w:r>
            <w:r>
              <w:rPr>
                <w:color w:val="000000"/>
              </w:rPr>
              <w:t xml:space="preserve"> entry. </w:t>
            </w:r>
          </w:p>
          <w:p w:rsidR="00A3373E" w:rsidP="00555394" w:rsidRDefault="00A3373E" w14:paraId="71BE1E79" w14:textId="5D3F0F99">
            <w:pPr>
              <w:rPr>
                <w:color w:val="000000"/>
              </w:rPr>
            </w:pPr>
            <w:r>
              <w:rPr>
                <w:color w:val="000000"/>
              </w:rPr>
              <w:t xml:space="preserve">The Commission also accepts the updated timesheet, however, an additional 5.5 hours have been added to the original request of 10.5 hours for Tyson Siegele. </w:t>
            </w:r>
            <w:r w:rsidR="009D55C4">
              <w:rPr>
                <w:color w:val="000000"/>
              </w:rPr>
              <w:t>Including the 6 hours awarded to Julia Severson, we find a total of 22.5 hours excessive and award the original request of 6 hours for Julia Severson and 10.5 hours for Tyson Siegele.</w:t>
            </w:r>
          </w:p>
        </w:tc>
      </w:tr>
    </w:tbl>
    <w:p w:rsidRPr="008716FB" w:rsidR="00A92D0B" w:rsidP="008738CA" w:rsidRDefault="00A92D0B" w14:paraId="186E115A" w14:textId="05269337">
      <w:pPr>
        <w:keepNext/>
        <w:spacing w:before="480" w:after="240"/>
        <w:jc w:val="center"/>
        <w:rPr>
          <w:b/>
          <w:u w:val="single"/>
        </w:rPr>
      </w:pPr>
      <w:r w:rsidRPr="008716FB">
        <w:rPr>
          <w:b/>
          <w:u w:val="single"/>
        </w:rPr>
        <w:t>FINDINGS OF FACT</w:t>
      </w:r>
    </w:p>
    <w:p w:rsidRPr="008716FB" w:rsidR="00A92D0B" w:rsidP="00443AB5" w:rsidRDefault="006011D8" w14:paraId="7772A9DC" w14:textId="6171E9DF">
      <w:pPr>
        <w:numPr>
          <w:ilvl w:val="0"/>
          <w:numId w:val="3"/>
        </w:numPr>
        <w:tabs>
          <w:tab w:val="num" w:pos="540"/>
        </w:tabs>
        <w:spacing w:after="240"/>
      </w:pPr>
      <w:r w:rsidRPr="008716FB">
        <w:t>Protect Our Communities Foundation</w:t>
      </w:r>
      <w:r w:rsidRPr="008716FB" w:rsidR="00FE3BAE">
        <w:t xml:space="preserve"> </w:t>
      </w:r>
      <w:r w:rsidRPr="008716FB" w:rsidR="00A92D0B">
        <w:t>has</w:t>
      </w:r>
      <w:r w:rsidRPr="008716FB">
        <w:t xml:space="preserve"> </w:t>
      </w:r>
      <w:r w:rsidRPr="008716FB" w:rsidR="00A92D0B">
        <w:t>made a substantia</w:t>
      </w:r>
      <w:r w:rsidRPr="008716FB" w:rsidR="00DE3A5D">
        <w:t>l contribution to D.</w:t>
      </w:r>
      <w:r w:rsidRPr="008716FB" w:rsidR="0006745B">
        <w:t>20</w:t>
      </w:r>
      <w:r w:rsidR="0092038A">
        <w:noBreakHyphen/>
      </w:r>
      <w:r w:rsidRPr="008716FB" w:rsidR="0006745B">
        <w:t>06</w:t>
      </w:r>
      <w:r w:rsidR="0092038A">
        <w:noBreakHyphen/>
      </w:r>
      <w:r w:rsidRPr="008716FB" w:rsidR="0006745B">
        <w:t>031</w:t>
      </w:r>
      <w:r w:rsidRPr="008716FB" w:rsidR="00A92D0B">
        <w:t>.</w:t>
      </w:r>
    </w:p>
    <w:p w:rsidRPr="008716FB" w:rsidR="00A92D0B" w:rsidP="00443AB5" w:rsidRDefault="00A92D0B" w14:paraId="04EB50FD" w14:textId="06E74071">
      <w:pPr>
        <w:numPr>
          <w:ilvl w:val="0"/>
          <w:numId w:val="3"/>
        </w:numPr>
        <w:tabs>
          <w:tab w:val="num" w:pos="540"/>
        </w:tabs>
        <w:spacing w:after="240"/>
      </w:pPr>
      <w:r w:rsidRPr="008716FB">
        <w:t>The requested hourly rates for</w:t>
      </w:r>
      <w:r w:rsidRPr="008716FB" w:rsidR="003B6A1B">
        <w:t xml:space="preserve"> </w:t>
      </w:r>
      <w:r w:rsidRPr="008716FB" w:rsidR="006011D8">
        <w:t>Protect Our Communities Foundation</w:t>
      </w:r>
      <w:r w:rsidRPr="008716FB" w:rsidR="005A63D4">
        <w:t xml:space="preserve">’s </w:t>
      </w:r>
      <w:r w:rsidRPr="008716FB">
        <w:t>representatives,</w:t>
      </w:r>
      <w:r w:rsidRPr="008716FB" w:rsidR="002F7F1E">
        <w:t xml:space="preserve"> </w:t>
      </w:r>
      <w:r w:rsidRPr="008716FB">
        <w:t>as adjusted herein, are comparable to market rates paid to experts and advocates having comparable training and experience and offering similar services.</w:t>
      </w:r>
    </w:p>
    <w:p w:rsidRPr="008716FB" w:rsidR="00A92D0B" w:rsidP="00376097" w:rsidRDefault="00A92D0B" w14:paraId="528EBB52" w14:textId="771C67ED">
      <w:pPr>
        <w:numPr>
          <w:ilvl w:val="0"/>
          <w:numId w:val="3"/>
        </w:numPr>
        <w:tabs>
          <w:tab w:val="num" w:pos="540"/>
        </w:tabs>
        <w:spacing w:after="240"/>
      </w:pPr>
      <w:r w:rsidRPr="008716FB">
        <w:t>The claimed costs and expenses,</w:t>
      </w:r>
      <w:r w:rsidRPr="008716FB" w:rsidR="002F7F1E">
        <w:t xml:space="preserve"> </w:t>
      </w:r>
      <w:r w:rsidRPr="008716FB">
        <w:t xml:space="preserve">as adjusted herein, are reasonable and commensurate with the work performed. </w:t>
      </w:r>
    </w:p>
    <w:p w:rsidRPr="008716FB" w:rsidR="00A92D0B" w:rsidP="00443AB5" w:rsidRDefault="00A92D0B" w14:paraId="48B52895" w14:textId="27E95410">
      <w:pPr>
        <w:numPr>
          <w:ilvl w:val="0"/>
          <w:numId w:val="3"/>
        </w:numPr>
        <w:tabs>
          <w:tab w:val="num" w:pos="540"/>
        </w:tabs>
        <w:spacing w:after="240"/>
      </w:pPr>
      <w:r w:rsidRPr="008716FB">
        <w:t xml:space="preserve">The total of reasonable </w:t>
      </w:r>
      <w:r w:rsidRPr="008716FB" w:rsidR="003C608A">
        <w:t xml:space="preserve">compensation </w:t>
      </w:r>
      <w:r w:rsidRPr="008716FB">
        <w:t>is $</w:t>
      </w:r>
      <w:r w:rsidRPr="00F50A15" w:rsidR="00DC39BD">
        <w:rPr>
          <w:bCs/>
          <w:iCs/>
        </w:rPr>
        <w:t>43,547.00</w:t>
      </w:r>
      <w:r w:rsidRPr="008716FB">
        <w:t>.</w:t>
      </w:r>
    </w:p>
    <w:p w:rsidRPr="008716FB" w:rsidR="00A92D0B" w:rsidP="008738CA" w:rsidRDefault="00A92D0B" w14:paraId="5C773C3F" w14:textId="77777777">
      <w:pPr>
        <w:keepNext/>
        <w:spacing w:before="480" w:after="240"/>
        <w:jc w:val="center"/>
        <w:rPr>
          <w:b/>
          <w:u w:val="single"/>
        </w:rPr>
      </w:pPr>
      <w:r w:rsidRPr="008716FB">
        <w:rPr>
          <w:b/>
          <w:u w:val="single"/>
        </w:rPr>
        <w:t>CONCLUSION OF LAW</w:t>
      </w:r>
    </w:p>
    <w:p w:rsidRPr="008716FB" w:rsidR="00A92D0B" w:rsidP="00376097" w:rsidRDefault="00A92D0B" w14:paraId="654F2C27" w14:textId="4D01B0ED">
      <w:pPr>
        <w:numPr>
          <w:ilvl w:val="0"/>
          <w:numId w:val="13"/>
        </w:numPr>
        <w:spacing w:after="240"/>
      </w:pPr>
      <w:r w:rsidRPr="008716FB">
        <w:t>The Claim, with any adjustment set forth above, satisfies</w:t>
      </w:r>
      <w:r w:rsidRPr="008716FB" w:rsidR="00DE3A5D">
        <w:t xml:space="preserve"> all requirements of </w:t>
      </w:r>
      <w:r w:rsidR="00B31AE4">
        <w:t>Pub. Util.</w:t>
      </w:r>
      <w:r w:rsidRPr="008716FB">
        <w:t xml:space="preserve"> Code </w:t>
      </w:r>
      <w:r w:rsidR="00B31AE4">
        <w:t>§§ </w:t>
      </w:r>
      <w:r w:rsidRPr="008716FB">
        <w:t>1801</w:t>
      </w:r>
      <w:r w:rsidR="0092038A">
        <w:noBreakHyphen/>
      </w:r>
      <w:r w:rsidRPr="008716FB">
        <w:t>1812.</w:t>
      </w:r>
    </w:p>
    <w:p w:rsidRPr="008716FB" w:rsidR="00A92D0B" w:rsidP="008738CA" w:rsidRDefault="00A92D0B" w14:paraId="0E2503A5" w14:textId="77777777">
      <w:pPr>
        <w:keepNext/>
        <w:spacing w:before="480" w:after="240"/>
        <w:jc w:val="center"/>
        <w:rPr>
          <w:b/>
          <w:u w:val="single"/>
        </w:rPr>
      </w:pPr>
      <w:r w:rsidRPr="008716FB">
        <w:rPr>
          <w:b/>
          <w:u w:val="single"/>
        </w:rPr>
        <w:t>ORDER</w:t>
      </w:r>
    </w:p>
    <w:p w:rsidRPr="008716FB" w:rsidR="00A92D0B" w:rsidP="00376097" w:rsidRDefault="0091252D" w14:paraId="33FB4E15" w14:textId="3D4AA7B4">
      <w:pPr>
        <w:keepNext/>
        <w:numPr>
          <w:ilvl w:val="0"/>
          <w:numId w:val="14"/>
        </w:numPr>
        <w:spacing w:after="240"/>
      </w:pPr>
      <w:r w:rsidRPr="008716FB">
        <w:t>Protect Our Communities Foundation</w:t>
      </w:r>
      <w:r w:rsidRPr="008716FB" w:rsidR="00FE3BAE">
        <w:t xml:space="preserve"> shall be</w:t>
      </w:r>
      <w:r w:rsidRPr="008716FB" w:rsidR="00A92D0B">
        <w:t xml:space="preserve"> awarded $</w:t>
      </w:r>
      <w:r w:rsidRPr="00F50A15" w:rsidR="00DC39BD">
        <w:rPr>
          <w:bCs/>
          <w:iCs/>
        </w:rPr>
        <w:t>43,547.00</w:t>
      </w:r>
      <w:r w:rsidRPr="008716FB" w:rsidR="00A92D0B">
        <w:t>.</w:t>
      </w:r>
    </w:p>
    <w:p w:rsidRPr="00624CFB" w:rsidR="00624CFB" w:rsidP="00376097" w:rsidRDefault="00624CFB" w14:paraId="5142E32A" w14:textId="66241331">
      <w:pPr>
        <w:numPr>
          <w:ilvl w:val="0"/>
          <w:numId w:val="14"/>
        </w:numPr>
        <w:spacing w:after="240"/>
      </w:pPr>
      <w:r w:rsidRPr="00624CFB">
        <w:t xml:space="preserve">Within 30 days of the effective date of this decision, Pacific Gas and Electric Company, Southern California Edison Company and San Diego Gas &amp; Electric Company shall pay </w:t>
      </w:r>
      <w:r>
        <w:lastRenderedPageBreak/>
        <w:t>Protect Our Communities Foundation</w:t>
      </w:r>
      <w:r w:rsidRPr="00624CFB">
        <w:t xml:space="preserve"> their respective shares of the award, based on their California-jurisdictional electric revenues for the </w:t>
      </w:r>
      <w:r>
        <w:t>2020</w:t>
      </w:r>
      <w:r w:rsidRPr="00624CFB">
        <w:t xml:space="preserve"> calendar year, to reflect the year in which the proceeding was primarily litigated. If such data is unavailable, the most recent electric revenue data shall be used. Payment of the award shall include compound interest at the rate earned on prime, three month non</w:t>
      </w:r>
      <w:r>
        <w:t>-</w:t>
      </w:r>
      <w:r w:rsidRPr="00624CFB">
        <w:t>financial commercial paper as reported in Federal Reserve Statistical Release H.15, beginning November 11, 2020 the 75th day after the filing of Protect Our Communities Foundation’s request, and continuing until full payment is made.</w:t>
      </w:r>
    </w:p>
    <w:p w:rsidRPr="008716FB" w:rsidR="00A92D0B" w:rsidP="000C4DD2" w:rsidRDefault="00A92D0B" w14:paraId="5AD40C95" w14:textId="4DD69C83">
      <w:pPr>
        <w:keepNext/>
        <w:numPr>
          <w:ilvl w:val="0"/>
          <w:numId w:val="14"/>
        </w:numPr>
        <w:spacing w:after="240"/>
      </w:pPr>
      <w:r w:rsidRPr="008716FB">
        <w:t>The comment period for today’s decision is</w:t>
      </w:r>
      <w:r w:rsidRPr="008716FB" w:rsidR="002F7F1E">
        <w:t xml:space="preserve"> not</w:t>
      </w:r>
      <w:r w:rsidRPr="008716FB">
        <w:t xml:space="preserve"> waived.</w:t>
      </w:r>
    </w:p>
    <w:p w:rsidRPr="008716FB" w:rsidR="00A92D0B" w:rsidP="00376097" w:rsidRDefault="00A92D0B" w14:paraId="13F3A0AD" w14:textId="77777777">
      <w:pPr>
        <w:keepNext/>
        <w:spacing w:after="240"/>
        <w:ind w:left="547"/>
      </w:pPr>
      <w:r w:rsidRPr="008716FB">
        <w:t>This decision is effective today.</w:t>
      </w:r>
    </w:p>
    <w:p w:rsidRPr="008716FB" w:rsidR="00A92D0B" w:rsidP="00376097" w:rsidRDefault="00A92D0B" w14:paraId="0467B995" w14:textId="77777777">
      <w:pPr>
        <w:keepNext/>
        <w:spacing w:after="240"/>
        <w:ind w:left="547"/>
      </w:pPr>
      <w:r w:rsidRPr="008716FB">
        <w:t>Dated _____________, at San Francisco, California.</w:t>
      </w:r>
    </w:p>
    <w:p w:rsidRPr="008716FB" w:rsidR="00A92D0B" w:rsidP="00376097" w:rsidRDefault="00A92D0B" w14:paraId="1A474D77" w14:textId="77777777">
      <w:pPr>
        <w:keepNext/>
        <w:spacing w:after="240"/>
        <w:ind w:left="547"/>
      </w:pPr>
    </w:p>
    <w:p w:rsidR="00586198" w:rsidP="008738CA" w:rsidRDefault="00586198" w14:paraId="1A9E56F9" w14:textId="77777777">
      <w:pPr>
        <w:sectPr w:rsidR="00586198" w:rsidSect="00577816">
          <w:headerReference w:type="default" r:id="rId8"/>
          <w:footerReference w:type="default" r:id="rId9"/>
          <w:footerReference w:type="first" r:id="rId10"/>
          <w:pgSz w:w="12240" w:h="15840"/>
          <w:pgMar w:top="1728" w:right="1440" w:bottom="1440" w:left="1440" w:header="720" w:footer="720" w:gutter="0"/>
          <w:pgNumType w:fmt="numberInDash" w:start="1"/>
          <w:cols w:space="720"/>
          <w:titlePg/>
          <w:docGrid w:linePitch="360"/>
        </w:sectPr>
      </w:pPr>
    </w:p>
    <w:p w:rsidRPr="00586198" w:rsidR="00FE3BAE" w:rsidP="00586198" w:rsidRDefault="00FE3BAE" w14:paraId="7A1C7043" w14:textId="77777777">
      <w:pPr>
        <w:pStyle w:val="standard"/>
        <w:keepNext/>
        <w:spacing w:after="240" w:line="240" w:lineRule="auto"/>
        <w:ind w:firstLine="0"/>
        <w:jc w:val="center"/>
        <w:rPr>
          <w:rFonts w:ascii="Times" w:hAnsi="Times"/>
          <w:b/>
          <w:sz w:val="24"/>
          <w:szCs w:val="26"/>
        </w:rPr>
      </w:pPr>
      <w:r w:rsidRPr="00586198">
        <w:rPr>
          <w:rFonts w:ascii="Times" w:hAnsi="Times"/>
          <w:b/>
          <w:sz w:val="24"/>
          <w:szCs w:val="26"/>
        </w:rPr>
        <w:lastRenderedPageBreak/>
        <w:t>APPENDIX</w:t>
      </w:r>
    </w:p>
    <w:p w:rsidRPr="00586198" w:rsidR="00FE3BAE" w:rsidP="00586198" w:rsidRDefault="00FE3BAE" w14:paraId="300BB274" w14:textId="77777777">
      <w:pPr>
        <w:pStyle w:val="standard"/>
        <w:keepNext/>
        <w:spacing w:after="240" w:line="240" w:lineRule="auto"/>
        <w:ind w:firstLine="0"/>
        <w:jc w:val="center"/>
        <w:rPr>
          <w:rFonts w:ascii="Times" w:hAnsi="Times"/>
          <w:b/>
          <w:sz w:val="24"/>
          <w:szCs w:val="26"/>
        </w:rPr>
      </w:pPr>
      <w:r w:rsidRPr="00586198">
        <w:rPr>
          <w:rFonts w:ascii="Times" w:hAnsi="Times"/>
          <w:b/>
          <w:sz w:val="24"/>
          <w:szCs w:val="26"/>
        </w:rPr>
        <w:t>Compensation Decision Summary Information</w:t>
      </w:r>
    </w:p>
    <w:tbl>
      <w:tblPr>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05"/>
        <w:gridCol w:w="3767"/>
        <w:gridCol w:w="2497"/>
        <w:gridCol w:w="1271"/>
      </w:tblGrid>
      <w:tr w:rsidRPr="00586198" w:rsidR="008716FB" w:rsidTr="00586198" w14:paraId="062C592A" w14:textId="77777777">
        <w:trPr>
          <w:trHeight w:val="288"/>
          <w:jc w:val="center"/>
        </w:trPr>
        <w:tc>
          <w:tcPr>
            <w:tcW w:w="2880" w:type="dxa"/>
            <w:tcBorders>
              <w:top w:val="single" w:color="auto" w:sz="4" w:space="0"/>
              <w:left w:val="single" w:color="auto" w:sz="4" w:space="0"/>
              <w:bottom w:val="single" w:color="auto" w:sz="4" w:space="0"/>
              <w:right w:val="single" w:color="auto" w:sz="4" w:space="0"/>
            </w:tcBorders>
            <w:hideMark/>
          </w:tcPr>
          <w:p w:rsidRPr="00586198" w:rsidR="00FE3BAE" w:rsidP="008738CA" w:rsidRDefault="00FE3BAE" w14:paraId="4BC9C636" w14:textId="77777777">
            <w:pPr>
              <w:rPr>
                <w:rFonts w:ascii="Times" w:hAnsi="Times"/>
                <w:b/>
                <w:bCs/>
              </w:rPr>
            </w:pPr>
            <w:r w:rsidRPr="00586198">
              <w:rPr>
                <w:rFonts w:ascii="Times" w:hAnsi="Times"/>
                <w:b/>
                <w:bCs/>
              </w:rPr>
              <w:t>Compensation Decision:</w:t>
            </w:r>
          </w:p>
        </w:tc>
        <w:tc>
          <w:tcPr>
            <w:tcW w:w="3735" w:type="dxa"/>
            <w:tcBorders>
              <w:top w:val="single" w:color="auto" w:sz="4" w:space="0"/>
              <w:left w:val="single" w:color="auto" w:sz="4" w:space="0"/>
              <w:bottom w:val="single" w:color="auto" w:sz="4" w:space="0"/>
              <w:right w:val="single" w:color="auto" w:sz="4" w:space="0"/>
            </w:tcBorders>
          </w:tcPr>
          <w:p w:rsidRPr="00586198" w:rsidR="00FE3BAE" w:rsidP="008738CA" w:rsidRDefault="00FE3BAE" w14:paraId="16C5D6B1" w14:textId="77777777">
            <w:pPr>
              <w:rPr>
                <w:rFonts w:ascii="Times" w:hAnsi="Times"/>
              </w:rPr>
            </w:pPr>
          </w:p>
        </w:tc>
        <w:tc>
          <w:tcPr>
            <w:tcW w:w="2475" w:type="dxa"/>
            <w:tcBorders>
              <w:top w:val="single" w:color="auto" w:sz="4" w:space="0"/>
              <w:left w:val="single" w:color="auto" w:sz="4" w:space="0"/>
              <w:bottom w:val="single" w:color="auto" w:sz="4" w:space="0"/>
              <w:right w:val="single" w:color="auto" w:sz="4" w:space="0"/>
            </w:tcBorders>
            <w:hideMark/>
          </w:tcPr>
          <w:p w:rsidRPr="00586198" w:rsidR="00FE3BAE" w:rsidP="008738CA" w:rsidRDefault="00FE3BAE" w14:paraId="3ECA0C4F" w14:textId="77777777">
            <w:pPr>
              <w:rPr>
                <w:rFonts w:ascii="Times" w:hAnsi="Times"/>
                <w:b/>
                <w:bCs/>
              </w:rPr>
            </w:pPr>
            <w:r w:rsidRPr="00586198">
              <w:rPr>
                <w:rFonts w:ascii="Times" w:hAnsi="Times"/>
                <w:b/>
                <w:bCs/>
              </w:rPr>
              <w:t xml:space="preserve">Modifies Decision? </w:t>
            </w:r>
          </w:p>
        </w:tc>
        <w:tc>
          <w:tcPr>
            <w:tcW w:w="1260" w:type="dxa"/>
            <w:tcBorders>
              <w:top w:val="single" w:color="auto" w:sz="4" w:space="0"/>
              <w:left w:val="single" w:color="auto" w:sz="4" w:space="0"/>
              <w:bottom w:val="single" w:color="auto" w:sz="4" w:space="0"/>
              <w:right w:val="single" w:color="auto" w:sz="4" w:space="0"/>
            </w:tcBorders>
          </w:tcPr>
          <w:p w:rsidRPr="00586198" w:rsidR="00FE3BAE" w:rsidP="008738CA" w:rsidRDefault="002F7F1E" w14:paraId="6846FB87" w14:textId="3410F9AC">
            <w:pPr>
              <w:jc w:val="center"/>
              <w:rPr>
                <w:rFonts w:ascii="Times" w:hAnsi="Times"/>
              </w:rPr>
            </w:pPr>
            <w:r w:rsidRPr="00586198">
              <w:rPr>
                <w:rFonts w:ascii="Times" w:hAnsi="Times"/>
              </w:rPr>
              <w:t>No</w:t>
            </w:r>
          </w:p>
        </w:tc>
      </w:tr>
      <w:tr w:rsidRPr="00586198" w:rsidR="008716FB" w:rsidTr="00586198" w14:paraId="3E0218AD" w14:textId="77777777">
        <w:trPr>
          <w:trHeight w:val="288"/>
          <w:jc w:val="center"/>
        </w:trPr>
        <w:tc>
          <w:tcPr>
            <w:tcW w:w="2880" w:type="dxa"/>
            <w:tcBorders>
              <w:top w:val="single" w:color="auto" w:sz="4" w:space="0"/>
              <w:left w:val="single" w:color="auto" w:sz="4" w:space="0"/>
              <w:bottom w:val="single" w:color="auto" w:sz="4" w:space="0"/>
              <w:right w:val="single" w:color="auto" w:sz="4" w:space="0"/>
            </w:tcBorders>
            <w:hideMark/>
          </w:tcPr>
          <w:p w:rsidRPr="00586198" w:rsidR="00FE3BAE" w:rsidP="008738CA" w:rsidRDefault="00FE3BAE" w14:paraId="6E65620B" w14:textId="77777777">
            <w:pPr>
              <w:rPr>
                <w:rFonts w:ascii="Times" w:hAnsi="Times"/>
                <w:b/>
                <w:bCs/>
              </w:rPr>
            </w:pPr>
            <w:r w:rsidRPr="00586198">
              <w:rPr>
                <w:rFonts w:ascii="Times" w:hAnsi="Times"/>
                <w:b/>
                <w:bCs/>
              </w:rPr>
              <w:t>Contribution Decision(s):</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hideMark/>
          </w:tcPr>
          <w:p w:rsidRPr="00586198" w:rsidR="00FE3BAE" w:rsidP="008738CA" w:rsidRDefault="00F81935" w14:paraId="426F2C45" w14:textId="4831C30C">
            <w:pPr>
              <w:rPr>
                <w:rFonts w:ascii="Times" w:hAnsi="Times"/>
              </w:rPr>
            </w:pPr>
            <w:r w:rsidRPr="00586198">
              <w:rPr>
                <w:rFonts w:ascii="Times" w:hAnsi="Times"/>
              </w:rPr>
              <w:t>D2006031</w:t>
            </w:r>
          </w:p>
        </w:tc>
      </w:tr>
      <w:tr w:rsidRPr="00586198" w:rsidR="008716FB" w:rsidTr="00586198" w14:paraId="2808C576" w14:textId="77777777">
        <w:trPr>
          <w:trHeight w:val="288"/>
          <w:jc w:val="center"/>
        </w:trPr>
        <w:tc>
          <w:tcPr>
            <w:tcW w:w="2880" w:type="dxa"/>
            <w:tcBorders>
              <w:top w:val="single" w:color="auto" w:sz="4" w:space="0"/>
              <w:left w:val="single" w:color="auto" w:sz="4" w:space="0"/>
              <w:bottom w:val="single" w:color="auto" w:sz="4" w:space="0"/>
              <w:right w:val="single" w:color="auto" w:sz="4" w:space="0"/>
            </w:tcBorders>
            <w:hideMark/>
          </w:tcPr>
          <w:p w:rsidRPr="00586198" w:rsidR="00FE3BAE" w:rsidP="008738CA" w:rsidRDefault="00FE3BAE" w14:paraId="717974DE" w14:textId="77777777">
            <w:pPr>
              <w:rPr>
                <w:rFonts w:ascii="Times" w:hAnsi="Times"/>
                <w:b/>
                <w:bCs/>
              </w:rPr>
            </w:pPr>
            <w:r w:rsidRPr="00586198">
              <w:rPr>
                <w:rFonts w:ascii="Times" w:hAnsi="Times"/>
                <w:b/>
                <w:bCs/>
              </w:rPr>
              <w:t>Proceeding(s):</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hideMark/>
          </w:tcPr>
          <w:p w:rsidRPr="00586198" w:rsidR="00FE3BAE" w:rsidP="008738CA" w:rsidRDefault="00F81935" w14:paraId="5B85688D" w14:textId="1B550909">
            <w:pPr>
              <w:rPr>
                <w:rFonts w:ascii="Times" w:hAnsi="Times"/>
              </w:rPr>
            </w:pPr>
            <w:r w:rsidRPr="00586198">
              <w:rPr>
                <w:rFonts w:ascii="Times" w:hAnsi="Times"/>
              </w:rPr>
              <w:t>R1911009</w:t>
            </w:r>
          </w:p>
        </w:tc>
      </w:tr>
      <w:tr w:rsidRPr="00586198" w:rsidR="008716FB" w:rsidTr="00586198" w14:paraId="66779179" w14:textId="77777777">
        <w:trPr>
          <w:trHeight w:val="288"/>
          <w:jc w:val="center"/>
        </w:trPr>
        <w:tc>
          <w:tcPr>
            <w:tcW w:w="2880" w:type="dxa"/>
            <w:tcBorders>
              <w:top w:val="single" w:color="auto" w:sz="4" w:space="0"/>
              <w:left w:val="single" w:color="auto" w:sz="4" w:space="0"/>
              <w:bottom w:val="single" w:color="auto" w:sz="4" w:space="0"/>
              <w:right w:val="single" w:color="auto" w:sz="4" w:space="0"/>
            </w:tcBorders>
            <w:hideMark/>
          </w:tcPr>
          <w:p w:rsidRPr="00586198" w:rsidR="00FE3BAE" w:rsidP="008738CA" w:rsidRDefault="00FE3BAE" w14:paraId="738C0A58" w14:textId="77777777">
            <w:pPr>
              <w:rPr>
                <w:rFonts w:ascii="Times" w:hAnsi="Times"/>
                <w:b/>
                <w:bCs/>
              </w:rPr>
            </w:pPr>
            <w:r w:rsidRPr="00586198">
              <w:rPr>
                <w:rFonts w:ascii="Times" w:hAnsi="Times"/>
                <w:b/>
                <w:bCs/>
              </w:rPr>
              <w:t>Author:</w:t>
            </w:r>
          </w:p>
        </w:tc>
        <w:tc>
          <w:tcPr>
            <w:tcW w:w="7470" w:type="dxa"/>
            <w:gridSpan w:val="3"/>
            <w:tcBorders>
              <w:top w:val="single" w:color="auto" w:sz="4" w:space="0"/>
              <w:left w:val="single" w:color="auto" w:sz="4" w:space="0"/>
              <w:bottom w:val="single" w:color="auto" w:sz="4" w:space="0"/>
              <w:right w:val="single" w:color="auto" w:sz="4" w:space="0"/>
            </w:tcBorders>
            <w:hideMark/>
          </w:tcPr>
          <w:p w:rsidRPr="00586198" w:rsidR="00FE3BAE" w:rsidP="008738CA" w:rsidRDefault="00695E4B" w14:paraId="5E75C0F0" w14:textId="3EAD5993">
            <w:pPr>
              <w:rPr>
                <w:rFonts w:ascii="Times" w:hAnsi="Times"/>
              </w:rPr>
            </w:pPr>
            <w:r w:rsidRPr="00586198">
              <w:rPr>
                <w:rFonts w:ascii="Times" w:hAnsi="Times"/>
              </w:rPr>
              <w:t>ALJ Chiv and ALJ Nojan</w:t>
            </w:r>
          </w:p>
        </w:tc>
      </w:tr>
      <w:tr w:rsidRPr="00586198" w:rsidR="008716FB" w:rsidTr="00586198" w14:paraId="305F69F4" w14:textId="77777777">
        <w:trPr>
          <w:trHeight w:val="278"/>
          <w:jc w:val="center"/>
        </w:trPr>
        <w:tc>
          <w:tcPr>
            <w:tcW w:w="2880" w:type="dxa"/>
            <w:tcBorders>
              <w:top w:val="single" w:color="auto" w:sz="4" w:space="0"/>
              <w:left w:val="single" w:color="auto" w:sz="4" w:space="0"/>
              <w:bottom w:val="single" w:color="auto" w:sz="4" w:space="0"/>
              <w:right w:val="single" w:color="auto" w:sz="4" w:space="0"/>
            </w:tcBorders>
            <w:hideMark/>
          </w:tcPr>
          <w:p w:rsidRPr="00586198" w:rsidR="00FE3BAE" w:rsidP="008738CA" w:rsidRDefault="00FE3BAE" w14:paraId="1414CA71" w14:textId="77777777">
            <w:pPr>
              <w:rPr>
                <w:rFonts w:ascii="Times" w:hAnsi="Times"/>
                <w:b/>
                <w:bCs/>
              </w:rPr>
            </w:pPr>
            <w:r w:rsidRPr="00586198">
              <w:rPr>
                <w:rFonts w:ascii="Times" w:hAnsi="Times"/>
                <w:b/>
                <w:bCs/>
              </w:rPr>
              <w:t>Payer(s):</w:t>
            </w:r>
          </w:p>
        </w:tc>
        <w:tc>
          <w:tcPr>
            <w:tcW w:w="7470" w:type="dxa"/>
            <w:gridSpan w:val="3"/>
            <w:tcBorders>
              <w:top w:val="single" w:color="auto" w:sz="4" w:space="0"/>
              <w:left w:val="single" w:color="auto" w:sz="4" w:space="0"/>
              <w:bottom w:val="single" w:color="auto" w:sz="4" w:space="0"/>
              <w:right w:val="single" w:color="auto" w:sz="4" w:space="0"/>
            </w:tcBorders>
            <w:hideMark/>
          </w:tcPr>
          <w:p w:rsidRPr="00586198" w:rsidR="00FE3BAE" w:rsidP="008738CA" w:rsidRDefault="00BE6605" w14:paraId="7CA711B6" w14:textId="0EB7014D">
            <w:pPr>
              <w:rPr>
                <w:rFonts w:ascii="Times" w:hAnsi="Times"/>
              </w:rPr>
            </w:pPr>
            <w:r>
              <w:t>Pacific Gas and Electric Company, Southern California Edison Company and San Diego Gas &amp; Electric Company</w:t>
            </w:r>
          </w:p>
        </w:tc>
      </w:tr>
    </w:tbl>
    <w:p w:rsidRPr="00586198" w:rsidR="00FE3BAE" w:rsidP="00586198" w:rsidRDefault="00FE3BAE" w14:paraId="7F0236A2" w14:textId="77777777">
      <w:pPr>
        <w:pStyle w:val="standard"/>
        <w:keepNext/>
        <w:spacing w:before="480" w:after="240" w:line="240" w:lineRule="auto"/>
        <w:ind w:firstLine="0"/>
        <w:jc w:val="center"/>
        <w:rPr>
          <w:rFonts w:ascii="Times" w:hAnsi="Times"/>
          <w:b/>
          <w:sz w:val="24"/>
          <w:szCs w:val="26"/>
        </w:rPr>
      </w:pPr>
      <w:r w:rsidRPr="00586198">
        <w:rPr>
          <w:rFonts w:ascii="Times" w:hAnsi="Times"/>
          <w:b/>
          <w:sz w:val="24"/>
          <w:szCs w:val="26"/>
        </w:rPr>
        <w:t>Intervenor Information</w:t>
      </w:r>
    </w:p>
    <w:tbl>
      <w:tblPr>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85"/>
        <w:gridCol w:w="1980"/>
        <w:gridCol w:w="1419"/>
        <w:gridCol w:w="1296"/>
        <w:gridCol w:w="1393"/>
        <w:gridCol w:w="2467"/>
      </w:tblGrid>
      <w:tr w:rsidRPr="00586198" w:rsidR="008716FB" w:rsidTr="00586198" w14:paraId="6CDB318E" w14:textId="77777777">
        <w:trPr>
          <w:jc w:val="center"/>
        </w:trPr>
        <w:tc>
          <w:tcPr>
            <w:tcW w:w="1885" w:type="dxa"/>
            <w:tcBorders>
              <w:top w:val="single" w:color="auto" w:sz="4" w:space="0"/>
              <w:left w:val="single" w:color="auto" w:sz="4" w:space="0"/>
              <w:bottom w:val="single" w:color="auto" w:sz="4" w:space="0"/>
              <w:right w:val="single" w:color="auto" w:sz="4" w:space="0"/>
            </w:tcBorders>
            <w:vAlign w:val="bottom"/>
            <w:hideMark/>
          </w:tcPr>
          <w:p w:rsidRPr="00586198" w:rsidR="00FE3BAE" w:rsidP="00586198" w:rsidRDefault="00FE3BAE" w14:paraId="2578F35B" w14:textId="77777777">
            <w:pPr>
              <w:jc w:val="center"/>
              <w:rPr>
                <w:rFonts w:ascii="Times" w:hAnsi="Times"/>
                <w:b/>
                <w:bCs/>
              </w:rPr>
            </w:pPr>
            <w:r w:rsidRPr="00586198">
              <w:rPr>
                <w:rFonts w:ascii="Times" w:hAnsi="Times"/>
                <w:b/>
                <w:bCs/>
              </w:rPr>
              <w:t>Intervenor</w:t>
            </w:r>
          </w:p>
        </w:tc>
        <w:tc>
          <w:tcPr>
            <w:tcW w:w="1980" w:type="dxa"/>
            <w:tcBorders>
              <w:top w:val="single" w:color="auto" w:sz="4" w:space="0"/>
              <w:left w:val="single" w:color="auto" w:sz="4" w:space="0"/>
              <w:bottom w:val="single" w:color="auto" w:sz="4" w:space="0"/>
              <w:right w:val="single" w:color="auto" w:sz="4" w:space="0"/>
            </w:tcBorders>
            <w:vAlign w:val="bottom"/>
            <w:hideMark/>
          </w:tcPr>
          <w:p w:rsidRPr="00586198" w:rsidR="00FE3BAE" w:rsidP="00586198" w:rsidRDefault="0081626F" w14:paraId="2C1C9DC3" w14:textId="23D0CF49">
            <w:pPr>
              <w:jc w:val="center"/>
              <w:rPr>
                <w:rFonts w:ascii="Times" w:hAnsi="Times"/>
                <w:b/>
                <w:bCs/>
              </w:rPr>
            </w:pPr>
            <w:r w:rsidRPr="00586198">
              <w:rPr>
                <w:rFonts w:ascii="Times" w:hAnsi="Times"/>
                <w:b/>
                <w:bCs/>
              </w:rPr>
              <w:t>Date Claim Filed</w:t>
            </w:r>
          </w:p>
        </w:tc>
        <w:tc>
          <w:tcPr>
            <w:tcW w:w="1419" w:type="dxa"/>
            <w:tcBorders>
              <w:top w:val="single" w:color="auto" w:sz="4" w:space="0"/>
              <w:left w:val="single" w:color="auto" w:sz="4" w:space="0"/>
              <w:bottom w:val="single" w:color="auto" w:sz="4" w:space="0"/>
              <w:right w:val="single" w:color="auto" w:sz="4" w:space="0"/>
            </w:tcBorders>
            <w:vAlign w:val="bottom"/>
            <w:hideMark/>
          </w:tcPr>
          <w:p w:rsidR="00586198" w:rsidP="00586198" w:rsidRDefault="00FE3BAE" w14:paraId="3B6ADD2B" w14:textId="77777777">
            <w:pPr>
              <w:jc w:val="center"/>
              <w:rPr>
                <w:rFonts w:ascii="Times" w:hAnsi="Times"/>
                <w:b/>
                <w:bCs/>
              </w:rPr>
            </w:pPr>
            <w:r w:rsidRPr="00586198">
              <w:rPr>
                <w:rFonts w:ascii="Times" w:hAnsi="Times"/>
                <w:b/>
                <w:bCs/>
              </w:rPr>
              <w:t xml:space="preserve">Amount </w:t>
            </w:r>
          </w:p>
          <w:p w:rsidRPr="00586198" w:rsidR="00FE3BAE" w:rsidP="00586198" w:rsidRDefault="00FE3BAE" w14:paraId="60DD020D" w14:textId="34FBD017">
            <w:pPr>
              <w:jc w:val="center"/>
              <w:rPr>
                <w:rFonts w:ascii="Times" w:hAnsi="Times"/>
                <w:b/>
                <w:bCs/>
              </w:rPr>
            </w:pPr>
            <w:r w:rsidRPr="00586198">
              <w:rPr>
                <w:rFonts w:ascii="Times" w:hAnsi="Times"/>
                <w:b/>
                <w:bCs/>
              </w:rPr>
              <w:t>Requested</w:t>
            </w:r>
          </w:p>
        </w:tc>
        <w:tc>
          <w:tcPr>
            <w:tcW w:w="1296" w:type="dxa"/>
            <w:tcBorders>
              <w:top w:val="single" w:color="auto" w:sz="4" w:space="0"/>
              <w:left w:val="single" w:color="auto" w:sz="4" w:space="0"/>
              <w:bottom w:val="single" w:color="auto" w:sz="4" w:space="0"/>
              <w:right w:val="single" w:color="auto" w:sz="4" w:space="0"/>
            </w:tcBorders>
            <w:vAlign w:val="bottom"/>
            <w:hideMark/>
          </w:tcPr>
          <w:p w:rsidR="00586198" w:rsidP="00586198" w:rsidRDefault="00FE3BAE" w14:paraId="6137CE8D" w14:textId="77777777">
            <w:pPr>
              <w:jc w:val="center"/>
              <w:rPr>
                <w:rFonts w:ascii="Times" w:hAnsi="Times"/>
                <w:b/>
                <w:bCs/>
              </w:rPr>
            </w:pPr>
            <w:r w:rsidRPr="00586198">
              <w:rPr>
                <w:rFonts w:ascii="Times" w:hAnsi="Times"/>
                <w:b/>
                <w:bCs/>
              </w:rPr>
              <w:t xml:space="preserve">Amount </w:t>
            </w:r>
          </w:p>
          <w:p w:rsidRPr="00586198" w:rsidR="00FE3BAE" w:rsidP="00586198" w:rsidRDefault="00FE3BAE" w14:paraId="19A4A01D" w14:textId="020DA9CD">
            <w:pPr>
              <w:jc w:val="center"/>
              <w:rPr>
                <w:rFonts w:ascii="Times" w:hAnsi="Times"/>
                <w:b/>
                <w:bCs/>
              </w:rPr>
            </w:pPr>
            <w:r w:rsidRPr="00586198">
              <w:rPr>
                <w:rFonts w:ascii="Times" w:hAnsi="Times"/>
                <w:b/>
                <w:bCs/>
              </w:rPr>
              <w:t>Awarded</w:t>
            </w:r>
          </w:p>
        </w:tc>
        <w:tc>
          <w:tcPr>
            <w:tcW w:w="1393" w:type="dxa"/>
            <w:tcBorders>
              <w:top w:val="single" w:color="auto" w:sz="4" w:space="0"/>
              <w:left w:val="single" w:color="auto" w:sz="4" w:space="0"/>
              <w:bottom w:val="single" w:color="auto" w:sz="4" w:space="0"/>
              <w:right w:val="single" w:color="auto" w:sz="4" w:space="0"/>
            </w:tcBorders>
            <w:vAlign w:val="bottom"/>
            <w:hideMark/>
          </w:tcPr>
          <w:p w:rsidRPr="00586198" w:rsidR="00FE3BAE" w:rsidP="00586198" w:rsidRDefault="00FE3BAE" w14:paraId="5B9F47E2" w14:textId="77777777">
            <w:pPr>
              <w:jc w:val="center"/>
              <w:rPr>
                <w:rFonts w:ascii="Times" w:hAnsi="Times"/>
                <w:b/>
                <w:bCs/>
              </w:rPr>
            </w:pPr>
            <w:r w:rsidRPr="00586198">
              <w:rPr>
                <w:rFonts w:ascii="Times" w:hAnsi="Times"/>
                <w:b/>
                <w:bCs/>
              </w:rPr>
              <w:t>Multiplier?</w:t>
            </w:r>
          </w:p>
        </w:tc>
        <w:tc>
          <w:tcPr>
            <w:tcW w:w="2467" w:type="dxa"/>
            <w:tcBorders>
              <w:top w:val="single" w:color="auto" w:sz="4" w:space="0"/>
              <w:left w:val="single" w:color="auto" w:sz="4" w:space="0"/>
              <w:bottom w:val="single" w:color="auto" w:sz="4" w:space="0"/>
              <w:right w:val="single" w:color="auto" w:sz="4" w:space="0"/>
            </w:tcBorders>
            <w:vAlign w:val="bottom"/>
            <w:hideMark/>
          </w:tcPr>
          <w:p w:rsidR="00586198" w:rsidP="00586198" w:rsidRDefault="00FE3BAE" w14:paraId="31D0ABE3" w14:textId="77777777">
            <w:pPr>
              <w:jc w:val="center"/>
              <w:rPr>
                <w:rFonts w:ascii="Times" w:hAnsi="Times"/>
                <w:b/>
                <w:bCs/>
              </w:rPr>
            </w:pPr>
            <w:r w:rsidRPr="00586198">
              <w:rPr>
                <w:rFonts w:ascii="Times" w:hAnsi="Times"/>
                <w:b/>
                <w:bCs/>
              </w:rPr>
              <w:t>Reason Change/</w:t>
            </w:r>
          </w:p>
          <w:p w:rsidRPr="00586198" w:rsidR="00FE3BAE" w:rsidP="00586198" w:rsidRDefault="00FE3BAE" w14:paraId="089590A8" w14:textId="38FF363E">
            <w:pPr>
              <w:jc w:val="center"/>
              <w:rPr>
                <w:rFonts w:ascii="Times" w:hAnsi="Times"/>
                <w:b/>
                <w:bCs/>
              </w:rPr>
            </w:pPr>
            <w:r w:rsidRPr="00586198">
              <w:rPr>
                <w:rFonts w:ascii="Times" w:hAnsi="Times"/>
                <w:b/>
                <w:bCs/>
              </w:rPr>
              <w:t>Disallowance</w:t>
            </w:r>
          </w:p>
        </w:tc>
      </w:tr>
      <w:tr w:rsidRPr="00586198" w:rsidR="008716FB" w:rsidTr="00586198" w14:paraId="080524E3" w14:textId="77777777">
        <w:trPr>
          <w:trHeight w:val="872"/>
          <w:jc w:val="center"/>
        </w:trPr>
        <w:tc>
          <w:tcPr>
            <w:tcW w:w="1885" w:type="dxa"/>
            <w:tcBorders>
              <w:top w:val="single" w:color="auto" w:sz="4" w:space="0"/>
              <w:left w:val="single" w:color="auto" w:sz="4" w:space="0"/>
              <w:bottom w:val="single" w:color="auto" w:sz="4" w:space="0"/>
              <w:right w:val="single" w:color="auto" w:sz="4" w:space="0"/>
            </w:tcBorders>
            <w:shd w:val="clear" w:color="auto" w:fill="auto"/>
            <w:hideMark/>
          </w:tcPr>
          <w:p w:rsidRPr="00586198" w:rsidR="00FE3BAE" w:rsidP="008738CA" w:rsidRDefault="00F81935" w14:paraId="3008FB17" w14:textId="437DB49F">
            <w:pPr>
              <w:jc w:val="center"/>
              <w:rPr>
                <w:rFonts w:ascii="Times" w:hAnsi="Times"/>
              </w:rPr>
            </w:pPr>
            <w:r w:rsidRPr="00586198">
              <w:rPr>
                <w:rFonts w:ascii="Times" w:hAnsi="Times"/>
              </w:rPr>
              <w:t>Protect Our Communities Foundation</w:t>
            </w:r>
          </w:p>
        </w:tc>
        <w:tc>
          <w:tcPr>
            <w:tcW w:w="1980" w:type="dxa"/>
            <w:tcBorders>
              <w:top w:val="single" w:color="auto" w:sz="4" w:space="0"/>
              <w:left w:val="single" w:color="auto" w:sz="4" w:space="0"/>
              <w:bottom w:val="single" w:color="auto" w:sz="4" w:space="0"/>
              <w:right w:val="single" w:color="auto" w:sz="4" w:space="0"/>
            </w:tcBorders>
            <w:shd w:val="clear" w:color="auto" w:fill="auto"/>
            <w:hideMark/>
          </w:tcPr>
          <w:p w:rsidRPr="00586198" w:rsidR="00FE3BAE" w:rsidP="008738CA" w:rsidRDefault="00F81935" w14:paraId="63956769" w14:textId="18FB3E35">
            <w:pPr>
              <w:jc w:val="center"/>
              <w:rPr>
                <w:rFonts w:ascii="Times" w:hAnsi="Times"/>
              </w:rPr>
            </w:pPr>
            <w:r w:rsidRPr="00586198">
              <w:rPr>
                <w:rFonts w:ascii="Times" w:hAnsi="Times"/>
              </w:rPr>
              <w:t>08/28/2020</w:t>
            </w:r>
          </w:p>
        </w:tc>
        <w:tc>
          <w:tcPr>
            <w:tcW w:w="1419" w:type="dxa"/>
            <w:tcBorders>
              <w:top w:val="single" w:color="auto" w:sz="4" w:space="0"/>
              <w:left w:val="single" w:color="auto" w:sz="4" w:space="0"/>
              <w:bottom w:val="single" w:color="auto" w:sz="4" w:space="0"/>
              <w:right w:val="single" w:color="auto" w:sz="4" w:space="0"/>
            </w:tcBorders>
            <w:shd w:val="clear" w:color="auto" w:fill="auto"/>
            <w:hideMark/>
          </w:tcPr>
          <w:p w:rsidRPr="00586198" w:rsidR="00FE3BAE" w:rsidP="008738CA" w:rsidRDefault="002D2C2F" w14:paraId="75AD20FA" w14:textId="21B71FE4">
            <w:pPr>
              <w:jc w:val="center"/>
              <w:rPr>
                <w:rFonts w:ascii="Times" w:hAnsi="Times"/>
              </w:rPr>
            </w:pPr>
            <w:r w:rsidRPr="00586198">
              <w:rPr>
                <w:rFonts w:ascii="Times" w:hAnsi="Times"/>
              </w:rPr>
              <w:t>$68,599.50</w:t>
            </w:r>
            <w:r w:rsidRPr="00924736" w:rsidR="00947C7E">
              <w:rPr>
                <w:rStyle w:val="FootnoteReference"/>
                <w:rFonts w:ascii="Times" w:hAnsi="Times"/>
              </w:rPr>
              <w:footnoteReference w:id="8"/>
            </w:r>
          </w:p>
        </w:tc>
        <w:tc>
          <w:tcPr>
            <w:tcW w:w="1296" w:type="dxa"/>
            <w:tcBorders>
              <w:top w:val="single" w:color="auto" w:sz="4" w:space="0"/>
              <w:left w:val="single" w:color="auto" w:sz="4" w:space="0"/>
              <w:bottom w:val="single" w:color="auto" w:sz="4" w:space="0"/>
              <w:right w:val="single" w:color="auto" w:sz="4" w:space="0"/>
            </w:tcBorders>
            <w:hideMark/>
          </w:tcPr>
          <w:p w:rsidRPr="00586198" w:rsidR="00FE3BAE" w:rsidP="008738CA" w:rsidRDefault="0091252D" w14:paraId="0DD6FE00" w14:textId="74107F93">
            <w:pPr>
              <w:jc w:val="center"/>
              <w:rPr>
                <w:rFonts w:ascii="Times" w:hAnsi="Times"/>
              </w:rPr>
            </w:pPr>
            <w:r w:rsidRPr="00586198">
              <w:rPr>
                <w:rFonts w:ascii="Times" w:hAnsi="Times"/>
              </w:rPr>
              <w:t>$</w:t>
            </w:r>
            <w:r w:rsidRPr="00F50A15" w:rsidR="00DC39BD">
              <w:rPr>
                <w:bCs/>
                <w:iCs/>
              </w:rPr>
              <w:t>43,547.00</w:t>
            </w:r>
          </w:p>
        </w:tc>
        <w:tc>
          <w:tcPr>
            <w:tcW w:w="1393" w:type="dxa"/>
            <w:tcBorders>
              <w:top w:val="single" w:color="auto" w:sz="4" w:space="0"/>
              <w:left w:val="single" w:color="auto" w:sz="4" w:space="0"/>
              <w:bottom w:val="single" w:color="auto" w:sz="4" w:space="0"/>
              <w:right w:val="single" w:color="auto" w:sz="4" w:space="0"/>
            </w:tcBorders>
            <w:hideMark/>
          </w:tcPr>
          <w:p w:rsidRPr="00586198" w:rsidR="00FE3BAE" w:rsidP="008738CA" w:rsidRDefault="00FE3BAE" w14:paraId="0BDAFE20" w14:textId="77777777">
            <w:pPr>
              <w:jc w:val="center"/>
              <w:rPr>
                <w:rFonts w:ascii="Times" w:hAnsi="Times"/>
              </w:rPr>
            </w:pPr>
            <w:r w:rsidRPr="00586198">
              <w:rPr>
                <w:rFonts w:ascii="Times" w:hAnsi="Times"/>
              </w:rPr>
              <w:t>N/A</w:t>
            </w:r>
          </w:p>
        </w:tc>
        <w:tc>
          <w:tcPr>
            <w:tcW w:w="2467" w:type="dxa"/>
            <w:tcBorders>
              <w:top w:val="single" w:color="auto" w:sz="4" w:space="0"/>
              <w:left w:val="single" w:color="auto" w:sz="4" w:space="0"/>
              <w:bottom w:val="single" w:color="auto" w:sz="4" w:space="0"/>
              <w:right w:val="single" w:color="auto" w:sz="4" w:space="0"/>
            </w:tcBorders>
            <w:hideMark/>
          </w:tcPr>
          <w:p w:rsidRPr="00586198" w:rsidR="00FE3BAE" w:rsidP="008738CA" w:rsidRDefault="00695E4B" w14:paraId="6B53C6F9" w14:textId="715E8824">
            <w:pPr>
              <w:jc w:val="center"/>
              <w:rPr>
                <w:rFonts w:ascii="Times" w:hAnsi="Times"/>
              </w:rPr>
            </w:pPr>
            <w:r w:rsidRPr="00586198">
              <w:rPr>
                <w:rFonts w:ascii="Times" w:hAnsi="Times"/>
                <w:i/>
                <w:iCs/>
              </w:rPr>
              <w:t xml:space="preserve">See </w:t>
            </w:r>
            <w:r w:rsidRPr="00586198">
              <w:rPr>
                <w:rFonts w:ascii="Times" w:hAnsi="Times"/>
              </w:rPr>
              <w:t>CPUC Comments, Disallowances, and Adjustments</w:t>
            </w:r>
          </w:p>
        </w:tc>
      </w:tr>
    </w:tbl>
    <w:p w:rsidRPr="00586198" w:rsidR="00FE3BAE" w:rsidP="00586198" w:rsidRDefault="0022302F" w14:paraId="2841210B" w14:textId="77777777">
      <w:pPr>
        <w:pStyle w:val="standard"/>
        <w:keepNext/>
        <w:spacing w:before="480" w:after="240" w:line="240" w:lineRule="auto"/>
        <w:ind w:firstLine="0"/>
        <w:jc w:val="center"/>
        <w:rPr>
          <w:rFonts w:ascii="Times" w:hAnsi="Times"/>
          <w:b/>
          <w:sz w:val="24"/>
          <w:szCs w:val="26"/>
        </w:rPr>
      </w:pPr>
      <w:r w:rsidRPr="00586198">
        <w:rPr>
          <w:rFonts w:ascii="Times" w:hAnsi="Times"/>
          <w:b/>
          <w:sz w:val="24"/>
          <w:szCs w:val="26"/>
        </w:rPr>
        <w:t>Hourly Fee</w:t>
      </w:r>
      <w:r w:rsidRPr="00586198" w:rsidR="00FE3BAE">
        <w:rPr>
          <w:rFonts w:ascii="Times" w:hAnsi="Times"/>
          <w:b/>
          <w:sz w:val="24"/>
          <w:szCs w:val="26"/>
        </w:rPr>
        <w:t xml:space="preserve"> Information</w:t>
      </w:r>
    </w:p>
    <w:tbl>
      <w:tblPr>
        <w:tblW w:w="10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35"/>
        <w:gridCol w:w="1530"/>
        <w:gridCol w:w="2340"/>
        <w:gridCol w:w="1800"/>
        <w:gridCol w:w="1800"/>
        <w:gridCol w:w="1535"/>
      </w:tblGrid>
      <w:tr w:rsidRPr="00586198" w:rsidR="008716FB" w:rsidTr="00CD24C0" w14:paraId="7CF2F0CA" w14:textId="77777777">
        <w:trPr>
          <w:trHeight w:val="288"/>
          <w:jc w:val="center"/>
        </w:trPr>
        <w:tc>
          <w:tcPr>
            <w:tcW w:w="1435" w:type="dxa"/>
            <w:tcBorders>
              <w:top w:val="single" w:color="auto" w:sz="4" w:space="0"/>
              <w:left w:val="single" w:color="auto" w:sz="4" w:space="0"/>
              <w:bottom w:val="single" w:color="auto" w:sz="4" w:space="0"/>
              <w:right w:val="single" w:color="auto" w:sz="4" w:space="0"/>
            </w:tcBorders>
            <w:vAlign w:val="bottom"/>
            <w:hideMark/>
          </w:tcPr>
          <w:p w:rsidRPr="00586198" w:rsidR="003B6A1B" w:rsidP="00586198" w:rsidRDefault="003B6A1B" w14:paraId="61500303" w14:textId="77777777">
            <w:pPr>
              <w:jc w:val="center"/>
              <w:rPr>
                <w:rFonts w:ascii="Times" w:hAnsi="Times"/>
                <w:b/>
                <w:bCs/>
              </w:rPr>
            </w:pPr>
            <w:r w:rsidRPr="00586198">
              <w:rPr>
                <w:rFonts w:ascii="Times" w:hAnsi="Times"/>
                <w:b/>
                <w:bCs/>
              </w:rPr>
              <w:t>First Name</w:t>
            </w:r>
          </w:p>
        </w:tc>
        <w:tc>
          <w:tcPr>
            <w:tcW w:w="1530" w:type="dxa"/>
            <w:tcBorders>
              <w:top w:val="single" w:color="auto" w:sz="4" w:space="0"/>
              <w:left w:val="single" w:color="auto" w:sz="4" w:space="0"/>
              <w:bottom w:val="single" w:color="auto" w:sz="4" w:space="0"/>
              <w:right w:val="single" w:color="auto" w:sz="4" w:space="0"/>
            </w:tcBorders>
            <w:vAlign w:val="bottom"/>
            <w:hideMark/>
          </w:tcPr>
          <w:p w:rsidRPr="00586198" w:rsidR="003B6A1B" w:rsidP="00586198" w:rsidRDefault="003B6A1B" w14:paraId="55908486" w14:textId="77777777">
            <w:pPr>
              <w:jc w:val="center"/>
              <w:rPr>
                <w:rFonts w:ascii="Times" w:hAnsi="Times"/>
                <w:b/>
                <w:bCs/>
              </w:rPr>
            </w:pPr>
            <w:r w:rsidRPr="00586198">
              <w:rPr>
                <w:rFonts w:ascii="Times" w:hAnsi="Times"/>
                <w:b/>
                <w:bCs/>
              </w:rPr>
              <w:t>Last Name</w:t>
            </w:r>
          </w:p>
        </w:tc>
        <w:tc>
          <w:tcPr>
            <w:tcW w:w="2340" w:type="dxa"/>
            <w:tcBorders>
              <w:top w:val="single" w:color="auto" w:sz="4" w:space="0"/>
              <w:left w:val="single" w:color="auto" w:sz="4" w:space="0"/>
              <w:bottom w:val="single" w:color="auto" w:sz="4" w:space="0"/>
              <w:right w:val="single" w:color="auto" w:sz="4" w:space="0"/>
            </w:tcBorders>
            <w:vAlign w:val="bottom"/>
            <w:hideMark/>
          </w:tcPr>
          <w:p w:rsidR="00CD0FD3" w:rsidP="00586198" w:rsidRDefault="00171EBF" w14:paraId="21C552F3" w14:textId="77777777">
            <w:pPr>
              <w:ind w:left="12" w:firstLine="12"/>
              <w:jc w:val="center"/>
              <w:rPr>
                <w:rFonts w:ascii="Times" w:hAnsi="Times"/>
                <w:b/>
                <w:bCs/>
              </w:rPr>
            </w:pPr>
            <w:r w:rsidRPr="00586198">
              <w:rPr>
                <w:rFonts w:ascii="Times" w:hAnsi="Times"/>
                <w:b/>
                <w:bCs/>
              </w:rPr>
              <w:t xml:space="preserve">Attorney, </w:t>
            </w:r>
          </w:p>
          <w:p w:rsidRPr="00586198" w:rsidR="003B6A1B" w:rsidP="00586198" w:rsidRDefault="00171EBF" w14:paraId="2438DAE1" w14:textId="090BB903">
            <w:pPr>
              <w:ind w:left="12" w:firstLine="12"/>
              <w:jc w:val="center"/>
              <w:rPr>
                <w:rFonts w:ascii="Times" w:hAnsi="Times"/>
                <w:b/>
                <w:bCs/>
              </w:rPr>
            </w:pPr>
            <w:r w:rsidRPr="00586198">
              <w:rPr>
                <w:rFonts w:ascii="Times" w:hAnsi="Times"/>
                <w:b/>
                <w:bCs/>
              </w:rPr>
              <w:t>Expert, or Advocate</w:t>
            </w:r>
          </w:p>
        </w:tc>
        <w:tc>
          <w:tcPr>
            <w:tcW w:w="1800" w:type="dxa"/>
            <w:tcBorders>
              <w:top w:val="single" w:color="auto" w:sz="4" w:space="0"/>
              <w:left w:val="single" w:color="auto" w:sz="4" w:space="0"/>
              <w:bottom w:val="single" w:color="auto" w:sz="4" w:space="0"/>
              <w:right w:val="single" w:color="auto" w:sz="4" w:space="0"/>
            </w:tcBorders>
            <w:vAlign w:val="bottom"/>
            <w:hideMark/>
          </w:tcPr>
          <w:p w:rsidR="00CD24C0" w:rsidP="00586198" w:rsidRDefault="003B6A1B" w14:paraId="73F6C843" w14:textId="77777777">
            <w:pPr>
              <w:jc w:val="center"/>
              <w:rPr>
                <w:rFonts w:ascii="Times" w:hAnsi="Times"/>
                <w:b/>
                <w:bCs/>
              </w:rPr>
            </w:pPr>
            <w:r w:rsidRPr="00586198">
              <w:rPr>
                <w:rFonts w:ascii="Times" w:hAnsi="Times"/>
                <w:b/>
                <w:bCs/>
              </w:rPr>
              <w:t xml:space="preserve">Hourly </w:t>
            </w:r>
          </w:p>
          <w:p w:rsidRPr="00586198" w:rsidR="003B6A1B" w:rsidP="00586198" w:rsidRDefault="003B6A1B" w14:paraId="3431A72E" w14:textId="047ABECF">
            <w:pPr>
              <w:jc w:val="center"/>
              <w:rPr>
                <w:rFonts w:ascii="Times" w:hAnsi="Times"/>
                <w:b/>
                <w:bCs/>
              </w:rPr>
            </w:pPr>
            <w:r w:rsidRPr="00586198">
              <w:rPr>
                <w:rFonts w:ascii="Times" w:hAnsi="Times"/>
                <w:b/>
                <w:bCs/>
              </w:rPr>
              <w:t>Fee Requested</w:t>
            </w:r>
          </w:p>
        </w:tc>
        <w:tc>
          <w:tcPr>
            <w:tcW w:w="1800" w:type="dxa"/>
            <w:tcBorders>
              <w:top w:val="single" w:color="auto" w:sz="4" w:space="0"/>
              <w:left w:val="single" w:color="auto" w:sz="4" w:space="0"/>
              <w:bottom w:val="single" w:color="auto" w:sz="4" w:space="0"/>
              <w:right w:val="single" w:color="auto" w:sz="4" w:space="0"/>
            </w:tcBorders>
            <w:vAlign w:val="bottom"/>
            <w:hideMark/>
          </w:tcPr>
          <w:p w:rsidR="00CD24C0" w:rsidP="00586198" w:rsidRDefault="003B6A1B" w14:paraId="549DEDDC" w14:textId="77777777">
            <w:pPr>
              <w:jc w:val="center"/>
              <w:rPr>
                <w:rFonts w:ascii="Times" w:hAnsi="Times"/>
                <w:b/>
                <w:bCs/>
              </w:rPr>
            </w:pPr>
            <w:r w:rsidRPr="00586198">
              <w:rPr>
                <w:rFonts w:ascii="Times" w:hAnsi="Times"/>
                <w:b/>
                <w:bCs/>
              </w:rPr>
              <w:t xml:space="preserve">Year Hourly </w:t>
            </w:r>
          </w:p>
          <w:p w:rsidRPr="00586198" w:rsidR="003B6A1B" w:rsidP="00586198" w:rsidRDefault="003B6A1B" w14:paraId="6FE76773" w14:textId="5D6DB3F7">
            <w:pPr>
              <w:jc w:val="center"/>
              <w:rPr>
                <w:rFonts w:ascii="Times" w:hAnsi="Times"/>
                <w:b/>
                <w:bCs/>
              </w:rPr>
            </w:pPr>
            <w:r w:rsidRPr="00586198">
              <w:rPr>
                <w:rFonts w:ascii="Times" w:hAnsi="Times"/>
                <w:b/>
                <w:bCs/>
              </w:rPr>
              <w:t>Fee Requested</w:t>
            </w:r>
          </w:p>
        </w:tc>
        <w:tc>
          <w:tcPr>
            <w:tcW w:w="1535" w:type="dxa"/>
            <w:tcBorders>
              <w:top w:val="single" w:color="auto" w:sz="4" w:space="0"/>
              <w:left w:val="single" w:color="auto" w:sz="4" w:space="0"/>
              <w:bottom w:val="single" w:color="auto" w:sz="4" w:space="0"/>
              <w:right w:val="single" w:color="auto" w:sz="4" w:space="0"/>
            </w:tcBorders>
            <w:vAlign w:val="bottom"/>
            <w:hideMark/>
          </w:tcPr>
          <w:p w:rsidR="00CD24C0" w:rsidP="00586198" w:rsidRDefault="003B6A1B" w14:paraId="249617F3" w14:textId="77777777">
            <w:pPr>
              <w:jc w:val="center"/>
              <w:rPr>
                <w:rFonts w:ascii="Times" w:hAnsi="Times"/>
                <w:b/>
                <w:bCs/>
              </w:rPr>
            </w:pPr>
            <w:r w:rsidRPr="00586198">
              <w:rPr>
                <w:rFonts w:ascii="Times" w:hAnsi="Times"/>
                <w:b/>
                <w:bCs/>
              </w:rPr>
              <w:t xml:space="preserve">Hourly </w:t>
            </w:r>
          </w:p>
          <w:p w:rsidRPr="00586198" w:rsidR="003B6A1B" w:rsidP="00586198" w:rsidRDefault="003B6A1B" w14:paraId="1B789B85" w14:textId="49BAF6AD">
            <w:pPr>
              <w:jc w:val="center"/>
              <w:rPr>
                <w:rFonts w:ascii="Times" w:hAnsi="Times"/>
                <w:b/>
                <w:bCs/>
              </w:rPr>
            </w:pPr>
            <w:r w:rsidRPr="00586198">
              <w:rPr>
                <w:rFonts w:ascii="Times" w:hAnsi="Times"/>
                <w:b/>
                <w:bCs/>
              </w:rPr>
              <w:t>Fee Adopted</w:t>
            </w:r>
          </w:p>
        </w:tc>
      </w:tr>
      <w:tr w:rsidRPr="00586198" w:rsidR="008716FB" w:rsidTr="00CD24C0" w14:paraId="1211B948" w14:textId="77777777">
        <w:trPr>
          <w:trHeight w:val="288"/>
          <w:jc w:val="center"/>
        </w:trPr>
        <w:tc>
          <w:tcPr>
            <w:tcW w:w="1435" w:type="dxa"/>
            <w:tcBorders>
              <w:top w:val="single" w:color="auto" w:sz="4" w:space="0"/>
              <w:left w:val="single" w:color="auto" w:sz="4" w:space="0"/>
              <w:bottom w:val="single" w:color="auto" w:sz="4" w:space="0"/>
              <w:right w:val="single" w:color="auto" w:sz="4" w:space="0"/>
            </w:tcBorders>
            <w:shd w:val="clear" w:color="auto" w:fill="auto"/>
          </w:tcPr>
          <w:p w:rsidRPr="00586198" w:rsidR="003B6A1B" w:rsidP="008738CA" w:rsidRDefault="00F81935" w14:paraId="0F0C6D6C" w14:textId="0E26D8AD">
            <w:pPr>
              <w:jc w:val="center"/>
              <w:rPr>
                <w:rFonts w:ascii="Times" w:hAnsi="Times"/>
              </w:rPr>
            </w:pPr>
            <w:r w:rsidRPr="00586198">
              <w:rPr>
                <w:rFonts w:ascii="Times" w:hAnsi="Times"/>
              </w:rPr>
              <w:t>Bill</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586198" w:rsidR="003B6A1B" w:rsidP="008738CA" w:rsidRDefault="00F81935" w14:paraId="6ACE7B68" w14:textId="4E2D4465">
            <w:pPr>
              <w:jc w:val="center"/>
              <w:rPr>
                <w:rFonts w:ascii="Times" w:hAnsi="Times"/>
              </w:rPr>
            </w:pPr>
            <w:r w:rsidRPr="00586198">
              <w:rPr>
                <w:rFonts w:ascii="Times" w:hAnsi="Times"/>
              </w:rPr>
              <w:t>Powers</w:t>
            </w: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586198" w:rsidR="003B6A1B" w:rsidP="008738CA" w:rsidRDefault="00F81935" w14:paraId="0E61474F" w14:textId="5BD7BA66">
            <w:pPr>
              <w:jc w:val="center"/>
              <w:rPr>
                <w:rFonts w:ascii="Times" w:hAnsi="Times"/>
              </w:rPr>
            </w:pPr>
            <w:r w:rsidRPr="00586198">
              <w:rPr>
                <w:rFonts w:ascii="Times" w:hAnsi="Times"/>
              </w:rPr>
              <w:t>Expert</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586198" w:rsidR="003B6A1B" w:rsidP="008738CA" w:rsidRDefault="00F81935" w14:paraId="44F9655C" w14:textId="3363ABEC">
            <w:pPr>
              <w:jc w:val="center"/>
              <w:rPr>
                <w:rFonts w:ascii="Times" w:hAnsi="Times"/>
              </w:rPr>
            </w:pPr>
            <w:r w:rsidRPr="00586198">
              <w:rPr>
                <w:rFonts w:ascii="Times" w:hAnsi="Times"/>
              </w:rPr>
              <w:t>$291</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586198" w:rsidR="003B6A1B" w:rsidP="008738CA" w:rsidRDefault="00F81935" w14:paraId="2EB25516" w14:textId="057BDDCF">
            <w:pPr>
              <w:jc w:val="center"/>
              <w:rPr>
                <w:rFonts w:ascii="Times" w:hAnsi="Times"/>
              </w:rPr>
            </w:pPr>
            <w:r w:rsidRPr="00586198">
              <w:rPr>
                <w:rFonts w:ascii="Times" w:hAnsi="Times"/>
              </w:rPr>
              <w:t>2020</w:t>
            </w:r>
          </w:p>
        </w:tc>
        <w:tc>
          <w:tcPr>
            <w:tcW w:w="1535" w:type="dxa"/>
            <w:tcBorders>
              <w:top w:val="single" w:color="auto" w:sz="4" w:space="0"/>
              <w:left w:val="single" w:color="auto" w:sz="4" w:space="0"/>
              <w:bottom w:val="single" w:color="auto" w:sz="4" w:space="0"/>
              <w:right w:val="single" w:color="auto" w:sz="4" w:space="0"/>
            </w:tcBorders>
          </w:tcPr>
          <w:p w:rsidRPr="00586198" w:rsidR="003B6A1B" w:rsidP="008738CA" w:rsidRDefault="0091252D" w14:paraId="0A76FE98" w14:textId="04E19612">
            <w:pPr>
              <w:jc w:val="center"/>
              <w:rPr>
                <w:rFonts w:ascii="Times" w:hAnsi="Times"/>
              </w:rPr>
            </w:pPr>
            <w:r w:rsidRPr="00586198">
              <w:rPr>
                <w:rFonts w:ascii="Times" w:hAnsi="Times"/>
              </w:rPr>
              <w:t>$295.00</w:t>
            </w:r>
          </w:p>
        </w:tc>
      </w:tr>
      <w:tr w:rsidRPr="00586198" w:rsidR="008716FB" w:rsidTr="00CD24C0" w14:paraId="23CC0A9F" w14:textId="77777777">
        <w:trPr>
          <w:trHeight w:val="288"/>
          <w:jc w:val="center"/>
        </w:trPr>
        <w:tc>
          <w:tcPr>
            <w:tcW w:w="1435" w:type="dxa"/>
            <w:tcBorders>
              <w:top w:val="single" w:color="auto" w:sz="4" w:space="0"/>
              <w:left w:val="single" w:color="auto" w:sz="4" w:space="0"/>
              <w:bottom w:val="single" w:color="auto" w:sz="4" w:space="0"/>
              <w:right w:val="single" w:color="auto" w:sz="4" w:space="0"/>
            </w:tcBorders>
            <w:shd w:val="clear" w:color="auto" w:fill="auto"/>
          </w:tcPr>
          <w:p w:rsidRPr="00586198" w:rsidR="003B6A1B" w:rsidP="008738CA" w:rsidRDefault="00F81935" w14:paraId="4CFDAB24" w14:textId="3DCC3C9E">
            <w:pPr>
              <w:jc w:val="center"/>
              <w:rPr>
                <w:rFonts w:ascii="Times" w:hAnsi="Times"/>
              </w:rPr>
            </w:pPr>
            <w:r w:rsidRPr="00586198">
              <w:rPr>
                <w:rFonts w:ascii="Times" w:hAnsi="Times"/>
              </w:rPr>
              <w:t>Tyson</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586198" w:rsidR="003B6A1B" w:rsidP="008738CA" w:rsidRDefault="00F81935" w14:paraId="3A9B4F75" w14:textId="02A420F1">
            <w:pPr>
              <w:jc w:val="center"/>
              <w:rPr>
                <w:rFonts w:ascii="Times" w:hAnsi="Times"/>
              </w:rPr>
            </w:pPr>
            <w:r w:rsidRPr="00586198">
              <w:rPr>
                <w:rFonts w:ascii="Times" w:hAnsi="Times"/>
              </w:rPr>
              <w:t>Siegele</w:t>
            </w: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586198" w:rsidR="003B6A1B" w:rsidP="008738CA" w:rsidRDefault="00F81935" w14:paraId="73440B00" w14:textId="54D95766">
            <w:pPr>
              <w:jc w:val="center"/>
              <w:rPr>
                <w:rFonts w:ascii="Times" w:hAnsi="Times"/>
              </w:rPr>
            </w:pPr>
            <w:r w:rsidRPr="00586198">
              <w:rPr>
                <w:rFonts w:ascii="Times" w:hAnsi="Times"/>
              </w:rPr>
              <w:t>Expert</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586198" w:rsidR="003B6A1B" w:rsidP="008738CA" w:rsidRDefault="00F81935" w14:paraId="1466F47E" w14:textId="69F360CD">
            <w:pPr>
              <w:jc w:val="center"/>
              <w:rPr>
                <w:rFonts w:ascii="Times" w:hAnsi="Times"/>
              </w:rPr>
            </w:pPr>
            <w:r w:rsidRPr="00586198">
              <w:rPr>
                <w:rFonts w:ascii="Times" w:hAnsi="Times"/>
              </w:rPr>
              <w:t>$280</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586198" w:rsidR="003B6A1B" w:rsidP="008738CA" w:rsidRDefault="00F81935" w14:paraId="4CBE320E" w14:textId="3CE8B576">
            <w:pPr>
              <w:jc w:val="center"/>
              <w:rPr>
                <w:rFonts w:ascii="Times" w:hAnsi="Times"/>
              </w:rPr>
            </w:pPr>
            <w:r w:rsidRPr="00586198">
              <w:rPr>
                <w:rFonts w:ascii="Times" w:hAnsi="Times"/>
              </w:rPr>
              <w:t>2020</w:t>
            </w:r>
          </w:p>
        </w:tc>
        <w:tc>
          <w:tcPr>
            <w:tcW w:w="1535" w:type="dxa"/>
            <w:tcBorders>
              <w:top w:val="single" w:color="auto" w:sz="4" w:space="0"/>
              <w:left w:val="single" w:color="auto" w:sz="4" w:space="0"/>
              <w:bottom w:val="single" w:color="auto" w:sz="4" w:space="0"/>
              <w:right w:val="single" w:color="auto" w:sz="4" w:space="0"/>
            </w:tcBorders>
          </w:tcPr>
          <w:p w:rsidRPr="00586198" w:rsidR="003B6A1B" w:rsidP="008738CA" w:rsidRDefault="0091252D" w14:paraId="37932A57" w14:textId="5B846562">
            <w:pPr>
              <w:jc w:val="center"/>
              <w:rPr>
                <w:rFonts w:ascii="Times" w:hAnsi="Times"/>
              </w:rPr>
            </w:pPr>
            <w:r w:rsidRPr="00586198">
              <w:rPr>
                <w:rFonts w:ascii="Times" w:hAnsi="Times"/>
              </w:rPr>
              <w:t>$290.00</w:t>
            </w:r>
          </w:p>
        </w:tc>
      </w:tr>
      <w:tr w:rsidRPr="00586198" w:rsidR="008716FB" w:rsidTr="00CD24C0" w14:paraId="4C519B49" w14:textId="77777777">
        <w:trPr>
          <w:trHeight w:val="288"/>
          <w:jc w:val="center"/>
        </w:trPr>
        <w:tc>
          <w:tcPr>
            <w:tcW w:w="1435" w:type="dxa"/>
            <w:tcBorders>
              <w:top w:val="single" w:color="auto" w:sz="4" w:space="0"/>
              <w:left w:val="single" w:color="auto" w:sz="4" w:space="0"/>
              <w:bottom w:val="single" w:color="auto" w:sz="4" w:space="0"/>
              <w:right w:val="single" w:color="auto" w:sz="4" w:space="0"/>
            </w:tcBorders>
            <w:shd w:val="clear" w:color="auto" w:fill="auto"/>
          </w:tcPr>
          <w:p w:rsidRPr="00586198" w:rsidR="003B6A1B" w:rsidP="008738CA" w:rsidRDefault="00F81935" w14:paraId="65C04662" w14:textId="58CB197E">
            <w:pPr>
              <w:jc w:val="center"/>
              <w:rPr>
                <w:rFonts w:ascii="Times" w:hAnsi="Times"/>
              </w:rPr>
            </w:pPr>
            <w:r w:rsidRPr="00586198">
              <w:rPr>
                <w:rFonts w:ascii="Times" w:hAnsi="Times"/>
              </w:rPr>
              <w:t>Julia</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Pr="00586198" w:rsidR="003B6A1B" w:rsidP="008738CA" w:rsidRDefault="00F81935" w14:paraId="1C590887" w14:textId="38F6B777">
            <w:pPr>
              <w:jc w:val="center"/>
              <w:rPr>
                <w:rFonts w:ascii="Times" w:hAnsi="Times"/>
              </w:rPr>
            </w:pPr>
            <w:r w:rsidRPr="00586198">
              <w:rPr>
                <w:rFonts w:ascii="Times" w:hAnsi="Times"/>
              </w:rPr>
              <w:t>Severson</w:t>
            </w:r>
          </w:p>
        </w:tc>
        <w:tc>
          <w:tcPr>
            <w:tcW w:w="2340" w:type="dxa"/>
            <w:tcBorders>
              <w:top w:val="single" w:color="auto" w:sz="4" w:space="0"/>
              <w:left w:val="single" w:color="auto" w:sz="4" w:space="0"/>
              <w:bottom w:val="single" w:color="auto" w:sz="4" w:space="0"/>
              <w:right w:val="single" w:color="auto" w:sz="4" w:space="0"/>
            </w:tcBorders>
            <w:shd w:val="clear" w:color="auto" w:fill="auto"/>
          </w:tcPr>
          <w:p w:rsidRPr="00586198" w:rsidR="003B6A1B" w:rsidP="008738CA" w:rsidRDefault="00F81935" w14:paraId="1EA8DE3D" w14:textId="664B54B0">
            <w:pPr>
              <w:jc w:val="center"/>
              <w:rPr>
                <w:rFonts w:ascii="Times" w:hAnsi="Times"/>
              </w:rPr>
            </w:pPr>
            <w:r w:rsidRPr="00586198">
              <w:rPr>
                <w:rFonts w:ascii="Times" w:hAnsi="Times"/>
              </w:rPr>
              <w:t>Advocate</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586198" w:rsidR="003B6A1B" w:rsidP="008738CA" w:rsidRDefault="00F81935" w14:paraId="4F6290AB" w14:textId="1F4772DE">
            <w:pPr>
              <w:jc w:val="center"/>
              <w:rPr>
                <w:rFonts w:ascii="Times" w:hAnsi="Times"/>
              </w:rPr>
            </w:pPr>
            <w:r w:rsidRPr="00586198">
              <w:rPr>
                <w:rFonts w:ascii="Times" w:hAnsi="Times"/>
              </w:rPr>
              <w:t>$100</w:t>
            </w:r>
          </w:p>
        </w:tc>
        <w:tc>
          <w:tcPr>
            <w:tcW w:w="1800" w:type="dxa"/>
            <w:tcBorders>
              <w:top w:val="single" w:color="auto" w:sz="4" w:space="0"/>
              <w:left w:val="single" w:color="auto" w:sz="4" w:space="0"/>
              <w:bottom w:val="single" w:color="auto" w:sz="4" w:space="0"/>
              <w:right w:val="single" w:color="auto" w:sz="4" w:space="0"/>
            </w:tcBorders>
            <w:shd w:val="clear" w:color="auto" w:fill="auto"/>
          </w:tcPr>
          <w:p w:rsidRPr="00586198" w:rsidR="003B6A1B" w:rsidP="008738CA" w:rsidRDefault="00F81935" w14:paraId="1354C70A" w14:textId="70E32968">
            <w:pPr>
              <w:jc w:val="center"/>
              <w:rPr>
                <w:rFonts w:ascii="Times" w:hAnsi="Times"/>
              </w:rPr>
            </w:pPr>
            <w:r w:rsidRPr="00586198">
              <w:rPr>
                <w:rFonts w:ascii="Times" w:hAnsi="Times"/>
              </w:rPr>
              <w:t>2020</w:t>
            </w:r>
          </w:p>
        </w:tc>
        <w:tc>
          <w:tcPr>
            <w:tcW w:w="1535" w:type="dxa"/>
            <w:tcBorders>
              <w:top w:val="single" w:color="auto" w:sz="4" w:space="0"/>
              <w:left w:val="single" w:color="auto" w:sz="4" w:space="0"/>
              <w:bottom w:val="single" w:color="auto" w:sz="4" w:space="0"/>
              <w:right w:val="single" w:color="auto" w:sz="4" w:space="0"/>
            </w:tcBorders>
          </w:tcPr>
          <w:p w:rsidRPr="00586198" w:rsidR="003B6A1B" w:rsidP="008738CA" w:rsidRDefault="0091252D" w14:paraId="36649915" w14:textId="6B3CE4FA">
            <w:pPr>
              <w:jc w:val="center"/>
              <w:rPr>
                <w:rFonts w:ascii="Times" w:hAnsi="Times"/>
              </w:rPr>
            </w:pPr>
            <w:r w:rsidRPr="00586198">
              <w:rPr>
                <w:rFonts w:ascii="Times" w:hAnsi="Times"/>
              </w:rPr>
              <w:t>$100.00</w:t>
            </w:r>
          </w:p>
        </w:tc>
      </w:tr>
    </w:tbl>
    <w:p w:rsidR="0022302F" w:rsidP="008738CA" w:rsidRDefault="0022302F" w14:paraId="1CF37A00" w14:textId="53793492">
      <w:pPr>
        <w:spacing w:line="360" w:lineRule="auto"/>
        <w:rPr>
          <w:rFonts w:ascii="Times" w:hAnsi="Times"/>
          <w:b/>
        </w:rPr>
      </w:pPr>
    </w:p>
    <w:p w:rsidRPr="00586198" w:rsidR="00586198" w:rsidP="008738CA" w:rsidRDefault="00586198" w14:paraId="6BE29AFB" w14:textId="77777777">
      <w:pPr>
        <w:spacing w:line="360" w:lineRule="auto"/>
        <w:rPr>
          <w:rFonts w:ascii="Times" w:hAnsi="Times"/>
          <w:b/>
        </w:rPr>
      </w:pPr>
    </w:p>
    <w:p w:rsidRPr="00586198" w:rsidR="0022302F" w:rsidP="008738CA" w:rsidRDefault="0022302F" w14:paraId="439C0840" w14:textId="77777777">
      <w:pPr>
        <w:spacing w:line="360" w:lineRule="auto"/>
        <w:rPr>
          <w:rFonts w:ascii="Times" w:hAnsi="Times"/>
          <w:b/>
        </w:rPr>
      </w:pPr>
    </w:p>
    <w:p w:rsidRPr="00586198" w:rsidR="00FE3BAE" w:rsidP="008738CA" w:rsidRDefault="00FE3BAE" w14:paraId="53F54635" w14:textId="77777777">
      <w:pPr>
        <w:jc w:val="center"/>
        <w:rPr>
          <w:rFonts w:ascii="Times" w:hAnsi="Times"/>
        </w:rPr>
      </w:pPr>
      <w:r w:rsidRPr="00586198">
        <w:rPr>
          <w:rFonts w:ascii="Times" w:hAnsi="Times"/>
          <w:b/>
        </w:rPr>
        <w:t xml:space="preserve">(END OF </w:t>
      </w:r>
      <w:r w:rsidRPr="00586198">
        <w:rPr>
          <w:rFonts w:ascii="Times" w:hAnsi="Times"/>
          <w:b/>
          <w:szCs w:val="26"/>
        </w:rPr>
        <w:t>APPENDIX</w:t>
      </w:r>
      <w:r w:rsidRPr="00586198">
        <w:rPr>
          <w:rFonts w:ascii="Times" w:hAnsi="Times"/>
          <w:b/>
        </w:rPr>
        <w:t>)</w:t>
      </w:r>
    </w:p>
    <w:sectPr w:rsidRPr="00586198" w:rsidR="00FE3BAE" w:rsidSect="00CD24C0">
      <w:headerReference w:type="default" r:id="rId11"/>
      <w:footerReference w:type="default" r:id="rId12"/>
      <w:footerReference w:type="first" r:id="rId13"/>
      <w:footnotePr>
        <w:numRestart w:val="eachSect"/>
      </w:footnotePr>
      <w:pgSz w:w="12240" w:h="15840"/>
      <w:pgMar w:top="1728" w:right="1440" w:bottom="1440" w:left="1440" w:header="720" w:footer="720" w:gutter="0"/>
      <w:pgNumType w:fmt="numberInDash"/>
      <w:cols w:space="720"/>
      <w:docGrid w:linePitch="360"/>
    </w:sectPr>
    <w:p>
      <w:r>
        <w:t xml:space="preserve"/>
      </w:r>
    </w:p>
    <w:p>
      <w:r>
        <w:t xml:space="preserve">Attachment 1: </w:t>
      </w:r>
    </w:p>
    <w:p>
      <w:hyperlink w:history="true" r:id="R7557b82e8c2643f1">
        <w:r w:rsidRPr="00CB1292">
          <w:rPr>
            <w:rStyle w:val="Hyperlink"/>
            <w:color w:val="2E74B5" w:themeColor="accent1" w:themeShade="BF"/>
            <w:u w:val="single"/>
          </w:rPr>
          <w:t>R1911009 PCF IComp PD (Redline Version).pdf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1FA97" w14:textId="77777777" w:rsidR="009E281B" w:rsidRDefault="009E281B" w:rsidP="00885956">
      <w:r>
        <w:separator/>
      </w:r>
    </w:p>
  </w:endnote>
  <w:endnote w:type="continuationSeparator" w:id="0">
    <w:p w14:paraId="5040769D" w14:textId="77777777" w:rsidR="009E281B" w:rsidRDefault="009E281B" w:rsidP="0088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70652"/>
      <w:docPartObj>
        <w:docPartGallery w:val="Page Numbers (Bottom of Page)"/>
        <w:docPartUnique/>
      </w:docPartObj>
    </w:sdtPr>
    <w:sdtEndPr>
      <w:rPr>
        <w:noProof/>
      </w:rPr>
    </w:sdtEndPr>
    <w:sdtContent>
      <w:p w14:paraId="28A020F4" w14:textId="39DDACA5" w:rsidR="00097E52" w:rsidRDefault="00097E52">
        <w:pPr>
          <w:pStyle w:val="Footer"/>
          <w:jc w:val="center"/>
        </w:pPr>
        <w:r>
          <w:fldChar w:fldCharType="begin"/>
        </w:r>
        <w:r>
          <w:instrText xml:space="preserve"> PAGE   \* MERGEFORMAT </w:instrText>
        </w:r>
        <w:r>
          <w:fldChar w:fldCharType="separate"/>
        </w:r>
        <w:r>
          <w:rPr>
            <w:noProof/>
          </w:rPr>
          <w:t xml:space="preserve">- 21 </w:t>
        </w:r>
        <w:r w:rsidR="0092038A">
          <w:rPr>
            <w:noProof/>
          </w:rPr>
          <w:noBreakHyphen/>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4C2D" w14:textId="3765A672" w:rsidR="00097E52" w:rsidRDefault="00C1179B" w:rsidP="0030258A">
    <w:pPr>
      <w:pStyle w:val="Footer"/>
    </w:pPr>
    <w:r w:rsidRPr="00C1179B">
      <w:rPr>
        <w:rFonts w:ascii="Arial" w:hAnsi="Arial"/>
        <w:sz w:val="16"/>
      </w:rPr>
      <w:t>444953008</w:t>
    </w:r>
    <w:r w:rsidR="0030258A">
      <w:tab/>
    </w:r>
    <w:sdt>
      <w:sdtPr>
        <w:id w:val="66549329"/>
        <w:docPartObj>
          <w:docPartGallery w:val="Page Numbers (Bottom of Page)"/>
          <w:docPartUnique/>
        </w:docPartObj>
      </w:sdtPr>
      <w:sdtEndPr>
        <w:rPr>
          <w:noProof/>
        </w:rPr>
      </w:sdtEndPr>
      <w:sdtContent>
        <w:r w:rsidR="00097E52">
          <w:fldChar w:fldCharType="begin"/>
        </w:r>
        <w:r w:rsidR="00097E52">
          <w:instrText xml:space="preserve"> PAGE   \* MERGEFORMAT </w:instrText>
        </w:r>
        <w:r w:rsidR="00097E52">
          <w:fldChar w:fldCharType="separate"/>
        </w:r>
        <w:r w:rsidR="00097E52">
          <w:rPr>
            <w:noProof/>
          </w:rPr>
          <w:t xml:space="preserve">- 1 </w:t>
        </w:r>
        <w:r w:rsidR="0092038A">
          <w:rPr>
            <w:noProof/>
          </w:rPr>
          <w:noBreakHyphen/>
        </w:r>
        <w:r w:rsidR="00097E5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DD02" w14:textId="7B316963" w:rsidR="00CD24C0" w:rsidRDefault="00CD24C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9F58" w14:textId="3803D6ED" w:rsidR="00CD24C0" w:rsidRDefault="00CD24C0" w:rsidP="00302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E5DC" w14:textId="77777777" w:rsidR="009E281B" w:rsidRDefault="009E281B" w:rsidP="00885956">
      <w:r>
        <w:separator/>
      </w:r>
    </w:p>
  </w:footnote>
  <w:footnote w:type="continuationSeparator" w:id="0">
    <w:p w14:paraId="665C600A" w14:textId="77777777" w:rsidR="009E281B" w:rsidRDefault="009E281B" w:rsidP="00885956">
      <w:r>
        <w:continuationSeparator/>
      </w:r>
    </w:p>
  </w:footnote>
  <w:footnote w:id="1">
    <w:p w14:paraId="4DAD8D07" w14:textId="5BB320AB" w:rsidR="00097E52" w:rsidRDefault="00097E52" w:rsidP="00B44437">
      <w:pPr>
        <w:pStyle w:val="FootnoteText"/>
      </w:pPr>
      <w:r>
        <w:rPr>
          <w:rStyle w:val="FootnoteReference"/>
        </w:rPr>
        <w:footnoteRef/>
      </w:r>
      <w:r>
        <w:t xml:space="preserve"> PCF also requests that the 2020 COLA be added to the hourly rates of Bill Powers and Tyson Siegele. The 2020 COLA is not reflected in this amount.  </w:t>
      </w:r>
    </w:p>
  </w:footnote>
  <w:footnote w:id="2">
    <w:p w14:paraId="1DBC6157" w14:textId="5CEF84C1" w:rsidR="00581CC9" w:rsidRDefault="00581CC9" w:rsidP="00B44437">
      <w:pPr>
        <w:pStyle w:val="FootnoteText"/>
      </w:pPr>
      <w:r>
        <w:rPr>
          <w:rStyle w:val="FootnoteReference"/>
        </w:rPr>
        <w:footnoteRef/>
      </w:r>
      <w:r>
        <w:t xml:space="preserve"> Assigned Commissioner reassigned from </w:t>
      </w:r>
      <w:r w:rsidRPr="00B44437">
        <w:t>Liane</w:t>
      </w:r>
      <w:r>
        <w:t xml:space="preserve"> Randolph to President Batjer on </w:t>
      </w:r>
      <w:r w:rsidR="00AF4F16">
        <w:t>February 26, 2021</w:t>
      </w:r>
      <w:r w:rsidR="00B44437">
        <w:t>.</w:t>
      </w:r>
    </w:p>
  </w:footnote>
  <w:footnote w:id="3">
    <w:p w14:paraId="7F3EBA85" w14:textId="2E835035" w:rsidR="00581CC9" w:rsidRDefault="00581CC9">
      <w:pPr>
        <w:pStyle w:val="FootnoteText"/>
      </w:pPr>
      <w:r>
        <w:rPr>
          <w:rStyle w:val="FootnoteReference"/>
        </w:rPr>
        <w:footnoteRef/>
      </w:r>
      <w:r>
        <w:t xml:space="preserve"> A</w:t>
      </w:r>
      <w:r w:rsidR="009C37BC">
        <w:t xml:space="preserve">dministrative </w:t>
      </w:r>
      <w:r>
        <w:t>L</w:t>
      </w:r>
      <w:r w:rsidR="009C37BC">
        <w:t xml:space="preserve">aw </w:t>
      </w:r>
      <w:r>
        <w:t>J</w:t>
      </w:r>
      <w:r w:rsidR="009C37BC">
        <w:t>udge</w:t>
      </w:r>
      <w:r>
        <w:t xml:space="preserve"> Amin Nojan co</w:t>
      </w:r>
      <w:r w:rsidR="0092038A">
        <w:noBreakHyphen/>
      </w:r>
      <w:r>
        <w:t xml:space="preserve">assigned on </w:t>
      </w:r>
      <w:r w:rsidR="00AF4F16">
        <w:t>January </w:t>
      </w:r>
      <w:r>
        <w:t>26</w:t>
      </w:r>
      <w:r w:rsidR="00AF4F16">
        <w:t>, 20</w:t>
      </w:r>
      <w:r>
        <w:t>21</w:t>
      </w:r>
      <w:r w:rsidR="00B44437">
        <w:t>.</w:t>
      </w:r>
    </w:p>
  </w:footnote>
  <w:footnote w:id="4">
    <w:p w14:paraId="7CAF0DDD" w14:textId="77777777" w:rsidR="00097E52" w:rsidRDefault="00097E52" w:rsidP="0039550D">
      <w:pPr>
        <w:pStyle w:val="FootnoteText"/>
      </w:pPr>
      <w:r>
        <w:rPr>
          <w:rStyle w:val="FootnoteReference"/>
        </w:rPr>
        <w:footnoteRef/>
      </w:r>
      <w:r>
        <w:t xml:space="preserve"> All statutory references are to California Public Utilities Code unless indicated otherwise.</w:t>
      </w:r>
    </w:p>
  </w:footnote>
  <w:footnote w:id="5">
    <w:p w14:paraId="067A050B" w14:textId="1C0AEF05" w:rsidR="00097E52" w:rsidRDefault="00097E52" w:rsidP="0039550D">
      <w:pPr>
        <w:pStyle w:val="FootnoteText"/>
      </w:pPr>
      <w:r>
        <w:rPr>
          <w:rStyle w:val="FootnoteReference"/>
        </w:rPr>
        <w:footnoteRef/>
      </w:r>
      <w:r>
        <w:t xml:space="preserve"> </w:t>
      </w:r>
      <w:r w:rsidRPr="00D30039">
        <w:t>The Office of Ratepayer Advocates was renamed the Public Advocate</w:t>
      </w:r>
      <w:r>
        <w:t>’</w:t>
      </w:r>
      <w:r w:rsidRPr="00D30039">
        <w:t>s Office of the Public Utilities Commission pursuant to Senate Bill</w:t>
      </w:r>
      <w:r w:rsidR="0039550D">
        <w:t> </w:t>
      </w:r>
      <w:r w:rsidRPr="00D30039">
        <w:t>854, which the Governor approved on June 27, 2018. </w:t>
      </w:r>
    </w:p>
  </w:footnote>
  <w:footnote w:id="6">
    <w:p w14:paraId="4F25046A" w14:textId="28EFE510" w:rsidR="00097E52" w:rsidRDefault="00097E52" w:rsidP="0026559B">
      <w:pPr>
        <w:pStyle w:val="FootnoteText"/>
      </w:pPr>
      <w:r>
        <w:rPr>
          <w:rStyle w:val="FootnoteReference"/>
        </w:rPr>
        <w:footnoteRef/>
      </w:r>
      <w:r>
        <w:t xml:space="preserve"> </w:t>
      </w:r>
      <w:r w:rsidRPr="0026559B">
        <w:t>PCF</w:t>
      </w:r>
      <w:r>
        <w:t xml:space="preserve"> also requests that the 2020 COLA be added to the hourly rates of Bill Powers and Tyson Siegele. The 2020 COLA is not reflected in this amount.  </w:t>
      </w:r>
    </w:p>
  </w:footnote>
  <w:footnote w:id="7">
    <w:p w14:paraId="2A44723A" w14:textId="7F27D2CB" w:rsidR="00097E52" w:rsidRPr="00DE3A5D" w:rsidRDefault="00097E52" w:rsidP="0026559B">
      <w:pPr>
        <w:pStyle w:val="FootnoteText"/>
      </w:pPr>
      <w:r w:rsidRPr="00DE3A5D">
        <w:rPr>
          <w:rStyle w:val="FootnoteReference"/>
          <w:sz w:val="20"/>
        </w:rPr>
        <w:footnoteRef/>
      </w:r>
      <w:r w:rsidRPr="00DE3A5D">
        <w:t xml:space="preserve"> This information may be </w:t>
      </w:r>
      <w:r w:rsidRPr="00DE3A5D">
        <w:rPr>
          <w:color w:val="000000"/>
        </w:rPr>
        <w:t>obtain</w:t>
      </w:r>
      <w:r>
        <w:rPr>
          <w:color w:val="000000"/>
        </w:rPr>
        <w:t xml:space="preserve">ed through the State </w:t>
      </w:r>
      <w:r w:rsidRPr="0026559B">
        <w:rPr>
          <w:color w:val="000000"/>
        </w:rPr>
        <w:t xml:space="preserve">Bar of California’s website at </w:t>
      </w:r>
      <w:hyperlink r:id="rId1" w:history="1">
        <w:r w:rsidRPr="0026559B">
          <w:rPr>
            <w:rStyle w:val="Hyperlink"/>
          </w:rPr>
          <w:t>http://members.calbar.ca.gov/fal/MemberSearch/QuickSearch</w:t>
        </w:r>
      </w:hyperlink>
      <w:r w:rsidRPr="0026559B">
        <w:rPr>
          <w:color w:val="000000"/>
        </w:rPr>
        <w:t>.</w:t>
      </w:r>
    </w:p>
  </w:footnote>
  <w:footnote w:id="8">
    <w:p w14:paraId="094F3949" w14:textId="53D373DA" w:rsidR="00947C7E" w:rsidRDefault="00947C7E">
      <w:pPr>
        <w:pStyle w:val="FootnoteText"/>
      </w:pPr>
      <w:r w:rsidRPr="00924736">
        <w:rPr>
          <w:rStyle w:val="FootnoteReference"/>
        </w:rPr>
        <w:footnoteRef/>
      </w:r>
      <w:r>
        <w:t xml:space="preserve"> PCF also requests that the 2020 COLA be added to the hourly rates of Bill Powers and Tyson Siegele. The </w:t>
      </w:r>
      <w:r w:rsidRPr="00474ADE">
        <w:t>2020</w:t>
      </w:r>
      <w:r>
        <w:t xml:space="preserve"> COLA is not reflected in this amount.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6D6C" w14:textId="1009F3AE" w:rsidR="00F061A0" w:rsidRPr="00F061A0" w:rsidRDefault="00C86EEC" w:rsidP="00F061A0">
    <w:pPr>
      <w:tabs>
        <w:tab w:val="right" w:pos="9360"/>
      </w:tabs>
      <w:suppressAutoHyphens/>
    </w:pPr>
    <w:r w:rsidRPr="00C86EEC">
      <w:t>R</w:t>
    </w:r>
    <w:r>
      <w:t>.</w:t>
    </w:r>
    <w:r w:rsidRPr="00C86EEC">
      <w:t>19</w:t>
    </w:r>
    <w:r w:rsidR="0092038A">
      <w:noBreakHyphen/>
    </w:r>
    <w:r w:rsidRPr="00C86EEC">
      <w:t>11</w:t>
    </w:r>
    <w:r w:rsidR="0092038A">
      <w:noBreakHyphen/>
    </w:r>
    <w:r w:rsidRPr="00C86EEC">
      <w:t>009</w:t>
    </w:r>
    <w:r>
      <w:t xml:space="preserve">  </w:t>
    </w:r>
    <w:r w:rsidR="00F061A0">
      <w:t>ALJ/DBB/</w:t>
    </w:r>
    <w:r w:rsidR="00947C7E" w:rsidRPr="00924736">
      <w:t>AN4</w:t>
    </w:r>
    <w:r w:rsidR="00947C7E">
      <w:t>/</w:t>
    </w:r>
    <w:r w:rsidR="00F061A0">
      <w:t>nd3</w:t>
    </w:r>
    <w:r w:rsidR="00F061A0">
      <w:tab/>
    </w:r>
    <w:r w:rsidR="00F061A0" w:rsidRPr="00F061A0">
      <w:t>PROPOSED DECISION</w:t>
    </w:r>
    <w:r w:rsidR="002E2425">
      <w:t xml:space="preserve"> (Rev.1)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E1F6" w14:textId="1EF1BF90" w:rsidR="00947C7E" w:rsidRPr="00F061A0" w:rsidRDefault="00947C7E" w:rsidP="00F061A0">
    <w:pPr>
      <w:tabs>
        <w:tab w:val="right" w:pos="9360"/>
      </w:tabs>
      <w:suppressAutoHyphens/>
    </w:pPr>
    <w:r w:rsidRPr="00C86EEC">
      <w:t>R</w:t>
    </w:r>
    <w:r>
      <w:t>.</w:t>
    </w:r>
    <w:r w:rsidRPr="00C86EEC">
      <w:t>19</w:t>
    </w:r>
    <w:r>
      <w:noBreakHyphen/>
    </w:r>
    <w:r w:rsidRPr="00C86EEC">
      <w:t>11</w:t>
    </w:r>
    <w:r>
      <w:noBreakHyphen/>
    </w:r>
    <w:r w:rsidRPr="00C86EEC">
      <w:t>009</w:t>
    </w:r>
    <w:r>
      <w:t xml:space="preserve">  ALJ/DBB/</w:t>
    </w:r>
    <w:r w:rsidRPr="00924736">
      <w:t>AN4</w:t>
    </w:r>
    <w:r>
      <w:t>/nd3</w:t>
    </w:r>
    <w:r>
      <w:tab/>
    </w:r>
    <w:r w:rsidRPr="00F061A0">
      <w:t>PROPOSED DECISION</w:t>
    </w:r>
    <w:r w:rsidR="002E2425">
      <w:t xml:space="preserve"> (Rev.1)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7431"/>
    <w:multiLevelType w:val="hybridMultilevel"/>
    <w:tmpl w:val="A5FC35B8"/>
    <w:lvl w:ilvl="0" w:tplc="FFFFFFFF">
      <w:start w:val="2"/>
      <w:numFmt w:val="upperLetter"/>
      <w:lvlText w:val="%1."/>
      <w:lvlJc w:val="left"/>
      <w:pPr>
        <w:tabs>
          <w:tab w:val="num" w:pos="360"/>
        </w:tabs>
        <w:ind w:left="36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9B5AE7"/>
    <w:multiLevelType w:val="hybridMultilevel"/>
    <w:tmpl w:val="2892EF34"/>
    <w:lvl w:ilvl="0" w:tplc="7B3657A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F5439B"/>
    <w:multiLevelType w:val="hybridMultilevel"/>
    <w:tmpl w:val="87A426EA"/>
    <w:lvl w:ilvl="0" w:tplc="B758641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E60CD"/>
    <w:multiLevelType w:val="hybridMultilevel"/>
    <w:tmpl w:val="A5FC35B8"/>
    <w:lvl w:ilvl="0" w:tplc="DAA6AB9C">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5F15F1"/>
    <w:multiLevelType w:val="hybridMultilevel"/>
    <w:tmpl w:val="E736C868"/>
    <w:lvl w:ilvl="0" w:tplc="FFFFFFFF">
      <w:start w:val="1"/>
      <w:numFmt w:val="decimal"/>
      <w:lvlText w:val="%1."/>
      <w:lvlJc w:val="left"/>
      <w:pPr>
        <w:ind w:left="547" w:hanging="54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CFF1753"/>
    <w:multiLevelType w:val="hybridMultilevel"/>
    <w:tmpl w:val="E736C868"/>
    <w:lvl w:ilvl="0" w:tplc="FFFFFFFF">
      <w:start w:val="1"/>
      <w:numFmt w:val="decimal"/>
      <w:lvlText w:val="%1."/>
      <w:lvlJc w:val="left"/>
      <w:pPr>
        <w:ind w:left="547" w:hanging="54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305373F"/>
    <w:multiLevelType w:val="hybridMultilevel"/>
    <w:tmpl w:val="31FE3454"/>
    <w:lvl w:ilvl="0" w:tplc="ED52FB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104FC"/>
    <w:multiLevelType w:val="hybridMultilevel"/>
    <w:tmpl w:val="AF42F70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57EE0BC7"/>
    <w:multiLevelType w:val="hybridMultilevel"/>
    <w:tmpl w:val="17C8B27A"/>
    <w:lvl w:ilvl="0" w:tplc="0409000F">
      <w:start w:val="1"/>
      <w:numFmt w:val="decimal"/>
      <w:lvlText w:val="%1."/>
      <w:lvlJc w:val="left"/>
      <w:pPr>
        <w:tabs>
          <w:tab w:val="num" w:pos="1620"/>
        </w:tabs>
        <w:ind w:left="1620" w:hanging="360"/>
      </w:pPr>
    </w:lvl>
    <w:lvl w:ilvl="1" w:tplc="A2982BDA">
      <w:start w:val="1"/>
      <w:numFmt w:val="upp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15:restartNumberingAfterBreak="0">
    <w:nsid w:val="5CFE3C85"/>
    <w:multiLevelType w:val="hybridMultilevel"/>
    <w:tmpl w:val="87A426EA"/>
    <w:lvl w:ilvl="0" w:tplc="FFFFFFFF">
      <w:start w:val="1"/>
      <w:numFmt w:val="upperLetter"/>
      <w:lvlText w:val="%1."/>
      <w:lvlJc w:val="left"/>
      <w:pPr>
        <w:tabs>
          <w:tab w:val="num" w:pos="360"/>
        </w:tabs>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3FA43CC"/>
    <w:multiLevelType w:val="hybridMultilevel"/>
    <w:tmpl w:val="E736C868"/>
    <w:lvl w:ilvl="0" w:tplc="FFFFFFFF">
      <w:start w:val="1"/>
      <w:numFmt w:val="decimal"/>
      <w:lvlText w:val="%1."/>
      <w:lvlJc w:val="left"/>
      <w:pPr>
        <w:ind w:left="547" w:hanging="54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60A40BB"/>
    <w:multiLevelType w:val="hybridMultilevel"/>
    <w:tmpl w:val="E736C868"/>
    <w:lvl w:ilvl="0" w:tplc="FFFFFFFF">
      <w:start w:val="1"/>
      <w:numFmt w:val="decimal"/>
      <w:lvlText w:val="%1."/>
      <w:lvlJc w:val="left"/>
      <w:pPr>
        <w:ind w:left="547" w:hanging="54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78737B1"/>
    <w:multiLevelType w:val="hybridMultilevel"/>
    <w:tmpl w:val="6E5AF590"/>
    <w:lvl w:ilvl="0" w:tplc="58ECDC58">
      <w:start w:val="1"/>
      <w:numFmt w:val="upperLetter"/>
      <w:lvlText w:val="%1."/>
      <w:lvlJc w:val="left"/>
      <w:pPr>
        <w:tabs>
          <w:tab w:val="num" w:pos="900"/>
        </w:tabs>
        <w:ind w:left="900" w:hanging="360"/>
      </w:pPr>
      <w:rPr>
        <w:rFonts w:hint="default"/>
        <w:i w:val="0"/>
      </w:rPr>
    </w:lvl>
    <w:lvl w:ilvl="1" w:tplc="EC9EF088">
      <w:start w:val="1"/>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8179A5"/>
    <w:multiLevelType w:val="hybridMultilevel"/>
    <w:tmpl w:val="E736C868"/>
    <w:lvl w:ilvl="0" w:tplc="E65ABBB0">
      <w:start w:val="1"/>
      <w:numFmt w:val="decimal"/>
      <w:lvlText w:val="%1."/>
      <w:lvlJc w:val="left"/>
      <w:pPr>
        <w:ind w:left="547"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13"/>
  </w:num>
  <w:num w:numId="4">
    <w:abstractNumId w:val="7"/>
  </w:num>
  <w:num w:numId="5">
    <w:abstractNumId w:val="3"/>
  </w:num>
  <w:num w:numId="6">
    <w:abstractNumId w:val="8"/>
  </w:num>
  <w:num w:numId="7">
    <w:abstractNumId w:val="6"/>
  </w:num>
  <w:num w:numId="8">
    <w:abstractNumId w:val="0"/>
  </w:num>
  <w:num w:numId="9">
    <w:abstractNumId w:val="2"/>
  </w:num>
  <w:num w:numId="10">
    <w:abstractNumId w:val="9"/>
  </w:num>
  <w:num w:numId="11">
    <w:abstractNumId w:val="11"/>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83"/>
    <w:rsid w:val="00003A49"/>
    <w:rsid w:val="00004BCC"/>
    <w:rsid w:val="00026A15"/>
    <w:rsid w:val="00027E34"/>
    <w:rsid w:val="00034492"/>
    <w:rsid w:val="00036F54"/>
    <w:rsid w:val="00040C84"/>
    <w:rsid w:val="00040CD8"/>
    <w:rsid w:val="00045A2F"/>
    <w:rsid w:val="00053C5A"/>
    <w:rsid w:val="00056E4B"/>
    <w:rsid w:val="000647DE"/>
    <w:rsid w:val="0006519D"/>
    <w:rsid w:val="0006745B"/>
    <w:rsid w:val="00067B24"/>
    <w:rsid w:val="00072C81"/>
    <w:rsid w:val="000823B2"/>
    <w:rsid w:val="00086234"/>
    <w:rsid w:val="00086BA7"/>
    <w:rsid w:val="00097E52"/>
    <w:rsid w:val="000A2677"/>
    <w:rsid w:val="000C4DD2"/>
    <w:rsid w:val="000D52B1"/>
    <w:rsid w:val="000D6CA0"/>
    <w:rsid w:val="000D6DF8"/>
    <w:rsid w:val="000E2E48"/>
    <w:rsid w:val="000E41D9"/>
    <w:rsid w:val="000E6ABD"/>
    <w:rsid w:val="000F595C"/>
    <w:rsid w:val="000F7670"/>
    <w:rsid w:val="00100720"/>
    <w:rsid w:val="001034D6"/>
    <w:rsid w:val="0010480F"/>
    <w:rsid w:val="00110D89"/>
    <w:rsid w:val="00116CD6"/>
    <w:rsid w:val="001178BA"/>
    <w:rsid w:val="00123103"/>
    <w:rsid w:val="00123A52"/>
    <w:rsid w:val="00125492"/>
    <w:rsid w:val="001256E6"/>
    <w:rsid w:val="001346EB"/>
    <w:rsid w:val="00136C65"/>
    <w:rsid w:val="00141A4E"/>
    <w:rsid w:val="00142206"/>
    <w:rsid w:val="00151AA8"/>
    <w:rsid w:val="00152F94"/>
    <w:rsid w:val="00154DA5"/>
    <w:rsid w:val="00163DA1"/>
    <w:rsid w:val="00171C5C"/>
    <w:rsid w:val="00171EBF"/>
    <w:rsid w:val="00175865"/>
    <w:rsid w:val="00180E8C"/>
    <w:rsid w:val="0018470F"/>
    <w:rsid w:val="001962EB"/>
    <w:rsid w:val="001A77C2"/>
    <w:rsid w:val="001B35CB"/>
    <w:rsid w:val="001B54BB"/>
    <w:rsid w:val="001C0DD1"/>
    <w:rsid w:val="001C21AE"/>
    <w:rsid w:val="001C3B1A"/>
    <w:rsid w:val="001D3ED2"/>
    <w:rsid w:val="001D7FC4"/>
    <w:rsid w:val="001E77CF"/>
    <w:rsid w:val="001E78FF"/>
    <w:rsid w:val="001F238E"/>
    <w:rsid w:val="001F6794"/>
    <w:rsid w:val="001F67D4"/>
    <w:rsid w:val="001F7FCD"/>
    <w:rsid w:val="00202A83"/>
    <w:rsid w:val="00204E3A"/>
    <w:rsid w:val="00212E10"/>
    <w:rsid w:val="00214B22"/>
    <w:rsid w:val="00217224"/>
    <w:rsid w:val="0022302F"/>
    <w:rsid w:val="00230392"/>
    <w:rsid w:val="00232C2E"/>
    <w:rsid w:val="0023365C"/>
    <w:rsid w:val="00234745"/>
    <w:rsid w:val="002415DC"/>
    <w:rsid w:val="00242E79"/>
    <w:rsid w:val="0024540C"/>
    <w:rsid w:val="002466F8"/>
    <w:rsid w:val="00247C4A"/>
    <w:rsid w:val="00250C1C"/>
    <w:rsid w:val="00251DE7"/>
    <w:rsid w:val="00256F00"/>
    <w:rsid w:val="00260518"/>
    <w:rsid w:val="00261883"/>
    <w:rsid w:val="00264333"/>
    <w:rsid w:val="0026559B"/>
    <w:rsid w:val="00270E2E"/>
    <w:rsid w:val="00273208"/>
    <w:rsid w:val="0027714B"/>
    <w:rsid w:val="00277B85"/>
    <w:rsid w:val="002946E9"/>
    <w:rsid w:val="002A1362"/>
    <w:rsid w:val="002A6C07"/>
    <w:rsid w:val="002B1137"/>
    <w:rsid w:val="002B256C"/>
    <w:rsid w:val="002B63C8"/>
    <w:rsid w:val="002C0ABE"/>
    <w:rsid w:val="002C12DB"/>
    <w:rsid w:val="002C67EE"/>
    <w:rsid w:val="002D21CA"/>
    <w:rsid w:val="002D2C2F"/>
    <w:rsid w:val="002D4D0E"/>
    <w:rsid w:val="002D53AA"/>
    <w:rsid w:val="002D65C2"/>
    <w:rsid w:val="002E2425"/>
    <w:rsid w:val="002E5F83"/>
    <w:rsid w:val="002E77D8"/>
    <w:rsid w:val="002F7F1E"/>
    <w:rsid w:val="0030258A"/>
    <w:rsid w:val="00303977"/>
    <w:rsid w:val="00303C2B"/>
    <w:rsid w:val="003250C8"/>
    <w:rsid w:val="0033071D"/>
    <w:rsid w:val="00330D50"/>
    <w:rsid w:val="00335D24"/>
    <w:rsid w:val="003501DD"/>
    <w:rsid w:val="00354DE2"/>
    <w:rsid w:val="00357F1A"/>
    <w:rsid w:val="00360A08"/>
    <w:rsid w:val="00361A97"/>
    <w:rsid w:val="00362A42"/>
    <w:rsid w:val="00365012"/>
    <w:rsid w:val="00367C98"/>
    <w:rsid w:val="00371F65"/>
    <w:rsid w:val="00374FD1"/>
    <w:rsid w:val="00376097"/>
    <w:rsid w:val="00377884"/>
    <w:rsid w:val="00380703"/>
    <w:rsid w:val="003812D0"/>
    <w:rsid w:val="0039550D"/>
    <w:rsid w:val="003A22D6"/>
    <w:rsid w:val="003A2DE1"/>
    <w:rsid w:val="003B1782"/>
    <w:rsid w:val="003B3F26"/>
    <w:rsid w:val="003B5EAC"/>
    <w:rsid w:val="003B6A1B"/>
    <w:rsid w:val="003C2E7E"/>
    <w:rsid w:val="003C608A"/>
    <w:rsid w:val="003D099B"/>
    <w:rsid w:val="003D359B"/>
    <w:rsid w:val="003D3C04"/>
    <w:rsid w:val="003D4455"/>
    <w:rsid w:val="003E34FD"/>
    <w:rsid w:val="003E54E7"/>
    <w:rsid w:val="003F1894"/>
    <w:rsid w:val="00405C0F"/>
    <w:rsid w:val="00413E47"/>
    <w:rsid w:val="00415928"/>
    <w:rsid w:val="00435492"/>
    <w:rsid w:val="00441F6D"/>
    <w:rsid w:val="00443AB5"/>
    <w:rsid w:val="004454D8"/>
    <w:rsid w:val="004534E7"/>
    <w:rsid w:val="00460A85"/>
    <w:rsid w:val="00462D96"/>
    <w:rsid w:val="00466C19"/>
    <w:rsid w:val="004706D6"/>
    <w:rsid w:val="00474ADE"/>
    <w:rsid w:val="00476D30"/>
    <w:rsid w:val="00480BF6"/>
    <w:rsid w:val="00483253"/>
    <w:rsid w:val="004840D2"/>
    <w:rsid w:val="004B27E3"/>
    <w:rsid w:val="004B2B0B"/>
    <w:rsid w:val="004C0961"/>
    <w:rsid w:val="004C39A1"/>
    <w:rsid w:val="004C4A2F"/>
    <w:rsid w:val="004C5BF7"/>
    <w:rsid w:val="004C6D8C"/>
    <w:rsid w:val="004D1734"/>
    <w:rsid w:val="004D4EF9"/>
    <w:rsid w:val="004D6B6D"/>
    <w:rsid w:val="004D779D"/>
    <w:rsid w:val="004E0395"/>
    <w:rsid w:val="004E3939"/>
    <w:rsid w:val="004E3AA4"/>
    <w:rsid w:val="004E3D93"/>
    <w:rsid w:val="004F6B38"/>
    <w:rsid w:val="0051284B"/>
    <w:rsid w:val="00516CE7"/>
    <w:rsid w:val="005215EF"/>
    <w:rsid w:val="00521B86"/>
    <w:rsid w:val="005262A5"/>
    <w:rsid w:val="00527FDB"/>
    <w:rsid w:val="00533373"/>
    <w:rsid w:val="005337B1"/>
    <w:rsid w:val="00541263"/>
    <w:rsid w:val="00547145"/>
    <w:rsid w:val="00551967"/>
    <w:rsid w:val="0055228B"/>
    <w:rsid w:val="00553F2F"/>
    <w:rsid w:val="00555394"/>
    <w:rsid w:val="00561146"/>
    <w:rsid w:val="00577816"/>
    <w:rsid w:val="00581CC9"/>
    <w:rsid w:val="00582B55"/>
    <w:rsid w:val="00586198"/>
    <w:rsid w:val="005912FA"/>
    <w:rsid w:val="00594AE5"/>
    <w:rsid w:val="005A3671"/>
    <w:rsid w:val="005A53F1"/>
    <w:rsid w:val="005A63D4"/>
    <w:rsid w:val="005A65C2"/>
    <w:rsid w:val="005C0F2F"/>
    <w:rsid w:val="005C327F"/>
    <w:rsid w:val="005C4815"/>
    <w:rsid w:val="005D0384"/>
    <w:rsid w:val="005E022E"/>
    <w:rsid w:val="005F358D"/>
    <w:rsid w:val="005F4D82"/>
    <w:rsid w:val="005F4E70"/>
    <w:rsid w:val="005F6417"/>
    <w:rsid w:val="006011D8"/>
    <w:rsid w:val="00604C55"/>
    <w:rsid w:val="0061287C"/>
    <w:rsid w:val="00616085"/>
    <w:rsid w:val="006166BB"/>
    <w:rsid w:val="006173D7"/>
    <w:rsid w:val="00617E5D"/>
    <w:rsid w:val="00621A7C"/>
    <w:rsid w:val="00624CFB"/>
    <w:rsid w:val="00632952"/>
    <w:rsid w:val="00642278"/>
    <w:rsid w:val="0065087E"/>
    <w:rsid w:val="00652DEA"/>
    <w:rsid w:val="006558EF"/>
    <w:rsid w:val="006571F4"/>
    <w:rsid w:val="00660D7E"/>
    <w:rsid w:val="00661268"/>
    <w:rsid w:val="006637D2"/>
    <w:rsid w:val="00666F64"/>
    <w:rsid w:val="00673595"/>
    <w:rsid w:val="00673EB1"/>
    <w:rsid w:val="006746C4"/>
    <w:rsid w:val="00686806"/>
    <w:rsid w:val="00691528"/>
    <w:rsid w:val="00692738"/>
    <w:rsid w:val="00695E4B"/>
    <w:rsid w:val="006A3763"/>
    <w:rsid w:val="006A7272"/>
    <w:rsid w:val="006B393D"/>
    <w:rsid w:val="006B531F"/>
    <w:rsid w:val="006B6BE9"/>
    <w:rsid w:val="006B7375"/>
    <w:rsid w:val="006C18CF"/>
    <w:rsid w:val="006C61B4"/>
    <w:rsid w:val="006C7483"/>
    <w:rsid w:val="006C7FCC"/>
    <w:rsid w:val="006D1BE0"/>
    <w:rsid w:val="006D3C87"/>
    <w:rsid w:val="006D4B0E"/>
    <w:rsid w:val="006E7896"/>
    <w:rsid w:val="00702343"/>
    <w:rsid w:val="00703D5A"/>
    <w:rsid w:val="007056A3"/>
    <w:rsid w:val="00711C45"/>
    <w:rsid w:val="00712BE7"/>
    <w:rsid w:val="007233AC"/>
    <w:rsid w:val="00726EDE"/>
    <w:rsid w:val="00731F8C"/>
    <w:rsid w:val="00740090"/>
    <w:rsid w:val="00741DB6"/>
    <w:rsid w:val="0074615B"/>
    <w:rsid w:val="0074620B"/>
    <w:rsid w:val="00757B44"/>
    <w:rsid w:val="00763C59"/>
    <w:rsid w:val="00771259"/>
    <w:rsid w:val="007725DA"/>
    <w:rsid w:val="00780C7B"/>
    <w:rsid w:val="0078152A"/>
    <w:rsid w:val="007856AE"/>
    <w:rsid w:val="007862AF"/>
    <w:rsid w:val="00791BE5"/>
    <w:rsid w:val="007921E4"/>
    <w:rsid w:val="007A384E"/>
    <w:rsid w:val="007A3FCC"/>
    <w:rsid w:val="007B54BF"/>
    <w:rsid w:val="007B5FBB"/>
    <w:rsid w:val="007C1B69"/>
    <w:rsid w:val="007D4327"/>
    <w:rsid w:val="007D57F9"/>
    <w:rsid w:val="007E71C3"/>
    <w:rsid w:val="007F620E"/>
    <w:rsid w:val="007F6CF5"/>
    <w:rsid w:val="00802101"/>
    <w:rsid w:val="00802701"/>
    <w:rsid w:val="00803951"/>
    <w:rsid w:val="00807226"/>
    <w:rsid w:val="00807C8A"/>
    <w:rsid w:val="00807F21"/>
    <w:rsid w:val="00812624"/>
    <w:rsid w:val="0081303E"/>
    <w:rsid w:val="00814794"/>
    <w:rsid w:val="00815F1F"/>
    <w:rsid w:val="0081626F"/>
    <w:rsid w:val="008237EC"/>
    <w:rsid w:val="0083350A"/>
    <w:rsid w:val="008555FD"/>
    <w:rsid w:val="00855FD7"/>
    <w:rsid w:val="008716FB"/>
    <w:rsid w:val="008738CA"/>
    <w:rsid w:val="0087429C"/>
    <w:rsid w:val="008844B6"/>
    <w:rsid w:val="00885956"/>
    <w:rsid w:val="00886869"/>
    <w:rsid w:val="008906BC"/>
    <w:rsid w:val="00897D0F"/>
    <w:rsid w:val="008A5277"/>
    <w:rsid w:val="008A5C63"/>
    <w:rsid w:val="008B1203"/>
    <w:rsid w:val="008B17C2"/>
    <w:rsid w:val="008B24BA"/>
    <w:rsid w:val="008B67E2"/>
    <w:rsid w:val="008C09F7"/>
    <w:rsid w:val="008C2208"/>
    <w:rsid w:val="008D05D2"/>
    <w:rsid w:val="008D4244"/>
    <w:rsid w:val="008D5F9C"/>
    <w:rsid w:val="008D6390"/>
    <w:rsid w:val="008E3450"/>
    <w:rsid w:val="008E36AD"/>
    <w:rsid w:val="008E4336"/>
    <w:rsid w:val="008E4459"/>
    <w:rsid w:val="009015AB"/>
    <w:rsid w:val="0091252D"/>
    <w:rsid w:val="00915118"/>
    <w:rsid w:val="0092038A"/>
    <w:rsid w:val="00924736"/>
    <w:rsid w:val="00925EEC"/>
    <w:rsid w:val="00925FAB"/>
    <w:rsid w:val="00932F66"/>
    <w:rsid w:val="00947C7E"/>
    <w:rsid w:val="00955DB3"/>
    <w:rsid w:val="00963EEF"/>
    <w:rsid w:val="0097645A"/>
    <w:rsid w:val="0098656B"/>
    <w:rsid w:val="00990BCA"/>
    <w:rsid w:val="00991AD0"/>
    <w:rsid w:val="00995B53"/>
    <w:rsid w:val="009A3E96"/>
    <w:rsid w:val="009A6068"/>
    <w:rsid w:val="009A62F6"/>
    <w:rsid w:val="009B3D0F"/>
    <w:rsid w:val="009C37BC"/>
    <w:rsid w:val="009C3B06"/>
    <w:rsid w:val="009D2972"/>
    <w:rsid w:val="009D55C4"/>
    <w:rsid w:val="009D67BD"/>
    <w:rsid w:val="009E275A"/>
    <w:rsid w:val="009E281B"/>
    <w:rsid w:val="009E48E4"/>
    <w:rsid w:val="009E5103"/>
    <w:rsid w:val="009F1701"/>
    <w:rsid w:val="009F2A27"/>
    <w:rsid w:val="009F322E"/>
    <w:rsid w:val="00A03A55"/>
    <w:rsid w:val="00A043D9"/>
    <w:rsid w:val="00A07A96"/>
    <w:rsid w:val="00A17C92"/>
    <w:rsid w:val="00A238BF"/>
    <w:rsid w:val="00A24544"/>
    <w:rsid w:val="00A319DE"/>
    <w:rsid w:val="00A32DD4"/>
    <w:rsid w:val="00A3373E"/>
    <w:rsid w:val="00A373FA"/>
    <w:rsid w:val="00A40A32"/>
    <w:rsid w:val="00A517EF"/>
    <w:rsid w:val="00A57092"/>
    <w:rsid w:val="00A64FBE"/>
    <w:rsid w:val="00A6636C"/>
    <w:rsid w:val="00A6738D"/>
    <w:rsid w:val="00A67E89"/>
    <w:rsid w:val="00A700FC"/>
    <w:rsid w:val="00A704E0"/>
    <w:rsid w:val="00A72482"/>
    <w:rsid w:val="00A731BA"/>
    <w:rsid w:val="00A74016"/>
    <w:rsid w:val="00A75D2D"/>
    <w:rsid w:val="00A818D8"/>
    <w:rsid w:val="00A823F0"/>
    <w:rsid w:val="00A8650A"/>
    <w:rsid w:val="00A86988"/>
    <w:rsid w:val="00A910F1"/>
    <w:rsid w:val="00A926D8"/>
    <w:rsid w:val="00A92D0B"/>
    <w:rsid w:val="00A95947"/>
    <w:rsid w:val="00AA1740"/>
    <w:rsid w:val="00AB2F7F"/>
    <w:rsid w:val="00AB3510"/>
    <w:rsid w:val="00AC45F3"/>
    <w:rsid w:val="00AC5A4B"/>
    <w:rsid w:val="00AC6395"/>
    <w:rsid w:val="00AD2D29"/>
    <w:rsid w:val="00AD5797"/>
    <w:rsid w:val="00AD742A"/>
    <w:rsid w:val="00AE429F"/>
    <w:rsid w:val="00AF4F16"/>
    <w:rsid w:val="00AF6148"/>
    <w:rsid w:val="00AF7486"/>
    <w:rsid w:val="00AF7E13"/>
    <w:rsid w:val="00B00BCD"/>
    <w:rsid w:val="00B03003"/>
    <w:rsid w:val="00B1593B"/>
    <w:rsid w:val="00B1676F"/>
    <w:rsid w:val="00B200FD"/>
    <w:rsid w:val="00B20A90"/>
    <w:rsid w:val="00B312DA"/>
    <w:rsid w:val="00B31565"/>
    <w:rsid w:val="00B31AE4"/>
    <w:rsid w:val="00B4078A"/>
    <w:rsid w:val="00B42C59"/>
    <w:rsid w:val="00B44437"/>
    <w:rsid w:val="00B51C2B"/>
    <w:rsid w:val="00B54991"/>
    <w:rsid w:val="00B55CCD"/>
    <w:rsid w:val="00B55D78"/>
    <w:rsid w:val="00B629E7"/>
    <w:rsid w:val="00B62AC0"/>
    <w:rsid w:val="00B66CF5"/>
    <w:rsid w:val="00B73B99"/>
    <w:rsid w:val="00B81E5A"/>
    <w:rsid w:val="00B971AF"/>
    <w:rsid w:val="00B97698"/>
    <w:rsid w:val="00BA548C"/>
    <w:rsid w:val="00BB49BB"/>
    <w:rsid w:val="00BB72FE"/>
    <w:rsid w:val="00BB7D62"/>
    <w:rsid w:val="00BC3ABF"/>
    <w:rsid w:val="00BE0257"/>
    <w:rsid w:val="00BE2234"/>
    <w:rsid w:val="00BE4109"/>
    <w:rsid w:val="00BE45D0"/>
    <w:rsid w:val="00BE6605"/>
    <w:rsid w:val="00BF2F45"/>
    <w:rsid w:val="00BF4090"/>
    <w:rsid w:val="00C02649"/>
    <w:rsid w:val="00C0471D"/>
    <w:rsid w:val="00C1179B"/>
    <w:rsid w:val="00C13B3F"/>
    <w:rsid w:val="00C150FB"/>
    <w:rsid w:val="00C15CCE"/>
    <w:rsid w:val="00C16506"/>
    <w:rsid w:val="00C16981"/>
    <w:rsid w:val="00C30B48"/>
    <w:rsid w:val="00C372E0"/>
    <w:rsid w:val="00C434F7"/>
    <w:rsid w:val="00C50870"/>
    <w:rsid w:val="00C534E3"/>
    <w:rsid w:val="00C63749"/>
    <w:rsid w:val="00C64557"/>
    <w:rsid w:val="00C71B6B"/>
    <w:rsid w:val="00C742D7"/>
    <w:rsid w:val="00C765A2"/>
    <w:rsid w:val="00C80771"/>
    <w:rsid w:val="00C80FBE"/>
    <w:rsid w:val="00C817CE"/>
    <w:rsid w:val="00C86EEC"/>
    <w:rsid w:val="00C95376"/>
    <w:rsid w:val="00CA221E"/>
    <w:rsid w:val="00CA323F"/>
    <w:rsid w:val="00CB08D9"/>
    <w:rsid w:val="00CB4AEB"/>
    <w:rsid w:val="00CB5688"/>
    <w:rsid w:val="00CC0779"/>
    <w:rsid w:val="00CC0EBC"/>
    <w:rsid w:val="00CC148A"/>
    <w:rsid w:val="00CC4B40"/>
    <w:rsid w:val="00CD0FD3"/>
    <w:rsid w:val="00CD24C0"/>
    <w:rsid w:val="00CD6886"/>
    <w:rsid w:val="00CD7D17"/>
    <w:rsid w:val="00CD7EFC"/>
    <w:rsid w:val="00CE2A71"/>
    <w:rsid w:val="00CE402F"/>
    <w:rsid w:val="00CE79FF"/>
    <w:rsid w:val="00CF1129"/>
    <w:rsid w:val="00CF16BE"/>
    <w:rsid w:val="00D070FB"/>
    <w:rsid w:val="00D075B1"/>
    <w:rsid w:val="00D10372"/>
    <w:rsid w:val="00D12AC9"/>
    <w:rsid w:val="00D14D2E"/>
    <w:rsid w:val="00D16561"/>
    <w:rsid w:val="00D2080E"/>
    <w:rsid w:val="00D27D5F"/>
    <w:rsid w:val="00D30039"/>
    <w:rsid w:val="00D30C4F"/>
    <w:rsid w:val="00D33356"/>
    <w:rsid w:val="00D33965"/>
    <w:rsid w:val="00D36884"/>
    <w:rsid w:val="00D36927"/>
    <w:rsid w:val="00D40661"/>
    <w:rsid w:val="00D568D0"/>
    <w:rsid w:val="00D56BCA"/>
    <w:rsid w:val="00D6256F"/>
    <w:rsid w:val="00D708E5"/>
    <w:rsid w:val="00D74F4E"/>
    <w:rsid w:val="00D75107"/>
    <w:rsid w:val="00D82FE0"/>
    <w:rsid w:val="00D83046"/>
    <w:rsid w:val="00D84F94"/>
    <w:rsid w:val="00D8769E"/>
    <w:rsid w:val="00D932AF"/>
    <w:rsid w:val="00D9537C"/>
    <w:rsid w:val="00D96AF3"/>
    <w:rsid w:val="00DA2A8F"/>
    <w:rsid w:val="00DA3AEE"/>
    <w:rsid w:val="00DC2186"/>
    <w:rsid w:val="00DC39BD"/>
    <w:rsid w:val="00DD52BB"/>
    <w:rsid w:val="00DD784E"/>
    <w:rsid w:val="00DD7C84"/>
    <w:rsid w:val="00DE3A5D"/>
    <w:rsid w:val="00DF5E9B"/>
    <w:rsid w:val="00E00990"/>
    <w:rsid w:val="00E00FCE"/>
    <w:rsid w:val="00E033C6"/>
    <w:rsid w:val="00E106A2"/>
    <w:rsid w:val="00E10C35"/>
    <w:rsid w:val="00E15DC3"/>
    <w:rsid w:val="00E21EA5"/>
    <w:rsid w:val="00E23FE8"/>
    <w:rsid w:val="00E25078"/>
    <w:rsid w:val="00E30AD4"/>
    <w:rsid w:val="00E3100C"/>
    <w:rsid w:val="00E36A3E"/>
    <w:rsid w:val="00E3786F"/>
    <w:rsid w:val="00E40140"/>
    <w:rsid w:val="00E461BA"/>
    <w:rsid w:val="00E518BA"/>
    <w:rsid w:val="00E52992"/>
    <w:rsid w:val="00E54B38"/>
    <w:rsid w:val="00E6049E"/>
    <w:rsid w:val="00E60942"/>
    <w:rsid w:val="00E6551C"/>
    <w:rsid w:val="00E75E09"/>
    <w:rsid w:val="00E773CF"/>
    <w:rsid w:val="00E77A5A"/>
    <w:rsid w:val="00E83686"/>
    <w:rsid w:val="00E9366A"/>
    <w:rsid w:val="00E959A0"/>
    <w:rsid w:val="00EB607C"/>
    <w:rsid w:val="00EC2EF3"/>
    <w:rsid w:val="00EC3F21"/>
    <w:rsid w:val="00EC7077"/>
    <w:rsid w:val="00ED179F"/>
    <w:rsid w:val="00ED1E63"/>
    <w:rsid w:val="00ED6B6B"/>
    <w:rsid w:val="00EE54B5"/>
    <w:rsid w:val="00EE59EB"/>
    <w:rsid w:val="00F04904"/>
    <w:rsid w:val="00F061A0"/>
    <w:rsid w:val="00F0672D"/>
    <w:rsid w:val="00F1003D"/>
    <w:rsid w:val="00F14EDF"/>
    <w:rsid w:val="00F17376"/>
    <w:rsid w:val="00F20061"/>
    <w:rsid w:val="00F26371"/>
    <w:rsid w:val="00F2640F"/>
    <w:rsid w:val="00F30C8B"/>
    <w:rsid w:val="00F30DA8"/>
    <w:rsid w:val="00F33A66"/>
    <w:rsid w:val="00F34C1F"/>
    <w:rsid w:val="00F354A9"/>
    <w:rsid w:val="00F3772B"/>
    <w:rsid w:val="00F46801"/>
    <w:rsid w:val="00F47E87"/>
    <w:rsid w:val="00F50A15"/>
    <w:rsid w:val="00F53EFA"/>
    <w:rsid w:val="00F5589C"/>
    <w:rsid w:val="00F57C2A"/>
    <w:rsid w:val="00F63C29"/>
    <w:rsid w:val="00F650AE"/>
    <w:rsid w:val="00F73F22"/>
    <w:rsid w:val="00F76303"/>
    <w:rsid w:val="00F81778"/>
    <w:rsid w:val="00F81935"/>
    <w:rsid w:val="00F826BD"/>
    <w:rsid w:val="00F961DA"/>
    <w:rsid w:val="00FA4732"/>
    <w:rsid w:val="00FA5159"/>
    <w:rsid w:val="00FA717C"/>
    <w:rsid w:val="00FB4663"/>
    <w:rsid w:val="00FB52F7"/>
    <w:rsid w:val="00FB637F"/>
    <w:rsid w:val="00FC1CD9"/>
    <w:rsid w:val="00FC2AB4"/>
    <w:rsid w:val="00FC3AF0"/>
    <w:rsid w:val="00FC72B7"/>
    <w:rsid w:val="00FD211D"/>
    <w:rsid w:val="00FD6D22"/>
    <w:rsid w:val="00FE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995AA"/>
  <w15:docId w15:val="{AF3064DD-4696-46CA-A29B-112C7C59146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ar">
    <w:name w:val="title bar"/>
    <w:basedOn w:val="Normal"/>
    <w:pPr>
      <w:keepNext/>
      <w:suppressAutoHyphens/>
      <w:jc w:val="center"/>
    </w:pPr>
    <w:rPr>
      <w:rFonts w:ascii="Helvetica" w:hAnsi="Helvetica"/>
      <w:b/>
      <w:sz w:val="26"/>
      <w:szCs w:val="20"/>
    </w:rPr>
  </w:style>
  <w:style w:type="character" w:styleId="Hyperlink">
    <w:name w:val="Hyperlink"/>
    <w:rsid w:val="00885956"/>
    <w:rPr>
      <w:color w:val="3754D4"/>
      <w:u w:val="single"/>
    </w:rPr>
  </w:style>
  <w:style w:type="paragraph" w:styleId="FootnoteText">
    <w:name w:val="footnote text"/>
    <w:basedOn w:val="Normal"/>
    <w:link w:val="FootnoteTextChar"/>
    <w:uiPriority w:val="99"/>
    <w:rsid w:val="00B44437"/>
    <w:pPr>
      <w:spacing w:after="120"/>
    </w:pPr>
    <w:rPr>
      <w:sz w:val="22"/>
      <w:szCs w:val="20"/>
    </w:rPr>
  </w:style>
  <w:style w:type="character" w:customStyle="1" w:styleId="FootnoteTextChar">
    <w:name w:val="Footnote Text Char"/>
    <w:basedOn w:val="DefaultParagraphFont"/>
    <w:link w:val="FootnoteText"/>
    <w:uiPriority w:val="99"/>
    <w:rsid w:val="00B44437"/>
    <w:rPr>
      <w:sz w:val="22"/>
    </w:rPr>
  </w:style>
  <w:style w:type="character" w:styleId="FootnoteReference">
    <w:name w:val="footnote reference"/>
    <w:uiPriority w:val="99"/>
    <w:rsid w:val="00885956"/>
    <w:rPr>
      <w:vertAlign w:val="superscript"/>
    </w:rPr>
  </w:style>
  <w:style w:type="paragraph" w:styleId="ListParagraph">
    <w:name w:val="List Paragraph"/>
    <w:basedOn w:val="Normal"/>
    <w:uiPriority w:val="34"/>
    <w:qFormat/>
    <w:rsid w:val="00885956"/>
    <w:pPr>
      <w:ind w:left="720"/>
    </w:pPr>
    <w:rPr>
      <w:rFonts w:ascii="Calibri" w:eastAsia="Calibri" w:hAnsi="Calibri"/>
      <w:sz w:val="22"/>
      <w:szCs w:val="22"/>
    </w:rPr>
  </w:style>
  <w:style w:type="character" w:styleId="FollowedHyperlink">
    <w:name w:val="FollowedHyperlink"/>
    <w:rsid w:val="00885956"/>
    <w:rPr>
      <w:color w:val="800080"/>
      <w:u w:val="single"/>
    </w:rPr>
  </w:style>
  <w:style w:type="paragraph" w:styleId="Header">
    <w:name w:val="header"/>
    <w:basedOn w:val="Normal"/>
    <w:link w:val="HeaderChar"/>
    <w:uiPriority w:val="99"/>
    <w:rsid w:val="00B00BCD"/>
    <w:pPr>
      <w:tabs>
        <w:tab w:val="center" w:pos="4680"/>
        <w:tab w:val="right" w:pos="9360"/>
      </w:tabs>
    </w:pPr>
  </w:style>
  <w:style w:type="character" w:customStyle="1" w:styleId="HeaderChar">
    <w:name w:val="Header Char"/>
    <w:link w:val="Header"/>
    <w:uiPriority w:val="99"/>
    <w:rsid w:val="00B00BCD"/>
    <w:rPr>
      <w:sz w:val="24"/>
      <w:szCs w:val="24"/>
    </w:rPr>
  </w:style>
  <w:style w:type="paragraph" w:styleId="Footer">
    <w:name w:val="footer"/>
    <w:basedOn w:val="Normal"/>
    <w:link w:val="FooterChar"/>
    <w:uiPriority w:val="99"/>
    <w:rsid w:val="00B00BCD"/>
    <w:pPr>
      <w:tabs>
        <w:tab w:val="center" w:pos="4680"/>
        <w:tab w:val="right" w:pos="9360"/>
      </w:tabs>
    </w:pPr>
  </w:style>
  <w:style w:type="character" w:customStyle="1" w:styleId="FooterChar">
    <w:name w:val="Footer Char"/>
    <w:link w:val="Footer"/>
    <w:uiPriority w:val="99"/>
    <w:rsid w:val="00B00BCD"/>
    <w:rPr>
      <w:sz w:val="24"/>
      <w:szCs w:val="24"/>
    </w:rPr>
  </w:style>
  <w:style w:type="paragraph" w:styleId="BalloonText">
    <w:name w:val="Balloon Text"/>
    <w:basedOn w:val="Normal"/>
    <w:link w:val="BalloonTextChar"/>
    <w:rsid w:val="00B00BCD"/>
    <w:rPr>
      <w:rFonts w:ascii="Tahoma" w:hAnsi="Tahoma" w:cs="Tahoma"/>
      <w:sz w:val="16"/>
      <w:szCs w:val="16"/>
    </w:rPr>
  </w:style>
  <w:style w:type="character" w:customStyle="1" w:styleId="BalloonTextChar">
    <w:name w:val="Balloon Text Char"/>
    <w:link w:val="BalloonText"/>
    <w:rsid w:val="00B00BCD"/>
    <w:rPr>
      <w:rFonts w:ascii="Tahoma" w:hAnsi="Tahoma" w:cs="Tahoma"/>
      <w:sz w:val="16"/>
      <w:szCs w:val="16"/>
    </w:rPr>
  </w:style>
  <w:style w:type="paragraph" w:styleId="Revision">
    <w:name w:val="Revision"/>
    <w:hidden/>
    <w:uiPriority w:val="99"/>
    <w:semiHidden/>
    <w:rsid w:val="00B55CCD"/>
    <w:rPr>
      <w:sz w:val="24"/>
      <w:szCs w:val="24"/>
    </w:rPr>
  </w:style>
  <w:style w:type="character" w:styleId="CommentReference">
    <w:name w:val="annotation reference"/>
    <w:rsid w:val="00963EEF"/>
    <w:rPr>
      <w:sz w:val="16"/>
      <w:szCs w:val="16"/>
    </w:rPr>
  </w:style>
  <w:style w:type="paragraph" w:styleId="CommentText">
    <w:name w:val="annotation text"/>
    <w:basedOn w:val="Normal"/>
    <w:link w:val="CommentTextChar"/>
    <w:rsid w:val="00963EEF"/>
    <w:rPr>
      <w:sz w:val="20"/>
      <w:szCs w:val="20"/>
    </w:rPr>
  </w:style>
  <w:style w:type="character" w:customStyle="1" w:styleId="CommentTextChar">
    <w:name w:val="Comment Text Char"/>
    <w:basedOn w:val="DefaultParagraphFont"/>
    <w:link w:val="CommentText"/>
    <w:rsid w:val="00963EEF"/>
  </w:style>
  <w:style w:type="paragraph" w:styleId="CommentSubject">
    <w:name w:val="annotation subject"/>
    <w:basedOn w:val="CommentText"/>
    <w:next w:val="CommentText"/>
    <w:link w:val="CommentSubjectChar"/>
    <w:rsid w:val="00963EEF"/>
    <w:rPr>
      <w:b/>
      <w:bCs/>
    </w:rPr>
  </w:style>
  <w:style w:type="character" w:customStyle="1" w:styleId="CommentSubjectChar">
    <w:name w:val="Comment Subject Char"/>
    <w:link w:val="CommentSubject"/>
    <w:rsid w:val="00963EEF"/>
    <w:rPr>
      <w:b/>
      <w:bCs/>
    </w:rPr>
  </w:style>
  <w:style w:type="character" w:styleId="PlaceholderText">
    <w:name w:val="Placeholder Text"/>
    <w:uiPriority w:val="99"/>
    <w:semiHidden/>
    <w:rsid w:val="00BE45D0"/>
    <w:rPr>
      <w:color w:val="808080"/>
    </w:rPr>
  </w:style>
  <w:style w:type="character" w:customStyle="1" w:styleId="standardChar">
    <w:name w:val="standard Char"/>
    <w:link w:val="standard"/>
    <w:locked/>
    <w:rsid w:val="00FE3BAE"/>
    <w:rPr>
      <w:rFonts w:ascii="Palatino" w:hAnsi="Palatino"/>
      <w:sz w:val="26"/>
    </w:rPr>
  </w:style>
  <w:style w:type="paragraph" w:customStyle="1" w:styleId="standard">
    <w:name w:val="standard"/>
    <w:basedOn w:val="Normal"/>
    <w:link w:val="standardChar"/>
    <w:rsid w:val="00FE3BAE"/>
    <w:pPr>
      <w:spacing w:line="360" w:lineRule="auto"/>
      <w:ind w:firstLine="720"/>
    </w:pPr>
    <w:rPr>
      <w:rFonts w:ascii="Palatino" w:hAnsi="Palatino"/>
      <w:sz w:val="26"/>
      <w:szCs w:val="20"/>
    </w:rPr>
  </w:style>
  <w:style w:type="paragraph" w:styleId="NormalWeb">
    <w:name w:val="Normal (Web)"/>
    <w:basedOn w:val="Normal"/>
    <w:uiPriority w:val="99"/>
    <w:unhideWhenUsed/>
    <w:rsid w:val="009E48E4"/>
    <w:rPr>
      <w:rFonts w:eastAsiaTheme="minorHAnsi"/>
    </w:rPr>
  </w:style>
  <w:style w:type="paragraph" w:customStyle="1" w:styleId="Default">
    <w:name w:val="Default"/>
    <w:rsid w:val="00A32DD4"/>
    <w:pPr>
      <w:autoSpaceDE w:val="0"/>
      <w:autoSpaceDN w:val="0"/>
      <w:adjustRightInd w:val="0"/>
    </w:pPr>
    <w:rPr>
      <w:color w:val="000000"/>
      <w:sz w:val="24"/>
      <w:szCs w:val="24"/>
    </w:rPr>
  </w:style>
  <w:style w:type="paragraph" w:customStyle="1" w:styleId="BulletCheck2">
    <w:name w:val="Bullet&amp;Check2"/>
    <w:basedOn w:val="Normal"/>
    <w:qFormat/>
    <w:rsid w:val="00303977"/>
    <w:pPr>
      <w:spacing w:line="240" w:lineRule="exact"/>
      <w:ind w:left="490" w:hanging="202"/>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01071">
      <w:bodyDiv w:val="1"/>
      <w:marLeft w:val="0"/>
      <w:marRight w:val="0"/>
      <w:marTop w:val="0"/>
      <w:marBottom w:val="0"/>
      <w:divBdr>
        <w:top w:val="none" w:sz="0" w:space="0" w:color="auto"/>
        <w:left w:val="none" w:sz="0" w:space="0" w:color="auto"/>
        <w:bottom w:val="none" w:sz="0" w:space="0" w:color="auto"/>
        <w:right w:val="none" w:sz="0" w:space="0" w:color="auto"/>
      </w:divBdr>
    </w:div>
    <w:div w:id="664012619">
      <w:bodyDiv w:val="1"/>
      <w:marLeft w:val="0"/>
      <w:marRight w:val="0"/>
      <w:marTop w:val="0"/>
      <w:marBottom w:val="0"/>
      <w:divBdr>
        <w:top w:val="none" w:sz="0" w:space="0" w:color="auto"/>
        <w:left w:val="none" w:sz="0" w:space="0" w:color="auto"/>
        <w:bottom w:val="none" w:sz="0" w:space="0" w:color="auto"/>
        <w:right w:val="none" w:sz="0" w:space="0" w:color="auto"/>
      </w:divBdr>
    </w:div>
    <w:div w:id="944770035">
      <w:bodyDiv w:val="1"/>
      <w:marLeft w:val="0"/>
      <w:marRight w:val="0"/>
      <w:marTop w:val="0"/>
      <w:marBottom w:val="0"/>
      <w:divBdr>
        <w:top w:val="none" w:sz="0" w:space="0" w:color="auto"/>
        <w:left w:val="none" w:sz="0" w:space="0" w:color="auto"/>
        <w:bottom w:val="none" w:sz="0" w:space="0" w:color="auto"/>
        <w:right w:val="none" w:sz="0" w:space="0" w:color="auto"/>
      </w:divBdr>
    </w:div>
    <w:div w:id="1595745436">
      <w:bodyDiv w:val="1"/>
      <w:marLeft w:val="0"/>
      <w:marRight w:val="0"/>
      <w:marTop w:val="0"/>
      <w:marBottom w:val="0"/>
      <w:divBdr>
        <w:top w:val="none" w:sz="0" w:space="0" w:color="auto"/>
        <w:left w:val="none" w:sz="0" w:space="0" w:color="auto"/>
        <w:bottom w:val="none" w:sz="0" w:space="0" w:color="auto"/>
        <w:right w:val="none" w:sz="0" w:space="0" w:color="auto"/>
      </w:divBdr>
    </w:div>
    <w:div w:id="1709379492">
      <w:bodyDiv w:val="1"/>
      <w:marLeft w:val="0"/>
      <w:marRight w:val="0"/>
      <w:marTop w:val="0"/>
      <w:marBottom w:val="0"/>
      <w:divBdr>
        <w:top w:val="none" w:sz="0" w:space="0" w:color="auto"/>
        <w:left w:val="none" w:sz="0" w:space="0" w:color="auto"/>
        <w:bottom w:val="none" w:sz="0" w:space="0" w:color="auto"/>
        <w:right w:val="none" w:sz="0" w:space="0" w:color="auto"/>
      </w:divBdr>
    </w:div>
    <w:div w:id="18764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hyperlink" Target="http://docs.cpuc.ca.gov/PublishedDocs/Published/G000/M444/K957/444957606.pdf" TargetMode="External" Id="R7557b82e8c2643f1" /></Relationships>
</file>

<file path=word/_rels/footnotes.xml.rels><?xml version="1.0" encoding="UTF-8" standalone="yes"?>
<Relationships xmlns="http://schemas.openxmlformats.org/package/2006/relationships"><Relationship Id="rId1" Type="http://schemas.openxmlformats.org/officeDocument/2006/relationships/hyperlink" Target="http://members.calbar.ca.gov/fal/MemberSearch/Quick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3318-D678-45F7-A240-A28C6B0BE46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23</ap:Pages>
  <ap:Words>5938</ap:Words>
  <ap:Characters>33851</ap:Characters>
  <ap:Application>Microsoft Office Word</ap:Application>
  <ap:DocSecurity>0</ap:DocSecurity>
  <ap:Lines>282</ap:Lines>
  <ap:Paragraphs>79</ap:Paragraphs>
  <ap:ScaleCrop>false</ap:ScaleCrop>
  <ap:HeadingPairs>
    <vt:vector baseType="variant" size="2">
      <vt:variant>
        <vt:lpstr>Title</vt:lpstr>
      </vt:variant>
      <vt:variant>
        <vt:i4>1</vt:i4>
      </vt:variant>
    </vt:vector>
  </ap:HeadingPairs>
  <ap:TitlesOfParts>
    <vt:vector baseType="lpstr" size="1">
      <vt:lpstr>Icomp Claim Form</vt:lpstr>
    </vt:vector>
  </ap:TitlesOfParts>
  <ap:Company/>
  <ap:LinksUpToDate>false</ap:LinksUpToDate>
  <ap:CharactersWithSpaces>39710</ap:CharactersWithSpaces>
  <ap:SharedDoc>false</ap:SharedDoc>
  <ap:HyperlinkBase/>
  <ap:HLinks>
    <vt:vector baseType="variant" size="12">
      <vt:variant>
        <vt:i4>2031738</vt:i4>
      </vt:variant>
      <vt:variant>
        <vt:i4>0</vt:i4>
      </vt:variant>
      <vt:variant>
        <vt:i4>0</vt:i4>
      </vt:variant>
      <vt:variant>
        <vt:i4>5</vt:i4>
      </vt:variant>
      <vt:variant>
        <vt:lpwstr>mailto:Icompcoordinator@cpuc.ca.gov</vt:lpwstr>
      </vt:variant>
      <vt:variant>
        <vt:lpwstr/>
      </vt:variant>
      <vt:variant>
        <vt:i4>5963790</vt:i4>
      </vt:variant>
      <vt:variant>
        <vt:i4>0</vt:i4>
      </vt:variant>
      <vt:variant>
        <vt:i4>0</vt:i4>
      </vt:variant>
      <vt:variant>
        <vt:i4>5</vt:i4>
      </vt:variant>
      <vt:variant>
        <vt:lpwstr>http://members.calbar.ca.gov/fal/MemberSearch/QuickSearch</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2013-07-15T17:59:00Z</cp:lastPrinted>
  <dcterms:created xsi:type="dcterms:W3CDTF">2022-01-26T08:51:41Z</dcterms:created>
  <dcterms:modified xsi:type="dcterms:W3CDTF">2022-01-26T08:51:41Z</dcterms:modified>
</cp:coreProperties>
</file>