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A92" w:rsidR="00142A92" w:rsidP="00142A92" w:rsidRDefault="00142A92" w14:paraId="6D978ACF" w14:textId="77777777">
      <w:pPr>
        <w:widowControl w:val="0"/>
        <w:spacing w:line="240" w:lineRule="auto"/>
        <w:ind w:firstLine="0"/>
        <w:rPr>
          <w:rFonts w:eastAsia="Times New Roman" w:cs="Times New Roman"/>
          <w:szCs w:val="20"/>
        </w:rPr>
      </w:pPr>
    </w:p>
    <w:p w:rsidR="00937C61" w:rsidP="00937C61" w:rsidRDefault="00D550F4" w14:paraId="0EDB662B" w14:textId="1403217B">
      <w:pPr>
        <w:tabs>
          <w:tab w:val="center" w:pos="4680"/>
          <w:tab w:val="right" w:pos="9360"/>
        </w:tabs>
        <w:spacing w:line="240" w:lineRule="auto"/>
        <w:ind w:firstLine="0"/>
        <w:rPr>
          <w:b/>
        </w:rPr>
      </w:pPr>
      <w:r w:rsidRPr="00467263">
        <w:t>ALJ/</w:t>
      </w:r>
      <w:r w:rsidR="00102C06">
        <w:t>ML2/</w:t>
      </w:r>
      <w:r w:rsidR="004739C2">
        <w:t>CS8/</w:t>
      </w:r>
      <w:proofErr w:type="spellStart"/>
      <w:r w:rsidR="00102C06">
        <w:t>smt</w:t>
      </w:r>
      <w:proofErr w:type="spellEnd"/>
      <w:r w:rsidR="001844B6">
        <w:t xml:space="preserve">    </w:t>
      </w:r>
      <w:r w:rsidR="00937C61">
        <w:tab/>
      </w:r>
      <w:r w:rsidR="00937C61">
        <w:tab/>
      </w:r>
      <w:r w:rsidRPr="00937C61" w:rsidR="00937C61">
        <w:rPr>
          <w:b/>
          <w:bCs/>
        </w:rPr>
        <w:t>Date of Issuance 2/1/2022</w:t>
      </w:r>
    </w:p>
    <w:p w:rsidR="00D550F4" w:rsidP="00D550F4" w:rsidRDefault="00D550F4" w14:paraId="09923B0C" w14:textId="77777777">
      <w:pPr>
        <w:ind w:firstLine="0"/>
      </w:pPr>
    </w:p>
    <w:p w:rsidRPr="00EE3060" w:rsidR="00D550F4" w:rsidP="00F23DE4" w:rsidRDefault="00D550F4" w14:paraId="49EFF43B" w14:textId="62C11ACC">
      <w:pPr>
        <w:spacing w:line="240" w:lineRule="auto"/>
        <w:ind w:left="1080" w:hanging="1080"/>
        <w:contextualSpacing/>
      </w:pPr>
      <w:r>
        <w:t xml:space="preserve">Decision </w:t>
      </w:r>
      <w:r w:rsidR="00937C61">
        <w:t>22-01-025  January 27, 2022</w:t>
      </w:r>
    </w:p>
    <w:p w:rsidR="006B5C99" w:rsidP="006B5C99" w:rsidRDefault="006B5C99" w14:paraId="502D1A4B" w14:textId="77777777">
      <w:pPr>
        <w:tabs>
          <w:tab w:val="center" w:pos="4680"/>
          <w:tab w:val="right" w:pos="9360"/>
        </w:tabs>
        <w:spacing w:line="240" w:lineRule="auto"/>
        <w:ind w:firstLine="0"/>
      </w:pPr>
    </w:p>
    <w:p w:rsidR="00DA7B5D" w:rsidP="00B8641B" w:rsidRDefault="00DA7B5D" w14:paraId="6D567CCB" w14:textId="778EF3CC">
      <w:pPr>
        <w:tabs>
          <w:tab w:val="center" w:pos="4680"/>
          <w:tab w:val="right" w:pos="9360"/>
        </w:tabs>
        <w:spacing w:line="240" w:lineRule="auto"/>
        <w:ind w:firstLine="0"/>
        <w:jc w:val="center"/>
        <w:rPr>
          <w:rFonts w:ascii="Arial" w:hAnsi="Arial" w:cs="Arial"/>
          <w:b/>
          <w:sz w:val="24"/>
          <w:szCs w:val="24"/>
        </w:rPr>
      </w:pPr>
      <w:bookmarkStart w:name="_Hlk48817505" w:id="0"/>
      <w:r w:rsidRPr="00DA7B5D">
        <w:rPr>
          <w:rFonts w:ascii="Arial" w:hAnsi="Arial" w:cs="Arial"/>
          <w:b/>
          <w:sz w:val="24"/>
          <w:szCs w:val="24"/>
        </w:rPr>
        <w:t>BEFORE THE PUBLIC UTILITIES COMMISSION OF THE STATE OF CALIFORNIA</w:t>
      </w:r>
    </w:p>
    <w:p w:rsidR="00B9490F" w:rsidP="00B8641B" w:rsidRDefault="00B9490F" w14:paraId="422BD8DD" w14:textId="77777777">
      <w:pPr>
        <w:tabs>
          <w:tab w:val="center" w:pos="4680"/>
          <w:tab w:val="right" w:pos="9360"/>
        </w:tabs>
        <w:spacing w:line="240" w:lineRule="auto"/>
        <w:ind w:firstLine="0"/>
        <w:jc w:val="center"/>
        <w:rPr>
          <w:rFonts w:ascii="Arial" w:hAnsi="Arial" w:cs="Arial"/>
          <w:sz w:val="24"/>
          <w:szCs w:val="24"/>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60"/>
        <w:gridCol w:w="4500"/>
      </w:tblGrid>
      <w:tr w:rsidRPr="00D44D28" w:rsidR="00D44D28" w:rsidTr="00B55520" w14:paraId="59A06B06" w14:textId="77777777">
        <w:trPr>
          <w:jc w:val="center"/>
        </w:trPr>
        <w:tc>
          <w:tcPr>
            <w:tcW w:w="4860" w:type="dxa"/>
            <w:tcBorders>
              <w:top w:val="nil"/>
              <w:left w:val="nil"/>
              <w:bottom w:val="single" w:color="auto" w:sz="4" w:space="0"/>
              <w:right w:val="single" w:color="auto" w:sz="4" w:space="0"/>
            </w:tcBorders>
            <w:shd w:val="clear" w:color="auto" w:fill="auto"/>
          </w:tcPr>
          <w:p w:rsidR="004071E6" w:rsidP="004071E6" w:rsidRDefault="004071E6" w14:paraId="4FC48A45" w14:textId="77777777">
            <w:pPr>
              <w:spacing w:line="240" w:lineRule="auto"/>
              <w:ind w:firstLine="0"/>
            </w:pPr>
            <w:r>
              <w:t>Order Instituting Rulemaking to Continue Implementation and Administration, and Consider Further Development, of California Renewables Portfolio Standard Program.</w:t>
            </w:r>
            <w:r w:rsidRPr="0036241F">
              <w:t xml:space="preserve"> </w:t>
            </w:r>
          </w:p>
          <w:p w:rsidRPr="00D44D28" w:rsidR="00D44D28" w:rsidP="004071E6" w:rsidRDefault="00D44D28" w14:paraId="7A7513E9" w14:textId="77777777">
            <w:pPr>
              <w:spacing w:line="240" w:lineRule="auto"/>
              <w:ind w:firstLine="0"/>
              <w:rPr>
                <w:rFonts w:eastAsia="Calibri" w:cs="Arial"/>
                <w:szCs w:val="26"/>
              </w:rPr>
            </w:pPr>
          </w:p>
        </w:tc>
        <w:tc>
          <w:tcPr>
            <w:tcW w:w="4500" w:type="dxa"/>
            <w:tcBorders>
              <w:top w:val="nil"/>
              <w:left w:val="single" w:color="auto" w:sz="4" w:space="0"/>
              <w:bottom w:val="nil"/>
              <w:right w:val="nil"/>
            </w:tcBorders>
            <w:shd w:val="clear" w:color="auto" w:fill="auto"/>
            <w:vAlign w:val="center"/>
          </w:tcPr>
          <w:p w:rsidRPr="00D44D28" w:rsidR="00D44D28" w:rsidP="00D44D28" w:rsidRDefault="004071E6" w14:paraId="7889CD93" w14:textId="3D7590C7">
            <w:pPr>
              <w:spacing w:line="240" w:lineRule="auto"/>
              <w:ind w:firstLine="0"/>
              <w:jc w:val="center"/>
              <w:rPr>
                <w:rFonts w:eastAsia="Calibri" w:cs="Arial"/>
                <w:szCs w:val="26"/>
              </w:rPr>
            </w:pPr>
            <w:r>
              <w:rPr>
                <w:rFonts w:eastAsia="Calibri" w:cs="Arial"/>
                <w:szCs w:val="26"/>
              </w:rPr>
              <w:t>Rulemaking 18-07-003</w:t>
            </w:r>
          </w:p>
        </w:tc>
      </w:tr>
    </w:tbl>
    <w:p w:rsidR="00DF1234" w:rsidP="004071E6" w:rsidRDefault="00DF1234" w14:paraId="4AD4497F" w14:textId="52A5D641">
      <w:pPr>
        <w:ind w:firstLine="0"/>
      </w:pPr>
    </w:p>
    <w:p w:rsidRPr="009A300E" w:rsidR="002F3D76" w:rsidP="002F3D76" w:rsidRDefault="004071E6" w14:paraId="1973706D" w14:textId="77777777">
      <w:pPr>
        <w:pStyle w:val="main0"/>
        <w:rPr>
          <w:rFonts w:ascii="Arial" w:hAnsi="Arial" w:cs="Arial"/>
        </w:rPr>
      </w:pPr>
      <w:bookmarkStart w:name="_Toc89343457" w:id="1"/>
      <w:r w:rsidRPr="009A300E">
        <w:rPr>
          <w:rFonts w:ascii="Arial" w:hAnsi="Arial" w:cs="Arial"/>
        </w:rPr>
        <w:t xml:space="preserve">DECISION ON GEXA ENERGY CALIFORNIA LLC’S COMPLIANCE </w:t>
      </w:r>
    </w:p>
    <w:p w:rsidRPr="009A300E" w:rsidR="004071E6" w:rsidP="002F3D76" w:rsidRDefault="004071E6" w14:paraId="6A0AA00C" w14:textId="7CACD000">
      <w:pPr>
        <w:pStyle w:val="main0"/>
        <w:rPr>
          <w:rFonts w:ascii="Arial" w:hAnsi="Arial" w:cs="Arial"/>
        </w:rPr>
      </w:pPr>
      <w:r w:rsidRPr="009A300E">
        <w:rPr>
          <w:rFonts w:ascii="Arial" w:hAnsi="Arial" w:cs="Arial"/>
        </w:rPr>
        <w:t xml:space="preserve">WITH THE CALIFORNIA RENEWABLES PORTFOLIO </w:t>
      </w:r>
    </w:p>
    <w:p w:rsidRPr="009A300E" w:rsidR="004071E6" w:rsidP="004071E6" w:rsidRDefault="004071E6" w14:paraId="57156F02" w14:textId="6CF0B989">
      <w:pPr>
        <w:pStyle w:val="main0"/>
        <w:rPr>
          <w:rFonts w:ascii="Arial" w:hAnsi="Arial" w:cs="Arial"/>
        </w:rPr>
      </w:pPr>
      <w:r w:rsidRPr="009A300E">
        <w:rPr>
          <w:rFonts w:ascii="Arial" w:hAnsi="Arial" w:cs="Arial"/>
        </w:rPr>
        <w:t>STANDARD PROGRAM</w:t>
      </w:r>
      <w:bookmarkEnd w:id="1"/>
      <w:r w:rsidRPr="009A300E">
        <w:rPr>
          <w:rFonts w:ascii="Arial" w:hAnsi="Arial" w:cs="Arial"/>
        </w:rPr>
        <w:t xml:space="preserve"> </w:t>
      </w:r>
    </w:p>
    <w:p w:rsidR="004071E6" w:rsidP="004071E6" w:rsidRDefault="004071E6" w14:paraId="6C50846E" w14:textId="77777777">
      <w:pPr>
        <w:pStyle w:val="main0"/>
      </w:pPr>
    </w:p>
    <w:p w:rsidR="00547AA5" w:rsidP="008E3BE8" w:rsidRDefault="00547AA5" w14:paraId="47C5027A" w14:textId="77777777">
      <w:pPr>
        <w:ind w:firstLine="0"/>
        <w:sectPr w:rsidR="00547AA5" w:rsidSect="009660A9">
          <w:headerReference w:type="default" r:id="rId8"/>
          <w:footerReference w:type="default" r:id="rId9"/>
          <w:headerReference w:type="first" r:id="rId10"/>
          <w:footerReference w:type="first" r:id="rId11"/>
          <w:pgSz w:w="12240" w:h="15840"/>
          <w:pgMar w:top="1728" w:right="1440" w:bottom="1440" w:left="1440" w:header="720" w:footer="720" w:gutter="0"/>
          <w:pgNumType w:start="1"/>
          <w:cols w:space="720"/>
          <w:titlePg/>
          <w:docGrid w:linePitch="360"/>
        </w:sectPr>
      </w:pPr>
    </w:p>
    <w:p w:rsidRPr="001E2A62" w:rsidR="00DF1234" w:rsidP="00DF1234" w:rsidRDefault="00DF1234" w14:paraId="0683B6CF" w14:textId="21C7699F">
      <w:pPr>
        <w:pStyle w:val="Main"/>
        <w:rPr>
          <w:rFonts w:ascii="Book Antiqua" w:hAnsi="Book Antiqua"/>
        </w:rPr>
      </w:pPr>
      <w:r w:rsidRPr="001E2A62">
        <w:rPr>
          <w:rFonts w:ascii="Book Antiqua" w:hAnsi="Book Antiqua"/>
        </w:rPr>
        <w:lastRenderedPageBreak/>
        <w:t>TABLE OF CONTENTS</w:t>
      </w:r>
    </w:p>
    <w:p w:rsidR="004071E6" w:rsidP="00DF1234" w:rsidRDefault="00DF1234" w14:paraId="78049199" w14:textId="5746A762">
      <w:pPr>
        <w:tabs>
          <w:tab w:val="right" w:pos="9360"/>
        </w:tabs>
        <w:ind w:firstLine="0"/>
        <w:rPr>
          <w:b/>
        </w:rPr>
      </w:pPr>
      <w:r w:rsidRPr="00D50119">
        <w:rPr>
          <w:b/>
        </w:rPr>
        <w:t>Title</w:t>
      </w:r>
      <w:r w:rsidR="002F3D76">
        <w:rPr>
          <w:b/>
        </w:rPr>
        <w:tab/>
      </w:r>
      <w:r w:rsidRPr="00D50119" w:rsidR="002F3D76">
        <w:rPr>
          <w:b/>
        </w:rPr>
        <w:t>Page</w:t>
      </w:r>
    </w:p>
    <w:p w:rsidRPr="002F3D76" w:rsidR="00DF1234" w:rsidP="002F3D76" w:rsidRDefault="00DF1234" w14:paraId="0608E06B" w14:textId="5C3B82E3">
      <w:pPr>
        <w:pStyle w:val="TOC1"/>
        <w:tabs>
          <w:tab w:val="right" w:leader="dot" w:pos="9350"/>
        </w:tabs>
        <w:ind w:left="0" w:firstLine="0"/>
        <w:rPr>
          <w:rFonts w:asciiTheme="minorHAnsi" w:hAnsiTheme="minorHAnsi" w:cstheme="minorBidi"/>
          <w:noProof/>
          <w:sz w:val="22"/>
        </w:rPr>
      </w:pPr>
    </w:p>
    <w:sdt>
      <w:sdtPr>
        <w:rPr>
          <w:rFonts w:eastAsiaTheme="minorHAnsi" w:cstheme="minorBidi"/>
        </w:rPr>
        <w:id w:val="1702816779"/>
        <w:docPartObj>
          <w:docPartGallery w:val="Table of Contents"/>
          <w:docPartUnique/>
        </w:docPartObj>
      </w:sdtPr>
      <w:sdtEndPr>
        <w:rPr>
          <w:noProof/>
        </w:rPr>
      </w:sdtEndPr>
      <w:sdtContent>
        <w:p w:rsidRPr="00216DE8" w:rsidR="00D64FFD" w:rsidP="00216DE8" w:rsidRDefault="00DB2204" w14:paraId="1DCE0D1E" w14:textId="147B00FC">
          <w:pPr>
            <w:pStyle w:val="TOC1"/>
            <w:tabs>
              <w:tab w:val="right" w:leader="dot" w:pos="9350"/>
            </w:tabs>
            <w:ind w:left="0" w:firstLine="0"/>
            <w:rPr>
              <w:rFonts w:asciiTheme="minorHAnsi" w:hAnsiTheme="minorHAnsi" w:cstheme="minorBidi"/>
              <w:noProof/>
              <w:sz w:val="22"/>
            </w:rPr>
          </w:pPr>
          <w:hyperlink w:history="1" w:anchor="_Toc68270926">
            <w:r w:rsidRPr="00467263" w:rsidR="00216DE8">
              <w:rPr>
                <w:rStyle w:val="Hyperlink"/>
                <w:noProof/>
                <w:color w:val="auto"/>
                <w:u w:val="none"/>
              </w:rPr>
              <w:t>DECISION ON GEXA ENERGY CALIFORNIA LLC’S COMPLIANCE WITH THE CALIFORNIA RENEWABLES PORTFOLIO STANDARD PROGRAM</w:t>
            </w:r>
            <w:r w:rsidR="00216DE8">
              <w:rPr>
                <w:noProof/>
                <w:webHidden/>
              </w:rPr>
              <w:tab/>
            </w:r>
          </w:hyperlink>
          <w:r w:rsidR="00216DE8">
            <w:tab/>
          </w:r>
        </w:p>
        <w:p w:rsidR="00216DE8" w:rsidRDefault="00D64FFD" w14:paraId="5DFDDDC3" w14:textId="489078B6">
          <w:pPr>
            <w:pStyle w:val="TOC1"/>
            <w:tabs>
              <w:tab w:val="right" w:leader="dot" w:pos="9350"/>
            </w:tabs>
            <w:rPr>
              <w:rFonts w:asciiTheme="minorHAnsi" w:hAnsiTheme="minorHAnsi" w:cstheme="minorBidi"/>
              <w:noProof/>
              <w:sz w:val="22"/>
            </w:rPr>
          </w:pPr>
          <w:r>
            <w:fldChar w:fldCharType="begin"/>
          </w:r>
          <w:r>
            <w:instrText xml:space="preserve"> TOC \o "1-3" \h \z \u </w:instrText>
          </w:r>
          <w:r>
            <w:fldChar w:fldCharType="separate"/>
          </w:r>
          <w:hyperlink w:history="1" w:anchor="_Toc94610204">
            <w:r w:rsidRPr="0098345B" w:rsidR="00216DE8">
              <w:rPr>
                <w:rStyle w:val="Hyperlink"/>
                <w:noProof/>
              </w:rPr>
              <w:t>Summary</w:t>
            </w:r>
            <w:r w:rsidR="00216DE8">
              <w:rPr>
                <w:noProof/>
                <w:webHidden/>
              </w:rPr>
              <w:tab/>
            </w:r>
            <w:r w:rsidR="00216DE8">
              <w:rPr>
                <w:noProof/>
                <w:webHidden/>
              </w:rPr>
              <w:fldChar w:fldCharType="begin"/>
            </w:r>
            <w:r w:rsidR="00216DE8">
              <w:rPr>
                <w:noProof/>
                <w:webHidden/>
              </w:rPr>
              <w:instrText xml:space="preserve"> PAGEREF _Toc94610204 \h </w:instrText>
            </w:r>
            <w:r w:rsidR="00216DE8">
              <w:rPr>
                <w:noProof/>
                <w:webHidden/>
              </w:rPr>
            </w:r>
            <w:r w:rsidR="00216DE8">
              <w:rPr>
                <w:noProof/>
                <w:webHidden/>
              </w:rPr>
              <w:fldChar w:fldCharType="separate"/>
            </w:r>
            <w:r w:rsidR="00282F02">
              <w:rPr>
                <w:noProof/>
                <w:webHidden/>
              </w:rPr>
              <w:t>2</w:t>
            </w:r>
            <w:r w:rsidR="00216DE8">
              <w:rPr>
                <w:noProof/>
                <w:webHidden/>
              </w:rPr>
              <w:fldChar w:fldCharType="end"/>
            </w:r>
          </w:hyperlink>
        </w:p>
        <w:p w:rsidR="00216DE8" w:rsidRDefault="00DB2204" w14:paraId="6F316A70" w14:textId="17736308">
          <w:pPr>
            <w:pStyle w:val="TOC1"/>
            <w:tabs>
              <w:tab w:val="right" w:leader="dot" w:pos="9350"/>
            </w:tabs>
            <w:rPr>
              <w:rFonts w:asciiTheme="minorHAnsi" w:hAnsiTheme="minorHAnsi" w:cstheme="minorBidi"/>
              <w:noProof/>
              <w:sz w:val="22"/>
            </w:rPr>
          </w:pPr>
          <w:hyperlink w:history="1" w:anchor="_Toc94610205">
            <w:r w:rsidRPr="0098345B" w:rsidR="00216DE8">
              <w:rPr>
                <w:rStyle w:val="Hyperlink"/>
                <w:noProof/>
              </w:rPr>
              <w:t>1.</w:t>
            </w:r>
            <w:r w:rsidR="00216DE8">
              <w:rPr>
                <w:rFonts w:asciiTheme="minorHAnsi" w:hAnsiTheme="minorHAnsi" w:cstheme="minorBidi"/>
                <w:noProof/>
                <w:sz w:val="22"/>
              </w:rPr>
              <w:tab/>
            </w:r>
            <w:r w:rsidRPr="0098345B" w:rsidR="00216DE8">
              <w:rPr>
                <w:rStyle w:val="Hyperlink"/>
                <w:noProof/>
              </w:rPr>
              <w:t>Background</w:t>
            </w:r>
            <w:r w:rsidR="00216DE8">
              <w:rPr>
                <w:noProof/>
                <w:webHidden/>
              </w:rPr>
              <w:tab/>
            </w:r>
            <w:r w:rsidR="00216DE8">
              <w:rPr>
                <w:noProof/>
                <w:webHidden/>
              </w:rPr>
              <w:fldChar w:fldCharType="begin"/>
            </w:r>
            <w:r w:rsidR="00216DE8">
              <w:rPr>
                <w:noProof/>
                <w:webHidden/>
              </w:rPr>
              <w:instrText xml:space="preserve"> PAGEREF _Toc94610205 \h </w:instrText>
            </w:r>
            <w:r w:rsidR="00216DE8">
              <w:rPr>
                <w:noProof/>
                <w:webHidden/>
              </w:rPr>
            </w:r>
            <w:r w:rsidR="00216DE8">
              <w:rPr>
                <w:noProof/>
                <w:webHidden/>
              </w:rPr>
              <w:fldChar w:fldCharType="separate"/>
            </w:r>
            <w:r w:rsidR="00282F02">
              <w:rPr>
                <w:noProof/>
                <w:webHidden/>
              </w:rPr>
              <w:t>2</w:t>
            </w:r>
            <w:r w:rsidR="00216DE8">
              <w:rPr>
                <w:noProof/>
                <w:webHidden/>
              </w:rPr>
              <w:fldChar w:fldCharType="end"/>
            </w:r>
          </w:hyperlink>
        </w:p>
        <w:p w:rsidR="00216DE8" w:rsidRDefault="00DB2204" w14:paraId="55CD3A68" w14:textId="7893CC65">
          <w:pPr>
            <w:pStyle w:val="TOC1"/>
            <w:tabs>
              <w:tab w:val="right" w:leader="dot" w:pos="9350"/>
            </w:tabs>
            <w:rPr>
              <w:rFonts w:asciiTheme="minorHAnsi" w:hAnsiTheme="minorHAnsi" w:cstheme="minorBidi"/>
              <w:noProof/>
              <w:sz w:val="22"/>
            </w:rPr>
          </w:pPr>
          <w:hyperlink w:history="1" w:anchor="_Toc94610206">
            <w:r w:rsidRPr="0098345B" w:rsidR="00216DE8">
              <w:rPr>
                <w:rStyle w:val="Hyperlink"/>
                <w:noProof/>
              </w:rPr>
              <w:t>2.</w:t>
            </w:r>
            <w:r w:rsidR="00216DE8">
              <w:rPr>
                <w:rFonts w:asciiTheme="minorHAnsi" w:hAnsiTheme="minorHAnsi" w:cstheme="minorBidi"/>
                <w:noProof/>
                <w:sz w:val="22"/>
              </w:rPr>
              <w:tab/>
            </w:r>
            <w:r w:rsidRPr="0098345B" w:rsidR="00216DE8">
              <w:rPr>
                <w:rStyle w:val="Hyperlink"/>
                <w:noProof/>
              </w:rPr>
              <w:t>RPS Compliance Requirements</w:t>
            </w:r>
            <w:r w:rsidR="00216DE8">
              <w:rPr>
                <w:noProof/>
                <w:webHidden/>
              </w:rPr>
              <w:tab/>
            </w:r>
            <w:r w:rsidR="00216DE8">
              <w:rPr>
                <w:noProof/>
                <w:webHidden/>
              </w:rPr>
              <w:fldChar w:fldCharType="begin"/>
            </w:r>
            <w:r w:rsidR="00216DE8">
              <w:rPr>
                <w:noProof/>
                <w:webHidden/>
              </w:rPr>
              <w:instrText xml:space="preserve"> PAGEREF _Toc94610206 \h </w:instrText>
            </w:r>
            <w:r w:rsidR="00216DE8">
              <w:rPr>
                <w:noProof/>
                <w:webHidden/>
              </w:rPr>
            </w:r>
            <w:r w:rsidR="00216DE8">
              <w:rPr>
                <w:noProof/>
                <w:webHidden/>
              </w:rPr>
              <w:fldChar w:fldCharType="separate"/>
            </w:r>
            <w:r w:rsidR="00282F02">
              <w:rPr>
                <w:noProof/>
                <w:webHidden/>
              </w:rPr>
              <w:t>4</w:t>
            </w:r>
            <w:r w:rsidR="00216DE8">
              <w:rPr>
                <w:noProof/>
                <w:webHidden/>
              </w:rPr>
              <w:fldChar w:fldCharType="end"/>
            </w:r>
          </w:hyperlink>
        </w:p>
        <w:p w:rsidR="00216DE8" w:rsidRDefault="00DB2204" w14:paraId="3D467B07" w14:textId="201A7D5B">
          <w:pPr>
            <w:pStyle w:val="TOC1"/>
            <w:tabs>
              <w:tab w:val="right" w:leader="dot" w:pos="9350"/>
            </w:tabs>
            <w:rPr>
              <w:rFonts w:asciiTheme="minorHAnsi" w:hAnsiTheme="minorHAnsi" w:cstheme="minorBidi"/>
              <w:noProof/>
              <w:sz w:val="22"/>
            </w:rPr>
          </w:pPr>
          <w:hyperlink w:history="1" w:anchor="_Toc94610207">
            <w:r w:rsidRPr="0098345B" w:rsidR="00216DE8">
              <w:rPr>
                <w:rStyle w:val="Hyperlink"/>
                <w:noProof/>
              </w:rPr>
              <w:t>3.</w:t>
            </w:r>
            <w:r w:rsidR="00216DE8">
              <w:rPr>
                <w:rFonts w:asciiTheme="minorHAnsi" w:hAnsiTheme="minorHAnsi" w:cstheme="minorBidi"/>
                <w:noProof/>
                <w:sz w:val="22"/>
              </w:rPr>
              <w:tab/>
            </w:r>
            <w:r w:rsidRPr="0098345B" w:rsidR="00216DE8">
              <w:rPr>
                <w:rStyle w:val="Hyperlink"/>
                <w:noProof/>
              </w:rPr>
              <w:t>Issues before the Commission</w:t>
            </w:r>
            <w:r w:rsidR="00216DE8">
              <w:rPr>
                <w:noProof/>
                <w:webHidden/>
              </w:rPr>
              <w:tab/>
            </w:r>
            <w:r w:rsidR="00216DE8">
              <w:rPr>
                <w:noProof/>
                <w:webHidden/>
              </w:rPr>
              <w:fldChar w:fldCharType="begin"/>
            </w:r>
            <w:r w:rsidR="00216DE8">
              <w:rPr>
                <w:noProof/>
                <w:webHidden/>
              </w:rPr>
              <w:instrText xml:space="preserve"> PAGEREF _Toc94610207 \h </w:instrText>
            </w:r>
            <w:r w:rsidR="00216DE8">
              <w:rPr>
                <w:noProof/>
                <w:webHidden/>
              </w:rPr>
            </w:r>
            <w:r w:rsidR="00216DE8">
              <w:rPr>
                <w:noProof/>
                <w:webHidden/>
              </w:rPr>
              <w:fldChar w:fldCharType="separate"/>
            </w:r>
            <w:r w:rsidR="00282F02">
              <w:rPr>
                <w:noProof/>
                <w:webHidden/>
              </w:rPr>
              <w:t>6</w:t>
            </w:r>
            <w:r w:rsidR="00216DE8">
              <w:rPr>
                <w:noProof/>
                <w:webHidden/>
              </w:rPr>
              <w:fldChar w:fldCharType="end"/>
            </w:r>
          </w:hyperlink>
        </w:p>
        <w:p w:rsidR="00216DE8" w:rsidRDefault="00DB2204" w14:paraId="53EA8DD0" w14:textId="6501401E">
          <w:pPr>
            <w:pStyle w:val="TOC1"/>
            <w:tabs>
              <w:tab w:val="right" w:leader="dot" w:pos="9350"/>
            </w:tabs>
            <w:rPr>
              <w:rFonts w:asciiTheme="minorHAnsi" w:hAnsiTheme="minorHAnsi" w:cstheme="minorBidi"/>
              <w:noProof/>
              <w:sz w:val="22"/>
            </w:rPr>
          </w:pPr>
          <w:hyperlink w:history="1" w:anchor="_Toc94610208">
            <w:r w:rsidRPr="0098345B" w:rsidR="00216DE8">
              <w:rPr>
                <w:rStyle w:val="Hyperlink"/>
                <w:noProof/>
              </w:rPr>
              <w:t>4.</w:t>
            </w:r>
            <w:r w:rsidR="00216DE8">
              <w:rPr>
                <w:rFonts w:asciiTheme="minorHAnsi" w:hAnsiTheme="minorHAnsi" w:cstheme="minorBidi"/>
                <w:noProof/>
                <w:sz w:val="22"/>
              </w:rPr>
              <w:tab/>
            </w:r>
            <w:r w:rsidRPr="0098345B" w:rsidR="00216DE8">
              <w:rPr>
                <w:rStyle w:val="Hyperlink"/>
                <w:noProof/>
              </w:rPr>
              <w:t>Summary of Parties’ Position.</w:t>
            </w:r>
            <w:r w:rsidR="00216DE8">
              <w:rPr>
                <w:noProof/>
                <w:webHidden/>
              </w:rPr>
              <w:tab/>
            </w:r>
            <w:r w:rsidR="00216DE8">
              <w:rPr>
                <w:noProof/>
                <w:webHidden/>
              </w:rPr>
              <w:fldChar w:fldCharType="begin"/>
            </w:r>
            <w:r w:rsidR="00216DE8">
              <w:rPr>
                <w:noProof/>
                <w:webHidden/>
              </w:rPr>
              <w:instrText xml:space="preserve"> PAGEREF _Toc94610208 \h </w:instrText>
            </w:r>
            <w:r w:rsidR="00216DE8">
              <w:rPr>
                <w:noProof/>
                <w:webHidden/>
              </w:rPr>
            </w:r>
            <w:r w:rsidR="00216DE8">
              <w:rPr>
                <w:noProof/>
                <w:webHidden/>
              </w:rPr>
              <w:fldChar w:fldCharType="separate"/>
            </w:r>
            <w:r w:rsidR="00282F02">
              <w:rPr>
                <w:noProof/>
                <w:webHidden/>
              </w:rPr>
              <w:t>6</w:t>
            </w:r>
            <w:r w:rsidR="00216DE8">
              <w:rPr>
                <w:noProof/>
                <w:webHidden/>
              </w:rPr>
              <w:fldChar w:fldCharType="end"/>
            </w:r>
          </w:hyperlink>
        </w:p>
        <w:p w:rsidR="00216DE8" w:rsidRDefault="00DB2204" w14:paraId="684F4F55" w14:textId="006A9DB0">
          <w:pPr>
            <w:pStyle w:val="TOC2"/>
            <w:tabs>
              <w:tab w:val="right" w:leader="dot" w:pos="9350"/>
            </w:tabs>
            <w:rPr>
              <w:rFonts w:asciiTheme="minorHAnsi" w:hAnsiTheme="minorHAnsi" w:cstheme="minorBidi"/>
              <w:noProof/>
              <w:sz w:val="22"/>
            </w:rPr>
          </w:pPr>
          <w:hyperlink w:history="1" w:anchor="_Toc94610209">
            <w:r w:rsidRPr="0098345B" w:rsidR="00216DE8">
              <w:rPr>
                <w:rStyle w:val="Hyperlink"/>
                <w:noProof/>
              </w:rPr>
              <w:t>4.1.</w:t>
            </w:r>
            <w:r w:rsidR="00216DE8">
              <w:rPr>
                <w:rFonts w:asciiTheme="minorHAnsi" w:hAnsiTheme="minorHAnsi" w:cstheme="minorBidi"/>
                <w:noProof/>
                <w:sz w:val="22"/>
              </w:rPr>
              <w:tab/>
            </w:r>
            <w:r w:rsidRPr="0098345B" w:rsidR="00216DE8">
              <w:rPr>
                <w:rStyle w:val="Hyperlink"/>
                <w:noProof/>
              </w:rPr>
              <w:t>GEXA</w:t>
            </w:r>
            <w:r w:rsidR="00216DE8">
              <w:rPr>
                <w:noProof/>
                <w:webHidden/>
              </w:rPr>
              <w:tab/>
            </w:r>
            <w:r w:rsidR="00216DE8">
              <w:rPr>
                <w:noProof/>
                <w:webHidden/>
              </w:rPr>
              <w:fldChar w:fldCharType="begin"/>
            </w:r>
            <w:r w:rsidR="00216DE8">
              <w:rPr>
                <w:noProof/>
                <w:webHidden/>
              </w:rPr>
              <w:instrText xml:space="preserve"> PAGEREF _Toc94610209 \h </w:instrText>
            </w:r>
            <w:r w:rsidR="00216DE8">
              <w:rPr>
                <w:noProof/>
                <w:webHidden/>
              </w:rPr>
            </w:r>
            <w:r w:rsidR="00216DE8">
              <w:rPr>
                <w:noProof/>
                <w:webHidden/>
              </w:rPr>
              <w:fldChar w:fldCharType="separate"/>
            </w:r>
            <w:r w:rsidR="00282F02">
              <w:rPr>
                <w:noProof/>
                <w:webHidden/>
              </w:rPr>
              <w:t>6</w:t>
            </w:r>
            <w:r w:rsidR="00216DE8">
              <w:rPr>
                <w:noProof/>
                <w:webHidden/>
              </w:rPr>
              <w:fldChar w:fldCharType="end"/>
            </w:r>
          </w:hyperlink>
        </w:p>
        <w:p w:rsidR="00216DE8" w:rsidRDefault="00DB2204" w14:paraId="45A369DD" w14:textId="6F0CFF37">
          <w:pPr>
            <w:pStyle w:val="TOC2"/>
            <w:tabs>
              <w:tab w:val="right" w:leader="dot" w:pos="9350"/>
            </w:tabs>
            <w:rPr>
              <w:rFonts w:asciiTheme="minorHAnsi" w:hAnsiTheme="minorHAnsi" w:cstheme="minorBidi"/>
              <w:noProof/>
              <w:sz w:val="22"/>
            </w:rPr>
          </w:pPr>
          <w:hyperlink w:history="1" w:anchor="_Toc94610210">
            <w:r w:rsidRPr="0098345B" w:rsidR="00216DE8">
              <w:rPr>
                <w:rStyle w:val="Hyperlink"/>
                <w:noProof/>
              </w:rPr>
              <w:t>4.2.</w:t>
            </w:r>
            <w:r w:rsidR="00216DE8">
              <w:rPr>
                <w:rFonts w:asciiTheme="minorHAnsi" w:hAnsiTheme="minorHAnsi" w:cstheme="minorBidi"/>
                <w:noProof/>
                <w:sz w:val="22"/>
              </w:rPr>
              <w:tab/>
            </w:r>
            <w:r w:rsidRPr="0098345B" w:rsidR="00216DE8">
              <w:rPr>
                <w:rStyle w:val="Hyperlink"/>
                <w:noProof/>
              </w:rPr>
              <w:t>CalWEA, CUE, and TURN</w:t>
            </w:r>
            <w:r w:rsidR="00216DE8">
              <w:rPr>
                <w:noProof/>
                <w:webHidden/>
              </w:rPr>
              <w:tab/>
            </w:r>
            <w:r w:rsidR="00216DE8">
              <w:rPr>
                <w:noProof/>
                <w:webHidden/>
              </w:rPr>
              <w:fldChar w:fldCharType="begin"/>
            </w:r>
            <w:r w:rsidR="00216DE8">
              <w:rPr>
                <w:noProof/>
                <w:webHidden/>
              </w:rPr>
              <w:instrText xml:space="preserve"> PAGEREF _Toc94610210 \h </w:instrText>
            </w:r>
            <w:r w:rsidR="00216DE8">
              <w:rPr>
                <w:noProof/>
                <w:webHidden/>
              </w:rPr>
            </w:r>
            <w:r w:rsidR="00216DE8">
              <w:rPr>
                <w:noProof/>
                <w:webHidden/>
              </w:rPr>
              <w:fldChar w:fldCharType="separate"/>
            </w:r>
            <w:r w:rsidR="00282F02">
              <w:rPr>
                <w:noProof/>
                <w:webHidden/>
              </w:rPr>
              <w:t>8</w:t>
            </w:r>
            <w:r w:rsidR="00216DE8">
              <w:rPr>
                <w:noProof/>
                <w:webHidden/>
              </w:rPr>
              <w:fldChar w:fldCharType="end"/>
            </w:r>
          </w:hyperlink>
        </w:p>
        <w:p w:rsidR="00216DE8" w:rsidRDefault="00DB2204" w14:paraId="29211209" w14:textId="23DCA545">
          <w:pPr>
            <w:pStyle w:val="TOC1"/>
            <w:tabs>
              <w:tab w:val="right" w:leader="dot" w:pos="9350"/>
            </w:tabs>
            <w:rPr>
              <w:rFonts w:asciiTheme="minorHAnsi" w:hAnsiTheme="minorHAnsi" w:cstheme="minorBidi"/>
              <w:noProof/>
              <w:sz w:val="22"/>
            </w:rPr>
          </w:pPr>
          <w:hyperlink w:history="1" w:anchor="_Toc94610211">
            <w:r w:rsidRPr="0098345B" w:rsidR="00216DE8">
              <w:rPr>
                <w:rStyle w:val="Hyperlink"/>
                <w:noProof/>
              </w:rPr>
              <w:t>5.</w:t>
            </w:r>
            <w:r w:rsidR="00216DE8">
              <w:rPr>
                <w:rFonts w:asciiTheme="minorHAnsi" w:hAnsiTheme="minorHAnsi" w:cstheme="minorBidi"/>
                <w:noProof/>
                <w:sz w:val="22"/>
              </w:rPr>
              <w:tab/>
            </w:r>
            <w:r w:rsidRPr="0098345B" w:rsidR="00216DE8">
              <w:rPr>
                <w:rStyle w:val="Hyperlink"/>
                <w:noProof/>
              </w:rPr>
              <w:t>Discussion</w:t>
            </w:r>
            <w:r w:rsidR="00216DE8">
              <w:rPr>
                <w:noProof/>
                <w:webHidden/>
              </w:rPr>
              <w:tab/>
            </w:r>
            <w:r w:rsidR="00216DE8">
              <w:rPr>
                <w:noProof/>
                <w:webHidden/>
              </w:rPr>
              <w:fldChar w:fldCharType="begin"/>
            </w:r>
            <w:r w:rsidR="00216DE8">
              <w:rPr>
                <w:noProof/>
                <w:webHidden/>
              </w:rPr>
              <w:instrText xml:space="preserve"> PAGEREF _Toc94610211 \h </w:instrText>
            </w:r>
            <w:r w:rsidR="00216DE8">
              <w:rPr>
                <w:noProof/>
                <w:webHidden/>
              </w:rPr>
            </w:r>
            <w:r w:rsidR="00216DE8">
              <w:rPr>
                <w:noProof/>
                <w:webHidden/>
              </w:rPr>
              <w:fldChar w:fldCharType="separate"/>
            </w:r>
            <w:r w:rsidR="00282F02">
              <w:rPr>
                <w:noProof/>
                <w:webHidden/>
              </w:rPr>
              <w:t>10</w:t>
            </w:r>
            <w:r w:rsidR="00216DE8">
              <w:rPr>
                <w:noProof/>
                <w:webHidden/>
              </w:rPr>
              <w:fldChar w:fldCharType="end"/>
            </w:r>
          </w:hyperlink>
        </w:p>
        <w:p w:rsidR="00216DE8" w:rsidRDefault="00DB2204" w14:paraId="74BDB96F" w14:textId="099D178E">
          <w:pPr>
            <w:pStyle w:val="TOC2"/>
            <w:tabs>
              <w:tab w:val="right" w:leader="dot" w:pos="9350"/>
            </w:tabs>
            <w:rPr>
              <w:rFonts w:asciiTheme="minorHAnsi" w:hAnsiTheme="minorHAnsi" w:cstheme="minorBidi"/>
              <w:noProof/>
              <w:sz w:val="22"/>
            </w:rPr>
          </w:pPr>
          <w:hyperlink w:history="1" w:anchor="_Toc94610212">
            <w:r w:rsidRPr="0098345B" w:rsidR="00216DE8">
              <w:rPr>
                <w:rStyle w:val="Hyperlink"/>
                <w:noProof/>
              </w:rPr>
              <w:t>5.1.</w:t>
            </w:r>
            <w:r w:rsidR="00216DE8">
              <w:rPr>
                <w:rFonts w:asciiTheme="minorHAnsi" w:hAnsiTheme="minorHAnsi" w:cstheme="minorBidi"/>
                <w:noProof/>
                <w:sz w:val="22"/>
              </w:rPr>
              <w:tab/>
            </w:r>
            <w:r w:rsidRPr="0098345B" w:rsidR="00216DE8">
              <w:rPr>
                <w:rStyle w:val="Hyperlink"/>
                <w:noProof/>
              </w:rPr>
              <w:t>Standard Terms and Conditions (STC)</w:t>
            </w:r>
            <w:r w:rsidR="00216DE8">
              <w:rPr>
                <w:noProof/>
                <w:webHidden/>
              </w:rPr>
              <w:tab/>
            </w:r>
            <w:r w:rsidR="00216DE8">
              <w:rPr>
                <w:noProof/>
                <w:webHidden/>
              </w:rPr>
              <w:fldChar w:fldCharType="begin"/>
            </w:r>
            <w:r w:rsidR="00216DE8">
              <w:rPr>
                <w:noProof/>
                <w:webHidden/>
              </w:rPr>
              <w:instrText xml:space="preserve"> PAGEREF _Toc94610212 \h </w:instrText>
            </w:r>
            <w:r w:rsidR="00216DE8">
              <w:rPr>
                <w:noProof/>
                <w:webHidden/>
              </w:rPr>
            </w:r>
            <w:r w:rsidR="00216DE8">
              <w:rPr>
                <w:noProof/>
                <w:webHidden/>
              </w:rPr>
              <w:fldChar w:fldCharType="separate"/>
            </w:r>
            <w:r w:rsidR="00282F02">
              <w:rPr>
                <w:noProof/>
                <w:webHidden/>
              </w:rPr>
              <w:t>11</w:t>
            </w:r>
            <w:r w:rsidR="00216DE8">
              <w:rPr>
                <w:noProof/>
                <w:webHidden/>
              </w:rPr>
              <w:fldChar w:fldCharType="end"/>
            </w:r>
          </w:hyperlink>
        </w:p>
        <w:p w:rsidR="00216DE8" w:rsidRDefault="00DB2204" w14:paraId="2D7FD32F" w14:textId="33377BC0">
          <w:pPr>
            <w:pStyle w:val="TOC2"/>
            <w:tabs>
              <w:tab w:val="right" w:leader="dot" w:pos="9350"/>
            </w:tabs>
            <w:rPr>
              <w:rFonts w:asciiTheme="minorHAnsi" w:hAnsiTheme="minorHAnsi" w:cstheme="minorBidi"/>
              <w:noProof/>
              <w:sz w:val="22"/>
            </w:rPr>
          </w:pPr>
          <w:hyperlink w:history="1" w:anchor="_Toc94610213">
            <w:r w:rsidRPr="0098345B" w:rsidR="00216DE8">
              <w:rPr>
                <w:rStyle w:val="Hyperlink"/>
                <w:noProof/>
              </w:rPr>
              <w:t>5.2.</w:t>
            </w:r>
            <w:r w:rsidR="00216DE8">
              <w:rPr>
                <w:rFonts w:asciiTheme="minorHAnsi" w:hAnsiTheme="minorHAnsi" w:cstheme="minorBidi"/>
                <w:noProof/>
                <w:sz w:val="22"/>
              </w:rPr>
              <w:tab/>
            </w:r>
            <w:r w:rsidRPr="0098345B" w:rsidR="00216DE8">
              <w:rPr>
                <w:rStyle w:val="Hyperlink"/>
                <w:noProof/>
              </w:rPr>
              <w:t>Long-Term Contracting Requirement and Contract Amendments</w:t>
            </w:r>
            <w:r w:rsidR="00216DE8">
              <w:rPr>
                <w:noProof/>
                <w:webHidden/>
              </w:rPr>
              <w:tab/>
            </w:r>
            <w:r w:rsidR="00216DE8">
              <w:rPr>
                <w:noProof/>
                <w:webHidden/>
              </w:rPr>
              <w:fldChar w:fldCharType="begin"/>
            </w:r>
            <w:r w:rsidR="00216DE8">
              <w:rPr>
                <w:noProof/>
                <w:webHidden/>
              </w:rPr>
              <w:instrText xml:space="preserve"> PAGEREF _Toc94610213 \h </w:instrText>
            </w:r>
            <w:r w:rsidR="00216DE8">
              <w:rPr>
                <w:noProof/>
                <w:webHidden/>
              </w:rPr>
            </w:r>
            <w:r w:rsidR="00216DE8">
              <w:rPr>
                <w:noProof/>
                <w:webHidden/>
              </w:rPr>
              <w:fldChar w:fldCharType="separate"/>
            </w:r>
            <w:r w:rsidR="00282F02">
              <w:rPr>
                <w:noProof/>
                <w:webHidden/>
              </w:rPr>
              <w:t>14</w:t>
            </w:r>
            <w:r w:rsidR="00216DE8">
              <w:rPr>
                <w:noProof/>
                <w:webHidden/>
              </w:rPr>
              <w:fldChar w:fldCharType="end"/>
            </w:r>
          </w:hyperlink>
        </w:p>
        <w:p w:rsidR="00216DE8" w:rsidRDefault="00DB2204" w14:paraId="1BD56F4B" w14:textId="15FEC244">
          <w:pPr>
            <w:pStyle w:val="TOC2"/>
            <w:tabs>
              <w:tab w:val="right" w:leader="dot" w:pos="9350"/>
            </w:tabs>
            <w:rPr>
              <w:rFonts w:asciiTheme="minorHAnsi" w:hAnsiTheme="minorHAnsi" w:cstheme="minorBidi"/>
              <w:noProof/>
              <w:sz w:val="22"/>
            </w:rPr>
          </w:pPr>
          <w:hyperlink w:history="1" w:anchor="_Toc94610214">
            <w:r w:rsidRPr="0098345B" w:rsidR="00216DE8">
              <w:rPr>
                <w:rStyle w:val="Hyperlink"/>
                <w:noProof/>
              </w:rPr>
              <w:t>5.3.</w:t>
            </w:r>
            <w:r w:rsidR="00216DE8">
              <w:rPr>
                <w:rFonts w:asciiTheme="minorHAnsi" w:hAnsiTheme="minorHAnsi" w:cstheme="minorBidi"/>
                <w:noProof/>
                <w:sz w:val="22"/>
              </w:rPr>
              <w:tab/>
            </w:r>
            <w:r w:rsidRPr="0098345B" w:rsidR="00216DE8">
              <w:rPr>
                <w:rStyle w:val="Hyperlink"/>
                <w:noProof/>
              </w:rPr>
              <w:t>Waiver Request and Penalty</w:t>
            </w:r>
            <w:r w:rsidR="00216DE8">
              <w:rPr>
                <w:noProof/>
                <w:webHidden/>
              </w:rPr>
              <w:tab/>
            </w:r>
            <w:r w:rsidR="00216DE8">
              <w:rPr>
                <w:noProof/>
                <w:webHidden/>
              </w:rPr>
              <w:fldChar w:fldCharType="begin"/>
            </w:r>
            <w:r w:rsidR="00216DE8">
              <w:rPr>
                <w:noProof/>
                <w:webHidden/>
              </w:rPr>
              <w:instrText xml:space="preserve"> PAGEREF _Toc94610214 \h </w:instrText>
            </w:r>
            <w:r w:rsidR="00216DE8">
              <w:rPr>
                <w:noProof/>
                <w:webHidden/>
              </w:rPr>
            </w:r>
            <w:r w:rsidR="00216DE8">
              <w:rPr>
                <w:noProof/>
                <w:webHidden/>
              </w:rPr>
              <w:fldChar w:fldCharType="separate"/>
            </w:r>
            <w:r w:rsidR="00282F02">
              <w:rPr>
                <w:noProof/>
                <w:webHidden/>
              </w:rPr>
              <w:t>18</w:t>
            </w:r>
            <w:r w:rsidR="00216DE8">
              <w:rPr>
                <w:noProof/>
                <w:webHidden/>
              </w:rPr>
              <w:fldChar w:fldCharType="end"/>
            </w:r>
          </w:hyperlink>
        </w:p>
        <w:p w:rsidR="00216DE8" w:rsidRDefault="00DB2204" w14:paraId="661B5315" w14:textId="72994411">
          <w:pPr>
            <w:pStyle w:val="TOC1"/>
            <w:tabs>
              <w:tab w:val="right" w:leader="dot" w:pos="9350"/>
            </w:tabs>
            <w:rPr>
              <w:rFonts w:asciiTheme="minorHAnsi" w:hAnsiTheme="minorHAnsi" w:cstheme="minorBidi"/>
              <w:noProof/>
              <w:sz w:val="22"/>
            </w:rPr>
          </w:pPr>
          <w:hyperlink w:history="1" w:anchor="_Toc94610215">
            <w:r w:rsidRPr="0098345B" w:rsidR="00216DE8">
              <w:rPr>
                <w:rStyle w:val="Hyperlink"/>
                <w:noProof/>
              </w:rPr>
              <w:t>5.</w:t>
            </w:r>
            <w:r w:rsidR="00216DE8">
              <w:rPr>
                <w:rFonts w:asciiTheme="minorHAnsi" w:hAnsiTheme="minorHAnsi" w:cstheme="minorBidi"/>
                <w:noProof/>
                <w:sz w:val="22"/>
              </w:rPr>
              <w:tab/>
            </w:r>
            <w:r w:rsidRPr="0098345B" w:rsidR="00216DE8">
              <w:rPr>
                <w:rStyle w:val="Hyperlink"/>
                <w:noProof/>
              </w:rPr>
              <w:t>Payment of Penalty</w:t>
            </w:r>
            <w:r w:rsidR="00216DE8">
              <w:rPr>
                <w:noProof/>
                <w:webHidden/>
              </w:rPr>
              <w:tab/>
            </w:r>
            <w:r w:rsidR="00216DE8">
              <w:rPr>
                <w:noProof/>
                <w:webHidden/>
              </w:rPr>
              <w:fldChar w:fldCharType="begin"/>
            </w:r>
            <w:r w:rsidR="00216DE8">
              <w:rPr>
                <w:noProof/>
                <w:webHidden/>
              </w:rPr>
              <w:instrText xml:space="preserve"> PAGEREF _Toc94610215 \h </w:instrText>
            </w:r>
            <w:r w:rsidR="00216DE8">
              <w:rPr>
                <w:noProof/>
                <w:webHidden/>
              </w:rPr>
            </w:r>
            <w:r w:rsidR="00216DE8">
              <w:rPr>
                <w:noProof/>
                <w:webHidden/>
              </w:rPr>
              <w:fldChar w:fldCharType="separate"/>
            </w:r>
            <w:r w:rsidR="00282F02">
              <w:rPr>
                <w:noProof/>
                <w:webHidden/>
              </w:rPr>
              <w:t>21</w:t>
            </w:r>
            <w:r w:rsidR="00216DE8">
              <w:rPr>
                <w:noProof/>
                <w:webHidden/>
              </w:rPr>
              <w:fldChar w:fldCharType="end"/>
            </w:r>
          </w:hyperlink>
        </w:p>
        <w:p w:rsidR="00216DE8" w:rsidRDefault="00DB2204" w14:paraId="414F275E" w14:textId="1AE2E8B2">
          <w:pPr>
            <w:pStyle w:val="TOC1"/>
            <w:tabs>
              <w:tab w:val="right" w:leader="dot" w:pos="9350"/>
            </w:tabs>
            <w:rPr>
              <w:rFonts w:asciiTheme="minorHAnsi" w:hAnsiTheme="minorHAnsi" w:cstheme="minorBidi"/>
              <w:noProof/>
              <w:sz w:val="22"/>
            </w:rPr>
          </w:pPr>
          <w:hyperlink w:history="1" w:anchor="_Toc94610216">
            <w:r w:rsidRPr="0098345B" w:rsidR="00216DE8">
              <w:rPr>
                <w:rStyle w:val="Hyperlink"/>
                <w:noProof/>
              </w:rPr>
              <w:t>6.</w:t>
            </w:r>
            <w:r w:rsidR="00216DE8">
              <w:rPr>
                <w:rFonts w:asciiTheme="minorHAnsi" w:hAnsiTheme="minorHAnsi" w:cstheme="minorBidi"/>
                <w:noProof/>
                <w:sz w:val="22"/>
              </w:rPr>
              <w:tab/>
            </w:r>
            <w:r w:rsidRPr="0098345B" w:rsidR="00216DE8">
              <w:rPr>
                <w:rStyle w:val="Hyperlink"/>
                <w:noProof/>
              </w:rPr>
              <w:t>Categorization and Need for Hearing</w:t>
            </w:r>
            <w:r w:rsidR="00216DE8">
              <w:rPr>
                <w:noProof/>
                <w:webHidden/>
              </w:rPr>
              <w:tab/>
            </w:r>
            <w:r w:rsidR="00216DE8">
              <w:rPr>
                <w:noProof/>
                <w:webHidden/>
              </w:rPr>
              <w:fldChar w:fldCharType="begin"/>
            </w:r>
            <w:r w:rsidR="00216DE8">
              <w:rPr>
                <w:noProof/>
                <w:webHidden/>
              </w:rPr>
              <w:instrText xml:space="preserve"> PAGEREF _Toc94610216 \h </w:instrText>
            </w:r>
            <w:r w:rsidR="00216DE8">
              <w:rPr>
                <w:noProof/>
                <w:webHidden/>
              </w:rPr>
            </w:r>
            <w:r w:rsidR="00216DE8">
              <w:rPr>
                <w:noProof/>
                <w:webHidden/>
              </w:rPr>
              <w:fldChar w:fldCharType="separate"/>
            </w:r>
            <w:r w:rsidR="00282F02">
              <w:rPr>
                <w:noProof/>
                <w:webHidden/>
              </w:rPr>
              <w:t>22</w:t>
            </w:r>
            <w:r w:rsidR="00216DE8">
              <w:rPr>
                <w:noProof/>
                <w:webHidden/>
              </w:rPr>
              <w:fldChar w:fldCharType="end"/>
            </w:r>
          </w:hyperlink>
        </w:p>
        <w:p w:rsidR="00216DE8" w:rsidRDefault="00DB2204" w14:paraId="14A619B7" w14:textId="0D4659C4">
          <w:pPr>
            <w:pStyle w:val="TOC1"/>
            <w:tabs>
              <w:tab w:val="right" w:leader="dot" w:pos="9350"/>
            </w:tabs>
            <w:rPr>
              <w:rFonts w:asciiTheme="minorHAnsi" w:hAnsiTheme="minorHAnsi" w:cstheme="minorBidi"/>
              <w:noProof/>
              <w:sz w:val="22"/>
            </w:rPr>
          </w:pPr>
          <w:hyperlink w:history="1" w:anchor="_Toc94610217">
            <w:r w:rsidRPr="0098345B" w:rsidR="00216DE8">
              <w:rPr>
                <w:rStyle w:val="Hyperlink"/>
                <w:noProof/>
              </w:rPr>
              <w:t>7.</w:t>
            </w:r>
            <w:r w:rsidR="00216DE8">
              <w:rPr>
                <w:rFonts w:asciiTheme="minorHAnsi" w:hAnsiTheme="minorHAnsi" w:cstheme="minorBidi"/>
                <w:noProof/>
                <w:sz w:val="22"/>
              </w:rPr>
              <w:tab/>
            </w:r>
            <w:r w:rsidRPr="0098345B" w:rsidR="00216DE8">
              <w:rPr>
                <w:rStyle w:val="Hyperlink"/>
                <w:noProof/>
              </w:rPr>
              <w:t>Comments on Proposed Decision</w:t>
            </w:r>
            <w:r w:rsidR="00216DE8">
              <w:rPr>
                <w:noProof/>
                <w:webHidden/>
              </w:rPr>
              <w:tab/>
            </w:r>
            <w:r w:rsidR="00216DE8">
              <w:rPr>
                <w:noProof/>
                <w:webHidden/>
              </w:rPr>
              <w:fldChar w:fldCharType="begin"/>
            </w:r>
            <w:r w:rsidR="00216DE8">
              <w:rPr>
                <w:noProof/>
                <w:webHidden/>
              </w:rPr>
              <w:instrText xml:space="preserve"> PAGEREF _Toc94610217 \h </w:instrText>
            </w:r>
            <w:r w:rsidR="00216DE8">
              <w:rPr>
                <w:noProof/>
                <w:webHidden/>
              </w:rPr>
            </w:r>
            <w:r w:rsidR="00216DE8">
              <w:rPr>
                <w:noProof/>
                <w:webHidden/>
              </w:rPr>
              <w:fldChar w:fldCharType="separate"/>
            </w:r>
            <w:r w:rsidR="00282F02">
              <w:rPr>
                <w:noProof/>
                <w:webHidden/>
              </w:rPr>
              <w:t>22</w:t>
            </w:r>
            <w:r w:rsidR="00216DE8">
              <w:rPr>
                <w:noProof/>
                <w:webHidden/>
              </w:rPr>
              <w:fldChar w:fldCharType="end"/>
            </w:r>
          </w:hyperlink>
        </w:p>
        <w:p w:rsidR="00216DE8" w:rsidRDefault="00DB2204" w14:paraId="43354FC8" w14:textId="7C933E4B">
          <w:pPr>
            <w:pStyle w:val="TOC1"/>
            <w:tabs>
              <w:tab w:val="right" w:leader="dot" w:pos="9350"/>
            </w:tabs>
            <w:rPr>
              <w:rFonts w:asciiTheme="minorHAnsi" w:hAnsiTheme="minorHAnsi" w:cstheme="minorBidi"/>
              <w:noProof/>
              <w:sz w:val="22"/>
            </w:rPr>
          </w:pPr>
          <w:hyperlink w:history="1" w:anchor="_Toc94610218">
            <w:r w:rsidRPr="0098345B" w:rsidR="00216DE8">
              <w:rPr>
                <w:rStyle w:val="Hyperlink"/>
                <w:noProof/>
              </w:rPr>
              <w:t>8.</w:t>
            </w:r>
            <w:r w:rsidR="00216DE8">
              <w:rPr>
                <w:rFonts w:asciiTheme="minorHAnsi" w:hAnsiTheme="minorHAnsi" w:cstheme="minorBidi"/>
                <w:noProof/>
                <w:sz w:val="22"/>
              </w:rPr>
              <w:tab/>
            </w:r>
            <w:r w:rsidRPr="0098345B" w:rsidR="00216DE8">
              <w:rPr>
                <w:rStyle w:val="Hyperlink"/>
                <w:noProof/>
              </w:rPr>
              <w:t>Assignment of Proceeding</w:t>
            </w:r>
            <w:r w:rsidR="00216DE8">
              <w:rPr>
                <w:noProof/>
                <w:webHidden/>
              </w:rPr>
              <w:tab/>
            </w:r>
            <w:r w:rsidR="00216DE8">
              <w:rPr>
                <w:noProof/>
                <w:webHidden/>
              </w:rPr>
              <w:fldChar w:fldCharType="begin"/>
            </w:r>
            <w:r w:rsidR="00216DE8">
              <w:rPr>
                <w:noProof/>
                <w:webHidden/>
              </w:rPr>
              <w:instrText xml:space="preserve"> PAGEREF _Toc94610218 \h </w:instrText>
            </w:r>
            <w:r w:rsidR="00216DE8">
              <w:rPr>
                <w:noProof/>
                <w:webHidden/>
              </w:rPr>
            </w:r>
            <w:r w:rsidR="00216DE8">
              <w:rPr>
                <w:noProof/>
                <w:webHidden/>
              </w:rPr>
              <w:fldChar w:fldCharType="separate"/>
            </w:r>
            <w:r w:rsidR="00282F02">
              <w:rPr>
                <w:noProof/>
                <w:webHidden/>
              </w:rPr>
              <w:t>22</w:t>
            </w:r>
            <w:r w:rsidR="00216DE8">
              <w:rPr>
                <w:noProof/>
                <w:webHidden/>
              </w:rPr>
              <w:fldChar w:fldCharType="end"/>
            </w:r>
          </w:hyperlink>
        </w:p>
        <w:p w:rsidRPr="00282F02" w:rsidR="00282F02" w:rsidP="00282F02" w:rsidRDefault="00D64FFD" w14:paraId="1033E41A" w14:textId="7075A789">
          <w:pPr>
            <w:pStyle w:val="TOC1"/>
            <w:tabs>
              <w:tab w:val="right" w:leader="dot" w:pos="9350"/>
            </w:tabs>
            <w:rPr>
              <w:rFonts w:asciiTheme="minorHAnsi" w:hAnsiTheme="minorHAnsi" w:cstheme="minorBidi"/>
              <w:noProof/>
              <w:sz w:val="22"/>
            </w:rPr>
          </w:pPr>
          <w:r>
            <w:rPr>
              <w:b/>
              <w:bCs/>
              <w:noProof/>
            </w:rPr>
            <w:fldChar w:fldCharType="end"/>
          </w:r>
          <w:hyperlink w:history="1" w:anchor="_Toc54078933">
            <w:r w:rsidRPr="00282F02" w:rsidR="00282F02">
              <w:rPr>
                <w:rStyle w:val="Hyperlink"/>
                <w:noProof/>
                <w:color w:val="auto"/>
                <w:u w:val="none"/>
              </w:rPr>
              <w:t>Findings of Fact</w:t>
            </w:r>
            <w:r w:rsidRPr="00282F02" w:rsidR="00282F02">
              <w:rPr>
                <w:noProof/>
                <w:webHidden/>
              </w:rPr>
              <w:tab/>
            </w:r>
          </w:hyperlink>
          <w:r w:rsidRPr="00282F02" w:rsidR="00282F02">
            <w:rPr>
              <w:noProof/>
            </w:rPr>
            <w:t>22</w:t>
          </w:r>
        </w:p>
        <w:p w:rsidRPr="00282F02" w:rsidR="00282F02" w:rsidP="00282F02" w:rsidRDefault="00DB2204" w14:paraId="31C272FE" w14:textId="1A252535">
          <w:pPr>
            <w:pStyle w:val="TOC1"/>
            <w:tabs>
              <w:tab w:val="right" w:leader="dot" w:pos="9350"/>
            </w:tabs>
            <w:rPr>
              <w:rFonts w:asciiTheme="minorHAnsi" w:hAnsiTheme="minorHAnsi" w:cstheme="minorBidi"/>
              <w:noProof/>
              <w:sz w:val="22"/>
            </w:rPr>
          </w:pPr>
          <w:hyperlink w:history="1" w:anchor="_Toc54078934">
            <w:r w:rsidRPr="00282F02" w:rsidR="00282F02">
              <w:rPr>
                <w:rStyle w:val="Hyperlink"/>
                <w:noProof/>
                <w:color w:val="auto"/>
                <w:u w:val="none"/>
              </w:rPr>
              <w:t>Conclusions of Law</w:t>
            </w:r>
            <w:r w:rsidRPr="00282F02" w:rsidR="00282F02">
              <w:rPr>
                <w:noProof/>
                <w:webHidden/>
              </w:rPr>
              <w:tab/>
            </w:r>
          </w:hyperlink>
          <w:r w:rsidRPr="00282F02" w:rsidR="00282F02">
            <w:rPr>
              <w:noProof/>
            </w:rPr>
            <w:t>24</w:t>
          </w:r>
        </w:p>
        <w:p w:rsidR="00282F02" w:rsidP="00282F02" w:rsidRDefault="00DB2204" w14:paraId="0BC240EF" w14:textId="1E59DB53">
          <w:pPr>
            <w:pStyle w:val="TOC1"/>
            <w:tabs>
              <w:tab w:val="right" w:leader="dot" w:pos="9350"/>
            </w:tabs>
            <w:rPr>
              <w:rFonts w:asciiTheme="minorHAnsi" w:hAnsiTheme="minorHAnsi" w:cstheme="minorBidi"/>
              <w:noProof/>
              <w:sz w:val="22"/>
            </w:rPr>
          </w:pPr>
          <w:hyperlink w:history="1" w:anchor="_Toc54078935">
            <w:r w:rsidRPr="00282F02" w:rsidR="00282F02">
              <w:rPr>
                <w:rStyle w:val="Hyperlink"/>
                <w:noProof/>
                <w:color w:val="auto"/>
                <w:u w:val="none"/>
              </w:rPr>
              <w:t>ORDER</w:t>
            </w:r>
            <w:r w:rsidRPr="00282F02" w:rsidR="00282F02">
              <w:rPr>
                <w:noProof/>
                <w:webHidden/>
              </w:rPr>
              <w:tab/>
            </w:r>
          </w:hyperlink>
          <w:r w:rsidR="00282F02">
            <w:rPr>
              <w:noProof/>
            </w:rPr>
            <w:t>25</w:t>
          </w:r>
        </w:p>
        <w:p w:rsidRPr="00C54C1B" w:rsidR="00D64FFD" w:rsidP="00216DE8" w:rsidRDefault="00DB2204" w14:paraId="04D9EAEE" w14:textId="5F3A5108">
          <w:pPr>
            <w:spacing w:line="240" w:lineRule="auto"/>
            <w:ind w:firstLine="0"/>
            <w:contextualSpacing/>
          </w:pPr>
        </w:p>
      </w:sdtContent>
    </w:sdt>
    <w:p w:rsidR="00FD04E3" w:rsidP="00547AA5" w:rsidRDefault="00FD04E3" w14:paraId="6903F403" w14:textId="77777777">
      <w:pPr>
        <w:spacing w:after="160" w:line="259" w:lineRule="auto"/>
        <w:ind w:firstLine="0"/>
      </w:pPr>
    </w:p>
    <w:p w:rsidR="004071E6" w:rsidP="004071E6" w:rsidRDefault="004071E6" w14:paraId="12ECAAA9" w14:textId="7AF4A9D0">
      <w:pPr>
        <w:pStyle w:val="TOC1"/>
        <w:tabs>
          <w:tab w:val="right" w:leader="dot" w:pos="9350"/>
        </w:tabs>
        <w:ind w:left="0" w:firstLine="0"/>
        <w:rPr>
          <w:rFonts w:asciiTheme="minorHAnsi" w:hAnsiTheme="minorHAnsi" w:cstheme="minorBidi"/>
          <w:noProof/>
          <w:sz w:val="22"/>
        </w:rPr>
      </w:pPr>
    </w:p>
    <w:p w:rsidR="004071E6" w:rsidP="002F3D76" w:rsidRDefault="004071E6" w14:paraId="77CAC7C7" w14:textId="7091BB32">
      <w:pPr>
        <w:spacing w:after="160" w:line="259" w:lineRule="auto"/>
        <w:ind w:firstLine="0"/>
        <w:sectPr w:rsidR="004071E6" w:rsidSect="009660A9">
          <w:headerReference w:type="first" r:id="rId12"/>
          <w:footerReference w:type="first" r:id="rId13"/>
          <w:pgSz w:w="12240" w:h="15840"/>
          <w:pgMar w:top="1728" w:right="1440" w:bottom="1440" w:left="1440" w:header="720" w:footer="720" w:gutter="0"/>
          <w:pgNumType w:start="1"/>
          <w:cols w:space="720"/>
          <w:titlePg/>
          <w:docGrid w:linePitch="360"/>
        </w:sectPr>
      </w:pPr>
    </w:p>
    <w:p w:rsidRPr="009A300E" w:rsidR="002F3D76" w:rsidP="002F3D76" w:rsidRDefault="004071E6" w14:paraId="01E206FC" w14:textId="77777777">
      <w:pPr>
        <w:pStyle w:val="main0"/>
        <w:rPr>
          <w:rFonts w:ascii="Arial" w:hAnsi="Arial" w:cs="Arial"/>
        </w:rPr>
      </w:pPr>
      <w:bookmarkStart w:name="_Toc89343459" w:id="2"/>
      <w:bookmarkEnd w:id="0"/>
      <w:r w:rsidRPr="009A300E">
        <w:rPr>
          <w:rFonts w:ascii="Arial" w:hAnsi="Arial" w:cs="Arial"/>
        </w:rPr>
        <w:lastRenderedPageBreak/>
        <w:t xml:space="preserve">DECISION ON GEXA ENERGY CALIFORNIA LLC’S COMPLIANCE </w:t>
      </w:r>
    </w:p>
    <w:p w:rsidRPr="009A300E" w:rsidR="002F3D76" w:rsidP="002F3D76" w:rsidRDefault="004071E6" w14:paraId="41324F8F" w14:textId="57329A75">
      <w:pPr>
        <w:pStyle w:val="main0"/>
        <w:rPr>
          <w:rFonts w:ascii="Arial" w:hAnsi="Arial" w:cs="Arial"/>
        </w:rPr>
      </w:pPr>
      <w:r w:rsidRPr="009A300E">
        <w:rPr>
          <w:rFonts w:ascii="Arial" w:hAnsi="Arial" w:cs="Arial"/>
        </w:rPr>
        <w:t xml:space="preserve">WITH THE CALIFORNIA RENEWABLES PORTFOLIO </w:t>
      </w:r>
    </w:p>
    <w:p w:rsidR="004071E6" w:rsidP="002F3D76" w:rsidRDefault="004071E6" w14:paraId="133091DA" w14:textId="763C39EC">
      <w:pPr>
        <w:pStyle w:val="main0"/>
        <w:rPr>
          <w:rFonts w:ascii="Arial" w:hAnsi="Arial" w:cs="Arial"/>
        </w:rPr>
      </w:pPr>
      <w:r w:rsidRPr="009A300E">
        <w:rPr>
          <w:rFonts w:ascii="Arial" w:hAnsi="Arial" w:cs="Arial"/>
        </w:rPr>
        <w:t>STANDARD PROGRAM</w:t>
      </w:r>
      <w:bookmarkEnd w:id="2"/>
      <w:r w:rsidRPr="009A300E">
        <w:rPr>
          <w:rFonts w:ascii="Arial" w:hAnsi="Arial" w:cs="Arial"/>
        </w:rPr>
        <w:t xml:space="preserve"> </w:t>
      </w:r>
    </w:p>
    <w:p w:rsidRPr="009A300E" w:rsidR="00B55520" w:rsidP="002F3D76" w:rsidRDefault="00B55520" w14:paraId="7F87005A" w14:textId="77777777">
      <w:pPr>
        <w:pStyle w:val="main0"/>
        <w:rPr>
          <w:rFonts w:ascii="Arial" w:hAnsi="Arial" w:cs="Arial"/>
        </w:rPr>
      </w:pPr>
    </w:p>
    <w:p w:rsidR="004071E6" w:rsidP="007F2CC6" w:rsidRDefault="004071E6" w14:paraId="495800BB" w14:textId="31867F5D">
      <w:pPr>
        <w:pStyle w:val="Heading1"/>
        <w:numPr>
          <w:ilvl w:val="0"/>
          <w:numId w:val="0"/>
        </w:numPr>
      </w:pPr>
      <w:bookmarkStart w:name="_Toc89343460" w:id="3"/>
      <w:bookmarkStart w:name="_Toc94610204" w:id="4"/>
      <w:bookmarkStart w:name="_Toc370798910" w:id="5"/>
      <w:r>
        <w:t>Summary</w:t>
      </w:r>
      <w:bookmarkEnd w:id="3"/>
      <w:bookmarkEnd w:id="4"/>
    </w:p>
    <w:p w:rsidRPr="00863397" w:rsidR="000E00F2" w:rsidP="004071E6" w:rsidRDefault="004071E6" w14:paraId="69DF4BDD" w14:textId="77777777">
      <w:pPr>
        <w:pStyle w:val="standard0"/>
        <w:rPr>
          <w:rFonts w:ascii="Book Antiqua" w:hAnsi="Book Antiqua"/>
          <w:szCs w:val="26"/>
        </w:rPr>
      </w:pPr>
      <w:r w:rsidRPr="00863397">
        <w:rPr>
          <w:rFonts w:ascii="Book Antiqua" w:hAnsi="Book Antiqua"/>
          <w:szCs w:val="26"/>
        </w:rPr>
        <w:t>This decision enforces California’s Renewables Portfolio Standard (RPS)</w:t>
      </w:r>
      <w:r w:rsidRPr="00863397">
        <w:rPr>
          <w:rFonts w:ascii="Book Antiqua" w:hAnsi="Book Antiqua"/>
          <w:szCs w:val="26"/>
          <w:vertAlign w:val="superscript"/>
        </w:rPr>
        <w:footnoteReference w:id="2"/>
      </w:r>
      <w:r w:rsidRPr="00863397">
        <w:rPr>
          <w:rFonts w:ascii="Book Antiqua" w:hAnsi="Book Antiqua"/>
          <w:szCs w:val="26"/>
        </w:rPr>
        <w:t xml:space="preserve"> program compliance rules against Gexa Energy California LLC’s (Gexa) </w:t>
      </w:r>
    </w:p>
    <w:p w:rsidRPr="00863397" w:rsidR="004071E6" w:rsidP="000E00F2" w:rsidRDefault="004071E6" w14:paraId="5020EA0A" w14:textId="226D253D">
      <w:pPr>
        <w:pStyle w:val="standard0"/>
        <w:ind w:firstLine="0"/>
        <w:rPr>
          <w:rFonts w:ascii="Book Antiqua" w:hAnsi="Book Antiqua"/>
          <w:szCs w:val="26"/>
        </w:rPr>
      </w:pPr>
      <w:r w:rsidRPr="00863397">
        <w:rPr>
          <w:rFonts w:ascii="Book Antiqua" w:hAnsi="Book Antiqua"/>
        </w:rPr>
        <w:t>non-compliance with mandatory reporting requirements of its contract's standard terms and conditions.</w:t>
      </w:r>
      <w:r w:rsidRPr="00863397">
        <w:rPr>
          <w:rFonts w:ascii="Book Antiqua" w:hAnsi="Book Antiqua"/>
          <w:szCs w:val="26"/>
        </w:rPr>
        <w:t xml:space="preserve"> Gexa shall pay a penalty of $</w:t>
      </w:r>
      <w:r w:rsidR="009D0182">
        <w:rPr>
          <w:rFonts w:ascii="Book Antiqua" w:hAnsi="Book Antiqua"/>
          <w:szCs w:val="26"/>
        </w:rPr>
        <w:t>3</w:t>
      </w:r>
      <w:r w:rsidR="002C0A05">
        <w:rPr>
          <w:rFonts w:ascii="Book Antiqua" w:hAnsi="Book Antiqua"/>
          <w:szCs w:val="26"/>
        </w:rPr>
        <w:t>5</w:t>
      </w:r>
      <w:r w:rsidR="009D0182">
        <w:rPr>
          <w:rFonts w:ascii="Book Antiqua" w:hAnsi="Book Antiqua"/>
          <w:szCs w:val="26"/>
        </w:rPr>
        <w:t>2,</w:t>
      </w:r>
      <w:r w:rsidR="00F550EA">
        <w:rPr>
          <w:rFonts w:ascii="Book Antiqua" w:hAnsi="Book Antiqua"/>
          <w:szCs w:val="26"/>
        </w:rPr>
        <w:t>500</w:t>
      </w:r>
      <w:r w:rsidRPr="00863397">
        <w:rPr>
          <w:rFonts w:ascii="Book Antiqua" w:hAnsi="Book Antiqua"/>
          <w:szCs w:val="26"/>
        </w:rPr>
        <w:t xml:space="preserve">. The </w:t>
      </w:r>
      <w:r w:rsidR="00C53058">
        <w:rPr>
          <w:rFonts w:ascii="Book Antiqua" w:hAnsi="Book Antiqua"/>
          <w:szCs w:val="26"/>
        </w:rPr>
        <w:t>California Public Utilities Commission (</w:t>
      </w:r>
      <w:r w:rsidRPr="00863397">
        <w:rPr>
          <w:rFonts w:ascii="Book Antiqua" w:hAnsi="Book Antiqua"/>
          <w:szCs w:val="26"/>
        </w:rPr>
        <w:t>Commission</w:t>
      </w:r>
      <w:r w:rsidR="00C53058">
        <w:rPr>
          <w:rFonts w:ascii="Book Antiqua" w:hAnsi="Book Antiqua"/>
          <w:szCs w:val="26"/>
        </w:rPr>
        <w:t>)</w:t>
      </w:r>
      <w:r w:rsidRPr="00863397">
        <w:rPr>
          <w:rFonts w:ascii="Book Antiqua" w:hAnsi="Book Antiqua"/>
          <w:szCs w:val="26"/>
        </w:rPr>
        <w:t xml:space="preserve"> finds that Gexa has complied with the </w:t>
      </w:r>
      <w:r w:rsidRPr="00863397">
        <w:rPr>
          <w:rFonts w:ascii="Book Antiqua" w:hAnsi="Book Antiqua"/>
        </w:rPr>
        <w:t>procurement quantity requirement (PQR) for Compliance Period 2014-2016.</w:t>
      </w:r>
      <w:r w:rsidRPr="00863397" w:rsidR="000E00F2">
        <w:rPr>
          <w:rFonts w:ascii="Book Antiqua" w:hAnsi="Book Antiqua"/>
        </w:rPr>
        <w:t xml:space="preserve"> </w:t>
      </w:r>
      <w:r w:rsidRPr="00863397">
        <w:rPr>
          <w:rFonts w:ascii="Book Antiqua" w:hAnsi="Book Antiqua"/>
        </w:rPr>
        <w:t xml:space="preserve">Therefore, its waiver request is moot and does not require further resolution. </w:t>
      </w:r>
    </w:p>
    <w:p w:rsidRPr="00863397" w:rsidR="004071E6" w:rsidP="004071E6" w:rsidRDefault="004071E6" w14:paraId="19BF4EE3" w14:textId="77777777">
      <w:pPr>
        <w:pStyle w:val="standard0"/>
        <w:rPr>
          <w:rFonts w:ascii="Book Antiqua" w:hAnsi="Book Antiqua"/>
        </w:rPr>
      </w:pPr>
      <w:r w:rsidRPr="00863397">
        <w:rPr>
          <w:rFonts w:ascii="Book Antiqua" w:hAnsi="Book Antiqua"/>
          <w:szCs w:val="26"/>
        </w:rPr>
        <w:t>This proceeding remains open.</w:t>
      </w:r>
    </w:p>
    <w:p w:rsidR="004071E6" w:rsidP="002F3D76" w:rsidRDefault="004071E6" w14:paraId="5B42185B" w14:textId="0B0F05D9">
      <w:pPr>
        <w:pStyle w:val="Heading1"/>
      </w:pPr>
      <w:bookmarkStart w:name="_Toc89343461" w:id="6"/>
      <w:bookmarkStart w:name="_Toc94610205" w:id="7"/>
      <w:r w:rsidRPr="002F3D76">
        <w:t>Background</w:t>
      </w:r>
      <w:bookmarkEnd w:id="6"/>
      <w:bookmarkEnd w:id="7"/>
      <w:r>
        <w:t xml:space="preserve"> </w:t>
      </w:r>
    </w:p>
    <w:p w:rsidRPr="00863397" w:rsidR="00863397" w:rsidP="00FE0B72" w:rsidRDefault="004071E6" w14:paraId="27059674" w14:textId="77777777">
      <w:pPr>
        <w:pStyle w:val="Standard"/>
      </w:pPr>
      <w:bookmarkStart w:name="_Hlk90065382" w:id="8"/>
      <w:r w:rsidRPr="00863397">
        <w:t xml:space="preserve">In December 2018, Gexa filed its Final Renewables Portfolio Standard (RPS) Compliance report for Compliance Period 2014-2016 (Compliance </w:t>
      </w:r>
    </w:p>
    <w:p w:rsidRPr="00863397" w:rsidR="004071E6" w:rsidP="00863397" w:rsidRDefault="004071E6" w14:paraId="11AD3640" w14:textId="5F930A78">
      <w:pPr>
        <w:pStyle w:val="sub1"/>
        <w:ind w:firstLine="0"/>
        <w:rPr>
          <w:rFonts w:ascii="Book Antiqua" w:hAnsi="Book Antiqua"/>
        </w:rPr>
      </w:pPr>
      <w:r w:rsidRPr="00863397">
        <w:rPr>
          <w:rFonts w:ascii="Book Antiqua" w:hAnsi="Book Antiqua"/>
        </w:rPr>
        <w:t xml:space="preserve">Period 2). </w:t>
      </w:r>
    </w:p>
    <w:p w:rsidRPr="00863397" w:rsidR="004071E6" w:rsidP="00FE0B72" w:rsidRDefault="004071E6" w14:paraId="3D06EAE6" w14:textId="503A5227">
      <w:pPr>
        <w:pStyle w:val="Standard"/>
      </w:pPr>
      <w:r w:rsidRPr="00863397">
        <w:t>On October 4, 2019, Energy Division issued a Compliance Determination Notice informing Gexa that it is out of compliance with the RPS program rules. Energy Division found that Gexa had failed to meet its long-term contracting requirement.</w:t>
      </w:r>
      <w:r w:rsidRPr="00863397" w:rsidR="00863397">
        <w:t xml:space="preserve"> </w:t>
      </w:r>
      <w:r w:rsidRPr="00863397">
        <w:t>The Compliance Determination Notice disallowed</w:t>
      </w:r>
      <w:r w:rsidRPr="00863397">
        <w:rPr>
          <w:spacing w:val="-1"/>
        </w:rPr>
        <w:t xml:space="preserve"> 148,187 renewable energy credits (RECs) and </w:t>
      </w:r>
      <w:r w:rsidRPr="00863397">
        <w:t>assessed a $3,704,675 penalty</w:t>
      </w:r>
      <w:r w:rsidRPr="00863397">
        <w:rPr>
          <w:spacing w:val="-1"/>
        </w:rPr>
        <w:t>.</w:t>
      </w:r>
      <w:r w:rsidRPr="00863397">
        <w:rPr>
          <w:rStyle w:val="FootnoteReference"/>
          <w:spacing w:val="-1"/>
        </w:rPr>
        <w:footnoteReference w:id="3"/>
      </w:r>
      <w:r w:rsidRPr="00863397">
        <w:rPr>
          <w:spacing w:val="-1"/>
        </w:rPr>
        <w:t xml:space="preserve"> </w:t>
      </w:r>
    </w:p>
    <w:bookmarkEnd w:id="8"/>
    <w:p w:rsidRPr="00863397" w:rsidR="004071E6" w:rsidP="00FE0B72" w:rsidRDefault="004071E6" w14:paraId="4D6E557E" w14:textId="2D017056">
      <w:pPr>
        <w:pStyle w:val="Standard"/>
      </w:pPr>
      <w:r w:rsidRPr="00863397">
        <w:lastRenderedPageBreak/>
        <w:t xml:space="preserve">On December 6, 2019, Gexa filed a Motion for a Waiver (Gexa Waiver Motion or waiver request), stating that “if </w:t>
      </w:r>
      <w:proofErr w:type="spellStart"/>
      <w:r w:rsidRPr="00863397">
        <w:t>Gexa’s</w:t>
      </w:r>
      <w:proofErr w:type="spellEnd"/>
      <w:r w:rsidRPr="00863397">
        <w:t xml:space="preserve"> request for reconsideration and reversal of the Compliance Determination is not granted, then Gexa requests a waiver of its PQR for Compliance Period 2.</w:t>
      </w:r>
      <w:r w:rsidR="00863397">
        <w:t xml:space="preserve"> </w:t>
      </w:r>
      <w:r w:rsidRPr="00863397">
        <w:t>If neither request is granted based on documentation submitted to date, then Gexa requests a hearing and the opportunity to present evidence that the Gexa REC Agreement is a long-term contract executed in accordance with D</w:t>
      </w:r>
      <w:r w:rsidR="00863397">
        <w:t>ecision (D</w:t>
      </w:r>
      <w:r w:rsidRPr="00863397">
        <w:t>.</w:t>
      </w:r>
      <w:r w:rsidR="00863397">
        <w:t xml:space="preserve">) </w:t>
      </w:r>
      <w:r w:rsidRPr="00863397">
        <w:t>12-06-038</w:t>
      </w:r>
      <w:r w:rsidR="00BA765C">
        <w:t>.</w:t>
      </w:r>
      <w:r w:rsidRPr="00863397">
        <w:t xml:space="preserve">” </w:t>
      </w:r>
    </w:p>
    <w:p w:rsidRPr="00863397" w:rsidR="004071E6" w:rsidP="00FE0B72" w:rsidRDefault="00557154" w14:paraId="1CD297BF" w14:textId="204AB4D8">
      <w:pPr>
        <w:pStyle w:val="Standard"/>
      </w:pPr>
      <w:r>
        <w:t>Concurrent with the Gexa</w:t>
      </w:r>
      <w:r w:rsidRPr="00863397" w:rsidR="004071E6">
        <w:t xml:space="preserve"> Waiver Motion, Gexa </w:t>
      </w:r>
      <w:r>
        <w:t>submitted</w:t>
      </w:r>
      <w:r w:rsidRPr="00863397" w:rsidR="004071E6">
        <w:t xml:space="preserve"> a letter to the Commission’s Executive Director and Deputy Executive Director for Energy and Climate Policy on December 6, 2019, for reconsideration and reversal of the conclusions of the Compliance Determination Notice. </w:t>
      </w:r>
    </w:p>
    <w:p w:rsidRPr="00863397" w:rsidR="004071E6" w:rsidP="00FE0B72" w:rsidRDefault="004071E6" w14:paraId="56142D1D" w14:textId="77777777">
      <w:pPr>
        <w:pStyle w:val="Standard"/>
      </w:pPr>
      <w:r w:rsidRPr="00863397">
        <w:t>On December 6, 2019, Gexa amended its RPS procurement contract with NextEra Energy Marketing, LLC, and its changes were made effective retroactively on December 22, 2015 (</w:t>
      </w:r>
      <w:proofErr w:type="spellStart"/>
      <w:r w:rsidRPr="00863397">
        <w:t>Gexa's</w:t>
      </w:r>
      <w:proofErr w:type="spellEnd"/>
      <w:r w:rsidRPr="00863397">
        <w:t xml:space="preserve"> original execution date of its REC Agreement).</w:t>
      </w:r>
      <w:r w:rsidRPr="00863397">
        <w:rPr>
          <w:rStyle w:val="FootnoteReference"/>
        </w:rPr>
        <w:footnoteReference w:id="4"/>
      </w:r>
    </w:p>
    <w:p w:rsidRPr="00863397" w:rsidR="004071E6" w:rsidP="004071E6" w:rsidRDefault="004071E6" w14:paraId="5F138A40" w14:textId="77777777">
      <w:pPr>
        <w:pStyle w:val="sub1"/>
        <w:rPr>
          <w:rFonts w:ascii="Book Antiqua" w:hAnsi="Book Antiqua"/>
        </w:rPr>
      </w:pPr>
      <w:r w:rsidRPr="00863397">
        <w:rPr>
          <w:rFonts w:ascii="Book Antiqua" w:hAnsi="Book Antiqua"/>
        </w:rPr>
        <w:t xml:space="preserve">On January 24, 2020, The Utility Reform Network (TURN) and the Coalition of California Utility Employees (CUE) filed a joint motion to submit a late-filed response to </w:t>
      </w:r>
      <w:proofErr w:type="spellStart"/>
      <w:r w:rsidRPr="00863397">
        <w:rPr>
          <w:rFonts w:ascii="Book Antiqua" w:hAnsi="Book Antiqua"/>
        </w:rPr>
        <w:t>Gexa’s</w:t>
      </w:r>
      <w:proofErr w:type="spellEnd"/>
      <w:r w:rsidRPr="00863397">
        <w:rPr>
          <w:rFonts w:ascii="Book Antiqua" w:hAnsi="Book Antiqua"/>
        </w:rPr>
        <w:t xml:space="preserve"> Waiver Motion. </w:t>
      </w:r>
    </w:p>
    <w:p w:rsidRPr="00863397" w:rsidR="004071E6" w:rsidP="00FE0B72" w:rsidRDefault="004071E6" w14:paraId="0BAB957E" w14:textId="77777777">
      <w:pPr>
        <w:pStyle w:val="Standard"/>
      </w:pPr>
      <w:r w:rsidRPr="00863397">
        <w:t>On February 10, 2020, Gexa filed a response to TURN/CUE’s Joint Motion. Gexa opposed TURN/CUE’s request to accept their late-filed response and requested permission to file a reply to the TURN/CUE’s response.</w:t>
      </w:r>
    </w:p>
    <w:p w:rsidRPr="008A1C55" w:rsidR="004071E6" w:rsidP="00FE0B72" w:rsidRDefault="004071E6" w14:paraId="5092A6E3" w14:textId="6C105AA4">
      <w:pPr>
        <w:pStyle w:val="Standard"/>
      </w:pPr>
      <w:r w:rsidRPr="008A1C55">
        <w:lastRenderedPageBreak/>
        <w:t>On February 18, 2020, we issued an ALJ Ruling to consider the Waiver Motion and formally review its Reconsideration Request in this proceeding.</w:t>
      </w:r>
      <w:r w:rsidR="008A1C55">
        <w:t xml:space="preserve"> </w:t>
      </w:r>
      <w:r w:rsidRPr="008A1C55">
        <w:t>We also directed Gexa to file additional documents and information and denied TURN and CUE’s late-filed response, stating they may file responses to GEXA’s reply to ALJ Ruling.</w:t>
      </w:r>
    </w:p>
    <w:p w:rsidRPr="008A1C55" w:rsidR="004071E6" w:rsidP="00FE0B72" w:rsidRDefault="004071E6" w14:paraId="25194170" w14:textId="77777777">
      <w:pPr>
        <w:pStyle w:val="Standard"/>
      </w:pPr>
      <w:r w:rsidRPr="008A1C55">
        <w:t xml:space="preserve">On March 3, 2020, Gexa filed a supplemental filing in response to the ALJ Ruling (Supplemental Filing). </w:t>
      </w:r>
    </w:p>
    <w:p w:rsidRPr="008A1C55" w:rsidR="004071E6" w:rsidP="00FE0B72" w:rsidRDefault="004071E6" w14:paraId="54F01989" w14:textId="5CFCF717">
      <w:pPr>
        <w:pStyle w:val="Standard"/>
      </w:pPr>
      <w:r w:rsidRPr="008A1C55">
        <w:t>On April 2, 2020, California Wind Energy Association (</w:t>
      </w:r>
      <w:proofErr w:type="spellStart"/>
      <w:r w:rsidRPr="008A1C55">
        <w:t>CalWEA</w:t>
      </w:r>
      <w:proofErr w:type="spellEnd"/>
      <w:r w:rsidRPr="008A1C55">
        <w:t xml:space="preserve">) filed comments, and CUE and TURN filed joint comments on </w:t>
      </w:r>
      <w:proofErr w:type="spellStart"/>
      <w:r w:rsidRPr="008A1C55">
        <w:t>Gexa’s</w:t>
      </w:r>
      <w:proofErr w:type="spellEnd"/>
      <w:r w:rsidRPr="008A1C55">
        <w:t xml:space="preserve"> Supplemental Filing. Gexa submitted its replies on April 17, 2020.</w:t>
      </w:r>
    </w:p>
    <w:p w:rsidRPr="008A1C55" w:rsidR="004071E6" w:rsidP="004071E6" w:rsidRDefault="004071E6" w14:paraId="1A109149" w14:textId="77777777">
      <w:pPr>
        <w:pStyle w:val="sub1"/>
        <w:rPr>
          <w:rFonts w:ascii="Book Antiqua" w:hAnsi="Book Antiqua"/>
        </w:rPr>
      </w:pPr>
      <w:r w:rsidRPr="008A1C55">
        <w:rPr>
          <w:rFonts w:ascii="Book Antiqua" w:hAnsi="Book Antiqua"/>
        </w:rPr>
        <w:t>Gexa discontinued retail electricity sales after the second quarter of 2016.</w:t>
      </w:r>
    </w:p>
    <w:p w:rsidR="004071E6" w:rsidP="008A1C55" w:rsidRDefault="004071E6" w14:paraId="08A2624F" w14:textId="684A88FF">
      <w:pPr>
        <w:pStyle w:val="Heading1"/>
      </w:pPr>
      <w:bookmarkStart w:name="_Toc89343462" w:id="9"/>
      <w:bookmarkStart w:name="_Toc94610206" w:id="10"/>
      <w:r>
        <w:t>RPS Compliance Requirements</w:t>
      </w:r>
      <w:bookmarkEnd w:id="9"/>
      <w:bookmarkEnd w:id="10"/>
      <w:r>
        <w:t xml:space="preserve">  </w:t>
      </w:r>
    </w:p>
    <w:p w:rsidR="0060178E" w:rsidP="00FE0B72" w:rsidRDefault="004071E6" w14:paraId="07E2DD32" w14:textId="396BEAFD">
      <w:pPr>
        <w:pStyle w:val="Standard"/>
      </w:pPr>
      <w:r w:rsidRPr="008A1C55">
        <w:t>The Commission has adopted rules to review retail sellers’ compliance with their RPS obligations. The RPS program began with a mandate requiring all retail sellers to provide 20 percent of the electricity sold to retail end-user customers from RPS</w:t>
      </w:r>
      <w:r w:rsidRPr="008A1C55">
        <w:rPr>
          <w:szCs w:val="26"/>
        </w:rPr>
        <w:noBreakHyphen/>
      </w:r>
      <w:r w:rsidRPr="008A1C55">
        <w:t xml:space="preserve">eligible generation by the end of 2017. SB 350 adopted interim annual RPS targets with three-year compliance periods and requires </w:t>
      </w:r>
    </w:p>
    <w:p w:rsidRPr="008A1C55" w:rsidR="004071E6" w:rsidP="0060178E" w:rsidRDefault="004071E6" w14:paraId="58A21A6F" w14:textId="4A35BEB7">
      <w:pPr>
        <w:pStyle w:val="standard0"/>
        <w:ind w:firstLine="0"/>
        <w:rPr>
          <w:rFonts w:ascii="Book Antiqua" w:hAnsi="Book Antiqua"/>
        </w:rPr>
      </w:pPr>
      <w:r w:rsidRPr="008A1C55">
        <w:rPr>
          <w:rFonts w:ascii="Book Antiqua" w:hAnsi="Book Antiqua"/>
        </w:rPr>
        <w:t>65 percent of RPS procurement to be derived from long-term contracts of 10 or more years.</w:t>
      </w:r>
      <w:r w:rsidR="0060178E">
        <w:rPr>
          <w:rFonts w:ascii="Book Antiqua" w:hAnsi="Book Antiqua"/>
        </w:rPr>
        <w:t xml:space="preserve"> </w:t>
      </w:r>
      <w:r w:rsidRPr="008A1C55">
        <w:rPr>
          <w:rFonts w:ascii="Book Antiqua" w:hAnsi="Book Antiqua"/>
        </w:rPr>
        <w:t>The Legislature increased the RPS percentage over several years, culminating in the latest statute, SB 100,</w:t>
      </w:r>
      <w:r w:rsidRPr="008A1C55">
        <w:rPr>
          <w:rFonts w:ascii="Book Antiqua" w:hAnsi="Book Antiqua"/>
          <w:vertAlign w:val="superscript"/>
        </w:rPr>
        <w:footnoteReference w:id="5"/>
      </w:r>
      <w:r w:rsidRPr="008A1C55">
        <w:rPr>
          <w:rFonts w:ascii="Book Antiqua" w:hAnsi="Book Antiqua"/>
          <w:vertAlign w:val="superscript"/>
        </w:rPr>
        <w:t xml:space="preserve"> </w:t>
      </w:r>
      <w:r w:rsidRPr="008A1C55">
        <w:rPr>
          <w:rFonts w:ascii="Book Antiqua" w:hAnsi="Book Antiqua"/>
        </w:rPr>
        <w:t xml:space="preserve">which requires that 60 percent of California’s electricity comes from renewables by 2030, and a goal of 100 percent carbon-free energy supply by 2045. </w:t>
      </w:r>
    </w:p>
    <w:p w:rsidR="005E1CB3" w:rsidP="00FE0B72" w:rsidRDefault="004071E6" w14:paraId="7B90993F" w14:textId="62AE3576">
      <w:pPr>
        <w:pStyle w:val="Standard"/>
      </w:pPr>
      <w:r w:rsidRPr="0060178E">
        <w:t>The Commission is authorized to enforce compliance rules with RPS mandates in multi</w:t>
      </w:r>
      <w:r w:rsidRPr="0060178E">
        <w:rPr>
          <w:szCs w:val="26"/>
        </w:rPr>
        <w:t>-</w:t>
      </w:r>
      <w:r w:rsidRPr="0060178E">
        <w:t>year compliance periods established by Pub</w:t>
      </w:r>
      <w:r w:rsidR="0060178E">
        <w:t xml:space="preserve">. Util. </w:t>
      </w:r>
      <w:r w:rsidRPr="0060178E">
        <w:t xml:space="preserve">Code </w:t>
      </w:r>
      <w:r w:rsidRPr="0060178E">
        <w:lastRenderedPageBreak/>
        <w:t>Section 399.15(b)(1). The period at issue here is from 2014 to 2016 and is deemed Compliance Period 2014-2016 or Compliance Period 2. During that period, retail sellers were subject to D.08-04-009</w:t>
      </w:r>
      <w:r w:rsidRPr="003F4B0C" w:rsidR="00EA45F8">
        <w:t xml:space="preserve">, D.10-03-021, </w:t>
      </w:r>
      <w:r w:rsidR="00EA45F8">
        <w:t xml:space="preserve">and </w:t>
      </w:r>
      <w:r w:rsidRPr="003F4B0C" w:rsidR="00EA45F8">
        <w:t>D.11-01-025</w:t>
      </w:r>
      <w:r w:rsidRPr="0060178E">
        <w:t xml:space="preserve"> on the use of standard terms and conditions, PQRs, and enforcement rules adopted in </w:t>
      </w:r>
    </w:p>
    <w:p w:rsidRPr="0060178E" w:rsidR="004071E6" w:rsidP="005E1CB3" w:rsidRDefault="004071E6" w14:paraId="5DDCF4D5" w14:textId="75540C01">
      <w:pPr>
        <w:pStyle w:val="Standard"/>
        <w:ind w:firstLine="0"/>
      </w:pPr>
      <w:r w:rsidRPr="0060178E">
        <w:t>D.11-12-052, D.12-06-038, and D.14-12-</w:t>
      </w:r>
      <w:r w:rsidRPr="0060178E">
        <w:rPr>
          <w:szCs w:val="26"/>
        </w:rPr>
        <w:t xml:space="preserve">023 and enforcement rules under Resolution </w:t>
      </w:r>
      <w:r w:rsidR="00A37B71">
        <w:rPr>
          <w:szCs w:val="26"/>
        </w:rPr>
        <w:t>(R</w:t>
      </w:r>
      <w:r w:rsidR="004A4190">
        <w:rPr>
          <w:szCs w:val="26"/>
        </w:rPr>
        <w:t>es</w:t>
      </w:r>
      <w:r w:rsidR="00A37B71">
        <w:rPr>
          <w:szCs w:val="26"/>
        </w:rPr>
        <w:t xml:space="preserve">) </w:t>
      </w:r>
      <w:r w:rsidRPr="0060178E">
        <w:rPr>
          <w:szCs w:val="26"/>
        </w:rPr>
        <w:t>E-4720</w:t>
      </w:r>
      <w:r w:rsidRPr="0060178E">
        <w:t xml:space="preserve">.  </w:t>
      </w:r>
    </w:p>
    <w:p w:rsidRPr="0060178E" w:rsidR="004071E6" w:rsidP="00FE0B72" w:rsidRDefault="004071E6" w14:paraId="00A9676D" w14:textId="010AC2CD">
      <w:pPr>
        <w:pStyle w:val="Standard"/>
      </w:pPr>
      <w:r w:rsidRPr="0060178E">
        <w:t>Under the then-applicable rules, we authorized the use of contracts of less than 10 years’ duration (short term contracts) to count for RPS compliance once a minimum quantity of procurement from contracts of 10 years or longer (long term contracts) was established.</w:t>
      </w:r>
      <w:r w:rsidRPr="0060178E">
        <w:rPr>
          <w:rStyle w:val="FootnoteReference"/>
        </w:rPr>
        <w:footnoteReference w:id="6"/>
      </w:r>
      <w:r w:rsidRPr="0060178E">
        <w:t xml:space="preserve"> In D.12-06-038, we adopted a long-term contracting requirement of 0.25</w:t>
      </w:r>
      <w:r w:rsidR="006E7F47">
        <w:t xml:space="preserve"> percent</w:t>
      </w:r>
      <w:r w:rsidRPr="0060178E">
        <w:t xml:space="preserve"> of Total Retail Sales in 2014-2016.</w:t>
      </w:r>
      <w:r w:rsidRPr="0060178E">
        <w:rPr>
          <w:rStyle w:val="FootnoteReference"/>
        </w:rPr>
        <w:footnoteReference w:id="7"/>
      </w:r>
    </w:p>
    <w:p w:rsidRPr="0060178E" w:rsidR="004071E6" w:rsidP="00FE0B72" w:rsidRDefault="006E7F47" w14:paraId="7DF15E1E" w14:textId="6513B026">
      <w:pPr>
        <w:pStyle w:val="Standard"/>
      </w:pPr>
      <w:r>
        <w:t>For</w:t>
      </w:r>
      <w:r w:rsidRPr="0060178E">
        <w:t xml:space="preserve"> </w:t>
      </w:r>
      <w:r w:rsidRPr="0060178E" w:rsidR="004071E6">
        <w:t>RPS Compliance Report filings due on August 1 each year, the Commission has adopted a citation program to enforce RPS reporting requirements.</w:t>
      </w:r>
      <w:r w:rsidR="0060178E">
        <w:t xml:space="preserve"> </w:t>
      </w:r>
      <w:r w:rsidRPr="0060178E" w:rsidR="004071E6">
        <w:t>Failure to comply with a request for information or documentation from Commission staff that is related to the implementation of the RPS in the time or the format required within 10 business days of Commission staff’s request results in $500 per incident plus $500 per day from the first business day after the filing is due and $1000 per day every business day after that.</w:t>
      </w:r>
      <w:r w:rsidRPr="0060178E" w:rsidR="004071E6">
        <w:rPr>
          <w:rStyle w:val="FootnoteReference"/>
        </w:rPr>
        <w:footnoteReference w:id="8"/>
      </w:r>
    </w:p>
    <w:p w:rsidRPr="00EF2B06" w:rsidR="004071E6" w:rsidP="004071E6" w:rsidRDefault="004071E6" w14:paraId="2FB49478" w14:textId="57E45D0D">
      <w:pPr>
        <w:pStyle w:val="sub1"/>
        <w:rPr>
          <w:rFonts w:ascii="Book Antiqua" w:hAnsi="Book Antiqua" w:eastAsiaTheme="minorHAnsi" w:cstheme="minorBidi"/>
          <w:szCs w:val="22"/>
        </w:rPr>
      </w:pPr>
      <w:r w:rsidRPr="00EF2B06">
        <w:rPr>
          <w:rFonts w:ascii="Book Antiqua" w:hAnsi="Book Antiqua" w:eastAsiaTheme="minorHAnsi" w:cstheme="minorBidi"/>
          <w:szCs w:val="22"/>
        </w:rPr>
        <w:t>Gexa is currently not serving retail load in California, but it has not deregistered either.</w:t>
      </w:r>
      <w:r w:rsidRPr="00EF2B06" w:rsidR="0060178E">
        <w:rPr>
          <w:rFonts w:ascii="Book Antiqua" w:hAnsi="Book Antiqua" w:eastAsiaTheme="minorHAnsi" w:cstheme="minorBidi"/>
          <w:szCs w:val="22"/>
        </w:rPr>
        <w:t xml:space="preserve"> </w:t>
      </w:r>
      <w:r w:rsidRPr="00EF2B06">
        <w:rPr>
          <w:rFonts w:ascii="Book Antiqua" w:hAnsi="Book Antiqua" w:eastAsiaTheme="minorHAnsi" w:cstheme="minorBidi"/>
          <w:szCs w:val="22"/>
        </w:rPr>
        <w:t>Therefore, it must continue to file RPS Compliance Reports. Alternatively, to reduce administrative burdens, we encourage Gexa to consider seeking permission to withdraw its registration if it has no near-term plans to serve load in California.</w:t>
      </w:r>
    </w:p>
    <w:p w:rsidR="004071E6" w:rsidP="0060178E" w:rsidRDefault="004071E6" w14:paraId="3DB09071" w14:textId="5E7A041D">
      <w:pPr>
        <w:pStyle w:val="Heading1"/>
      </w:pPr>
      <w:bookmarkStart w:name="_Toc89343463" w:id="11"/>
      <w:bookmarkStart w:name="_Toc94610207" w:id="12"/>
      <w:r w:rsidRPr="0060178E">
        <w:lastRenderedPageBreak/>
        <w:t>Issues</w:t>
      </w:r>
      <w:r>
        <w:t xml:space="preserve"> before the Commission</w:t>
      </w:r>
      <w:bookmarkEnd w:id="11"/>
      <w:bookmarkEnd w:id="12"/>
    </w:p>
    <w:p w:rsidRPr="0060178E" w:rsidR="004071E6" w:rsidP="00FE0B72" w:rsidRDefault="004071E6" w14:paraId="39A21884" w14:textId="77777777">
      <w:pPr>
        <w:pStyle w:val="Standard"/>
      </w:pPr>
      <w:r w:rsidRPr="0060178E">
        <w:t xml:space="preserve">Based on </w:t>
      </w:r>
      <w:proofErr w:type="spellStart"/>
      <w:r w:rsidRPr="0060178E">
        <w:t>Gexa’s</w:t>
      </w:r>
      <w:proofErr w:type="spellEnd"/>
      <w:r w:rsidRPr="0060178E">
        <w:t xml:space="preserve"> Waiver Motion and the Commission’s authority to review compliance within the RPS program, the issues to be determined are:</w:t>
      </w:r>
    </w:p>
    <w:p w:rsidRPr="0060178E" w:rsidR="004071E6" w:rsidP="0060178E" w:rsidRDefault="004071E6" w14:paraId="1A935526" w14:textId="77777777">
      <w:pPr>
        <w:pStyle w:val="standard0"/>
        <w:numPr>
          <w:ilvl w:val="0"/>
          <w:numId w:val="38"/>
        </w:numPr>
        <w:spacing w:after="120" w:line="240" w:lineRule="auto"/>
        <w:ind w:left="1080" w:right="1440"/>
        <w:rPr>
          <w:rFonts w:ascii="Book Antiqua" w:hAnsi="Book Antiqua"/>
        </w:rPr>
      </w:pPr>
      <w:r w:rsidRPr="0060178E">
        <w:rPr>
          <w:rFonts w:ascii="Book Antiqua" w:hAnsi="Book Antiqua"/>
        </w:rPr>
        <w:t>Did Gexa comply with non-modifiable standard contracting terms and conditions?</w:t>
      </w:r>
    </w:p>
    <w:p w:rsidRPr="0060178E" w:rsidR="004071E6" w:rsidP="0060178E" w:rsidRDefault="004071E6" w14:paraId="21365A70" w14:textId="77777777">
      <w:pPr>
        <w:pStyle w:val="standard0"/>
        <w:numPr>
          <w:ilvl w:val="0"/>
          <w:numId w:val="38"/>
        </w:numPr>
        <w:spacing w:after="120" w:line="240" w:lineRule="auto"/>
        <w:ind w:left="1080" w:right="1440"/>
        <w:rPr>
          <w:rFonts w:ascii="Book Antiqua" w:hAnsi="Book Antiqua"/>
        </w:rPr>
      </w:pPr>
      <w:r w:rsidRPr="0060178E">
        <w:rPr>
          <w:rFonts w:ascii="Book Antiqua" w:hAnsi="Book Antiqua"/>
        </w:rPr>
        <w:t>Did Gexa execute a long-term contract?</w:t>
      </w:r>
    </w:p>
    <w:p w:rsidRPr="0060178E" w:rsidR="004071E6" w:rsidP="0060178E" w:rsidRDefault="004071E6" w14:paraId="3D38470A" w14:textId="5A8A0798">
      <w:pPr>
        <w:pStyle w:val="standard0"/>
        <w:numPr>
          <w:ilvl w:val="0"/>
          <w:numId w:val="38"/>
        </w:numPr>
        <w:spacing w:after="120" w:line="240" w:lineRule="auto"/>
        <w:ind w:left="1080" w:right="1440"/>
        <w:rPr>
          <w:rFonts w:ascii="Book Antiqua" w:hAnsi="Book Antiqua"/>
        </w:rPr>
      </w:pPr>
      <w:r w:rsidRPr="0060178E">
        <w:rPr>
          <w:rFonts w:ascii="Book Antiqua" w:hAnsi="Book Antiqua"/>
        </w:rPr>
        <w:t xml:space="preserve">Was it reasonable to amend the </w:t>
      </w:r>
      <w:r w:rsidR="009B4535">
        <w:rPr>
          <w:rFonts w:ascii="Book Antiqua" w:hAnsi="Book Antiqua"/>
        </w:rPr>
        <w:t xml:space="preserve">REC </w:t>
      </w:r>
      <w:r w:rsidR="00D54F57">
        <w:rPr>
          <w:rFonts w:ascii="Book Antiqua" w:hAnsi="Book Antiqua"/>
        </w:rPr>
        <w:t>A</w:t>
      </w:r>
      <w:r w:rsidRPr="0060178E">
        <w:rPr>
          <w:rFonts w:ascii="Book Antiqua" w:hAnsi="Book Antiqua"/>
        </w:rPr>
        <w:t>greement retroactively?</w:t>
      </w:r>
    </w:p>
    <w:p w:rsidRPr="0060178E" w:rsidR="004071E6" w:rsidP="0060178E" w:rsidRDefault="004071E6" w14:paraId="330A27FF" w14:textId="77777777">
      <w:pPr>
        <w:pStyle w:val="standard0"/>
        <w:numPr>
          <w:ilvl w:val="0"/>
          <w:numId w:val="38"/>
        </w:numPr>
        <w:spacing w:after="120" w:line="240" w:lineRule="auto"/>
        <w:ind w:left="1080" w:right="1440"/>
        <w:rPr>
          <w:rFonts w:ascii="Book Antiqua" w:hAnsi="Book Antiqua"/>
          <w:i/>
          <w:iCs/>
        </w:rPr>
      </w:pPr>
      <w:r w:rsidRPr="0060178E">
        <w:rPr>
          <w:rFonts w:ascii="Book Antiqua" w:hAnsi="Book Antiqua"/>
        </w:rPr>
        <w:t xml:space="preserve">Is </w:t>
      </w:r>
      <w:proofErr w:type="spellStart"/>
      <w:r w:rsidRPr="0060178E">
        <w:rPr>
          <w:rFonts w:ascii="Book Antiqua" w:hAnsi="Book Antiqua"/>
        </w:rPr>
        <w:t>Gexa’s</w:t>
      </w:r>
      <w:proofErr w:type="spellEnd"/>
      <w:r w:rsidRPr="0060178E">
        <w:rPr>
          <w:rFonts w:ascii="Book Antiqua" w:hAnsi="Book Antiqua"/>
        </w:rPr>
        <w:t xml:space="preserve"> waiver request reasonable?</w:t>
      </w:r>
    </w:p>
    <w:p w:rsidRPr="0060178E" w:rsidR="004071E6" w:rsidP="0060178E" w:rsidRDefault="004071E6" w14:paraId="27AD218D" w14:textId="77777777">
      <w:pPr>
        <w:pStyle w:val="standard0"/>
        <w:numPr>
          <w:ilvl w:val="0"/>
          <w:numId w:val="38"/>
        </w:numPr>
        <w:spacing w:after="120" w:line="240" w:lineRule="auto"/>
        <w:ind w:left="1080" w:right="1440"/>
        <w:rPr>
          <w:rFonts w:ascii="Book Antiqua" w:hAnsi="Book Antiqua"/>
          <w:i/>
          <w:iCs/>
        </w:rPr>
      </w:pPr>
      <w:r w:rsidRPr="0060178E">
        <w:rPr>
          <w:rFonts w:ascii="Book Antiqua" w:hAnsi="Book Antiqua"/>
        </w:rPr>
        <w:t>What penalty amount should Gexa pay for any non-compliance with RPS Program rules?</w:t>
      </w:r>
    </w:p>
    <w:p w:rsidR="004071E6" w:rsidP="0060178E" w:rsidRDefault="004071E6" w14:paraId="37ECF5BD" w14:textId="24777C8E">
      <w:pPr>
        <w:pStyle w:val="Heading1"/>
      </w:pPr>
      <w:bookmarkStart w:name="_Toc89343464" w:id="13"/>
      <w:bookmarkStart w:name="_Toc94610208" w:id="14"/>
      <w:r w:rsidRPr="0060178E">
        <w:t>Summary</w:t>
      </w:r>
      <w:r>
        <w:t xml:space="preserve"> of Parties’ Position</w:t>
      </w:r>
      <w:bookmarkEnd w:id="13"/>
      <w:r w:rsidR="0060178E">
        <w:t>.</w:t>
      </w:r>
      <w:bookmarkEnd w:id="14"/>
    </w:p>
    <w:p w:rsidRPr="009B1E72" w:rsidR="004071E6" w:rsidP="00284948" w:rsidRDefault="0060178E" w14:paraId="189C337F" w14:textId="521A9F7C">
      <w:pPr>
        <w:pStyle w:val="Heading2"/>
        <w:widowControl w:val="0"/>
        <w:spacing w:before="120"/>
      </w:pPr>
      <w:bookmarkStart w:name="_Toc89343465" w:id="15"/>
      <w:bookmarkStart w:name="_Toc94610209" w:id="16"/>
      <w:r>
        <w:t>4.1.</w:t>
      </w:r>
      <w:r>
        <w:tab/>
      </w:r>
      <w:r w:rsidR="004071E6">
        <w:t>GEXA</w:t>
      </w:r>
      <w:bookmarkEnd w:id="15"/>
      <w:bookmarkEnd w:id="16"/>
    </w:p>
    <w:p w:rsidR="004071E6" w:rsidP="00FE0B72" w:rsidRDefault="004071E6" w14:paraId="3B704ED4" w14:textId="77777777">
      <w:pPr>
        <w:pStyle w:val="Standard"/>
      </w:pPr>
      <w:r>
        <w:t xml:space="preserve">Gexa requests that the Commission reverse the Compliance Determination and find that Gexa complied with its long-term contracting requirement or grant a waiver of its PQR so that the penalty does not apply. </w:t>
      </w:r>
    </w:p>
    <w:p w:rsidR="004071E6" w:rsidP="00FE0B72" w:rsidRDefault="004071E6" w14:paraId="5E8CDDA0" w14:textId="5FF043F4">
      <w:pPr>
        <w:pStyle w:val="Standard"/>
        <w:rPr>
          <w:spacing w:val="-1"/>
          <w:szCs w:val="26"/>
        </w:rPr>
      </w:pPr>
      <w:r>
        <w:rPr>
          <w:spacing w:val="-1"/>
          <w:szCs w:val="26"/>
        </w:rPr>
        <w:t xml:space="preserve">Gexa contends that it complied with </w:t>
      </w:r>
      <w:r>
        <w:t xml:space="preserve">D.12-06-038, as it executed a Compliance Period 2 </w:t>
      </w:r>
      <w:r w:rsidRPr="00DE25E9">
        <w:rPr>
          <w:i/>
          <w:iCs/>
        </w:rPr>
        <w:t>(i.e</w:t>
      </w:r>
      <w:r>
        <w:t xml:space="preserve">., during the years 2014, 2015, or 2016) contract with a term of 10 years or more while purchasing 863 RECs, which was equal to </w:t>
      </w:r>
      <w:r w:rsidR="006E7F47">
        <w:t xml:space="preserve">at </w:t>
      </w:r>
      <w:r>
        <w:t>least 0.25 percent of its Compliance Period 1 retail sales.</w:t>
      </w:r>
      <w:r>
        <w:rPr>
          <w:rStyle w:val="FootnoteReference"/>
          <w:spacing w:val="-1"/>
        </w:rPr>
        <w:footnoteReference w:id="9"/>
      </w:r>
      <w:r>
        <w:rPr>
          <w:spacing w:val="-1"/>
          <w:szCs w:val="26"/>
        </w:rPr>
        <w:t xml:space="preserve"> Gexa claims that it executed retroactive amendments to the Gexa REC Agreement with NextEra Energy Power Marketing LLC (NEM or NextEra)</w:t>
      </w:r>
      <w:r>
        <w:rPr>
          <w:rStyle w:val="FootnoteReference"/>
          <w:spacing w:val="-1"/>
        </w:rPr>
        <w:footnoteReference w:id="10"/>
      </w:r>
      <w:r>
        <w:rPr>
          <w:spacing w:val="-1"/>
          <w:szCs w:val="26"/>
        </w:rPr>
        <w:t xml:space="preserve">, stating that the contract will “remain in effect </w:t>
      </w:r>
      <w:r>
        <w:rPr>
          <w:spacing w:val="-1"/>
          <w:szCs w:val="26"/>
        </w:rPr>
        <w:lastRenderedPageBreak/>
        <w:t>for at least 10 years.”</w:t>
      </w:r>
      <w:r>
        <w:rPr>
          <w:rStyle w:val="FootnoteReference"/>
          <w:spacing w:val="-1"/>
        </w:rPr>
        <w:footnoteReference w:id="11"/>
      </w:r>
      <w:r>
        <w:rPr>
          <w:spacing w:val="-1"/>
          <w:szCs w:val="26"/>
        </w:rPr>
        <w:t xml:space="preserve"> Gexa further contends that any deviations from the required RPS standard terms and conditions do not impact the terms that make the Gexa REC Agreement a long-term contract and asserts that it retroactively corrected the oversight through an amended contract.</w:t>
      </w:r>
      <w:r>
        <w:rPr>
          <w:rStyle w:val="FootnoteReference"/>
          <w:spacing w:val="-1"/>
        </w:rPr>
        <w:footnoteReference w:id="12"/>
      </w:r>
      <w:r>
        <w:rPr>
          <w:spacing w:val="-1"/>
          <w:szCs w:val="26"/>
        </w:rPr>
        <w:t xml:space="preserve"> </w:t>
      </w:r>
    </w:p>
    <w:p w:rsidR="004071E6" w:rsidP="00FE0B72" w:rsidRDefault="004071E6" w14:paraId="5D1F2F52" w14:textId="5538F740">
      <w:pPr>
        <w:pStyle w:val="Standard"/>
        <w:rPr>
          <w:spacing w:val="-1"/>
          <w:szCs w:val="26"/>
        </w:rPr>
      </w:pPr>
      <w:r>
        <w:rPr>
          <w:spacing w:val="-1"/>
          <w:szCs w:val="26"/>
        </w:rPr>
        <w:t xml:space="preserve">Regarding its waiver request, Gexa seeks </w:t>
      </w:r>
      <w:r>
        <w:t>a waiver of its PQR for Compliance Period 2 if the Commission does not reverse the Compliance Determination.</w:t>
      </w:r>
      <w:r w:rsidR="00DE25E9">
        <w:t xml:space="preserve"> </w:t>
      </w:r>
      <w:r>
        <w:t>Gexa claims it needs a waiver because the Compliance Determination found that Gexa cannot count any of its procured and retired RECs toward meeting its PQR.</w:t>
      </w:r>
      <w:r>
        <w:rPr>
          <w:rStyle w:val="FootnoteReference"/>
        </w:rPr>
        <w:footnoteReference w:id="13"/>
      </w:r>
      <w:r>
        <w:rPr>
          <w:spacing w:val="-1"/>
          <w:szCs w:val="26"/>
        </w:rPr>
        <w:t xml:space="preserve"> </w:t>
      </w:r>
      <w:r>
        <w:t>Gexa states that there must be some avenue for correcting an incorrect non-compliance determination and penalty assessment.</w:t>
      </w:r>
      <w:r>
        <w:rPr>
          <w:rStyle w:val="FootnoteReference"/>
        </w:rPr>
        <w:footnoteReference w:id="14"/>
      </w:r>
      <w:r>
        <w:t xml:space="preserve"> </w:t>
      </w:r>
    </w:p>
    <w:p w:rsidR="004071E6" w:rsidP="00FE0B72" w:rsidRDefault="004071E6" w14:paraId="106741B8" w14:textId="02EBBF20">
      <w:pPr>
        <w:pStyle w:val="Standard"/>
      </w:pPr>
      <w:r>
        <w:t xml:space="preserve">Gexa argues that a $3,704,675 penalty that would result from not counting any of </w:t>
      </w:r>
      <w:proofErr w:type="spellStart"/>
      <w:r>
        <w:t>Gexa’s</w:t>
      </w:r>
      <w:proofErr w:type="spellEnd"/>
      <w:r>
        <w:t xml:space="preserve"> RPS-eligible procurement is excessive given the reasonable efforts it took to comply and the fact that it did meet its RPS procurement requirements for the compliance period.</w:t>
      </w:r>
      <w:r>
        <w:rPr>
          <w:rStyle w:val="FootnoteReference"/>
          <w:spacing w:val="-1"/>
        </w:rPr>
        <w:footnoteReference w:id="15"/>
      </w:r>
      <w:r>
        <w:t xml:space="preserve"> First, Gexa argues that the Commission should find that it did execute the required long-term contract, and therefore it met its compliance obligations. Alternatively, Gexa requests that the Commission not impose a penalty of $3,704,675 based on equitable principles such as the severity of the offense, </w:t>
      </w:r>
      <w:proofErr w:type="spellStart"/>
      <w:r>
        <w:t>Gexa’s</w:t>
      </w:r>
      <w:proofErr w:type="spellEnd"/>
      <w:r>
        <w:t xml:space="preserve"> conduct, and its financial resources.</w:t>
      </w:r>
      <w:r w:rsidR="00DE25E9">
        <w:t xml:space="preserve"> </w:t>
      </w:r>
      <w:r>
        <w:t>In so doing, Gexa cites the Commission’s penalty decision interpreting the general penalty provision in the Pub</w:t>
      </w:r>
      <w:r w:rsidR="00DE25E9">
        <w:t>. Util.</w:t>
      </w:r>
      <w:r>
        <w:t xml:space="preserve"> Code Section 2107 rather than the RPS</w:t>
      </w:r>
      <w:r>
        <w:noBreakHyphen/>
        <w:t xml:space="preserve">specific penalty provisions </w:t>
      </w:r>
      <w:r>
        <w:lastRenderedPageBreak/>
        <w:t>in Pub</w:t>
      </w:r>
      <w:r w:rsidR="00DE25E9">
        <w:t>. Util.</w:t>
      </w:r>
      <w:r>
        <w:t xml:space="preserve"> Code Section 399.15.</w:t>
      </w:r>
      <w:r>
        <w:rPr>
          <w:rStyle w:val="FootnoteReference"/>
          <w:spacing w:val="-1"/>
        </w:rPr>
        <w:footnoteReference w:id="16"/>
      </w:r>
      <w:r>
        <w:t xml:space="preserve"> </w:t>
      </w:r>
      <w:r w:rsidR="00BC5393">
        <w:t>If the Commission denies the first two alternatives,</w:t>
      </w:r>
      <w:r w:rsidR="00AD3738">
        <w:t xml:space="preserve"> </w:t>
      </w:r>
      <w:r>
        <w:t>Gexa requests a hearing and the opportunity to present evidence that the Gexa REC Agreement is a long-term contract executed in accordance with D.12-06-038.</w:t>
      </w:r>
      <w:r>
        <w:rPr>
          <w:rStyle w:val="FootnoteReference"/>
        </w:rPr>
        <w:footnoteReference w:id="17"/>
      </w:r>
    </w:p>
    <w:p w:rsidR="004071E6" w:rsidP="00FE0B72" w:rsidRDefault="004071E6" w14:paraId="6450FD05" w14:textId="686E7676">
      <w:pPr>
        <w:pStyle w:val="Standard"/>
      </w:pPr>
      <w:r>
        <w:t xml:space="preserve">In its reply comments to </w:t>
      </w:r>
      <w:proofErr w:type="spellStart"/>
      <w:r>
        <w:t>CalWEA’s</w:t>
      </w:r>
      <w:proofErr w:type="spellEnd"/>
      <w:r>
        <w:t xml:space="preserve"> and TURN</w:t>
      </w:r>
      <w:r w:rsidR="00985AA6">
        <w:t>/ CUE</w:t>
      </w:r>
      <w:r>
        <w:t xml:space="preserve">’s opposition to the waiver motion, Gexa states that it procured a fixed quantity equal to 863 RECs and </w:t>
      </w:r>
      <w:r w:rsidRPr="00B706FE">
        <w:t xml:space="preserve">should not incur a penalty simply because it stopped </w:t>
      </w:r>
      <w:r>
        <w:t>serving customers during the compliance period.</w:t>
      </w:r>
      <w:r>
        <w:rPr>
          <w:rStyle w:val="FootnoteReference"/>
          <w:rFonts w:cs="Calibri"/>
        </w:rPr>
        <w:footnoteReference w:id="18"/>
      </w:r>
      <w:r w:rsidR="001F7E87">
        <w:t xml:space="preserve"> </w:t>
      </w:r>
      <w:r>
        <w:t xml:space="preserve">It argues that </w:t>
      </w:r>
      <w:proofErr w:type="spellStart"/>
      <w:r>
        <w:t>Gexa’s</w:t>
      </w:r>
      <w:proofErr w:type="spellEnd"/>
      <w:r>
        <w:t xml:space="preserve"> long-term contract is not required to be tied to a facility or support capital investments in renewable generation facilities.</w:t>
      </w:r>
      <w:r>
        <w:rPr>
          <w:rStyle w:val="FootnoteReference"/>
          <w:rFonts w:cs="Calibri"/>
        </w:rPr>
        <w:footnoteReference w:id="19"/>
      </w:r>
      <w:r>
        <w:t xml:space="preserve"> </w:t>
      </w:r>
    </w:p>
    <w:p w:rsidRPr="00F579C3" w:rsidR="004071E6" w:rsidP="00F953DA" w:rsidRDefault="001F7E87" w14:paraId="1207861B" w14:textId="6104719F">
      <w:pPr>
        <w:pStyle w:val="Heading2"/>
      </w:pPr>
      <w:bookmarkStart w:name="_Toc89343466" w:id="17"/>
      <w:bookmarkStart w:name="_Toc94610210" w:id="18"/>
      <w:r>
        <w:t>4.2.</w:t>
      </w:r>
      <w:r w:rsidR="00F8211D">
        <w:tab/>
      </w:r>
      <w:proofErr w:type="spellStart"/>
      <w:r w:rsidRPr="00F579C3" w:rsidR="004071E6">
        <w:t>CalWEA</w:t>
      </w:r>
      <w:proofErr w:type="spellEnd"/>
      <w:r w:rsidR="004071E6">
        <w:t xml:space="preserve">, </w:t>
      </w:r>
      <w:r w:rsidRPr="00F579C3" w:rsidR="004071E6">
        <w:t>CUE</w:t>
      </w:r>
      <w:r w:rsidR="004071E6">
        <w:t>,</w:t>
      </w:r>
      <w:r w:rsidRPr="00F579C3" w:rsidR="004071E6">
        <w:t xml:space="preserve"> and TURN</w:t>
      </w:r>
      <w:bookmarkEnd w:id="17"/>
      <w:bookmarkEnd w:id="18"/>
      <w:r w:rsidRPr="00F579C3" w:rsidR="004071E6">
        <w:t xml:space="preserve"> </w:t>
      </w:r>
    </w:p>
    <w:p w:rsidR="004071E6" w:rsidP="00FE0B72" w:rsidRDefault="004071E6" w14:paraId="45B072C1" w14:textId="19BF7A53">
      <w:pPr>
        <w:pStyle w:val="Standard"/>
        <w:rPr>
          <w:rFonts w:cs="Calibri"/>
          <w:sz w:val="22"/>
          <w:vertAlign w:val="superscript"/>
        </w:rPr>
      </w:pPr>
      <w:r>
        <w:t xml:space="preserve">The </w:t>
      </w:r>
      <w:proofErr w:type="spellStart"/>
      <w:r>
        <w:t>CalWEA</w:t>
      </w:r>
      <w:proofErr w:type="spellEnd"/>
      <w:r>
        <w:t xml:space="preserve"> and joint comments filed by CUE and TURN support Energy Division’s compliance determination and penalty imposition on Gexa.</w:t>
      </w:r>
      <w:r>
        <w:rPr>
          <w:rStyle w:val="FootnoteReference"/>
        </w:rPr>
        <w:footnoteReference w:id="20"/>
      </w:r>
      <w:r w:rsidR="001F7E87">
        <w:t xml:space="preserve"> </w:t>
      </w:r>
      <w:r>
        <w:rPr>
          <w:rStyle w:val="FootnoteReference"/>
        </w:rPr>
        <w:footnoteReference w:id="21"/>
      </w:r>
      <w:r>
        <w:t xml:space="preserve"> </w:t>
      </w:r>
      <w:r>
        <w:rPr>
          <w:rFonts w:cs="Calibri"/>
        </w:rPr>
        <w:t>Their comments assert that the long-term contracting requirement is a key feature of the RPS program and a primary requirement for demonstrating compliance.</w:t>
      </w:r>
    </w:p>
    <w:p w:rsidR="004071E6" w:rsidP="00FE0B72" w:rsidRDefault="004071E6" w14:paraId="1D2F31C1" w14:textId="480E87AF">
      <w:pPr>
        <w:pStyle w:val="Standard"/>
      </w:pPr>
      <w:proofErr w:type="spellStart"/>
      <w:r>
        <w:rPr>
          <w:spacing w:val="-1"/>
          <w:szCs w:val="26"/>
        </w:rPr>
        <w:t>CalWEA</w:t>
      </w:r>
      <w:proofErr w:type="spellEnd"/>
      <w:r>
        <w:rPr>
          <w:spacing w:val="-1"/>
          <w:szCs w:val="26"/>
        </w:rPr>
        <w:t xml:space="preserve"> states that </w:t>
      </w:r>
      <w:proofErr w:type="spellStart"/>
      <w:r>
        <w:t>Gexa’s</w:t>
      </w:r>
      <w:proofErr w:type="spellEnd"/>
      <w:r>
        <w:t xml:space="preserve"> contract with NextEra does not constitute a “long-term contract” as required by statute and the Commission’s rules and, </w:t>
      </w:r>
      <w:r>
        <w:lastRenderedPageBreak/>
        <w:t>therefore, it failed to meet its PQR for Compliance Period 2 (2014-2016).</w:t>
      </w:r>
      <w:r>
        <w:rPr>
          <w:rStyle w:val="FootnoteReference"/>
        </w:rPr>
        <w:footnoteReference w:id="22"/>
      </w:r>
      <w:r w:rsidR="001F7E87">
        <w:t xml:space="preserve"> </w:t>
      </w:r>
      <w:r>
        <w:t xml:space="preserve">It contends that </w:t>
      </w:r>
      <w:proofErr w:type="spellStart"/>
      <w:r>
        <w:t>Gexa’s</w:t>
      </w:r>
      <w:proofErr w:type="spellEnd"/>
      <w:r>
        <w:t xml:space="preserve"> contract did not establish known quantities of RECs to be delivered at known prices for at least 10 years because those quantities were conditioned on </w:t>
      </w:r>
      <w:proofErr w:type="spellStart"/>
      <w:r>
        <w:t>Gexa’s</w:t>
      </w:r>
      <w:proofErr w:type="spellEnd"/>
      <w:r>
        <w:t xml:space="preserve"> sales, which could reduce to zero without violating contract terms.</w:t>
      </w:r>
      <w:r w:rsidR="001F7E87">
        <w:t xml:space="preserve"> </w:t>
      </w:r>
      <w:proofErr w:type="spellStart"/>
      <w:r>
        <w:t>CalWEA</w:t>
      </w:r>
      <w:proofErr w:type="spellEnd"/>
      <w:r>
        <w:t xml:space="preserve"> further states that </w:t>
      </w:r>
      <w:proofErr w:type="spellStart"/>
      <w:r>
        <w:t>Gexa’s</w:t>
      </w:r>
      <w:proofErr w:type="spellEnd"/>
      <w:r>
        <w:t xml:space="preserve"> sales were reduced to zero sales six months after it executed the contract in December 2015, as Gexa exited the market after the second quarter of 2016.</w:t>
      </w:r>
      <w:r>
        <w:rPr>
          <w:rStyle w:val="FootnoteReference"/>
        </w:rPr>
        <w:footnoteReference w:id="23"/>
      </w:r>
      <w:r w:rsidR="00903129">
        <w:t xml:space="preserve"> </w:t>
      </w:r>
      <w:proofErr w:type="spellStart"/>
      <w:r>
        <w:t>CalWEA</w:t>
      </w:r>
      <w:proofErr w:type="spellEnd"/>
      <w:r>
        <w:t xml:space="preserve"> argues that </w:t>
      </w:r>
      <w:proofErr w:type="spellStart"/>
      <w:r>
        <w:t>Gexa’s</w:t>
      </w:r>
      <w:proofErr w:type="spellEnd"/>
      <w:r>
        <w:t xml:space="preserve"> contract cannot be construed as a “long-term” contract because it did not provide any revenue certainty over a 10-year term, necessary to support major capital investments.</w:t>
      </w:r>
      <w:r>
        <w:rPr>
          <w:rStyle w:val="FootnoteReference"/>
        </w:rPr>
        <w:footnoteReference w:id="24"/>
      </w:r>
      <w:r>
        <w:t xml:space="preserve"> </w:t>
      </w:r>
    </w:p>
    <w:p w:rsidRPr="00614E98" w:rsidR="004071E6" w:rsidP="00FE0B72" w:rsidRDefault="004071E6" w14:paraId="36947236" w14:textId="3D3896FD">
      <w:pPr>
        <w:pStyle w:val="Standard"/>
      </w:pPr>
      <w:proofErr w:type="spellStart"/>
      <w:r w:rsidRPr="00242EAF">
        <w:t>C</w:t>
      </w:r>
      <w:r>
        <w:t>al</w:t>
      </w:r>
      <w:r w:rsidRPr="00242EAF">
        <w:t>WEA</w:t>
      </w:r>
      <w:proofErr w:type="spellEnd"/>
      <w:r>
        <w:t xml:space="preserve"> opposes </w:t>
      </w:r>
      <w:proofErr w:type="spellStart"/>
      <w:r>
        <w:t>Gexa’s</w:t>
      </w:r>
      <w:proofErr w:type="spellEnd"/>
      <w:r>
        <w:t xml:space="preserve"> waiver request and argues that</w:t>
      </w:r>
      <w:r w:rsidRPr="00242EAF">
        <w:t xml:space="preserve"> </w:t>
      </w:r>
      <w:r>
        <w:t>Gexa</w:t>
      </w:r>
      <w:r w:rsidRPr="00242EAF">
        <w:t xml:space="preserve"> </w:t>
      </w:r>
      <w:r>
        <w:t xml:space="preserve">did </w:t>
      </w:r>
      <w:r w:rsidRPr="00242EAF">
        <w:t>not take all reasonable actions under its control to achieve full compliance, such as signing a valid long</w:t>
      </w:r>
      <w:r>
        <w:t>-</w:t>
      </w:r>
      <w:r w:rsidRPr="00242EAF">
        <w:t>term contract.</w:t>
      </w:r>
      <w:r>
        <w:rPr>
          <w:rStyle w:val="FootnoteReference"/>
          <w:rFonts w:cs="Calibri"/>
        </w:rPr>
        <w:footnoteReference w:id="25"/>
      </w:r>
      <w:r>
        <w:t xml:space="preserve"> </w:t>
      </w:r>
      <w:proofErr w:type="spellStart"/>
      <w:r>
        <w:t>CalWEA</w:t>
      </w:r>
      <w:proofErr w:type="spellEnd"/>
      <w:r>
        <w:t xml:space="preserve"> asserts that failing to enforce RPS compliance rules may encourage retail sellers to take greater compliance risks in the future, affecting the achievement of the state’s RPS and greenhouse-gas-reduction goals.</w:t>
      </w:r>
      <w:r>
        <w:rPr>
          <w:rStyle w:val="FootnoteReference"/>
          <w:rFonts w:cs="Calibri"/>
        </w:rPr>
        <w:footnoteReference w:id="26"/>
      </w:r>
      <w:r>
        <w:rPr>
          <w:rStyle w:val="FootnoteReference"/>
          <w:rFonts w:cs="Calibri"/>
        </w:rPr>
        <w:t xml:space="preserve"> </w:t>
      </w:r>
      <w:r>
        <w:t xml:space="preserve"> </w:t>
      </w:r>
      <w:r>
        <w:rPr>
          <w:rStyle w:val="FootnoteReference"/>
          <w:rFonts w:cs="Calibri"/>
        </w:rPr>
        <w:t xml:space="preserve"> </w:t>
      </w:r>
    </w:p>
    <w:p w:rsidR="001F7E87" w:rsidP="00FE0B72" w:rsidRDefault="004071E6" w14:paraId="33D17508" w14:textId="70C373F7">
      <w:pPr>
        <w:pStyle w:val="Standard"/>
      </w:pPr>
      <w:r>
        <w:t>In their joint comments, TURN</w:t>
      </w:r>
      <w:r w:rsidR="00985AA6">
        <w:t>/CUE</w:t>
      </w:r>
      <w:r>
        <w:t xml:space="preserve"> state that </w:t>
      </w:r>
      <w:proofErr w:type="spellStart"/>
      <w:r>
        <w:t>Gexa</w:t>
      </w:r>
      <w:proofErr w:type="spellEnd"/>
      <w:r>
        <w:t xml:space="preserve"> did not </w:t>
      </w:r>
      <w:r w:rsidRPr="006E5515">
        <w:t>establish an obligation to procure</w:t>
      </w:r>
      <w:r>
        <w:t xml:space="preserve"> </w:t>
      </w:r>
      <w:r w:rsidRPr="006E5515">
        <w:t xml:space="preserve">specific quantities of RPS-eligible resources over at least </w:t>
      </w:r>
    </w:p>
    <w:p w:rsidRPr="00EF2B06" w:rsidR="004071E6" w:rsidP="001F7E87" w:rsidRDefault="004071E6" w14:paraId="77EE44D3" w14:textId="1D30F8E6">
      <w:pPr>
        <w:pStyle w:val="standard0"/>
        <w:ind w:firstLine="0"/>
        <w:rPr>
          <w:rFonts w:ascii="Book Antiqua" w:hAnsi="Book Antiqua" w:eastAsiaTheme="minorHAnsi" w:cstheme="minorBidi"/>
          <w:szCs w:val="22"/>
        </w:rPr>
      </w:pPr>
      <w:r w:rsidRPr="00EF2B06">
        <w:rPr>
          <w:rFonts w:ascii="Book Antiqua" w:hAnsi="Book Antiqua" w:eastAsiaTheme="minorHAnsi" w:cstheme="minorBidi"/>
          <w:szCs w:val="22"/>
        </w:rPr>
        <w:t>10 years, and therefore it does not constitute a valid “long-term” commitment. TURN</w:t>
      </w:r>
      <w:r w:rsidR="00E470B1">
        <w:rPr>
          <w:rFonts w:ascii="Book Antiqua" w:hAnsi="Book Antiqua" w:eastAsiaTheme="minorHAnsi" w:cstheme="minorBidi"/>
          <w:szCs w:val="22"/>
        </w:rPr>
        <w:t>/ CUE</w:t>
      </w:r>
      <w:r w:rsidRPr="00EF2B06">
        <w:rPr>
          <w:rFonts w:ascii="Book Antiqua" w:hAnsi="Book Antiqua" w:eastAsiaTheme="minorHAnsi" w:cstheme="minorBidi"/>
          <w:szCs w:val="22"/>
        </w:rPr>
        <w:t xml:space="preserve"> argue that </w:t>
      </w:r>
      <w:proofErr w:type="spellStart"/>
      <w:r w:rsidRPr="00EF2B06">
        <w:rPr>
          <w:rFonts w:ascii="Book Antiqua" w:hAnsi="Book Antiqua" w:eastAsiaTheme="minorHAnsi" w:cstheme="minorBidi"/>
          <w:szCs w:val="22"/>
        </w:rPr>
        <w:t>Gexa’s</w:t>
      </w:r>
      <w:proofErr w:type="spellEnd"/>
      <w:r w:rsidRPr="00EF2B06">
        <w:rPr>
          <w:rFonts w:ascii="Book Antiqua" w:hAnsi="Book Antiqua" w:eastAsiaTheme="minorHAnsi" w:cstheme="minorBidi"/>
          <w:szCs w:val="22"/>
        </w:rPr>
        <w:t xml:space="preserve"> contract is limited to the transfer of unbundled RECs, which are statutorily ineligible to satisfy 65</w:t>
      </w:r>
      <w:r w:rsidR="00BC5393">
        <w:rPr>
          <w:rFonts w:ascii="Book Antiqua" w:hAnsi="Book Antiqua" w:eastAsiaTheme="minorHAnsi" w:cstheme="minorBidi"/>
          <w:szCs w:val="22"/>
        </w:rPr>
        <w:t xml:space="preserve"> percent</w:t>
      </w:r>
      <w:r w:rsidRPr="00EF2B06">
        <w:rPr>
          <w:rFonts w:ascii="Book Antiqua" w:hAnsi="Book Antiqua" w:eastAsiaTheme="minorHAnsi" w:cstheme="minorBidi"/>
          <w:szCs w:val="22"/>
        </w:rPr>
        <w:t xml:space="preserve"> of </w:t>
      </w:r>
      <w:proofErr w:type="spellStart"/>
      <w:r w:rsidRPr="00EF2B06">
        <w:rPr>
          <w:rFonts w:ascii="Book Antiqua" w:hAnsi="Book Antiqua" w:eastAsiaTheme="minorHAnsi" w:cstheme="minorBidi"/>
          <w:szCs w:val="22"/>
        </w:rPr>
        <w:t>Gexa’s</w:t>
      </w:r>
      <w:proofErr w:type="spellEnd"/>
      <w:r w:rsidRPr="00EF2B06">
        <w:rPr>
          <w:rFonts w:ascii="Book Antiqua" w:hAnsi="Book Antiqua" w:eastAsiaTheme="minorHAnsi" w:cstheme="minorBidi"/>
          <w:szCs w:val="22"/>
        </w:rPr>
        <w:t xml:space="preserve"> post-2020 </w:t>
      </w:r>
      <w:r w:rsidRPr="00EF2B06">
        <w:rPr>
          <w:rFonts w:ascii="Book Antiqua" w:hAnsi="Book Antiqua" w:eastAsiaTheme="minorHAnsi" w:cstheme="minorBidi"/>
          <w:szCs w:val="22"/>
        </w:rPr>
        <w:lastRenderedPageBreak/>
        <w:t>RPS compliance obligations.</w:t>
      </w:r>
      <w:r w:rsidRPr="00EF2B06" w:rsidR="001F7E87">
        <w:rPr>
          <w:rFonts w:ascii="Book Antiqua" w:hAnsi="Book Antiqua" w:eastAsiaTheme="minorHAnsi" w:cstheme="minorBidi"/>
          <w:szCs w:val="22"/>
        </w:rPr>
        <w:t xml:space="preserve"> </w:t>
      </w:r>
      <w:r w:rsidRPr="00EF2B06">
        <w:rPr>
          <w:rFonts w:ascii="Book Antiqua" w:hAnsi="Book Antiqua" w:eastAsiaTheme="minorHAnsi" w:cstheme="minorBidi"/>
          <w:szCs w:val="22"/>
        </w:rPr>
        <w:t>They state that the contract included an early termination provision that allowed Gexa to exit during Compliance Periods 2 and 3 without penalty.</w:t>
      </w:r>
      <w:r w:rsidRPr="00EF2B06" w:rsidR="001F7E87">
        <w:rPr>
          <w:rFonts w:ascii="Book Antiqua" w:hAnsi="Book Antiqua" w:eastAsiaTheme="minorHAnsi" w:cstheme="minorBidi"/>
          <w:szCs w:val="22"/>
        </w:rPr>
        <w:t xml:space="preserve"> </w:t>
      </w:r>
      <w:r w:rsidRPr="00EF2B06">
        <w:rPr>
          <w:rFonts w:ascii="Book Antiqua" w:hAnsi="Book Antiqua" w:eastAsiaTheme="minorHAnsi" w:cstheme="minorBidi"/>
          <w:szCs w:val="22"/>
        </w:rPr>
        <w:t>In opposition to the penalty waiver, TURN</w:t>
      </w:r>
      <w:r w:rsidR="00E470B1">
        <w:rPr>
          <w:rFonts w:ascii="Book Antiqua" w:hAnsi="Book Antiqua" w:eastAsiaTheme="minorHAnsi" w:cstheme="minorBidi"/>
          <w:szCs w:val="22"/>
        </w:rPr>
        <w:t xml:space="preserve">/ </w:t>
      </w:r>
      <w:proofErr w:type="spellStart"/>
      <w:r w:rsidR="00E470B1">
        <w:rPr>
          <w:rFonts w:ascii="Book Antiqua" w:hAnsi="Book Antiqua" w:eastAsiaTheme="minorHAnsi" w:cstheme="minorBidi"/>
          <w:szCs w:val="22"/>
        </w:rPr>
        <w:t>CUE</w:t>
      </w:r>
      <w:r w:rsidRPr="00EF2B06">
        <w:rPr>
          <w:rFonts w:ascii="Book Antiqua" w:hAnsi="Book Antiqua" w:eastAsiaTheme="minorHAnsi" w:cstheme="minorBidi"/>
          <w:szCs w:val="22"/>
        </w:rPr>
        <w:t>states</w:t>
      </w:r>
      <w:proofErr w:type="spellEnd"/>
      <w:r w:rsidRPr="00EF2B06">
        <w:rPr>
          <w:rFonts w:ascii="Book Antiqua" w:hAnsi="Book Antiqua" w:eastAsiaTheme="minorHAnsi" w:cstheme="minorBidi"/>
          <w:szCs w:val="22"/>
        </w:rPr>
        <w:t xml:space="preserve"> that it would be inappropriate to permit retail sellers to avoid non-compliance penalties through “retroactive” modifications to existing contracts.</w:t>
      </w:r>
      <w:r w:rsidRPr="00EF2B06">
        <w:rPr>
          <w:rFonts w:ascii="Book Antiqua" w:hAnsi="Book Antiqua" w:eastAsiaTheme="minorHAnsi" w:cstheme="minorBidi"/>
          <w:szCs w:val="22"/>
          <w:vertAlign w:val="superscript"/>
        </w:rPr>
        <w:footnoteReference w:id="27"/>
      </w:r>
    </w:p>
    <w:p w:rsidRPr="00144F61" w:rsidR="004071E6" w:rsidP="001F7E87" w:rsidRDefault="004071E6" w14:paraId="0AD3503C" w14:textId="358249D6">
      <w:pPr>
        <w:pStyle w:val="Heading1"/>
      </w:pPr>
      <w:bookmarkStart w:name="_Toc89343467" w:id="19"/>
      <w:bookmarkStart w:name="_Toc94610211" w:id="20"/>
      <w:r w:rsidRPr="00144F61">
        <w:t>Discussion</w:t>
      </w:r>
      <w:bookmarkEnd w:id="19"/>
      <w:bookmarkEnd w:id="20"/>
      <w:r w:rsidRPr="00144F61">
        <w:t xml:space="preserve"> </w:t>
      </w:r>
    </w:p>
    <w:p w:rsidR="00284948" w:rsidP="00FE0B72" w:rsidRDefault="004071E6" w14:paraId="0486FC64" w14:textId="17B58937">
      <w:pPr>
        <w:pStyle w:val="Standard"/>
      </w:pPr>
      <w:r>
        <w:t xml:space="preserve">We have reviewed all evidence and argument submitted by Gexa, comments filed by </w:t>
      </w:r>
      <w:proofErr w:type="spellStart"/>
      <w:r>
        <w:t>CalWEA</w:t>
      </w:r>
      <w:proofErr w:type="spellEnd"/>
      <w:r>
        <w:t>, TURN</w:t>
      </w:r>
      <w:r w:rsidR="00E470B1">
        <w:t>/ CUE</w:t>
      </w:r>
      <w:r>
        <w:t xml:space="preserve">, and </w:t>
      </w:r>
      <w:proofErr w:type="spellStart"/>
      <w:r>
        <w:t>Gexa’s</w:t>
      </w:r>
      <w:proofErr w:type="spellEnd"/>
      <w:r>
        <w:t xml:space="preserve"> reply comments.</w:t>
      </w:r>
      <w:r w:rsidR="001F7E87">
        <w:t xml:space="preserve"> </w:t>
      </w:r>
      <w:r w:rsidRPr="00322A9F">
        <w:t xml:space="preserve">The Commission </w:t>
      </w:r>
      <w:r>
        <w:t xml:space="preserve">finds that Gexa met its procurement quantity requirement for the Compliance Period 2014-2016 and retired sufficient </w:t>
      </w:r>
      <w:proofErr w:type="spellStart"/>
      <w:r>
        <w:t>RECs.</w:t>
      </w:r>
      <w:proofErr w:type="spellEnd"/>
      <w:r>
        <w:t xml:space="preserve"> Energy Division staff </w:t>
      </w:r>
      <w:r w:rsidRPr="001F7E87">
        <w:t xml:space="preserve">reasonably found that the Gexa REC Agreement was unclear on the start and </w:t>
      </w:r>
    </w:p>
    <w:p w:rsidR="00284948" w:rsidP="00284948" w:rsidRDefault="004071E6" w14:paraId="21866FC5" w14:textId="59CC8EED">
      <w:pPr>
        <w:ind w:firstLine="0"/>
        <w:contextualSpacing/>
        <w:rPr>
          <w:szCs w:val="26"/>
        </w:rPr>
      </w:pPr>
      <w:r w:rsidRPr="001F7E87">
        <w:rPr>
          <w:szCs w:val="26"/>
        </w:rPr>
        <w:t xml:space="preserve">end date of the contract. However, we find that, although the terms are not as straightforward as they should be, the Gexa REC Agreement allows Gexa the right to procure the necessary quantity of RECs for a period over at least </w:t>
      </w:r>
    </w:p>
    <w:p w:rsidR="00284948" w:rsidP="00284948" w:rsidRDefault="00284948" w14:paraId="220D8BA7" w14:textId="77777777">
      <w:pPr>
        <w:ind w:firstLine="0"/>
        <w:contextualSpacing/>
        <w:rPr>
          <w:szCs w:val="26"/>
        </w:rPr>
      </w:pPr>
      <w:r>
        <w:rPr>
          <w:szCs w:val="26"/>
        </w:rPr>
        <w:t>10</w:t>
      </w:r>
      <w:r w:rsidRPr="001F7E87" w:rsidR="004071E6">
        <w:rPr>
          <w:szCs w:val="26"/>
        </w:rPr>
        <w:t xml:space="preserve"> years, and we accept it as a long term contract for Compliance Period </w:t>
      </w:r>
    </w:p>
    <w:p w:rsidRPr="001F7E87" w:rsidR="004071E6" w:rsidP="00284948" w:rsidRDefault="004071E6" w14:paraId="67B9D1C1" w14:textId="3D7A90B0">
      <w:pPr>
        <w:ind w:firstLine="0"/>
        <w:contextualSpacing/>
        <w:rPr>
          <w:szCs w:val="26"/>
        </w:rPr>
      </w:pPr>
      <w:r w:rsidRPr="001F7E87">
        <w:rPr>
          <w:szCs w:val="26"/>
        </w:rPr>
        <w:t xml:space="preserve">2014-2016. </w:t>
      </w:r>
    </w:p>
    <w:p w:rsidRPr="001F7E87" w:rsidR="004071E6" w:rsidP="00FE0B72" w:rsidRDefault="004071E6" w14:paraId="5EB0CFA6" w14:textId="117A2867">
      <w:pPr>
        <w:pStyle w:val="Standard"/>
      </w:pPr>
      <w:r w:rsidRPr="001F7E87">
        <w:t>Our rules do not authorize retroactive amendments to contract language during the compliance period and/or after the compliance filing.</w:t>
      </w:r>
      <w:r w:rsidR="001F7E87">
        <w:t xml:space="preserve"> </w:t>
      </w:r>
      <w:r w:rsidRPr="001F7E87">
        <w:t xml:space="preserve">Accordingly, the Commission finds that by excluding non-modifiable standard terms and conditions, Gexa was out of compliance with the requirement to include the </w:t>
      </w:r>
      <w:r w:rsidR="00BC5393">
        <w:t>non-modifiable standard terms and conditions</w:t>
      </w:r>
      <w:r w:rsidRPr="001F7E87">
        <w:t xml:space="preserve"> in its contract.</w:t>
      </w:r>
      <w:r w:rsidRPr="001F7E87">
        <w:rPr>
          <w:rStyle w:val="FootnoteReference"/>
        </w:rPr>
        <w:footnoteReference w:id="28"/>
      </w:r>
      <w:r w:rsidRPr="001F7E87">
        <w:t xml:space="preserve"> </w:t>
      </w:r>
    </w:p>
    <w:p w:rsidRPr="001F7E87" w:rsidR="004071E6" w:rsidP="00FE0B72" w:rsidRDefault="004071E6" w14:paraId="401AFAC8" w14:textId="28A0AD5B">
      <w:pPr>
        <w:pStyle w:val="Standard"/>
      </w:pPr>
      <w:r w:rsidRPr="001F7E87">
        <w:t>We impose a fine for the period that the REC Agreement</w:t>
      </w:r>
      <w:r w:rsidR="00BC5393">
        <w:t xml:space="preserve"> underlying </w:t>
      </w:r>
      <w:proofErr w:type="spellStart"/>
      <w:r w:rsidR="00BC5393">
        <w:t>Gexa’s</w:t>
      </w:r>
      <w:proofErr w:type="spellEnd"/>
      <w:r w:rsidR="00BC5393">
        <w:t xml:space="preserve"> Compliance Report</w:t>
      </w:r>
      <w:r w:rsidRPr="001F7E87">
        <w:t xml:space="preserve"> was out of compliance with the applicable RPS </w:t>
      </w:r>
      <w:r w:rsidRPr="001F7E87">
        <w:lastRenderedPageBreak/>
        <w:t>program rules.</w:t>
      </w:r>
      <w:r w:rsidR="001F7E87">
        <w:t xml:space="preserve"> </w:t>
      </w:r>
      <w:r w:rsidRPr="001F7E87">
        <w:t xml:space="preserve">We do not see a need to conduct hearings on this matter and deny </w:t>
      </w:r>
      <w:proofErr w:type="spellStart"/>
      <w:r w:rsidRPr="001F7E87">
        <w:t>Gexa’s</w:t>
      </w:r>
      <w:proofErr w:type="spellEnd"/>
      <w:r w:rsidRPr="001F7E87">
        <w:t xml:space="preserve"> request.</w:t>
      </w:r>
    </w:p>
    <w:p w:rsidR="004071E6" w:rsidP="00F953DA" w:rsidRDefault="001F7E87" w14:paraId="66139E93" w14:textId="722A7F84">
      <w:pPr>
        <w:pStyle w:val="Heading2"/>
      </w:pPr>
      <w:bookmarkStart w:name="_Toc89343468" w:id="21"/>
      <w:bookmarkStart w:name="_Toc94610212" w:id="22"/>
      <w:r>
        <w:t>5.1.</w:t>
      </w:r>
      <w:r w:rsidR="00F8211D">
        <w:tab/>
      </w:r>
      <w:r w:rsidRPr="002C4E20" w:rsidR="004071E6">
        <w:t>Standard Terms and Conditions</w:t>
      </w:r>
      <w:bookmarkEnd w:id="21"/>
      <w:r w:rsidRPr="002C4E20" w:rsidR="004071E6">
        <w:t xml:space="preserve"> </w:t>
      </w:r>
      <w:r w:rsidR="004071E6">
        <w:t>(STC)</w:t>
      </w:r>
      <w:bookmarkEnd w:id="22"/>
    </w:p>
    <w:p w:rsidR="00F42A9A" w:rsidP="00E91A0E" w:rsidRDefault="004071E6" w14:paraId="6129BCB7" w14:textId="6A31F4A6">
      <w:pPr>
        <w:pStyle w:val="Standard"/>
      </w:pPr>
      <w:r w:rsidRPr="003F4B0C">
        <w:t xml:space="preserve">Pursuant to D.08-04-009, D.10-03-021, D.11-01-025, </w:t>
      </w:r>
      <w:r w:rsidR="00FF544A">
        <w:t xml:space="preserve">and </w:t>
      </w:r>
      <w:r w:rsidRPr="003F4B0C">
        <w:t xml:space="preserve">D.13-11-024, regardless of whether the procurement is from short-term or long-term contracts, retail sellers are required to include the applicable non-modifiable standard terms and conditions during contract execution. Gexa retroactively added the </w:t>
      </w:r>
    </w:p>
    <w:p w:rsidRPr="003F4B0C" w:rsidR="004071E6" w:rsidP="00F42A9A" w:rsidRDefault="004071E6" w14:paraId="19B75807" w14:textId="53B7428B">
      <w:pPr>
        <w:pStyle w:val="sub2"/>
        <w:ind w:firstLine="0"/>
        <w:rPr>
          <w:rFonts w:ascii="Book Antiqua" w:hAnsi="Book Antiqua"/>
        </w:rPr>
      </w:pPr>
      <w:r w:rsidRPr="003F4B0C">
        <w:rPr>
          <w:rFonts w:ascii="Book Antiqua" w:hAnsi="Book Antiqua"/>
        </w:rPr>
        <w:t>non-modifiable and the modifiable standard terms and conditions to its contract after the Compliance Period had closed.</w:t>
      </w:r>
      <w:r w:rsidRPr="003F4B0C">
        <w:rPr>
          <w:rStyle w:val="FootnoteReference"/>
          <w:rFonts w:ascii="Book Antiqua" w:hAnsi="Book Antiqua"/>
        </w:rPr>
        <w:footnoteReference w:id="29"/>
      </w:r>
      <w:r w:rsidRPr="003F4B0C">
        <w:rPr>
          <w:rFonts w:ascii="Book Antiqua" w:hAnsi="Book Antiqua"/>
        </w:rPr>
        <w:t xml:space="preserve">  </w:t>
      </w:r>
    </w:p>
    <w:p w:rsidRPr="003F4B0C" w:rsidR="004071E6" w:rsidP="00FE0B72" w:rsidRDefault="004071E6" w14:paraId="29B8CA3A" w14:textId="59D60823">
      <w:pPr>
        <w:pStyle w:val="Standard"/>
      </w:pPr>
      <w:r w:rsidRPr="003F4B0C">
        <w:t>Our rules require the model contract initially used by each load-serving entity to solicit bids or seek projects for RPS compliance to contain all standard terms and conditions.</w:t>
      </w:r>
      <w:r w:rsidRPr="003F4B0C">
        <w:rPr>
          <w:rStyle w:val="FootnoteReference"/>
        </w:rPr>
        <w:footnoteReference w:id="30"/>
      </w:r>
      <w:r w:rsidRPr="003F4B0C">
        <w:t xml:space="preserve"> The rules further state that a buyer and seller may not modify the non-modifiable standard terms and conditions but may negotiate and modify the modifiable standard terms and conditions (or delete modifiable standard terms and conditions when </w:t>
      </w:r>
      <w:r w:rsidR="005B075F">
        <w:t>they are</w:t>
      </w:r>
      <w:r w:rsidRPr="003F4B0C">
        <w:t xml:space="preserve"> not applicable).</w:t>
      </w:r>
      <w:r w:rsidRPr="003F4B0C">
        <w:rPr>
          <w:rStyle w:val="FootnoteReference"/>
        </w:rPr>
        <w:footnoteReference w:id="31"/>
      </w:r>
      <w:r w:rsidRPr="003F4B0C">
        <w:t xml:space="preserve"> Any changes to the modifiable terms still have to comply with all applicable laws. </w:t>
      </w:r>
    </w:p>
    <w:p w:rsidR="004071E6" w:rsidP="00FE0B72" w:rsidRDefault="004071E6" w14:paraId="3132EA10" w14:textId="3A1D530B">
      <w:pPr>
        <w:pStyle w:val="Standard"/>
      </w:pPr>
      <w:r w:rsidRPr="003F4B0C">
        <w:t xml:space="preserve">Table 1 lists the applicable non-modifiable standard terms and conditions omitted in </w:t>
      </w:r>
      <w:proofErr w:type="spellStart"/>
      <w:r w:rsidRPr="003F4B0C">
        <w:t>Gexa’s</w:t>
      </w:r>
      <w:proofErr w:type="spellEnd"/>
      <w:r w:rsidRPr="003F4B0C">
        <w:t xml:space="preserve"> REC Agreement, the relevant section, and the amendment date. </w:t>
      </w:r>
    </w:p>
    <w:p w:rsidR="00DB1DBF" w:rsidP="00FE0B72" w:rsidRDefault="00DB1DBF" w14:paraId="120797B4" w14:textId="2F2E187F">
      <w:pPr>
        <w:pStyle w:val="Standard"/>
      </w:pPr>
    </w:p>
    <w:p w:rsidR="00DB1DBF" w:rsidP="00FE0B72" w:rsidRDefault="00DB1DBF" w14:paraId="166E98B4" w14:textId="48010BEA">
      <w:pPr>
        <w:pStyle w:val="Standard"/>
      </w:pPr>
    </w:p>
    <w:p w:rsidRPr="003F4B0C" w:rsidR="00DB1DBF" w:rsidP="00FE0B72" w:rsidRDefault="00DB1DBF" w14:paraId="6B32EBA5" w14:textId="77777777">
      <w:pPr>
        <w:pStyle w:val="Standard"/>
      </w:pPr>
    </w:p>
    <w:p w:rsidRPr="003F4B0C" w:rsidR="004071E6" w:rsidP="00F42A9A" w:rsidRDefault="004071E6" w14:paraId="094A3D3C" w14:textId="6A6021E1">
      <w:pPr>
        <w:pStyle w:val="sub2"/>
        <w:spacing w:after="120" w:line="240" w:lineRule="auto"/>
        <w:contextualSpacing/>
        <w:jc w:val="center"/>
        <w:rPr>
          <w:rFonts w:ascii="Book Antiqua" w:hAnsi="Book Antiqua"/>
          <w:b/>
          <w:bCs/>
          <w:szCs w:val="26"/>
        </w:rPr>
      </w:pPr>
      <w:r w:rsidRPr="003F4B0C">
        <w:rPr>
          <w:rFonts w:ascii="Book Antiqua" w:hAnsi="Book Antiqua"/>
          <w:b/>
          <w:bCs/>
          <w:szCs w:val="26"/>
        </w:rPr>
        <w:lastRenderedPageBreak/>
        <w:t xml:space="preserve">Table 1: </w:t>
      </w:r>
      <w:r w:rsidR="00F42A9A">
        <w:rPr>
          <w:rFonts w:ascii="Book Antiqua" w:hAnsi="Book Antiqua"/>
          <w:b/>
          <w:bCs/>
          <w:szCs w:val="26"/>
        </w:rPr>
        <w:t xml:space="preserve"> </w:t>
      </w:r>
      <w:r w:rsidRPr="003F4B0C">
        <w:rPr>
          <w:rFonts w:ascii="Book Antiqua" w:hAnsi="Book Antiqua"/>
          <w:b/>
          <w:bCs/>
          <w:szCs w:val="26"/>
        </w:rPr>
        <w:t xml:space="preserve">Amendments to Non-Modifiable Terms and Conditions in </w:t>
      </w:r>
      <w:proofErr w:type="spellStart"/>
      <w:r w:rsidRPr="003F4B0C">
        <w:rPr>
          <w:rFonts w:ascii="Book Antiqua" w:hAnsi="Book Antiqua"/>
          <w:b/>
          <w:bCs/>
          <w:szCs w:val="26"/>
        </w:rPr>
        <w:t>Gexa's</w:t>
      </w:r>
      <w:proofErr w:type="spellEnd"/>
      <w:r w:rsidRPr="003F4B0C">
        <w:rPr>
          <w:rFonts w:ascii="Book Antiqua" w:hAnsi="Book Antiqua"/>
          <w:b/>
          <w:bCs/>
          <w:szCs w:val="26"/>
        </w:rPr>
        <w:t xml:space="preserve"> REC Agreement</w:t>
      </w:r>
    </w:p>
    <w:tbl>
      <w:tblPr>
        <w:tblStyle w:val="TableGrid"/>
        <w:tblW w:w="0" w:type="auto"/>
        <w:jc w:val="center"/>
        <w:tblLook w:val="04A0" w:firstRow="1" w:lastRow="0" w:firstColumn="1" w:lastColumn="0" w:noHBand="0" w:noVBand="1"/>
      </w:tblPr>
      <w:tblGrid>
        <w:gridCol w:w="4585"/>
        <w:gridCol w:w="4390"/>
      </w:tblGrid>
      <w:tr w:rsidRPr="003F4B0C" w:rsidR="004071E6" w:rsidTr="00F848F8" w14:paraId="35F97FE7" w14:textId="77777777">
        <w:trPr>
          <w:trHeight w:val="309"/>
          <w:jc w:val="center"/>
        </w:trPr>
        <w:tc>
          <w:tcPr>
            <w:tcW w:w="4585" w:type="dxa"/>
          </w:tcPr>
          <w:p w:rsidRPr="003F4B0C" w:rsidR="004071E6" w:rsidP="00F42A9A" w:rsidRDefault="004071E6" w14:paraId="001BDCF9" w14:textId="77777777">
            <w:pPr>
              <w:spacing w:line="240" w:lineRule="auto"/>
              <w:ind w:firstLine="0"/>
              <w:jc w:val="center"/>
              <w:rPr>
                <w:rFonts w:cs="Calibri"/>
                <w:b/>
                <w:bCs/>
                <w:szCs w:val="26"/>
              </w:rPr>
            </w:pPr>
            <w:r w:rsidRPr="003F4B0C">
              <w:rPr>
                <w:rFonts w:cs="Calibri"/>
                <w:b/>
                <w:bCs/>
                <w:szCs w:val="26"/>
              </w:rPr>
              <w:t>Non-Modifiable Standard Terms and Conditions</w:t>
            </w:r>
          </w:p>
        </w:tc>
        <w:tc>
          <w:tcPr>
            <w:tcW w:w="4390" w:type="dxa"/>
          </w:tcPr>
          <w:p w:rsidRPr="003F4B0C" w:rsidR="004071E6" w:rsidP="00F42A9A" w:rsidRDefault="004071E6" w14:paraId="47F8FC72" w14:textId="77777777">
            <w:pPr>
              <w:spacing w:line="240" w:lineRule="auto"/>
              <w:ind w:firstLine="0"/>
              <w:jc w:val="center"/>
              <w:rPr>
                <w:rFonts w:cs="Calibri"/>
                <w:b/>
                <w:bCs/>
                <w:szCs w:val="26"/>
              </w:rPr>
            </w:pPr>
            <w:r w:rsidRPr="003F4B0C">
              <w:rPr>
                <w:rFonts w:cs="Calibri"/>
                <w:b/>
                <w:bCs/>
                <w:szCs w:val="26"/>
              </w:rPr>
              <w:t>Amended on 6/12/2019 &amp; Section of Gexa Contract</w:t>
            </w:r>
            <w:r w:rsidRPr="003F4B0C">
              <w:rPr>
                <w:rStyle w:val="FootnoteReference"/>
                <w:rFonts w:cs="TimesNewRoman"/>
                <w:szCs w:val="26"/>
              </w:rPr>
              <w:footnoteReference w:id="32"/>
            </w:r>
          </w:p>
        </w:tc>
      </w:tr>
      <w:tr w:rsidRPr="003F4B0C" w:rsidR="004071E6" w:rsidTr="00F848F8" w14:paraId="70354372" w14:textId="77777777">
        <w:trPr>
          <w:trHeight w:val="293"/>
          <w:jc w:val="center"/>
        </w:trPr>
        <w:tc>
          <w:tcPr>
            <w:tcW w:w="4585" w:type="dxa"/>
            <w:vAlign w:val="center"/>
          </w:tcPr>
          <w:p w:rsidRPr="003F4B0C" w:rsidR="004071E6" w:rsidP="00F42A9A" w:rsidRDefault="004071E6" w14:paraId="3FAC84A7" w14:textId="77777777">
            <w:pPr>
              <w:spacing w:line="240" w:lineRule="auto"/>
              <w:ind w:firstLine="0"/>
              <w:rPr>
                <w:rFonts w:cs="Calibri"/>
                <w:szCs w:val="26"/>
              </w:rPr>
            </w:pPr>
            <w:r w:rsidRPr="003F4B0C">
              <w:rPr>
                <w:rFonts w:cs="Calibri"/>
                <w:szCs w:val="26"/>
              </w:rPr>
              <w:t>STC 1. Transfer of RECs</w:t>
            </w:r>
          </w:p>
        </w:tc>
        <w:tc>
          <w:tcPr>
            <w:tcW w:w="4390" w:type="dxa"/>
          </w:tcPr>
          <w:p w:rsidRPr="003F4B0C" w:rsidR="004071E6" w:rsidP="00F42A9A" w:rsidRDefault="004071E6" w14:paraId="5869DC4C" w14:textId="77777777">
            <w:pPr>
              <w:autoSpaceDE w:val="0"/>
              <w:autoSpaceDN w:val="0"/>
              <w:adjustRightInd w:val="0"/>
              <w:spacing w:line="240" w:lineRule="auto"/>
              <w:ind w:firstLine="0"/>
              <w:rPr>
                <w:rFonts w:cs="TimesNewRoman"/>
                <w:szCs w:val="26"/>
              </w:rPr>
            </w:pPr>
            <w:r w:rsidRPr="003F4B0C">
              <w:rPr>
                <w:rFonts w:cs="TimesNewRoman"/>
                <w:szCs w:val="26"/>
              </w:rPr>
              <w:t xml:space="preserve">Section 9(b) of the Master Agreement, as </w:t>
            </w:r>
            <w:r w:rsidRPr="003F4B0C">
              <w:rPr>
                <w:rFonts w:cs="TimesNewRoman"/>
                <w:b/>
                <w:bCs/>
                <w:szCs w:val="26"/>
              </w:rPr>
              <w:t>added</w:t>
            </w:r>
            <w:r w:rsidRPr="003F4B0C">
              <w:rPr>
                <w:rFonts w:cs="TimesNewRoman"/>
                <w:szCs w:val="26"/>
              </w:rPr>
              <w:t xml:space="preserve"> in the First Amendment.</w:t>
            </w:r>
          </w:p>
        </w:tc>
      </w:tr>
      <w:tr w:rsidRPr="003F4B0C" w:rsidR="004071E6" w:rsidTr="00F848F8" w14:paraId="15D57914" w14:textId="77777777">
        <w:trPr>
          <w:trHeight w:val="309"/>
          <w:jc w:val="center"/>
        </w:trPr>
        <w:tc>
          <w:tcPr>
            <w:tcW w:w="4585" w:type="dxa"/>
            <w:vAlign w:val="center"/>
          </w:tcPr>
          <w:p w:rsidRPr="003F4B0C" w:rsidR="004071E6" w:rsidP="00F42A9A" w:rsidRDefault="004071E6" w14:paraId="46696593" w14:textId="77777777">
            <w:pPr>
              <w:spacing w:line="240" w:lineRule="auto"/>
              <w:ind w:firstLine="0"/>
              <w:rPr>
                <w:rFonts w:cs="Calibri"/>
                <w:szCs w:val="26"/>
              </w:rPr>
            </w:pPr>
            <w:r w:rsidRPr="003F4B0C">
              <w:rPr>
                <w:rFonts w:cs="Calibri"/>
                <w:szCs w:val="26"/>
              </w:rPr>
              <w:t>STC 2. Tracking of RECs in WREGIS</w:t>
            </w:r>
          </w:p>
        </w:tc>
        <w:tc>
          <w:tcPr>
            <w:tcW w:w="4390" w:type="dxa"/>
          </w:tcPr>
          <w:p w:rsidRPr="003F4B0C" w:rsidR="004071E6" w:rsidP="00F42A9A" w:rsidRDefault="004071E6" w14:paraId="546A874D" w14:textId="77777777">
            <w:pPr>
              <w:autoSpaceDE w:val="0"/>
              <w:autoSpaceDN w:val="0"/>
              <w:adjustRightInd w:val="0"/>
              <w:spacing w:line="240" w:lineRule="auto"/>
              <w:ind w:firstLine="0"/>
              <w:rPr>
                <w:rFonts w:cs="Calibri"/>
                <w:b/>
                <w:bCs/>
                <w:szCs w:val="26"/>
              </w:rPr>
            </w:pPr>
            <w:r w:rsidRPr="003F4B0C">
              <w:rPr>
                <w:rFonts w:cs="TimesNewRoman"/>
                <w:szCs w:val="26"/>
              </w:rPr>
              <w:t xml:space="preserve">Section 9(c) of the Master Agreement, as </w:t>
            </w:r>
            <w:r w:rsidRPr="003F4B0C">
              <w:rPr>
                <w:rFonts w:cs="TimesNewRoman"/>
                <w:b/>
                <w:bCs/>
                <w:szCs w:val="26"/>
              </w:rPr>
              <w:t>added</w:t>
            </w:r>
            <w:r w:rsidRPr="003F4B0C">
              <w:rPr>
                <w:rFonts w:cs="TimesNewRoman"/>
                <w:szCs w:val="26"/>
              </w:rPr>
              <w:t xml:space="preserve"> in the First Amendment.</w:t>
            </w:r>
          </w:p>
        </w:tc>
      </w:tr>
      <w:tr w:rsidRPr="003F4B0C" w:rsidR="004071E6" w:rsidTr="00F848F8" w14:paraId="5B31D171" w14:textId="77777777">
        <w:trPr>
          <w:trHeight w:val="620"/>
          <w:jc w:val="center"/>
        </w:trPr>
        <w:tc>
          <w:tcPr>
            <w:tcW w:w="4585" w:type="dxa"/>
            <w:vAlign w:val="center"/>
          </w:tcPr>
          <w:p w:rsidRPr="003F4B0C" w:rsidR="004071E6" w:rsidP="00F42A9A" w:rsidRDefault="004071E6" w14:paraId="3992C184" w14:textId="77777777">
            <w:pPr>
              <w:spacing w:line="240" w:lineRule="auto"/>
              <w:ind w:firstLine="0"/>
              <w:rPr>
                <w:rFonts w:cs="Calibri"/>
                <w:szCs w:val="26"/>
              </w:rPr>
            </w:pPr>
            <w:r w:rsidRPr="003F4B0C">
              <w:rPr>
                <w:rFonts w:cs="Calibri"/>
                <w:szCs w:val="26"/>
              </w:rPr>
              <w:t>STC 17. Applicable Law</w:t>
            </w:r>
          </w:p>
        </w:tc>
        <w:tc>
          <w:tcPr>
            <w:tcW w:w="4390" w:type="dxa"/>
          </w:tcPr>
          <w:p w:rsidRPr="003F4B0C" w:rsidR="004071E6" w:rsidP="00F42A9A" w:rsidRDefault="004071E6" w14:paraId="4E16C935" w14:textId="77777777">
            <w:pPr>
              <w:autoSpaceDE w:val="0"/>
              <w:autoSpaceDN w:val="0"/>
              <w:adjustRightInd w:val="0"/>
              <w:spacing w:line="240" w:lineRule="auto"/>
              <w:ind w:firstLine="0"/>
              <w:rPr>
                <w:rFonts w:cs="TimesNewRoman"/>
                <w:szCs w:val="26"/>
              </w:rPr>
            </w:pPr>
            <w:r w:rsidRPr="003F4B0C">
              <w:rPr>
                <w:rFonts w:cs="TimesNewRoman"/>
                <w:szCs w:val="26"/>
              </w:rPr>
              <w:t xml:space="preserve">Section 11 of the Master Agreement, as </w:t>
            </w:r>
            <w:r w:rsidRPr="003F4B0C">
              <w:rPr>
                <w:rFonts w:cs="TimesNewRoman"/>
                <w:b/>
                <w:bCs/>
                <w:szCs w:val="26"/>
              </w:rPr>
              <w:t>replaced</w:t>
            </w:r>
            <w:r w:rsidRPr="003F4B0C">
              <w:rPr>
                <w:rFonts w:cs="TimesNewRoman"/>
                <w:szCs w:val="26"/>
              </w:rPr>
              <w:t xml:space="preserve"> in the First Amendment.</w:t>
            </w:r>
          </w:p>
        </w:tc>
      </w:tr>
    </w:tbl>
    <w:p w:rsidRPr="00F42A9A" w:rsidR="004071E6" w:rsidP="00FE0B72" w:rsidRDefault="004071E6" w14:paraId="213CB811" w14:textId="1902CF7C">
      <w:pPr>
        <w:pStyle w:val="Standard"/>
      </w:pPr>
      <w:r w:rsidRPr="00F42A9A">
        <w:t>RPS contracts of any length must consist of the sub-set of non-modifiable standard terms and conditions listed above for compliance with the California RPS program.</w:t>
      </w:r>
      <w:r w:rsidRPr="00F42A9A" w:rsidR="00F42A9A">
        <w:t xml:space="preserve"> </w:t>
      </w:r>
      <w:r w:rsidRPr="00F42A9A">
        <w:t xml:space="preserve">Gexa acknowledges that its original contract did not include these non-modifiable standard terms and conditions. Gexa argues that even without the amendments, any deviations from the non-modifiable standard terms and conditions are immaterial because they do not affect the long-term nature of the contract. </w:t>
      </w:r>
    </w:p>
    <w:p w:rsidRPr="00F42A9A" w:rsidR="004071E6" w:rsidP="00FE0B72" w:rsidRDefault="004071E6" w14:paraId="316E19C0" w14:textId="52A23A53">
      <w:pPr>
        <w:pStyle w:val="Standard"/>
      </w:pPr>
      <w:r w:rsidRPr="00F42A9A">
        <w:t>Table 2 illustrates the modifiable terms that Gexa added after the Compliance Period had closed.</w:t>
      </w:r>
      <w:r w:rsidR="004E2ADD">
        <w:t xml:space="preserve"> </w:t>
      </w:r>
      <w:r w:rsidRPr="00F42A9A">
        <w:t>The modifiable terms and conditions are important for compliance from a regulatory perspective.</w:t>
      </w:r>
      <w:r w:rsidR="004A61E3">
        <w:t xml:space="preserve"> </w:t>
      </w:r>
      <w:r w:rsidRPr="00F42A9A">
        <w:t xml:space="preserve">Gexa submitted incomplete information about its contracts by omitting some of these terms, making it difficult for Commission Staff to assess compliance regarding the delivery term. </w:t>
      </w:r>
    </w:p>
    <w:tbl>
      <w:tblPr>
        <w:tblStyle w:val="TableGrid"/>
        <w:tblW w:w="0" w:type="auto"/>
        <w:jc w:val="center"/>
        <w:tblLook w:val="04A0" w:firstRow="1" w:lastRow="0" w:firstColumn="1" w:lastColumn="0" w:noHBand="0" w:noVBand="1"/>
      </w:tblPr>
      <w:tblGrid>
        <w:gridCol w:w="4300"/>
        <w:gridCol w:w="4120"/>
      </w:tblGrid>
      <w:tr w:rsidRPr="003F4B0C" w:rsidR="004071E6" w:rsidTr="00F848F8" w14:paraId="7ECBEF89" w14:textId="77777777">
        <w:trPr>
          <w:trHeight w:val="20"/>
          <w:jc w:val="center"/>
        </w:trPr>
        <w:tc>
          <w:tcPr>
            <w:tcW w:w="4300" w:type="dxa"/>
          </w:tcPr>
          <w:p w:rsidRPr="003F4B0C" w:rsidR="004071E6" w:rsidP="003C47F0" w:rsidRDefault="004071E6" w14:paraId="67DEAFB7" w14:textId="77777777">
            <w:pPr>
              <w:spacing w:after="120" w:line="240" w:lineRule="auto"/>
              <w:ind w:firstLine="0"/>
              <w:jc w:val="center"/>
              <w:rPr>
                <w:rFonts w:cs="Calibri"/>
                <w:b/>
                <w:bCs/>
                <w:szCs w:val="26"/>
              </w:rPr>
            </w:pPr>
            <w:r w:rsidRPr="003F4B0C">
              <w:rPr>
                <w:rFonts w:cs="Calibri"/>
                <w:b/>
                <w:bCs/>
                <w:szCs w:val="26"/>
              </w:rPr>
              <w:lastRenderedPageBreak/>
              <w:t>Modifiable Standard Terms and Conditions</w:t>
            </w:r>
          </w:p>
        </w:tc>
        <w:tc>
          <w:tcPr>
            <w:tcW w:w="4120" w:type="dxa"/>
          </w:tcPr>
          <w:p w:rsidRPr="003F4B0C" w:rsidR="004071E6" w:rsidP="003C47F0" w:rsidRDefault="004071E6" w14:paraId="6507FEEE" w14:textId="77777777">
            <w:pPr>
              <w:spacing w:after="120" w:line="240" w:lineRule="auto"/>
              <w:ind w:firstLine="0"/>
              <w:jc w:val="center"/>
              <w:rPr>
                <w:rFonts w:cs="Calibri"/>
                <w:b/>
                <w:bCs/>
                <w:szCs w:val="26"/>
              </w:rPr>
            </w:pPr>
            <w:r w:rsidRPr="003F4B0C">
              <w:rPr>
                <w:rFonts w:cs="Calibri"/>
                <w:b/>
                <w:bCs/>
                <w:szCs w:val="26"/>
              </w:rPr>
              <w:t>Amended on 6/12/2019 &amp; Section of Gexa Contract</w:t>
            </w:r>
            <w:r w:rsidRPr="003F4B0C">
              <w:rPr>
                <w:rFonts w:cs="Calibri"/>
                <w:b/>
                <w:bCs/>
                <w:szCs w:val="26"/>
                <w:vertAlign w:val="superscript"/>
              </w:rPr>
              <w:footnoteReference w:id="33"/>
            </w:r>
          </w:p>
        </w:tc>
      </w:tr>
      <w:tr w:rsidRPr="003F4B0C" w:rsidR="004071E6" w:rsidTr="00F848F8" w14:paraId="17C4DAB7" w14:textId="77777777">
        <w:trPr>
          <w:trHeight w:val="20"/>
          <w:jc w:val="center"/>
        </w:trPr>
        <w:tc>
          <w:tcPr>
            <w:tcW w:w="4300" w:type="dxa"/>
          </w:tcPr>
          <w:p w:rsidRPr="003F4B0C" w:rsidR="004071E6" w:rsidP="00F42A9A" w:rsidRDefault="004071E6" w14:paraId="70B15D5E" w14:textId="1AD1D573">
            <w:pPr>
              <w:spacing w:line="240" w:lineRule="auto"/>
              <w:ind w:firstLine="0"/>
              <w:rPr>
                <w:rFonts w:cs="Calibri"/>
                <w:szCs w:val="26"/>
              </w:rPr>
            </w:pPr>
            <w:r w:rsidRPr="003F4B0C">
              <w:rPr>
                <w:rFonts w:cs="Calibri"/>
                <w:szCs w:val="26"/>
              </w:rPr>
              <w:t>STC 5. Contract Term</w:t>
            </w:r>
          </w:p>
        </w:tc>
        <w:tc>
          <w:tcPr>
            <w:tcW w:w="4120" w:type="dxa"/>
          </w:tcPr>
          <w:p w:rsidR="00F42A9A" w:rsidP="00F42A9A" w:rsidRDefault="004071E6" w14:paraId="33F63177" w14:textId="77777777">
            <w:pPr>
              <w:autoSpaceDE w:val="0"/>
              <w:autoSpaceDN w:val="0"/>
              <w:adjustRightInd w:val="0"/>
              <w:spacing w:line="240" w:lineRule="auto"/>
              <w:ind w:firstLine="0"/>
              <w:rPr>
                <w:rFonts w:cs="TimesNewRoman"/>
                <w:szCs w:val="26"/>
              </w:rPr>
            </w:pPr>
            <w:r w:rsidRPr="003F4B0C">
              <w:rPr>
                <w:rFonts w:cs="TimesNewRoman"/>
                <w:szCs w:val="26"/>
              </w:rPr>
              <w:t>“DELIVERY TERM” provision of the</w:t>
            </w:r>
            <w:r w:rsidR="00F42A9A">
              <w:rPr>
                <w:rFonts w:cs="TimesNewRoman"/>
                <w:szCs w:val="26"/>
              </w:rPr>
              <w:t xml:space="preserve"> </w:t>
            </w:r>
            <w:r w:rsidRPr="003F4B0C">
              <w:rPr>
                <w:rFonts w:cs="TimesNewRoman"/>
                <w:szCs w:val="26"/>
              </w:rPr>
              <w:t xml:space="preserve">Confirmation, as added in the First Amendment (ensuring minimum delivery term of </w:t>
            </w:r>
          </w:p>
          <w:p w:rsidRPr="003F4B0C" w:rsidR="004071E6" w:rsidP="00A10BE0" w:rsidRDefault="004071E6" w14:paraId="46D5EBD3" w14:textId="5FBEC0C5">
            <w:pPr>
              <w:autoSpaceDE w:val="0"/>
              <w:autoSpaceDN w:val="0"/>
              <w:adjustRightInd w:val="0"/>
              <w:spacing w:after="120" w:line="240" w:lineRule="auto"/>
              <w:ind w:firstLine="0"/>
              <w:rPr>
                <w:rFonts w:cs="TimesNewRoman"/>
                <w:szCs w:val="26"/>
              </w:rPr>
            </w:pPr>
            <w:r w:rsidRPr="003F4B0C">
              <w:rPr>
                <w:rFonts w:cs="TimesNewRoman"/>
                <w:szCs w:val="26"/>
              </w:rPr>
              <w:t xml:space="preserve">10 years), and a table in the Confirmation specifying the required delivery dates for the specified Contract Quantities of the Commodity. </w:t>
            </w:r>
          </w:p>
        </w:tc>
      </w:tr>
      <w:tr w:rsidRPr="003F4B0C" w:rsidR="004071E6" w:rsidTr="00F848F8" w14:paraId="56801B6E" w14:textId="77777777">
        <w:trPr>
          <w:trHeight w:val="20"/>
          <w:jc w:val="center"/>
        </w:trPr>
        <w:tc>
          <w:tcPr>
            <w:tcW w:w="4300" w:type="dxa"/>
          </w:tcPr>
          <w:p w:rsidRPr="003F4B0C" w:rsidR="004071E6" w:rsidP="003C47F0" w:rsidRDefault="004071E6" w14:paraId="760768E2" w14:textId="77777777">
            <w:pPr>
              <w:ind w:firstLine="0"/>
              <w:rPr>
                <w:rFonts w:cs="Calibri"/>
                <w:szCs w:val="26"/>
              </w:rPr>
            </w:pPr>
            <w:r w:rsidRPr="003F4B0C">
              <w:rPr>
                <w:rFonts w:cs="Calibri"/>
                <w:szCs w:val="26"/>
              </w:rPr>
              <w:t xml:space="preserve">STC 8. Product Definitions </w:t>
            </w:r>
          </w:p>
        </w:tc>
        <w:tc>
          <w:tcPr>
            <w:tcW w:w="4120" w:type="dxa"/>
          </w:tcPr>
          <w:p w:rsidRPr="003F4B0C" w:rsidR="004071E6" w:rsidP="003C47F0" w:rsidRDefault="004071E6" w14:paraId="154F8E1B" w14:textId="77777777">
            <w:pPr>
              <w:autoSpaceDE w:val="0"/>
              <w:autoSpaceDN w:val="0"/>
              <w:adjustRightInd w:val="0"/>
              <w:spacing w:line="240" w:lineRule="auto"/>
              <w:ind w:firstLine="0"/>
              <w:rPr>
                <w:rFonts w:cs="TimesNewRoman"/>
                <w:szCs w:val="26"/>
              </w:rPr>
            </w:pPr>
            <w:r w:rsidRPr="003F4B0C">
              <w:rPr>
                <w:rFonts w:cs="TimesNewRoman"/>
                <w:szCs w:val="26"/>
              </w:rPr>
              <w:t>The product definitions in STC 8 do not apply to the Gexa REC Agreement because they specify definitions for products associated with deliveries</w:t>
            </w:r>
          </w:p>
          <w:p w:rsidRPr="003F4B0C" w:rsidR="004071E6" w:rsidP="003C47F0" w:rsidRDefault="004071E6" w14:paraId="280B59C8" w14:textId="77777777">
            <w:pPr>
              <w:autoSpaceDE w:val="0"/>
              <w:autoSpaceDN w:val="0"/>
              <w:adjustRightInd w:val="0"/>
              <w:spacing w:after="120" w:line="240" w:lineRule="auto"/>
              <w:ind w:firstLine="0"/>
              <w:rPr>
                <w:rFonts w:cs="TimesNewRoman"/>
                <w:szCs w:val="26"/>
              </w:rPr>
            </w:pPr>
            <w:r w:rsidRPr="003F4B0C">
              <w:rPr>
                <w:rFonts w:cs="TimesNewRoman"/>
                <w:szCs w:val="26"/>
              </w:rPr>
              <w:t xml:space="preserve">of physical power products, whereas the Gexa REC Agreement is for PCC 3 </w:t>
            </w:r>
            <w:proofErr w:type="spellStart"/>
            <w:r w:rsidRPr="003F4B0C">
              <w:rPr>
                <w:rFonts w:cs="TimesNewRoman"/>
                <w:szCs w:val="26"/>
              </w:rPr>
              <w:t>RECs.</w:t>
            </w:r>
            <w:proofErr w:type="spellEnd"/>
            <w:r w:rsidRPr="003F4B0C">
              <w:rPr>
                <w:rFonts w:cs="TimesNewRoman"/>
                <w:szCs w:val="26"/>
              </w:rPr>
              <w:t xml:space="preserve"> The Gexa REC Agreement specifies product definitions for the purchase of PCC 3 RECs in the Master Agreement in Section 9(a)-(d) (Warranties of Seller), as added in the First Amendment and in the Confirmation in the “COMMODITY”, “RIGHTS TO ERRS,” “PROJECT,” “TRACKING SYSTEM,” “VINTAGE”, and “ELIGIBLE RENEWABLE ENERGY RESOURCE” provisions.</w:t>
            </w:r>
          </w:p>
        </w:tc>
      </w:tr>
      <w:tr w:rsidRPr="003F4B0C" w:rsidR="004071E6" w:rsidTr="00F848F8" w14:paraId="1437C870" w14:textId="77777777">
        <w:trPr>
          <w:trHeight w:val="20"/>
          <w:jc w:val="center"/>
        </w:trPr>
        <w:tc>
          <w:tcPr>
            <w:tcW w:w="4300" w:type="dxa"/>
          </w:tcPr>
          <w:p w:rsidRPr="003F4B0C" w:rsidR="004071E6" w:rsidP="003C47F0" w:rsidRDefault="004071E6" w14:paraId="0BA939A2" w14:textId="77777777">
            <w:pPr>
              <w:ind w:firstLine="0"/>
              <w:rPr>
                <w:rFonts w:cs="Calibri"/>
                <w:szCs w:val="26"/>
              </w:rPr>
            </w:pPr>
            <w:r w:rsidRPr="003F4B0C">
              <w:rPr>
                <w:rFonts w:cs="Calibri"/>
                <w:szCs w:val="26"/>
              </w:rPr>
              <w:lastRenderedPageBreak/>
              <w:t>STC 16. Assignment</w:t>
            </w:r>
          </w:p>
        </w:tc>
        <w:tc>
          <w:tcPr>
            <w:tcW w:w="4120" w:type="dxa"/>
          </w:tcPr>
          <w:p w:rsidRPr="003F4B0C" w:rsidR="004071E6" w:rsidP="003C47F0" w:rsidRDefault="004071E6" w14:paraId="7614BA30" w14:textId="77777777">
            <w:pPr>
              <w:autoSpaceDE w:val="0"/>
              <w:autoSpaceDN w:val="0"/>
              <w:adjustRightInd w:val="0"/>
              <w:spacing w:after="120" w:line="240" w:lineRule="auto"/>
              <w:ind w:firstLine="0"/>
              <w:rPr>
                <w:rFonts w:cs="TimesNewRoman"/>
                <w:szCs w:val="26"/>
              </w:rPr>
            </w:pPr>
            <w:r w:rsidRPr="003F4B0C">
              <w:rPr>
                <w:rFonts w:cs="TimesNewRoman"/>
                <w:szCs w:val="26"/>
              </w:rPr>
              <w:t>Section 13 of the Master Agreement, as replaced in the First Amendment.</w:t>
            </w:r>
          </w:p>
        </w:tc>
      </w:tr>
    </w:tbl>
    <w:p w:rsidRPr="003F4B0C" w:rsidR="004071E6" w:rsidP="00FE0B72" w:rsidRDefault="004071E6" w14:paraId="3B11340C" w14:textId="634DF637">
      <w:pPr>
        <w:pStyle w:val="Standard"/>
      </w:pPr>
      <w:r w:rsidRPr="003F4B0C">
        <w:t>Gexa states that it should have an opportunity to correct identified deficiencies in its compliance showings, and indeed should be encouraged to do so.</w:t>
      </w:r>
      <w:r w:rsidR="003C47F0">
        <w:t xml:space="preserve"> </w:t>
      </w:r>
      <w:r w:rsidRPr="003F4B0C">
        <w:t xml:space="preserve">We find that the contract amendments made in 2019 did not have any material impact on </w:t>
      </w:r>
      <w:proofErr w:type="spellStart"/>
      <w:r w:rsidRPr="003F4B0C">
        <w:t>Gexa’s</w:t>
      </w:r>
      <w:proofErr w:type="spellEnd"/>
      <w:r w:rsidRPr="003F4B0C">
        <w:t xml:space="preserve"> RPS procurement obligations because it had stopped serving retail load after mid-2016.</w:t>
      </w:r>
      <w:r w:rsidR="003C47F0">
        <w:t xml:space="preserve"> </w:t>
      </w:r>
      <w:r w:rsidRPr="003F4B0C">
        <w:t>Nevertheless, we do not accept retroactive contract amendments as a basis for establishing that a contract complies with applicable requirements.</w:t>
      </w:r>
      <w:r w:rsidR="003C47F0">
        <w:t xml:space="preserve"> </w:t>
      </w:r>
      <w:r w:rsidRPr="003F4B0C">
        <w:t>Between contract execution in 2015 and the retroactive amendments on December 6, 2019, the Gexa REC Agreement failed to contain the required contract terms. Likewise, the Gexa REC Agreement failed to contain the required contract terms when Gexa filed the Final 2014-2016 Compliance Report in December 2018. These are violations of our regulatory requirements.</w:t>
      </w:r>
      <w:r w:rsidR="003C47F0">
        <w:t xml:space="preserve"> </w:t>
      </w:r>
      <w:r w:rsidRPr="003F4B0C">
        <w:t xml:space="preserve">Pursuant to D.08-04-009, </w:t>
      </w:r>
      <w:proofErr w:type="spellStart"/>
      <w:r w:rsidRPr="003F4B0C">
        <w:t>Gexa’s</w:t>
      </w:r>
      <w:proofErr w:type="spellEnd"/>
      <w:r w:rsidRPr="003F4B0C">
        <w:t xml:space="preserve"> REC Agreement</w:t>
      </w:r>
      <w:r w:rsidR="00C83E27">
        <w:t xml:space="preserve"> did not comply</w:t>
      </w:r>
      <w:r w:rsidRPr="003F4B0C">
        <w:t xml:space="preserve"> with the Commission’s RPS program rules for including certain non-modifiable standard terms and conditions. </w:t>
      </w:r>
    </w:p>
    <w:p w:rsidR="004071E6" w:rsidP="00FE0B72" w:rsidRDefault="003C47F0" w14:paraId="1E069584" w14:textId="636AE41C">
      <w:pPr>
        <w:pStyle w:val="Heading2"/>
        <w:ind w:left="1350" w:hanging="630"/>
      </w:pPr>
      <w:bookmarkStart w:name="_Toc89343469" w:id="23"/>
      <w:bookmarkStart w:name="_Toc94610213" w:id="24"/>
      <w:r>
        <w:t>5.2.</w:t>
      </w:r>
      <w:r w:rsidR="00F8211D">
        <w:tab/>
      </w:r>
      <w:r w:rsidR="004071E6">
        <w:t>Long-Term Contracting Requirement and Contract Amendments</w:t>
      </w:r>
      <w:bookmarkEnd w:id="23"/>
      <w:bookmarkEnd w:id="24"/>
      <w:r w:rsidR="004071E6">
        <w:t xml:space="preserve"> </w:t>
      </w:r>
    </w:p>
    <w:p w:rsidR="004071E6" w:rsidP="00FE0B72" w:rsidRDefault="004071E6" w14:paraId="7DA2A4AB" w14:textId="3C6645A6">
      <w:pPr>
        <w:pStyle w:val="Standard"/>
        <w:rPr>
          <w:rFonts w:cs="Calibri"/>
        </w:rPr>
      </w:pPr>
      <w:r>
        <w:rPr>
          <w:rFonts w:cs="Calibri"/>
        </w:rPr>
        <w:t>Pursuant to Section 399.15(b) and D.12-06-038,</w:t>
      </w:r>
      <w:r>
        <w:rPr>
          <w:rStyle w:val="FootnoteReference"/>
          <w:rFonts w:cs="Calibri"/>
        </w:rPr>
        <w:footnoteReference w:id="34"/>
      </w:r>
      <w:r>
        <w:rPr>
          <w:rFonts w:cs="Calibri"/>
        </w:rPr>
        <w:t xml:space="preserve"> a</w:t>
      </w:r>
      <w:r w:rsidRPr="00190C5B">
        <w:t xml:space="preserve"> retail seller </w:t>
      </w:r>
      <w:r>
        <w:rPr>
          <w:rFonts w:cs="Calibri"/>
        </w:rPr>
        <w:t>is required</w:t>
      </w:r>
      <w:r w:rsidRPr="00D420D1">
        <w:rPr>
          <w:rFonts w:cs="Calibri"/>
        </w:rPr>
        <w:t xml:space="preserve"> to </w:t>
      </w:r>
      <w:r>
        <w:rPr>
          <w:rFonts w:cs="Calibri"/>
        </w:rPr>
        <w:t>pr</w:t>
      </w:r>
      <w:r w:rsidRPr="00D420D1">
        <w:rPr>
          <w:rFonts w:cs="Calibri"/>
        </w:rPr>
        <w:t xml:space="preserve">ocure a minimum quantity </w:t>
      </w:r>
      <w:r>
        <w:rPr>
          <w:rFonts w:cs="Calibri"/>
        </w:rPr>
        <w:t xml:space="preserve">of </w:t>
      </w:r>
      <w:r>
        <w:t xml:space="preserve">expected generation from long-term contracts in the compliance period in which the short-term contracts are signed. </w:t>
      </w:r>
    </w:p>
    <w:p w:rsidRPr="00577C75" w:rsidR="004071E6" w:rsidP="00FE0B72" w:rsidRDefault="004071E6" w14:paraId="63942B68" w14:textId="13C218EE">
      <w:pPr>
        <w:pStyle w:val="Standard"/>
      </w:pPr>
      <w:r w:rsidRPr="004577BC">
        <w:t>Gexa</w:t>
      </w:r>
      <w:r>
        <w:t xml:space="preserve"> explains that its REC Agreement with NextEra (referred to Gexa REC Agreement hereafter), signed on December 22, 2015, </w:t>
      </w:r>
      <w:r w:rsidRPr="004577BC">
        <w:t xml:space="preserve">had a term of 13 years, </w:t>
      </w:r>
      <w:r>
        <w:t>three</w:t>
      </w:r>
      <w:r w:rsidRPr="004577BC">
        <w:t xml:space="preserve"> months</w:t>
      </w:r>
      <w:r>
        <w:t>,</w:t>
      </w:r>
      <w:r w:rsidRPr="004577BC">
        <w:t xml:space="preserve"> and </w:t>
      </w:r>
      <w:r>
        <w:t>ten</w:t>
      </w:r>
      <w:r w:rsidRPr="004577BC">
        <w:t xml:space="preserve"> days</w:t>
      </w:r>
      <w:r>
        <w:t>.</w:t>
      </w:r>
      <w:r>
        <w:rPr>
          <w:rStyle w:val="FootnoteReference"/>
          <w:rFonts w:cs="Calibri"/>
        </w:rPr>
        <w:footnoteReference w:id="35"/>
      </w:r>
      <w:r w:rsidR="00E666AF">
        <w:t xml:space="preserve"> </w:t>
      </w:r>
      <w:proofErr w:type="spellStart"/>
      <w:r>
        <w:t>Gexa’s</w:t>
      </w:r>
      <w:proofErr w:type="spellEnd"/>
      <w:r>
        <w:t xml:space="preserve"> REC Agreement, before amendments, allows </w:t>
      </w:r>
      <w:r>
        <w:lastRenderedPageBreak/>
        <w:t>Gexa to procure 0.25</w:t>
      </w:r>
      <w:r w:rsidR="002F78B9">
        <w:t xml:space="preserve"> percent</w:t>
      </w:r>
      <w:r>
        <w:t xml:space="preserve"> of </w:t>
      </w:r>
      <w:proofErr w:type="spellStart"/>
      <w:r>
        <w:t>Gexa’s</w:t>
      </w:r>
      <w:proofErr w:type="spellEnd"/>
      <w:r>
        <w:t xml:space="preserve"> total retail sales in 2013 as portfolio content </w:t>
      </w:r>
      <w:r w:rsidRPr="00382DC4">
        <w:t>category</w:t>
      </w:r>
      <w:r>
        <w:t xml:space="preserve"> 3 RECs with a “delivery no later than April 1, 2017” for Compliance Period 2.</w:t>
      </w:r>
      <w:r w:rsidR="00E666AF">
        <w:t xml:space="preserve"> </w:t>
      </w:r>
      <w:r>
        <w:t xml:space="preserve">On October 4, 2019, Energy Division issued a Compliance Determination Notice on </w:t>
      </w:r>
      <w:proofErr w:type="spellStart"/>
      <w:r>
        <w:t>Gexa’s</w:t>
      </w:r>
      <w:proofErr w:type="spellEnd"/>
      <w:r>
        <w:t xml:space="preserve"> non-compliance with the RPS long-term procurement requirements and applicable penalties.</w:t>
      </w:r>
      <w:r w:rsidR="000D2263">
        <w:t xml:space="preserve"> </w:t>
      </w:r>
      <w:r>
        <w:t xml:space="preserve">After receiving the Compliance Determination Notice, </w:t>
      </w:r>
      <w:r w:rsidRPr="004577BC">
        <w:rPr>
          <w:szCs w:val="26"/>
        </w:rPr>
        <w:t xml:space="preserve">Gexa </w:t>
      </w:r>
      <w:r>
        <w:rPr>
          <w:szCs w:val="26"/>
        </w:rPr>
        <w:t>amended its contract</w:t>
      </w:r>
      <w:r w:rsidRPr="004577BC">
        <w:rPr>
          <w:szCs w:val="26"/>
        </w:rPr>
        <w:t xml:space="preserve"> </w:t>
      </w:r>
      <w:r>
        <w:rPr>
          <w:szCs w:val="26"/>
        </w:rPr>
        <w:t>to expressly state</w:t>
      </w:r>
      <w:r>
        <w:t xml:space="preserve"> that its delivery term was</w:t>
      </w:r>
      <w:r w:rsidRPr="004577BC">
        <w:t xml:space="preserve"> for at least </w:t>
      </w:r>
      <w:r>
        <w:t>ten</w:t>
      </w:r>
      <w:r w:rsidRPr="004577BC">
        <w:t xml:space="preserve"> years.</w:t>
      </w:r>
      <w:r w:rsidRPr="004577BC">
        <w:rPr>
          <w:rStyle w:val="FootnoteReference"/>
          <w:rFonts w:cs="Calibri"/>
        </w:rPr>
        <w:footnoteReference w:id="36"/>
      </w:r>
      <w:r>
        <w:t xml:space="preserve"> </w:t>
      </w:r>
    </w:p>
    <w:p w:rsidR="00E666AF" w:rsidP="00FE0B72" w:rsidRDefault="004071E6" w14:paraId="0F5E4257" w14:textId="77777777">
      <w:pPr>
        <w:pStyle w:val="Standard"/>
      </w:pPr>
      <w:r>
        <w:t xml:space="preserve">We find that Gexa </w:t>
      </w:r>
      <w:r w:rsidRPr="00F54C95">
        <w:t>purchased, took delivery of, and retired</w:t>
      </w:r>
      <w:r>
        <w:t xml:space="preserve"> the entire quantity of RECs needed to meet its RPS PQR for Compliance Period 2, including the entire 863 RECs</w:t>
      </w:r>
      <w:r w:rsidRPr="00F54C95">
        <w:t xml:space="preserve"> required under a long-term contract for</w:t>
      </w:r>
      <w:r>
        <w:t xml:space="preserve"> Compliance </w:t>
      </w:r>
    </w:p>
    <w:p w:rsidR="008C5AD2" w:rsidP="00E87293" w:rsidRDefault="004071E6" w14:paraId="0EBC217D" w14:textId="17120034">
      <w:pPr>
        <w:ind w:firstLine="0"/>
        <w:rPr>
          <w:rFonts w:cs="BookAntiqua"/>
          <w:szCs w:val="26"/>
        </w:rPr>
      </w:pPr>
      <w:r>
        <w:rPr>
          <w:rFonts w:cs="Calibri"/>
        </w:rPr>
        <w:t>Period 2.</w:t>
      </w:r>
      <w:r>
        <w:rPr>
          <w:rStyle w:val="FootnoteReference"/>
          <w:rFonts w:cs="Calibri"/>
        </w:rPr>
        <w:footnoteReference w:id="37"/>
      </w:r>
      <w:r>
        <w:t xml:space="preserve"> </w:t>
      </w:r>
      <w:r>
        <w:rPr>
          <w:rFonts w:cs="BookAntiqua"/>
          <w:szCs w:val="26"/>
        </w:rPr>
        <w:t xml:space="preserve">In these limited factual </w:t>
      </w:r>
      <w:r w:rsidRPr="00BB5453">
        <w:rPr>
          <w:rFonts w:cs="BookAntiqua"/>
          <w:szCs w:val="26"/>
        </w:rPr>
        <w:t xml:space="preserve">circumstances, and upon closer evaluation, we find that the Gexa REC Agreement </w:t>
      </w:r>
      <w:r w:rsidRPr="00C77427" w:rsidR="00924724">
        <w:rPr>
          <w:rFonts w:cs="BookAntiqua"/>
          <w:szCs w:val="26"/>
        </w:rPr>
        <w:t>allows for</w:t>
      </w:r>
      <w:r w:rsidRPr="00C77427" w:rsidR="00DE6E15">
        <w:rPr>
          <w:rFonts w:cs="BookAntiqua"/>
          <w:szCs w:val="26"/>
        </w:rPr>
        <w:t xml:space="preserve"> </w:t>
      </w:r>
      <w:r w:rsidRPr="003B409F">
        <w:rPr>
          <w:rFonts w:cs="BookAntiqua"/>
          <w:szCs w:val="26"/>
        </w:rPr>
        <w:t>REC</w:t>
      </w:r>
      <w:r w:rsidRPr="003B409F" w:rsidR="00DE6E15">
        <w:rPr>
          <w:rFonts w:cs="BookAntiqua"/>
          <w:szCs w:val="26"/>
        </w:rPr>
        <w:t xml:space="preserve"> procurements </w:t>
      </w:r>
      <w:r w:rsidRPr="003B409F">
        <w:rPr>
          <w:rFonts w:cs="BookAntiqua"/>
          <w:szCs w:val="26"/>
        </w:rPr>
        <w:t xml:space="preserve"> over a </w:t>
      </w:r>
    </w:p>
    <w:p w:rsidR="00E87293" w:rsidP="00E87293" w:rsidRDefault="004071E6" w14:paraId="2B91E1B9" w14:textId="01FBFF5C">
      <w:pPr>
        <w:ind w:firstLine="0"/>
        <w:rPr>
          <w:rFonts w:cs="BookAntiqua"/>
          <w:szCs w:val="26"/>
        </w:rPr>
      </w:pPr>
      <w:r w:rsidRPr="003B409F">
        <w:rPr>
          <w:rFonts w:cs="BookAntiqua"/>
          <w:szCs w:val="26"/>
        </w:rPr>
        <w:t>ten-year period, and therefore we accept it as</w:t>
      </w:r>
      <w:r w:rsidRPr="003F4B0C">
        <w:rPr>
          <w:rFonts w:cs="BookAntiqua"/>
          <w:szCs w:val="26"/>
        </w:rPr>
        <w:t xml:space="preserve"> a long-term contract. The Table in the Confirmation Agreement that is a sub-contract to the Gexa REC Agreement indicates the first REC delivery date is no later than </w:t>
      </w:r>
      <w:r w:rsidR="00E666AF">
        <w:rPr>
          <w:rFonts w:cs="BookAntiqua"/>
          <w:szCs w:val="26"/>
        </w:rPr>
        <w:t xml:space="preserve">April 4, </w:t>
      </w:r>
      <w:r w:rsidRPr="003F4B0C">
        <w:rPr>
          <w:rFonts w:cs="BookAntiqua"/>
          <w:szCs w:val="26"/>
        </w:rPr>
        <w:t xml:space="preserve">2017, while the latest delivery date in the Table is for the period 2021 – 2028, and is: “No later than </w:t>
      </w:r>
      <w:r w:rsidR="00CA3759">
        <w:rPr>
          <w:rFonts w:cs="BookAntiqua"/>
          <w:szCs w:val="26"/>
        </w:rPr>
        <w:t>April 1</w:t>
      </w:r>
      <w:r w:rsidRPr="00CA3759" w:rsidR="00CA3759">
        <w:rPr>
          <w:rFonts w:cs="BookAntiqua"/>
          <w:szCs w:val="26"/>
          <w:vertAlign w:val="superscript"/>
        </w:rPr>
        <w:t>st</w:t>
      </w:r>
      <w:r w:rsidR="00CA3759">
        <w:rPr>
          <w:rFonts w:cs="BookAntiqua"/>
          <w:szCs w:val="26"/>
        </w:rPr>
        <w:t xml:space="preserve"> </w:t>
      </w:r>
      <w:r w:rsidRPr="003F4B0C">
        <w:rPr>
          <w:rFonts w:cs="BookAntiqua"/>
          <w:szCs w:val="26"/>
        </w:rPr>
        <w:t>following the end of the applicable Compliance Period.”</w:t>
      </w:r>
      <w:r w:rsidRPr="003F4B0C">
        <w:rPr>
          <w:rStyle w:val="FootnoteReference"/>
          <w:rFonts w:cs="BookAntiqua"/>
          <w:szCs w:val="26"/>
        </w:rPr>
        <w:footnoteReference w:id="38"/>
      </w:r>
      <w:r w:rsidR="00CA3759">
        <w:rPr>
          <w:rFonts w:cs="BookAntiqua"/>
          <w:szCs w:val="26"/>
        </w:rPr>
        <w:t xml:space="preserve"> </w:t>
      </w:r>
      <w:r w:rsidRPr="003F4B0C">
        <w:rPr>
          <w:rFonts w:cs="BookAntiqua"/>
          <w:szCs w:val="26"/>
        </w:rPr>
        <w:t xml:space="preserve">During this period, the Compliance Period ends December 31, 2027; therefore, RECs must be delivered no later than </w:t>
      </w:r>
      <w:r w:rsidR="00E666AF">
        <w:rPr>
          <w:rFonts w:cs="BookAntiqua"/>
          <w:szCs w:val="26"/>
        </w:rPr>
        <w:t xml:space="preserve">April 1, </w:t>
      </w:r>
      <w:r w:rsidRPr="003F4B0C">
        <w:rPr>
          <w:rFonts w:cs="BookAntiqua"/>
          <w:szCs w:val="26"/>
        </w:rPr>
        <w:t xml:space="preserve">2028. Thus, the deliveries will occur over a ten-year period. This determination is limited to this case, and in the future, we shall not accept any long-term contract that fails to demonstrate the required term of at least ten years. </w:t>
      </w:r>
    </w:p>
    <w:p w:rsidR="006B06D8" w:rsidP="006B06D8" w:rsidRDefault="00B72EBC" w14:paraId="4023069D" w14:textId="60853349">
      <w:pPr>
        <w:pStyle w:val="Standard"/>
        <w:rPr>
          <w:rFonts w:cs="BookAntiqua"/>
          <w:szCs w:val="26"/>
        </w:rPr>
      </w:pPr>
      <w:r>
        <w:rPr>
          <w:rFonts w:cs="BookAntiqua"/>
          <w:szCs w:val="26"/>
        </w:rPr>
        <w:lastRenderedPageBreak/>
        <w:t xml:space="preserve">The Opening Comments of </w:t>
      </w:r>
      <w:proofErr w:type="spellStart"/>
      <w:r>
        <w:rPr>
          <w:rFonts w:cs="BookAntiqua"/>
          <w:szCs w:val="26"/>
        </w:rPr>
        <w:t>C</w:t>
      </w:r>
      <w:r w:rsidR="003859FD">
        <w:rPr>
          <w:rFonts w:cs="BookAntiqua"/>
          <w:szCs w:val="26"/>
        </w:rPr>
        <w:t>al</w:t>
      </w:r>
      <w:r>
        <w:rPr>
          <w:rFonts w:cs="BookAntiqua"/>
          <w:szCs w:val="26"/>
        </w:rPr>
        <w:t>WEA</w:t>
      </w:r>
      <w:proofErr w:type="spellEnd"/>
      <w:r>
        <w:rPr>
          <w:rFonts w:cs="BookAntiqua"/>
          <w:szCs w:val="26"/>
        </w:rPr>
        <w:t xml:space="preserve"> on the Proposed Decision state that </w:t>
      </w:r>
      <w:proofErr w:type="spellStart"/>
      <w:r>
        <w:rPr>
          <w:rFonts w:cs="BookAntiqua"/>
          <w:szCs w:val="26"/>
        </w:rPr>
        <w:t>Gexa’s</w:t>
      </w:r>
      <w:proofErr w:type="spellEnd"/>
      <w:r>
        <w:rPr>
          <w:rFonts w:cs="BookAntiqua"/>
          <w:szCs w:val="26"/>
        </w:rPr>
        <w:t xml:space="preserve"> contract </w:t>
      </w:r>
      <w:r w:rsidRPr="007913DE">
        <w:rPr>
          <w:rFonts w:cs="BookAntiqua"/>
          <w:szCs w:val="26"/>
        </w:rPr>
        <w:t>does not meet the legislative intent of the</w:t>
      </w:r>
      <w:r>
        <w:rPr>
          <w:rFonts w:cs="BookAntiqua"/>
          <w:szCs w:val="26"/>
        </w:rPr>
        <w:t xml:space="preserve"> s</w:t>
      </w:r>
      <w:r w:rsidRPr="007913DE">
        <w:rPr>
          <w:rFonts w:cs="BookAntiqua"/>
          <w:szCs w:val="26"/>
        </w:rPr>
        <w:t>tatutory RPS long-term contracting requirement</w:t>
      </w:r>
      <w:r w:rsidR="00EA4735">
        <w:rPr>
          <w:rFonts w:cs="BookAntiqua"/>
          <w:szCs w:val="26"/>
        </w:rPr>
        <w:t>,</w:t>
      </w:r>
      <w:r>
        <w:rPr>
          <w:rFonts w:cs="BookAntiqua"/>
          <w:szCs w:val="26"/>
        </w:rPr>
        <w:t xml:space="preserve"> and should the </w:t>
      </w:r>
      <w:r w:rsidRPr="007913DE">
        <w:rPr>
          <w:rFonts w:cs="BookAntiqua"/>
          <w:szCs w:val="26"/>
        </w:rPr>
        <w:t>Commission wish to make a onetime</w:t>
      </w:r>
      <w:r>
        <w:rPr>
          <w:rFonts w:cs="BookAntiqua"/>
          <w:szCs w:val="26"/>
        </w:rPr>
        <w:t xml:space="preserve"> </w:t>
      </w:r>
      <w:r w:rsidRPr="007913DE">
        <w:rPr>
          <w:rFonts w:cs="BookAntiqua"/>
          <w:szCs w:val="26"/>
        </w:rPr>
        <w:t>exception to this policy, it should clarify that, in the future, it will require all contracts to</w:t>
      </w:r>
      <w:r>
        <w:rPr>
          <w:rFonts w:cs="BookAntiqua"/>
          <w:szCs w:val="26"/>
        </w:rPr>
        <w:t xml:space="preserve"> </w:t>
      </w:r>
      <w:r w:rsidRPr="007913DE">
        <w:rPr>
          <w:rFonts w:cs="BookAntiqua"/>
          <w:szCs w:val="26"/>
        </w:rPr>
        <w:t>assure purchases over a term of at least ten years.</w:t>
      </w:r>
      <w:r>
        <w:rPr>
          <w:rFonts w:cs="BookAntiqua"/>
          <w:szCs w:val="26"/>
        </w:rPr>
        <w:t xml:space="preserve"> </w:t>
      </w:r>
      <w:r w:rsidR="00B103E6">
        <w:rPr>
          <w:rFonts w:cs="BookAntiqua"/>
          <w:szCs w:val="26"/>
        </w:rPr>
        <w:t xml:space="preserve">In their joint Opening Comments, </w:t>
      </w:r>
      <w:r w:rsidR="008D4E01">
        <w:rPr>
          <w:rFonts w:cs="BookAntiqua"/>
          <w:szCs w:val="26"/>
        </w:rPr>
        <w:t>TURN/ CUE</w:t>
      </w:r>
      <w:r w:rsidR="00B103E6">
        <w:rPr>
          <w:rFonts w:cs="BookAntiqua"/>
          <w:szCs w:val="26"/>
        </w:rPr>
        <w:t xml:space="preserve"> </w:t>
      </w:r>
      <w:r w:rsidR="008D4E01">
        <w:rPr>
          <w:rFonts w:cs="BookAntiqua"/>
          <w:szCs w:val="26"/>
        </w:rPr>
        <w:t xml:space="preserve">also object </w:t>
      </w:r>
      <w:r w:rsidR="00B50900">
        <w:rPr>
          <w:rFonts w:cs="BookAntiqua"/>
          <w:szCs w:val="26"/>
        </w:rPr>
        <w:t xml:space="preserve">to </w:t>
      </w:r>
      <w:r w:rsidR="008D4E01">
        <w:rPr>
          <w:rFonts w:cs="BookAntiqua"/>
          <w:szCs w:val="26"/>
        </w:rPr>
        <w:t xml:space="preserve">the Proposed Decision and assert that </w:t>
      </w:r>
      <w:r w:rsidRPr="00C77427" w:rsidR="006B06D8">
        <w:rPr>
          <w:rFonts w:cs="BookAntiqua"/>
          <w:szCs w:val="26"/>
        </w:rPr>
        <w:t xml:space="preserve">the cited contract </w:t>
      </w:r>
      <w:r w:rsidRPr="00A96072" w:rsidR="00A96072">
        <w:rPr>
          <w:rFonts w:cs="BookAntiqua"/>
          <w:szCs w:val="26"/>
        </w:rPr>
        <w:t>is not</w:t>
      </w:r>
      <w:r w:rsidRPr="00C77427" w:rsidR="006B06D8">
        <w:rPr>
          <w:rFonts w:cs="BookAntiqua"/>
          <w:szCs w:val="26"/>
        </w:rPr>
        <w:t xml:space="preserve"> a valid “long-term” agreement because it fails to establish an obligation for Gexa to procure any specific quantities of RPS-eligible resources over a term of at least 10 years.</w:t>
      </w:r>
      <w:r w:rsidR="00B103E6">
        <w:rPr>
          <w:rFonts w:cs="BookAntiqua"/>
          <w:szCs w:val="26"/>
        </w:rPr>
        <w:t xml:space="preserve"> </w:t>
      </w:r>
    </w:p>
    <w:p w:rsidR="004F211D" w:rsidP="008E6DBF" w:rsidRDefault="00A4057F" w14:paraId="0C338277" w14:textId="43C873F3">
      <w:pPr>
        <w:pStyle w:val="Standard"/>
        <w:rPr>
          <w:rFonts w:cs="BookAntiqua"/>
          <w:szCs w:val="26"/>
        </w:rPr>
      </w:pPr>
      <w:r>
        <w:rPr>
          <w:rFonts w:cs="BookAntiqua"/>
          <w:szCs w:val="26"/>
        </w:rPr>
        <w:t xml:space="preserve">In its </w:t>
      </w:r>
      <w:r w:rsidR="00CC72BB">
        <w:rPr>
          <w:rFonts w:cs="BookAntiqua"/>
          <w:szCs w:val="26"/>
        </w:rPr>
        <w:t>reply comments</w:t>
      </w:r>
      <w:r w:rsidR="008D4E01">
        <w:rPr>
          <w:rFonts w:cs="BookAntiqua"/>
          <w:szCs w:val="26"/>
        </w:rPr>
        <w:t>,</w:t>
      </w:r>
      <w:r w:rsidR="00CC72BB">
        <w:rPr>
          <w:rFonts w:cs="BookAntiqua"/>
          <w:szCs w:val="26"/>
        </w:rPr>
        <w:t xml:space="preserve"> Gexa disagrees with </w:t>
      </w:r>
      <w:r w:rsidR="00B103E6">
        <w:rPr>
          <w:rFonts w:cs="BookAntiqua"/>
          <w:szCs w:val="26"/>
        </w:rPr>
        <w:t xml:space="preserve">these opposing </w:t>
      </w:r>
      <w:r w:rsidR="00021DDC">
        <w:rPr>
          <w:rFonts w:cs="BookAntiqua"/>
          <w:szCs w:val="26"/>
        </w:rPr>
        <w:t>arguments</w:t>
      </w:r>
      <w:r w:rsidR="00CC72BB">
        <w:rPr>
          <w:rFonts w:cs="BookAntiqua"/>
          <w:szCs w:val="26"/>
        </w:rPr>
        <w:t xml:space="preserve"> and </w:t>
      </w:r>
      <w:r w:rsidR="00B103E6">
        <w:rPr>
          <w:rFonts w:cs="BookAntiqua"/>
          <w:szCs w:val="26"/>
        </w:rPr>
        <w:t>contends</w:t>
      </w:r>
      <w:r w:rsidR="00CC72BB">
        <w:rPr>
          <w:rFonts w:cs="BookAntiqua"/>
          <w:szCs w:val="26"/>
        </w:rPr>
        <w:t xml:space="preserve"> that </w:t>
      </w:r>
      <w:r w:rsidR="00D42504">
        <w:rPr>
          <w:rFonts w:cs="BookAntiqua"/>
          <w:szCs w:val="26"/>
        </w:rPr>
        <w:t>it</w:t>
      </w:r>
      <w:r w:rsidR="00C92C49">
        <w:rPr>
          <w:rFonts w:cs="BookAntiqua"/>
          <w:szCs w:val="26"/>
        </w:rPr>
        <w:t xml:space="preserve">s </w:t>
      </w:r>
      <w:r w:rsidRPr="00C77427" w:rsidR="00D42504">
        <w:rPr>
          <w:rFonts w:cs="BookAntiqua"/>
          <w:szCs w:val="26"/>
        </w:rPr>
        <w:t xml:space="preserve">long-term contract obligated </w:t>
      </w:r>
      <w:r w:rsidR="004F211D">
        <w:rPr>
          <w:rFonts w:cs="BookAntiqua"/>
          <w:szCs w:val="26"/>
        </w:rPr>
        <w:t>it</w:t>
      </w:r>
      <w:r w:rsidRPr="00C77427" w:rsidR="00D42504">
        <w:rPr>
          <w:rFonts w:cs="BookAntiqua"/>
          <w:szCs w:val="26"/>
        </w:rPr>
        <w:t xml:space="preserve"> to purchase a know</w:t>
      </w:r>
      <w:r w:rsidR="004F211D">
        <w:rPr>
          <w:rFonts w:cs="BookAntiqua"/>
          <w:szCs w:val="26"/>
        </w:rPr>
        <w:t>n</w:t>
      </w:r>
      <w:r w:rsidRPr="00C77427" w:rsidR="00D42504">
        <w:rPr>
          <w:rFonts w:cs="BookAntiqua"/>
          <w:szCs w:val="26"/>
        </w:rPr>
        <w:t xml:space="preserve"> fixed quantity equal</w:t>
      </w:r>
      <w:r w:rsidR="004F211D">
        <w:rPr>
          <w:rFonts w:cs="BookAntiqua"/>
          <w:szCs w:val="26"/>
        </w:rPr>
        <w:t xml:space="preserve"> </w:t>
      </w:r>
      <w:r w:rsidRPr="00C77427" w:rsidR="00D42504">
        <w:rPr>
          <w:rFonts w:cs="BookAntiqua"/>
          <w:szCs w:val="26"/>
        </w:rPr>
        <w:t xml:space="preserve">to 863 </w:t>
      </w:r>
      <w:proofErr w:type="spellStart"/>
      <w:r w:rsidRPr="00C77427" w:rsidR="00D42504">
        <w:rPr>
          <w:rFonts w:cs="BookAntiqua"/>
          <w:szCs w:val="26"/>
        </w:rPr>
        <w:t>RECs</w:t>
      </w:r>
      <w:r w:rsidR="004F211D">
        <w:rPr>
          <w:rFonts w:cs="BookAntiqua"/>
          <w:szCs w:val="26"/>
        </w:rPr>
        <w:t>.</w:t>
      </w:r>
      <w:proofErr w:type="spellEnd"/>
      <w:r w:rsidR="00E626CF">
        <w:rPr>
          <w:rStyle w:val="FootnoteReference"/>
          <w:rFonts w:cs="BookAntiqua"/>
          <w:szCs w:val="26"/>
        </w:rPr>
        <w:footnoteReference w:id="39"/>
      </w:r>
      <w:r w:rsidR="004F211D">
        <w:rPr>
          <w:rFonts w:cs="BookAntiqua"/>
          <w:szCs w:val="26"/>
        </w:rPr>
        <w:t xml:space="preserve"> </w:t>
      </w:r>
      <w:proofErr w:type="spellStart"/>
      <w:r w:rsidR="00B103E6">
        <w:rPr>
          <w:rFonts w:cs="BookAntiqua"/>
          <w:szCs w:val="26"/>
        </w:rPr>
        <w:t>Gexa</w:t>
      </w:r>
      <w:proofErr w:type="spellEnd"/>
      <w:r w:rsidR="00B103E6">
        <w:rPr>
          <w:rFonts w:cs="BookAntiqua"/>
          <w:szCs w:val="26"/>
        </w:rPr>
        <w:t xml:space="preserve"> asserts</w:t>
      </w:r>
      <w:r w:rsidR="004F211D">
        <w:rPr>
          <w:rFonts w:cs="BookAntiqua"/>
          <w:szCs w:val="26"/>
        </w:rPr>
        <w:t xml:space="preserve"> that</w:t>
      </w:r>
      <w:r w:rsidR="003A34EC">
        <w:rPr>
          <w:rFonts w:cs="BookAntiqua"/>
          <w:szCs w:val="26"/>
        </w:rPr>
        <w:t xml:space="preserve"> the </w:t>
      </w:r>
      <w:r w:rsidR="004F211D">
        <w:rPr>
          <w:rFonts w:cs="BookAntiqua"/>
          <w:szCs w:val="26"/>
        </w:rPr>
        <w:t>contract term</w:t>
      </w:r>
      <w:r w:rsidR="003A34EC">
        <w:rPr>
          <w:rFonts w:cs="BookAntiqua"/>
          <w:szCs w:val="26"/>
        </w:rPr>
        <w:t xml:space="preserve"> cannot </w:t>
      </w:r>
      <w:r w:rsidR="004F211D">
        <w:rPr>
          <w:rFonts w:cs="BookAntiqua"/>
          <w:szCs w:val="26"/>
        </w:rPr>
        <w:t>terminate</w:t>
      </w:r>
      <w:r w:rsidR="00821A7B">
        <w:rPr>
          <w:rFonts w:cs="BookAntiqua"/>
          <w:szCs w:val="26"/>
        </w:rPr>
        <w:t xml:space="preserve"> until June 29, 2026, after the end of </w:t>
      </w:r>
      <w:r w:rsidR="00A62099">
        <w:rPr>
          <w:rFonts w:cs="BookAntiqua"/>
          <w:szCs w:val="26"/>
        </w:rPr>
        <w:t xml:space="preserve">the </w:t>
      </w:r>
      <w:r w:rsidR="00821A7B">
        <w:rPr>
          <w:rFonts w:cs="BookAntiqua"/>
          <w:szCs w:val="26"/>
        </w:rPr>
        <w:t>10-year ter</w:t>
      </w:r>
      <w:r w:rsidR="00A62099">
        <w:rPr>
          <w:rFonts w:cs="BookAntiqua"/>
          <w:szCs w:val="26"/>
        </w:rPr>
        <w:t>m,</w:t>
      </w:r>
      <w:r w:rsidR="00CC585D">
        <w:rPr>
          <w:rFonts w:cs="BookAntiqua"/>
          <w:szCs w:val="26"/>
        </w:rPr>
        <w:t xml:space="preserve"> </w:t>
      </w:r>
      <w:r w:rsidRPr="00C77427" w:rsidR="00CC585D">
        <w:rPr>
          <w:rFonts w:cs="BookAntiqua"/>
          <w:szCs w:val="26"/>
        </w:rPr>
        <w:t>and Gexa remains obligated under the</w:t>
      </w:r>
      <w:r w:rsidR="004F211D">
        <w:rPr>
          <w:rFonts w:cs="BookAntiqua"/>
          <w:szCs w:val="26"/>
        </w:rPr>
        <w:t xml:space="preserve"> </w:t>
      </w:r>
      <w:r w:rsidRPr="00C77427" w:rsidR="00CC585D">
        <w:rPr>
          <w:rFonts w:cs="BookAntiqua"/>
          <w:szCs w:val="26"/>
        </w:rPr>
        <w:t>contract for the duration of its term to make future purchases in proportion to its</w:t>
      </w:r>
      <w:r w:rsidR="00CC585D">
        <w:rPr>
          <w:rFonts w:cs="BookAntiqua"/>
          <w:szCs w:val="26"/>
        </w:rPr>
        <w:t xml:space="preserve"> </w:t>
      </w:r>
      <w:r w:rsidRPr="00C77427" w:rsidR="00CC585D">
        <w:rPr>
          <w:rFonts w:cs="BookAntiqua"/>
          <w:szCs w:val="26"/>
        </w:rPr>
        <w:t>retail</w:t>
      </w:r>
      <w:r w:rsidR="00CC585D">
        <w:rPr>
          <w:rFonts w:cs="BookAntiqua"/>
          <w:szCs w:val="26"/>
        </w:rPr>
        <w:t xml:space="preserve"> </w:t>
      </w:r>
      <w:r w:rsidRPr="00C77427" w:rsidR="00CC585D">
        <w:rPr>
          <w:rFonts w:cs="BookAntiqua"/>
          <w:szCs w:val="26"/>
        </w:rPr>
        <w:t>sales</w:t>
      </w:r>
      <w:r w:rsidR="004F211D">
        <w:rPr>
          <w:rFonts w:cs="BookAntiqua"/>
          <w:szCs w:val="26"/>
        </w:rPr>
        <w:t>.</w:t>
      </w:r>
      <w:r w:rsidR="00E626CF">
        <w:rPr>
          <w:rStyle w:val="FootnoteReference"/>
          <w:rFonts w:cs="BookAntiqua"/>
          <w:szCs w:val="26"/>
        </w:rPr>
        <w:footnoteReference w:id="40"/>
      </w:r>
      <w:r w:rsidR="004F211D">
        <w:rPr>
          <w:rFonts w:cs="BookAntiqua"/>
          <w:szCs w:val="26"/>
        </w:rPr>
        <w:t xml:space="preserve"> </w:t>
      </w:r>
      <w:proofErr w:type="spellStart"/>
      <w:r w:rsidR="004F211D">
        <w:rPr>
          <w:rFonts w:cs="BookAntiqua"/>
          <w:szCs w:val="26"/>
        </w:rPr>
        <w:t>Gexa</w:t>
      </w:r>
      <w:proofErr w:type="spellEnd"/>
      <w:r w:rsidR="004F211D">
        <w:rPr>
          <w:rFonts w:cs="BookAntiqua"/>
          <w:szCs w:val="26"/>
        </w:rPr>
        <w:t xml:space="preserve"> adds that</w:t>
      </w:r>
      <w:r w:rsidR="008E6DBF">
        <w:rPr>
          <w:rFonts w:cs="BookAntiqua"/>
          <w:szCs w:val="26"/>
        </w:rPr>
        <w:t xml:space="preserve"> </w:t>
      </w:r>
      <w:r w:rsidRPr="00C77427" w:rsidR="008E6DBF">
        <w:rPr>
          <w:rFonts w:cs="BookAntiqua"/>
          <w:szCs w:val="26"/>
        </w:rPr>
        <w:t xml:space="preserve">the long-term contracting requirement in D.12-06-038 was structured as a percentage of retail sales in the prior compliance period, </w:t>
      </w:r>
      <w:r w:rsidR="00301CB2">
        <w:rPr>
          <w:rFonts w:cs="BookAntiqua"/>
          <w:szCs w:val="26"/>
        </w:rPr>
        <w:t xml:space="preserve">and </w:t>
      </w:r>
      <w:r w:rsidRPr="00C77427" w:rsidR="008E6DBF">
        <w:rPr>
          <w:rFonts w:cs="BookAntiqua"/>
          <w:szCs w:val="26"/>
        </w:rPr>
        <w:t>the Contract Quantity in the Gexa contract follows that structure for</w:t>
      </w:r>
      <w:r w:rsidR="008E6DBF">
        <w:rPr>
          <w:rFonts w:cs="BookAntiqua"/>
          <w:szCs w:val="26"/>
        </w:rPr>
        <w:t xml:space="preserve"> </w:t>
      </w:r>
      <w:r w:rsidRPr="00C77427" w:rsidR="008E6DBF">
        <w:rPr>
          <w:rFonts w:cs="BookAntiqua"/>
          <w:szCs w:val="26"/>
        </w:rPr>
        <w:t>Compliance Period 2.</w:t>
      </w:r>
      <w:r w:rsidR="00301CB2">
        <w:rPr>
          <w:rStyle w:val="FootnoteReference"/>
          <w:rFonts w:cs="BookAntiqua"/>
          <w:szCs w:val="26"/>
        </w:rPr>
        <w:footnoteReference w:id="41"/>
      </w:r>
      <w:r w:rsidR="004F211D">
        <w:rPr>
          <w:rFonts w:cs="BookAntiqua"/>
          <w:szCs w:val="26"/>
        </w:rPr>
        <w:t xml:space="preserve"> </w:t>
      </w:r>
    </w:p>
    <w:p w:rsidRPr="00686491" w:rsidR="00632EF5" w:rsidP="00686491" w:rsidRDefault="0014509F" w14:paraId="528DEB08" w14:textId="63E5F6B6">
      <w:pPr>
        <w:pStyle w:val="Standard"/>
      </w:pPr>
      <w:r>
        <w:rPr>
          <w:rFonts w:cs="BookAntiqua"/>
          <w:szCs w:val="26"/>
        </w:rPr>
        <w:t xml:space="preserve">We </w:t>
      </w:r>
      <w:r w:rsidR="001D2023">
        <w:rPr>
          <w:rFonts w:cs="BookAntiqua"/>
          <w:szCs w:val="26"/>
        </w:rPr>
        <w:t>find that</w:t>
      </w:r>
      <w:r w:rsidR="00234E3A">
        <w:rPr>
          <w:rFonts w:cs="BookAntiqua"/>
          <w:szCs w:val="26"/>
        </w:rPr>
        <w:t xml:space="preserve"> </w:t>
      </w:r>
      <w:r w:rsidR="00E70784">
        <w:rPr>
          <w:rFonts w:cs="BookAntiqua"/>
          <w:szCs w:val="26"/>
        </w:rPr>
        <w:t xml:space="preserve">Gexa frontloaded its </w:t>
      </w:r>
      <w:r w:rsidR="00234E3A">
        <w:rPr>
          <w:rFonts w:cs="BookAntiqua"/>
          <w:szCs w:val="26"/>
        </w:rPr>
        <w:t xml:space="preserve">REC </w:t>
      </w:r>
      <w:r w:rsidR="00E70784">
        <w:rPr>
          <w:rFonts w:cs="BookAntiqua"/>
          <w:szCs w:val="26"/>
        </w:rPr>
        <w:t xml:space="preserve">purchases </w:t>
      </w:r>
      <w:r w:rsidR="008313AB">
        <w:rPr>
          <w:rFonts w:cs="BookAntiqua"/>
          <w:szCs w:val="26"/>
        </w:rPr>
        <w:t>during</w:t>
      </w:r>
      <w:r w:rsidR="00172256">
        <w:rPr>
          <w:rFonts w:cs="BookAntiqua"/>
          <w:szCs w:val="26"/>
        </w:rPr>
        <w:t xml:space="preserve"> </w:t>
      </w:r>
      <w:r w:rsidR="008313AB">
        <w:rPr>
          <w:rFonts w:cs="BookAntiqua"/>
          <w:szCs w:val="26"/>
        </w:rPr>
        <w:t>Compliance Period 2</w:t>
      </w:r>
      <w:r w:rsidR="00B5470E">
        <w:rPr>
          <w:rFonts w:cs="BookAntiqua"/>
          <w:szCs w:val="26"/>
        </w:rPr>
        <w:t>, then</w:t>
      </w:r>
      <w:r w:rsidR="008313AB">
        <w:rPr>
          <w:rFonts w:cs="BookAntiqua"/>
          <w:szCs w:val="26"/>
        </w:rPr>
        <w:t xml:space="preserve"> </w:t>
      </w:r>
      <w:r w:rsidR="00234E3A">
        <w:rPr>
          <w:rFonts w:cs="BookAntiqua"/>
          <w:szCs w:val="26"/>
        </w:rPr>
        <w:t>retired the</w:t>
      </w:r>
      <w:r w:rsidR="008313AB">
        <w:rPr>
          <w:rFonts w:cs="BookAntiqua"/>
          <w:szCs w:val="26"/>
        </w:rPr>
        <w:t xml:space="preserve"> correct </w:t>
      </w:r>
      <w:proofErr w:type="gramStart"/>
      <w:r w:rsidR="008313AB">
        <w:rPr>
          <w:rFonts w:cs="BookAntiqua"/>
          <w:szCs w:val="26"/>
        </w:rPr>
        <w:t>amount</w:t>
      </w:r>
      <w:proofErr w:type="gramEnd"/>
      <w:r w:rsidR="008313AB">
        <w:rPr>
          <w:rFonts w:cs="BookAntiqua"/>
          <w:szCs w:val="26"/>
        </w:rPr>
        <w:t xml:space="preserve"> of RECs</w:t>
      </w:r>
      <w:r w:rsidR="00234E3A">
        <w:rPr>
          <w:rFonts w:cs="BookAntiqua"/>
          <w:szCs w:val="26"/>
        </w:rPr>
        <w:t xml:space="preserve"> to meet its </w:t>
      </w:r>
      <w:r w:rsidR="00B70393">
        <w:rPr>
          <w:rFonts w:cs="BookAntiqua"/>
          <w:szCs w:val="26"/>
        </w:rPr>
        <w:t xml:space="preserve">RPS procurement </w:t>
      </w:r>
      <w:r w:rsidR="00234E3A">
        <w:rPr>
          <w:rFonts w:cs="BookAntiqua"/>
          <w:szCs w:val="26"/>
        </w:rPr>
        <w:t xml:space="preserve">obligations before </w:t>
      </w:r>
      <w:r w:rsidR="008313AB">
        <w:rPr>
          <w:rFonts w:cs="BookAntiqua"/>
          <w:szCs w:val="26"/>
        </w:rPr>
        <w:t>stopping retail service in California</w:t>
      </w:r>
      <w:r w:rsidR="00213368">
        <w:rPr>
          <w:rFonts w:cs="BookAntiqua"/>
          <w:szCs w:val="26"/>
        </w:rPr>
        <w:t xml:space="preserve">, thus </w:t>
      </w:r>
      <w:r w:rsidR="002D7928">
        <w:rPr>
          <w:rFonts w:cs="BookAntiqua"/>
          <w:szCs w:val="26"/>
        </w:rPr>
        <w:t>releasing</w:t>
      </w:r>
      <w:r w:rsidR="00213368">
        <w:rPr>
          <w:rFonts w:cs="BookAntiqua"/>
          <w:szCs w:val="26"/>
        </w:rPr>
        <w:t xml:space="preserve"> itself from further RPS obligations</w:t>
      </w:r>
      <w:r w:rsidR="00B5470E">
        <w:rPr>
          <w:rFonts w:cs="BookAntiqua"/>
          <w:szCs w:val="26"/>
        </w:rPr>
        <w:t xml:space="preserve">. </w:t>
      </w:r>
      <w:r w:rsidR="00632EF5">
        <w:rPr>
          <w:rFonts w:cs="BookAntiqua"/>
          <w:szCs w:val="26"/>
        </w:rPr>
        <w:t>Contracts</w:t>
      </w:r>
      <w:r w:rsidR="00A65880">
        <w:rPr>
          <w:rFonts w:cs="BookAntiqua"/>
          <w:szCs w:val="26"/>
        </w:rPr>
        <w:t xml:space="preserve"> such as th</w:t>
      </w:r>
      <w:r w:rsidR="00D5524A">
        <w:rPr>
          <w:rFonts w:cs="BookAntiqua"/>
          <w:szCs w:val="26"/>
        </w:rPr>
        <w:t>e cited contract</w:t>
      </w:r>
      <w:r w:rsidR="00A65880">
        <w:rPr>
          <w:rFonts w:cs="BookAntiqua"/>
          <w:szCs w:val="26"/>
        </w:rPr>
        <w:t xml:space="preserve"> </w:t>
      </w:r>
      <w:r w:rsidR="00B70393">
        <w:rPr>
          <w:rFonts w:cs="BookAntiqua"/>
          <w:szCs w:val="26"/>
        </w:rPr>
        <w:t>agreed</w:t>
      </w:r>
      <w:r w:rsidR="00A65880">
        <w:rPr>
          <w:rFonts w:cs="BookAntiqua"/>
          <w:szCs w:val="26"/>
        </w:rPr>
        <w:t xml:space="preserve"> </w:t>
      </w:r>
      <w:r w:rsidR="002F147E">
        <w:rPr>
          <w:rFonts w:cs="BookAntiqua"/>
          <w:szCs w:val="26"/>
        </w:rPr>
        <w:t xml:space="preserve">to </w:t>
      </w:r>
      <w:r w:rsidR="00A65880">
        <w:rPr>
          <w:rFonts w:cs="BookAntiqua"/>
          <w:szCs w:val="26"/>
        </w:rPr>
        <w:t xml:space="preserve">by Gexa and NextEra </w:t>
      </w:r>
      <w:r w:rsidR="009F2A8B">
        <w:rPr>
          <w:rFonts w:cs="BookAntiqua"/>
          <w:szCs w:val="26"/>
        </w:rPr>
        <w:t xml:space="preserve"> </w:t>
      </w:r>
      <w:r w:rsidR="00215C9C">
        <w:rPr>
          <w:rFonts w:cs="BookAntiqua"/>
          <w:szCs w:val="26"/>
        </w:rPr>
        <w:t>may</w:t>
      </w:r>
      <w:r w:rsidR="00A65880">
        <w:rPr>
          <w:rFonts w:cs="BookAntiqua"/>
          <w:szCs w:val="26"/>
        </w:rPr>
        <w:t xml:space="preserve"> not </w:t>
      </w:r>
      <w:r w:rsidR="00215C9C">
        <w:rPr>
          <w:rFonts w:cs="BookAntiqua"/>
          <w:szCs w:val="26"/>
        </w:rPr>
        <w:t xml:space="preserve">be </w:t>
      </w:r>
      <w:r w:rsidR="00A65880">
        <w:rPr>
          <w:rFonts w:cs="BookAntiqua"/>
          <w:szCs w:val="26"/>
        </w:rPr>
        <w:t xml:space="preserve">model </w:t>
      </w:r>
      <w:r w:rsidR="00ED1A9D">
        <w:rPr>
          <w:rFonts w:cs="BookAntiqua"/>
          <w:szCs w:val="26"/>
        </w:rPr>
        <w:t xml:space="preserve">long-term </w:t>
      </w:r>
      <w:r w:rsidR="00A65880">
        <w:rPr>
          <w:rFonts w:cs="BookAntiqua"/>
          <w:szCs w:val="26"/>
        </w:rPr>
        <w:t xml:space="preserve">contracts </w:t>
      </w:r>
      <w:r w:rsidR="005C6C82">
        <w:rPr>
          <w:rFonts w:cs="BookAntiqua"/>
          <w:szCs w:val="26"/>
        </w:rPr>
        <w:t xml:space="preserve">from a project financing </w:t>
      </w:r>
      <w:r w:rsidR="005C6C82">
        <w:rPr>
          <w:rFonts w:cs="BookAntiqua"/>
          <w:szCs w:val="26"/>
        </w:rPr>
        <w:lastRenderedPageBreak/>
        <w:t>perspective</w:t>
      </w:r>
      <w:r w:rsidR="009F2A8B">
        <w:rPr>
          <w:rFonts w:cs="BookAntiqua"/>
          <w:szCs w:val="26"/>
        </w:rPr>
        <w:t xml:space="preserve"> </w:t>
      </w:r>
      <w:r w:rsidR="00BC3D4D">
        <w:rPr>
          <w:rFonts w:cs="BookAntiqua"/>
          <w:szCs w:val="26"/>
        </w:rPr>
        <w:t>.</w:t>
      </w:r>
      <w:r w:rsidR="009F2A8B">
        <w:rPr>
          <w:rFonts w:cs="BookAntiqua"/>
          <w:szCs w:val="26"/>
        </w:rPr>
        <w:t xml:space="preserve"> </w:t>
      </w:r>
      <w:r w:rsidR="00BC3D4D">
        <w:rPr>
          <w:rFonts w:cs="BookAntiqua"/>
          <w:szCs w:val="26"/>
        </w:rPr>
        <w:t>However,</w:t>
      </w:r>
      <w:r w:rsidR="00C812D8">
        <w:rPr>
          <w:rFonts w:cs="BookAntiqua"/>
          <w:szCs w:val="26"/>
        </w:rPr>
        <w:t xml:space="preserve"> </w:t>
      </w:r>
      <w:r w:rsidR="001E3068">
        <w:rPr>
          <w:rFonts w:cs="BookAntiqua"/>
          <w:szCs w:val="26"/>
        </w:rPr>
        <w:t xml:space="preserve">we agree with Gexa that </w:t>
      </w:r>
      <w:r w:rsidR="007B3BA0">
        <w:rPr>
          <w:rFonts w:ascii="TimesNewRoman" w:hAnsi="TimesNewRoman" w:cs="TimesNewRoman"/>
          <w:sz w:val="24"/>
          <w:szCs w:val="24"/>
        </w:rPr>
        <w:t>D</w:t>
      </w:r>
      <w:r w:rsidRPr="00C77427" w:rsidR="007B3BA0">
        <w:rPr>
          <w:rFonts w:cs="BookAntiqua"/>
          <w:szCs w:val="26"/>
        </w:rPr>
        <w:t>.12-06-038</w:t>
      </w:r>
      <w:r w:rsidR="007B3BA0">
        <w:rPr>
          <w:rFonts w:cs="BookAntiqua"/>
          <w:szCs w:val="26"/>
        </w:rPr>
        <w:t xml:space="preserve"> </w:t>
      </w:r>
      <w:r w:rsidRPr="00C77427" w:rsidR="007B3BA0">
        <w:rPr>
          <w:rFonts w:cs="BookAntiqua"/>
          <w:szCs w:val="26"/>
        </w:rPr>
        <w:t xml:space="preserve">does not require ESPs to </w:t>
      </w:r>
      <w:r w:rsidRPr="00B70393" w:rsidR="00B70393">
        <w:rPr>
          <w:rFonts w:cs="BookAntiqua"/>
          <w:szCs w:val="26"/>
        </w:rPr>
        <w:t>show</w:t>
      </w:r>
      <w:r w:rsidRPr="00C77427" w:rsidR="007B3BA0">
        <w:rPr>
          <w:rFonts w:cs="BookAntiqua"/>
          <w:szCs w:val="26"/>
        </w:rPr>
        <w:t xml:space="preserve"> that their </w:t>
      </w:r>
      <w:r w:rsidR="006804E6">
        <w:rPr>
          <w:rFonts w:cs="BookAntiqua"/>
          <w:szCs w:val="26"/>
        </w:rPr>
        <w:t>RPS</w:t>
      </w:r>
      <w:r w:rsidR="007B3BA0">
        <w:rPr>
          <w:rFonts w:cs="BookAntiqua"/>
          <w:szCs w:val="26"/>
        </w:rPr>
        <w:t xml:space="preserve"> </w:t>
      </w:r>
      <w:r w:rsidRPr="00C77427" w:rsidR="007B3BA0">
        <w:rPr>
          <w:rFonts w:cs="BookAntiqua"/>
          <w:szCs w:val="26"/>
        </w:rPr>
        <w:t>contracts can support project financing or capital</w:t>
      </w:r>
      <w:r w:rsidR="001B0AF0">
        <w:rPr>
          <w:rFonts w:cs="BookAntiqua"/>
          <w:szCs w:val="26"/>
        </w:rPr>
        <w:t xml:space="preserve"> </w:t>
      </w:r>
      <w:r w:rsidRPr="00C77427" w:rsidR="007B3BA0">
        <w:rPr>
          <w:rFonts w:cs="BookAntiqua"/>
          <w:szCs w:val="26"/>
        </w:rPr>
        <w:t>investments in a renewable facility.</w:t>
      </w:r>
      <w:r w:rsidR="00BC3D4D">
        <w:rPr>
          <w:rFonts w:cs="BookAntiqua"/>
          <w:szCs w:val="26"/>
        </w:rPr>
        <w:t xml:space="preserve"> </w:t>
      </w:r>
      <w:r w:rsidR="000B191F">
        <w:rPr>
          <w:rFonts w:cs="BookAntiqua"/>
          <w:szCs w:val="26"/>
        </w:rPr>
        <w:t xml:space="preserve">Of course, sellers may decline to accept </w:t>
      </w:r>
      <w:r w:rsidR="00252E84">
        <w:rPr>
          <w:rFonts w:cs="BookAntiqua"/>
          <w:szCs w:val="26"/>
        </w:rPr>
        <w:t>contract</w:t>
      </w:r>
      <w:r w:rsidR="000B191F">
        <w:rPr>
          <w:rFonts w:cs="BookAntiqua"/>
          <w:szCs w:val="26"/>
        </w:rPr>
        <w:t xml:space="preserve"> terms</w:t>
      </w:r>
      <w:r w:rsidR="00252E84">
        <w:rPr>
          <w:rFonts w:cs="BookAntiqua"/>
          <w:szCs w:val="26"/>
        </w:rPr>
        <w:t xml:space="preserve"> that</w:t>
      </w:r>
      <w:r w:rsidR="000B191F">
        <w:rPr>
          <w:rFonts w:cs="BookAntiqua"/>
          <w:szCs w:val="26"/>
        </w:rPr>
        <w:t xml:space="preserve"> they determine are a barrier to financing.</w:t>
      </w:r>
    </w:p>
    <w:p w:rsidRPr="003F4B0C" w:rsidR="00A304F9" w:rsidP="005D40CD" w:rsidRDefault="00DD6E69" w14:paraId="4EA761B7" w14:textId="148AE49D">
      <w:pPr>
        <w:pStyle w:val="Standard"/>
        <w:rPr>
          <w:rFonts w:cs="BookAntiqua"/>
          <w:szCs w:val="26"/>
        </w:rPr>
      </w:pPr>
      <w:r>
        <w:rPr>
          <w:rFonts w:cs="BookAntiqua"/>
          <w:szCs w:val="26"/>
        </w:rPr>
        <w:t xml:space="preserve">Regarding </w:t>
      </w:r>
      <w:r w:rsidR="00ED1A9D">
        <w:rPr>
          <w:rFonts w:cs="BookAntiqua"/>
          <w:szCs w:val="26"/>
        </w:rPr>
        <w:t>adopting</w:t>
      </w:r>
      <w:r w:rsidR="00AA1D2F">
        <w:rPr>
          <w:rFonts w:cs="BookAntiqua"/>
          <w:szCs w:val="26"/>
        </w:rPr>
        <w:t xml:space="preserve"> a specific requirement that </w:t>
      </w:r>
      <w:r w:rsidRPr="007913DE" w:rsidR="00AA1D2F">
        <w:rPr>
          <w:rFonts w:cs="BookAntiqua"/>
          <w:szCs w:val="26"/>
        </w:rPr>
        <w:t>all contracts assure purchases over a term of at least ten years</w:t>
      </w:r>
      <w:r w:rsidR="00AA1D2F">
        <w:rPr>
          <w:rFonts w:cs="BookAntiqua"/>
          <w:szCs w:val="26"/>
        </w:rPr>
        <w:t>, we</w:t>
      </w:r>
      <w:r w:rsidR="00F900ED">
        <w:rPr>
          <w:rFonts w:cs="BookAntiqua"/>
          <w:szCs w:val="26"/>
        </w:rPr>
        <w:t xml:space="preserve"> </w:t>
      </w:r>
      <w:r w:rsidR="00757313">
        <w:rPr>
          <w:rFonts w:cs="BookAntiqua"/>
          <w:szCs w:val="26"/>
        </w:rPr>
        <w:t>believe</w:t>
      </w:r>
      <w:r w:rsidR="00F900ED">
        <w:rPr>
          <w:rFonts w:cs="BookAntiqua"/>
          <w:szCs w:val="26"/>
        </w:rPr>
        <w:t xml:space="preserve"> the current</w:t>
      </w:r>
      <w:r w:rsidR="001B0AF0">
        <w:rPr>
          <w:rFonts w:cs="BookAntiqua"/>
          <w:szCs w:val="26"/>
        </w:rPr>
        <w:t xml:space="preserve"> statutory requirement</w:t>
      </w:r>
      <w:r w:rsidR="00AA1D2F">
        <w:rPr>
          <w:rFonts w:cs="BookAntiqua"/>
          <w:szCs w:val="26"/>
        </w:rPr>
        <w:t xml:space="preserve">s address the issue. </w:t>
      </w:r>
      <w:r w:rsidR="00732543">
        <w:t xml:space="preserve">Beginning January 1, 2021, at least 65 percent of the procurement a retail seller counts </w:t>
      </w:r>
      <w:r w:rsidR="00732543">
        <w:rPr>
          <w:color w:val="0070C0"/>
          <w:u w:val="single"/>
        </w:rPr>
        <w:t xml:space="preserve">towards its compliance with </w:t>
      </w:r>
      <w:r w:rsidR="00732543">
        <w:t xml:space="preserve">renewables portfolio standard </w:t>
      </w:r>
      <w:r w:rsidRPr="001D3934" w:rsidR="00732543">
        <w:t xml:space="preserve">requirement </w:t>
      </w:r>
      <w:r w:rsidRPr="00C77427" w:rsidR="00732543">
        <w:t>in the</w:t>
      </w:r>
      <w:r w:rsidRPr="001D3934" w:rsidR="00732543">
        <w:t xml:space="preserve"> compliance</w:t>
      </w:r>
      <w:r w:rsidR="00732543">
        <w:t xml:space="preserve"> period shall be from its contracts of 10 years or more in duration, which will alleviate the opposing parties concerns regarding the procurement of specific quantities of RPS-eligible resources over the term of the contract.</w:t>
      </w:r>
      <w:r w:rsidR="005D40CD">
        <w:rPr>
          <w:rStyle w:val="FootnoteReference"/>
        </w:rPr>
        <w:footnoteReference w:id="42"/>
      </w:r>
      <w:r w:rsidR="000C6827">
        <w:t xml:space="preserve"> </w:t>
      </w:r>
      <w:r w:rsidR="00E96EB8">
        <w:rPr>
          <w:rFonts w:cs="BookAntiqua"/>
          <w:szCs w:val="26"/>
        </w:rPr>
        <w:t xml:space="preserve">Moreover, as explained above, </w:t>
      </w:r>
      <w:r w:rsidR="00473041">
        <w:rPr>
          <w:rFonts w:cs="BookAntiqua"/>
          <w:szCs w:val="26"/>
        </w:rPr>
        <w:t xml:space="preserve">we </w:t>
      </w:r>
      <w:r w:rsidR="004815B4">
        <w:rPr>
          <w:rFonts w:cs="BookAntiqua"/>
          <w:szCs w:val="26"/>
        </w:rPr>
        <w:t xml:space="preserve">find </w:t>
      </w:r>
      <w:r w:rsidR="00473041">
        <w:rPr>
          <w:rFonts w:cs="BookAntiqua"/>
          <w:szCs w:val="26"/>
        </w:rPr>
        <w:t>that</w:t>
      </w:r>
      <w:r w:rsidR="00FA707A">
        <w:rPr>
          <w:rFonts w:cs="BookAntiqua"/>
          <w:szCs w:val="26"/>
        </w:rPr>
        <w:t xml:space="preserve"> the Gexa contract</w:t>
      </w:r>
      <w:r w:rsidR="00473041">
        <w:rPr>
          <w:rFonts w:cs="BookAntiqua"/>
          <w:szCs w:val="26"/>
        </w:rPr>
        <w:t xml:space="preserve"> did provide for purchases </w:t>
      </w:r>
      <w:r w:rsidR="001178C7">
        <w:rPr>
          <w:rFonts w:cs="BookAntiqua"/>
          <w:szCs w:val="26"/>
        </w:rPr>
        <w:t>over a term of at least ten years.</w:t>
      </w:r>
      <w:r w:rsidR="00FA707A">
        <w:rPr>
          <w:rFonts w:cs="BookAntiqua"/>
          <w:szCs w:val="26"/>
        </w:rPr>
        <w:t xml:space="preserve"> </w:t>
      </w:r>
      <w:r w:rsidR="00F37FCA">
        <w:rPr>
          <w:rFonts w:cs="BookAntiqua"/>
          <w:szCs w:val="26"/>
        </w:rPr>
        <w:t xml:space="preserve">This decision </w:t>
      </w:r>
      <w:r w:rsidR="000C6827">
        <w:rPr>
          <w:rFonts w:cs="BookAntiqua"/>
          <w:szCs w:val="26"/>
        </w:rPr>
        <w:t xml:space="preserve">declines to adopt </w:t>
      </w:r>
      <w:r w:rsidR="00D235B3">
        <w:rPr>
          <w:rFonts w:cs="BookAntiqua"/>
          <w:szCs w:val="26"/>
        </w:rPr>
        <w:t xml:space="preserve">new rules for future contracts as it </w:t>
      </w:r>
      <w:r w:rsidR="00D837CB">
        <w:rPr>
          <w:rFonts w:cs="BookAntiqua"/>
          <w:szCs w:val="26"/>
        </w:rPr>
        <w:t xml:space="preserve">is not </w:t>
      </w:r>
      <w:r w:rsidR="00D235B3">
        <w:rPr>
          <w:rFonts w:cs="BookAntiqua"/>
          <w:szCs w:val="26"/>
        </w:rPr>
        <w:t>within our</w:t>
      </w:r>
      <w:r w:rsidR="002D6201">
        <w:rPr>
          <w:rFonts w:cs="BookAntiqua"/>
          <w:szCs w:val="26"/>
        </w:rPr>
        <w:t xml:space="preserve"> scope</w:t>
      </w:r>
      <w:r w:rsidR="00D235B3">
        <w:rPr>
          <w:rFonts w:cs="BookAntiqua"/>
          <w:szCs w:val="26"/>
        </w:rPr>
        <w:t xml:space="preserve"> here</w:t>
      </w:r>
      <w:r w:rsidR="008D2D8D">
        <w:rPr>
          <w:rFonts w:cs="BookAntiqua"/>
          <w:szCs w:val="26"/>
        </w:rPr>
        <w:t xml:space="preserve">. </w:t>
      </w:r>
    </w:p>
    <w:p w:rsidR="003E0080" w:rsidP="003E0080" w:rsidRDefault="004071E6" w14:paraId="3ED6A4C0" w14:textId="0BA60A7B">
      <w:pPr>
        <w:pStyle w:val="Standard"/>
      </w:pPr>
      <w:r w:rsidRPr="003F4B0C">
        <w:rPr>
          <w:rFonts w:cs="Calibri"/>
        </w:rPr>
        <w:t>Regarding TURN</w:t>
      </w:r>
      <w:r w:rsidR="00E470B1">
        <w:rPr>
          <w:rFonts w:cs="Calibri"/>
        </w:rPr>
        <w:t>/ CUE</w:t>
      </w:r>
      <w:r w:rsidRPr="003F4B0C">
        <w:rPr>
          <w:rFonts w:cs="Calibri"/>
        </w:rPr>
        <w:t xml:space="preserve">’s argument that </w:t>
      </w:r>
      <w:proofErr w:type="spellStart"/>
      <w:r w:rsidRPr="003F4B0C">
        <w:rPr>
          <w:rFonts w:cs="Calibri"/>
        </w:rPr>
        <w:t>Gexa’s</w:t>
      </w:r>
      <w:proofErr w:type="spellEnd"/>
      <w:r w:rsidRPr="003F4B0C">
        <w:rPr>
          <w:rFonts w:cs="Calibri"/>
        </w:rPr>
        <w:t xml:space="preserve"> REC Agreement </w:t>
      </w:r>
      <w:r w:rsidRPr="003F4B0C">
        <w:t xml:space="preserve">is tied entirely to </w:t>
      </w:r>
      <w:proofErr w:type="spellStart"/>
      <w:r w:rsidRPr="003F4B0C">
        <w:t>Gexa’s</w:t>
      </w:r>
      <w:proofErr w:type="spellEnd"/>
      <w:r w:rsidRPr="003F4B0C">
        <w:t xml:space="preserve"> retail sales during various periods, and if </w:t>
      </w:r>
      <w:proofErr w:type="spellStart"/>
      <w:r w:rsidRPr="003F4B0C">
        <w:t>Gexa’s</w:t>
      </w:r>
      <w:proofErr w:type="spellEnd"/>
      <w:r w:rsidRPr="003F4B0C">
        <w:t xml:space="preserve"> retail sales dramatically decline, or if Gexa exits the market, the quantities to be purchased would decline or amount to zero is accurate.</w:t>
      </w:r>
      <w:r w:rsidRPr="003F4B0C">
        <w:rPr>
          <w:rStyle w:val="FootnoteReference"/>
          <w:rFonts w:cs="BookAntiqua"/>
          <w:szCs w:val="26"/>
        </w:rPr>
        <w:footnoteReference w:id="43"/>
      </w:r>
      <w:r w:rsidR="00D02255">
        <w:t xml:space="preserve"> </w:t>
      </w:r>
      <w:r w:rsidRPr="003F4B0C">
        <w:t xml:space="preserve">This reflects how procurement requirements are calculated under the applicable  RPS rules, which provide that if an </w:t>
      </w:r>
      <w:r w:rsidR="00303DFE">
        <w:t>Electric Service Provider (</w:t>
      </w:r>
      <w:r w:rsidRPr="00303DFE">
        <w:t>ESP</w:t>
      </w:r>
      <w:r w:rsidR="00303DFE">
        <w:t>)</w:t>
      </w:r>
      <w:r w:rsidRPr="003F4B0C">
        <w:t xml:space="preserve"> stops serving retail load, it will have no obligation to procure renewable generation.</w:t>
      </w:r>
      <w:r w:rsidR="00442708">
        <w:t xml:space="preserve"> Moreover, th</w:t>
      </w:r>
      <w:r w:rsidR="003D2C94">
        <w:t xml:space="preserve">e Commission has not </w:t>
      </w:r>
      <w:r w:rsidR="003537CB">
        <w:t xml:space="preserve">adopted a decision or order </w:t>
      </w:r>
      <w:r w:rsidR="00442708">
        <w:t>that prohibits this contrac</w:t>
      </w:r>
      <w:r w:rsidR="00515115">
        <w:t>t term</w:t>
      </w:r>
      <w:r w:rsidR="00BF7B92">
        <w:t xml:space="preserve">. </w:t>
      </w:r>
      <w:r w:rsidR="00D11A85">
        <w:t>TURN/ CUE</w:t>
      </w:r>
      <w:r w:rsidR="001B474E">
        <w:t xml:space="preserve"> argue </w:t>
      </w:r>
      <w:r w:rsidR="001B474E">
        <w:lastRenderedPageBreak/>
        <w:t xml:space="preserve">that </w:t>
      </w:r>
      <w:proofErr w:type="spellStart"/>
      <w:r w:rsidR="003F14B4">
        <w:t>Gexa’s</w:t>
      </w:r>
      <w:proofErr w:type="spellEnd"/>
      <w:r w:rsidR="003F14B4">
        <w:t xml:space="preserve"> </w:t>
      </w:r>
      <w:r w:rsidR="000F637E">
        <w:t>penalty</w:t>
      </w:r>
      <w:r w:rsidR="000A18DB">
        <w:t>-</w:t>
      </w:r>
      <w:r w:rsidR="000F637E">
        <w:t xml:space="preserve">free </w:t>
      </w:r>
      <w:r w:rsidRPr="007A4969" w:rsidR="001B474E">
        <w:rPr>
          <w:rFonts w:cs="BookAntiqua"/>
          <w:szCs w:val="26"/>
        </w:rPr>
        <w:t xml:space="preserve">early termination without liability for any performance for the </w:t>
      </w:r>
      <w:r w:rsidRPr="007A4969" w:rsidR="00D11A85">
        <w:rPr>
          <w:rFonts w:cs="BookAntiqua"/>
          <w:szCs w:val="26"/>
        </w:rPr>
        <w:t>rest</w:t>
      </w:r>
      <w:r w:rsidRPr="007A4969" w:rsidR="001B474E">
        <w:rPr>
          <w:rFonts w:cs="BookAntiqua"/>
          <w:szCs w:val="26"/>
        </w:rPr>
        <w:t xml:space="preserve"> of the Compliance Periods</w:t>
      </w:r>
      <w:r w:rsidR="001B474E">
        <w:rPr>
          <w:rFonts w:cs="BookAntiqua"/>
          <w:szCs w:val="26"/>
        </w:rPr>
        <w:t xml:space="preserve"> </w:t>
      </w:r>
      <w:r w:rsidR="002C1379">
        <w:rPr>
          <w:rFonts w:cs="BookAntiqua"/>
          <w:szCs w:val="26"/>
        </w:rPr>
        <w:t xml:space="preserve">results in a </w:t>
      </w:r>
      <w:r w:rsidR="00D11A85">
        <w:rPr>
          <w:rFonts w:cs="BookAntiqua"/>
          <w:szCs w:val="26"/>
        </w:rPr>
        <w:t>defective</w:t>
      </w:r>
      <w:r w:rsidR="002C1379">
        <w:rPr>
          <w:rFonts w:cs="BookAntiqua"/>
          <w:szCs w:val="26"/>
        </w:rPr>
        <w:t xml:space="preserve"> contract.</w:t>
      </w:r>
      <w:r w:rsidR="00D11A85">
        <w:rPr>
          <w:rFonts w:cs="BookAntiqua"/>
          <w:szCs w:val="26"/>
        </w:rPr>
        <w:t xml:space="preserve"> </w:t>
      </w:r>
      <w:r w:rsidR="00450FAF">
        <w:rPr>
          <w:rFonts w:cs="BookAntiqua"/>
          <w:szCs w:val="26"/>
        </w:rPr>
        <w:t>Our</w:t>
      </w:r>
      <w:r w:rsidR="002C1379">
        <w:rPr>
          <w:rFonts w:cs="BookAntiqua"/>
          <w:szCs w:val="26"/>
        </w:rPr>
        <w:t xml:space="preserve"> current rules </w:t>
      </w:r>
      <w:r w:rsidR="00211502">
        <w:rPr>
          <w:rFonts w:cs="BookAntiqua"/>
          <w:szCs w:val="26"/>
        </w:rPr>
        <w:t xml:space="preserve">do not </w:t>
      </w:r>
      <w:r w:rsidR="00D73EF3">
        <w:rPr>
          <w:rFonts w:cs="BookAntiqua"/>
          <w:szCs w:val="26"/>
        </w:rPr>
        <w:t>address</w:t>
      </w:r>
      <w:r w:rsidR="00450FAF">
        <w:rPr>
          <w:rFonts w:cs="BookAntiqua"/>
          <w:szCs w:val="26"/>
        </w:rPr>
        <w:t xml:space="preserve"> </w:t>
      </w:r>
      <w:r w:rsidR="00A16681">
        <w:rPr>
          <w:rFonts w:cs="BookAntiqua"/>
          <w:szCs w:val="26"/>
        </w:rPr>
        <w:t xml:space="preserve">the </w:t>
      </w:r>
      <w:r w:rsidR="00D11A85">
        <w:rPr>
          <w:rFonts w:cs="BookAntiqua"/>
          <w:szCs w:val="26"/>
        </w:rPr>
        <w:t>early termination clause for long-term</w:t>
      </w:r>
      <w:r w:rsidR="00120A7D">
        <w:rPr>
          <w:rFonts w:cs="BookAntiqua"/>
          <w:szCs w:val="26"/>
        </w:rPr>
        <w:t xml:space="preserve"> contracts.</w:t>
      </w:r>
      <w:r w:rsidR="00F817D9">
        <w:rPr>
          <w:rFonts w:cs="BookAntiqua"/>
          <w:szCs w:val="26"/>
        </w:rPr>
        <w:t xml:space="preserve"> </w:t>
      </w:r>
      <w:r w:rsidR="00475615">
        <w:t>TURN</w:t>
      </w:r>
      <w:r w:rsidR="00335948">
        <w:t>/ CUE</w:t>
      </w:r>
      <w:r w:rsidR="00475615">
        <w:t xml:space="preserve">’s Opening Comments on the Proposed Decision </w:t>
      </w:r>
      <w:r w:rsidR="00F23F24">
        <w:t>state</w:t>
      </w:r>
      <w:r w:rsidR="006278C0">
        <w:t xml:space="preserve"> </w:t>
      </w:r>
      <w:r w:rsidR="0067289E">
        <w:t xml:space="preserve">that </w:t>
      </w:r>
      <w:r w:rsidRPr="00C77427" w:rsidR="0067289E">
        <w:t xml:space="preserve">the </w:t>
      </w:r>
      <w:r w:rsidRPr="00C77427" w:rsidR="00A051A7">
        <w:t xml:space="preserve">California Energy Commission has recently adopted </w:t>
      </w:r>
      <w:r w:rsidRPr="00C77427" w:rsidR="00A1342A">
        <w:t>revised enforcement rules and prohibited long-term contracts from including “no-cost, early termination” provisions that can be unilaterally exercised</w:t>
      </w:r>
      <w:r w:rsidRPr="00C77427" w:rsidR="002C7A36">
        <w:t xml:space="preserve"> </w:t>
      </w:r>
      <w:r w:rsidRPr="00C77427" w:rsidR="00066FF6">
        <w:t>by one party</w:t>
      </w:r>
      <w:r w:rsidR="00066FF6">
        <w:rPr>
          <w:sz w:val="23"/>
          <w:szCs w:val="23"/>
        </w:rPr>
        <w:t>.</w:t>
      </w:r>
      <w:r w:rsidR="00066FF6">
        <w:rPr>
          <w:rStyle w:val="FootnoteReference"/>
          <w:sz w:val="23"/>
          <w:szCs w:val="23"/>
        </w:rPr>
        <w:footnoteReference w:id="44"/>
      </w:r>
      <w:r w:rsidR="006278C0">
        <w:t xml:space="preserve"> </w:t>
      </w:r>
      <w:proofErr w:type="spellStart"/>
      <w:r w:rsidR="003E0080">
        <w:t>Gexa’s</w:t>
      </w:r>
      <w:proofErr w:type="spellEnd"/>
      <w:r w:rsidR="003E0080">
        <w:t xml:space="preserve"> reply comments correctly note that the </w:t>
      </w:r>
      <w:r w:rsidRPr="00C77427" w:rsidR="003E0080">
        <w:t>California Code of Regulations,</w:t>
      </w:r>
      <w:r w:rsidR="003E0080">
        <w:t xml:space="preserve"> </w:t>
      </w:r>
      <w:r w:rsidRPr="00C77427" w:rsidR="003E0080">
        <w:t xml:space="preserve">Title 20, Division 2, Chapter 13, Section 3204(d)(2)(A)—applies to </w:t>
      </w:r>
      <w:r w:rsidR="0036121A">
        <w:t>publicly</w:t>
      </w:r>
      <w:r w:rsidR="003E0080">
        <w:t xml:space="preserve"> owned utilities</w:t>
      </w:r>
      <w:r w:rsidRPr="00C77427" w:rsidR="003E0080">
        <w:t xml:space="preserve"> only</w:t>
      </w:r>
      <w:r w:rsidR="00741F1A">
        <w:t xml:space="preserve"> and does not apply to </w:t>
      </w:r>
      <w:r w:rsidR="00352921">
        <w:t xml:space="preserve">the </w:t>
      </w:r>
      <w:r w:rsidR="002637B3">
        <w:t>load serving entities under the CPUC jurisdiction</w:t>
      </w:r>
      <w:r w:rsidR="00D17043">
        <w:t xml:space="preserve"> </w:t>
      </w:r>
      <w:r w:rsidR="0073321B">
        <w:t xml:space="preserve">unless adopted by </w:t>
      </w:r>
      <w:r w:rsidR="00850F0D">
        <w:t>the CPUC via</w:t>
      </w:r>
      <w:r w:rsidR="0073321B">
        <w:t xml:space="preserve"> </w:t>
      </w:r>
      <w:r w:rsidR="00700C9C">
        <w:t>a decision.</w:t>
      </w:r>
    </w:p>
    <w:p w:rsidRPr="004C0604" w:rsidR="004071E6" w:rsidP="00F8211D" w:rsidRDefault="00E666AF" w14:paraId="0CE2D118" w14:textId="282C3CA5">
      <w:pPr>
        <w:pStyle w:val="Heading2"/>
        <w:ind w:left="810"/>
      </w:pPr>
      <w:bookmarkStart w:name="_Toc89343470" w:id="25"/>
      <w:bookmarkStart w:name="_Toc94610214" w:id="26"/>
      <w:r>
        <w:t>5.3.</w:t>
      </w:r>
      <w:r w:rsidR="00F8211D">
        <w:tab/>
      </w:r>
      <w:r w:rsidR="004071E6">
        <w:t>Waiver Request and Penalty</w:t>
      </w:r>
      <w:bookmarkEnd w:id="25"/>
      <w:bookmarkEnd w:id="26"/>
      <w:r w:rsidR="004071E6">
        <w:t xml:space="preserve"> </w:t>
      </w:r>
    </w:p>
    <w:p w:rsidR="004071E6" w:rsidP="00FE0B72" w:rsidRDefault="004071E6" w14:paraId="747C4E8C" w14:textId="0CB8FEF8">
      <w:pPr>
        <w:pStyle w:val="Standard"/>
      </w:pPr>
      <w:r>
        <w:t xml:space="preserve"> </w:t>
      </w:r>
      <w:proofErr w:type="spellStart"/>
      <w:r w:rsidRPr="00644524">
        <w:t>Gexa</w:t>
      </w:r>
      <w:r>
        <w:t>’s</w:t>
      </w:r>
      <w:proofErr w:type="spellEnd"/>
      <w:r>
        <w:t xml:space="preserve"> </w:t>
      </w:r>
      <w:r w:rsidRPr="00644524">
        <w:t xml:space="preserve">waiver </w:t>
      </w:r>
      <w:r>
        <w:t xml:space="preserve">request is </w:t>
      </w:r>
      <w:r w:rsidRPr="00644524">
        <w:t>based on its submission</w:t>
      </w:r>
      <w:r>
        <w:t xml:space="preserve"> </w:t>
      </w:r>
      <w:r w:rsidRPr="00644524">
        <w:t>that its retired RECs should not have been disallowed</w:t>
      </w:r>
      <w:r>
        <w:t>.</w:t>
      </w:r>
      <w:r w:rsidRPr="00822196">
        <w:rPr>
          <w:rStyle w:val="FootnoteReference"/>
          <w:spacing w:val="-1"/>
        </w:rPr>
        <w:t xml:space="preserve"> </w:t>
      </w:r>
      <w:r>
        <w:rPr>
          <w:rStyle w:val="FootnoteReference"/>
          <w:spacing w:val="-1"/>
        </w:rPr>
        <w:footnoteReference w:id="45"/>
      </w:r>
      <w:r>
        <w:t xml:space="preserve"> Since we are not disallowing </w:t>
      </w:r>
      <w:proofErr w:type="spellStart"/>
      <w:r>
        <w:t>Gexa’s</w:t>
      </w:r>
      <w:proofErr w:type="spellEnd"/>
      <w:r>
        <w:t xml:space="preserve"> procurement amounts, the waiver request is moot and requires no further discussion.</w:t>
      </w:r>
      <w:r w:rsidR="00E666AF">
        <w:t xml:space="preserve"> </w:t>
      </w:r>
      <w:r>
        <w:t>However, this does not release Gexa from its RPS compliance</w:t>
      </w:r>
      <w:r w:rsidRPr="00E704A9">
        <w:t xml:space="preserve"> </w:t>
      </w:r>
      <w:r>
        <w:t xml:space="preserve">responsibility, including the use of correct standard terms and conditions and penalties for non-compliance. </w:t>
      </w:r>
    </w:p>
    <w:p w:rsidR="004071E6" w:rsidP="00E91A0E" w:rsidRDefault="004071E6" w14:paraId="5FDE3FFA" w14:textId="5DABCD72">
      <w:pPr>
        <w:pStyle w:val="Standard"/>
      </w:pPr>
      <w:r>
        <w:t xml:space="preserve">We find </w:t>
      </w:r>
      <w:r w:rsidRPr="007F709A">
        <w:t xml:space="preserve">that while Gexa met its </w:t>
      </w:r>
      <w:r>
        <w:t>PQR</w:t>
      </w:r>
      <w:r w:rsidRPr="007F709A">
        <w:t xml:space="preserve"> when it retired 863 RECs at the end of Compliance Period 2, </w:t>
      </w:r>
      <w:r>
        <w:t>it</w:t>
      </w:r>
      <w:r w:rsidRPr="007F709A">
        <w:t xml:space="preserve"> did not </w:t>
      </w:r>
      <w:r>
        <w:t>meet the narrative reporting elements in its compliance report.</w:t>
      </w:r>
      <w:r w:rsidR="002E43F4">
        <w:t xml:space="preserve"> </w:t>
      </w:r>
      <w:proofErr w:type="spellStart"/>
      <w:r>
        <w:t>Gexa’s</w:t>
      </w:r>
      <w:proofErr w:type="spellEnd"/>
      <w:r>
        <w:t xml:space="preserve"> REC Agreement excluded the required standard contract language in numerous respects identified abov</w:t>
      </w:r>
      <w:r w:rsidRPr="007F709A">
        <w:t>e</w:t>
      </w:r>
      <w:r>
        <w:t>.</w:t>
      </w:r>
      <w:r w:rsidR="002E43F4">
        <w:t xml:space="preserve"> </w:t>
      </w:r>
      <w:r>
        <w:t xml:space="preserve">Therefore, </w:t>
      </w:r>
      <w:r w:rsidRPr="007F709A">
        <w:t>until it amended the contract, Gexa was out of compliance with the mandatory</w:t>
      </w:r>
      <w:r>
        <w:t xml:space="preserve"> </w:t>
      </w:r>
      <w:r>
        <w:lastRenderedPageBreak/>
        <w:t>contractual and</w:t>
      </w:r>
      <w:r w:rsidRPr="007F709A">
        <w:t xml:space="preserve"> reporting requirements of the RPS </w:t>
      </w:r>
      <w:r w:rsidR="00D6491E">
        <w:t xml:space="preserve">program </w:t>
      </w:r>
      <w:r w:rsidRPr="007F709A">
        <w:t>rule</w:t>
      </w:r>
      <w:r w:rsidR="00D6491E">
        <w:t>s</w:t>
      </w:r>
      <w:r w:rsidRPr="007F709A">
        <w:t>.</w:t>
      </w:r>
      <w:r>
        <w:t xml:space="preserve"> Pub. Util. Code</w:t>
      </w:r>
      <w:r w:rsidR="00E91A0E">
        <w:t xml:space="preserve"> </w:t>
      </w:r>
      <w:r>
        <w:t>Sections 399.13(e),</w:t>
      </w:r>
      <w:r w:rsidRPr="0043602C">
        <w:t xml:space="preserve"> </w:t>
      </w:r>
      <w:r>
        <w:t xml:space="preserve">2102-2105, 2107, 2108, and 2114 authorize the </w:t>
      </w:r>
      <w:r w:rsidRPr="00B45208">
        <w:t>C</w:t>
      </w:r>
      <w:r w:rsidR="00B45208">
        <w:t>ommission</w:t>
      </w:r>
      <w:r>
        <w:t xml:space="preserve"> to enforce compliance with orders and decisions issued in the RPS program. </w:t>
      </w:r>
    </w:p>
    <w:p w:rsidR="004071E6" w:rsidP="00F8211D" w:rsidRDefault="004071E6" w14:paraId="6C49420B" w14:textId="4481EDFF">
      <w:pPr>
        <w:pStyle w:val="Standard"/>
        <w:spacing w:after="120"/>
        <w:contextualSpacing/>
      </w:pPr>
      <w:r>
        <w:t>We disagree with Gexa that e</w:t>
      </w:r>
      <w:r w:rsidRPr="00205551">
        <w:t xml:space="preserve">ven without </w:t>
      </w:r>
      <w:r>
        <w:t>amending the contract</w:t>
      </w:r>
      <w:r w:rsidRPr="00205551">
        <w:t>, the deviations in the Gexa REC</w:t>
      </w:r>
      <w:r>
        <w:t xml:space="preserve"> </w:t>
      </w:r>
      <w:r w:rsidRPr="00205551">
        <w:t xml:space="preserve">Agreement from the </w:t>
      </w:r>
      <w:r>
        <w:t>standard terms and conditions</w:t>
      </w:r>
      <w:r w:rsidRPr="00205551">
        <w:t xml:space="preserve"> are not material because they do not affect the key terms of the Gexa</w:t>
      </w:r>
      <w:r>
        <w:t xml:space="preserve"> </w:t>
      </w:r>
      <w:r w:rsidRPr="00205551">
        <w:t>REC Agreement that make it a long-term contract.</w:t>
      </w:r>
      <w:r>
        <w:t xml:space="preserve"> Gexa acknowledges it </w:t>
      </w:r>
      <w:r w:rsidRPr="00E86E0E">
        <w:t>did not use the exact language of the standard terms and conditions</w:t>
      </w:r>
      <w:r>
        <w:t>,</w:t>
      </w:r>
      <w:r w:rsidRPr="00E86E0E">
        <w:t xml:space="preserve"> and it regrets</w:t>
      </w:r>
      <w:r>
        <w:t xml:space="preserve"> </w:t>
      </w:r>
      <w:r w:rsidRPr="00E86E0E">
        <w:t xml:space="preserve">the oversight and ensures that its RPS contracts contain the </w:t>
      </w:r>
      <w:r w:rsidRPr="00767E30">
        <w:t>standard terms and condition</w:t>
      </w:r>
      <w:r w:rsidRPr="00E86E0E">
        <w:t>s in the future.</w:t>
      </w:r>
      <w:r>
        <w:rPr>
          <w:rStyle w:val="FootnoteReference"/>
          <w:rFonts w:ascii="TimesNewRoman" w:hAnsi="TimesNewRoman" w:cs="TimesNewRoman"/>
          <w:szCs w:val="24"/>
        </w:rPr>
        <w:footnoteReference w:id="46"/>
      </w:r>
    </w:p>
    <w:p w:rsidR="004071E6" w:rsidP="00FE0B72" w:rsidRDefault="004071E6" w14:paraId="5177933C" w14:textId="00E9784D">
      <w:pPr>
        <w:pStyle w:val="Standard"/>
      </w:pPr>
      <w:r w:rsidRPr="00C63931">
        <w:t xml:space="preserve">As a general matter, </w:t>
      </w:r>
      <w:r w:rsidR="00767E05">
        <w:t xml:space="preserve">investor owned utilities, </w:t>
      </w:r>
      <w:r w:rsidRPr="00303DFE">
        <w:t>ESPs</w:t>
      </w:r>
      <w:r w:rsidR="008D7D46">
        <w:t>,</w:t>
      </w:r>
      <w:r w:rsidRPr="00303DFE">
        <w:t xml:space="preserve"> and </w:t>
      </w:r>
      <w:r w:rsidR="00303DFE">
        <w:t>Community Choice Aggregators</w:t>
      </w:r>
      <w:r w:rsidRPr="00C63931">
        <w:t xml:space="preserve"> must provide relevant</w:t>
      </w:r>
      <w:r>
        <w:t xml:space="preserve"> and complete</w:t>
      </w:r>
      <w:r w:rsidRPr="00C63931">
        <w:t xml:space="preserve"> compliance documentation to Energy Division staff.</w:t>
      </w:r>
      <w:r>
        <w:rPr>
          <w:rStyle w:val="FootnoteReference"/>
        </w:rPr>
        <w:footnoteReference w:id="47"/>
      </w:r>
      <w:r w:rsidRPr="00C63931">
        <w:t xml:space="preserve"> </w:t>
      </w:r>
      <w:r>
        <w:t>In making its compliance determinations, Commission staff should review the entire course of an RPS procurement transaction.</w:t>
      </w:r>
      <w:r>
        <w:rPr>
          <w:rStyle w:val="FootnoteReference"/>
        </w:rPr>
        <w:footnoteReference w:id="48"/>
      </w:r>
      <w:r w:rsidR="00D02255">
        <w:t xml:space="preserve"> </w:t>
      </w:r>
      <w:r>
        <w:t>According to citation authority under</w:t>
      </w:r>
      <w:r w:rsidRPr="007F709A">
        <w:t xml:space="preserve"> </w:t>
      </w:r>
      <w:r w:rsidRPr="00B45208">
        <w:t>R</w:t>
      </w:r>
      <w:r w:rsidR="00B45208">
        <w:t>es</w:t>
      </w:r>
      <w:r w:rsidRPr="00B45208">
        <w:t xml:space="preserve"> E-472</w:t>
      </w:r>
      <w:r w:rsidRPr="007F709A">
        <w:t>0</w:t>
      </w:r>
      <w:r>
        <w:t>, Gexa did not file</w:t>
      </w:r>
      <w:r w:rsidRPr="007F709A">
        <w:t xml:space="preserve"> </w:t>
      </w:r>
      <w:r w:rsidR="00767E05">
        <w:t xml:space="preserve">its Final </w:t>
      </w:r>
      <w:r w:rsidRPr="007F709A">
        <w:t>RPS Compliance Report in the manner required.</w:t>
      </w:r>
      <w:r>
        <w:rPr>
          <w:rStyle w:val="FootnoteReference"/>
        </w:rPr>
        <w:footnoteReference w:id="49"/>
      </w:r>
      <w:r w:rsidRPr="007F709A">
        <w:t xml:space="preserve"> </w:t>
      </w:r>
      <w:r>
        <w:t>The citation program sanctions retail sellers that fail to file complete and accurate reports on their RPS procurement and compliance. The</w:t>
      </w:r>
      <w:r w:rsidRPr="007F709A">
        <w:t xml:space="preserve"> compliance report</w:t>
      </w:r>
      <w:r>
        <w:t xml:space="preserve"> includes the </w:t>
      </w:r>
      <w:r w:rsidRPr="007F709A">
        <w:t>underlying contract</w:t>
      </w:r>
      <w:r>
        <w:t>s</w:t>
      </w:r>
      <w:r w:rsidRPr="007F709A">
        <w:t xml:space="preserve">, </w:t>
      </w:r>
      <w:r>
        <w:t>and if the contracts are non-compliant, the Compliance Report is deficient and non-compliant</w:t>
      </w:r>
      <w:r w:rsidRPr="007F709A">
        <w:t>.</w:t>
      </w:r>
      <w:r w:rsidR="002E43F4">
        <w:t xml:space="preserve"> </w:t>
      </w:r>
      <w:r>
        <w:t xml:space="preserve">Gexa amended the Gexa REC </w:t>
      </w:r>
      <w:r>
        <w:lastRenderedPageBreak/>
        <w:t xml:space="preserve">Agreement and complied with the RPS Program rules </w:t>
      </w:r>
      <w:r w:rsidR="008B0FBD">
        <w:t xml:space="preserve">only </w:t>
      </w:r>
      <w:r>
        <w:t xml:space="preserve">after receiving the Compliance Determination Notice from Commission Staff. </w:t>
      </w:r>
    </w:p>
    <w:p w:rsidR="004071E6" w:rsidP="008661CC" w:rsidRDefault="004071E6" w14:paraId="1D842C93" w14:textId="0E6C6040">
      <w:pPr>
        <w:pStyle w:val="Standard"/>
      </w:pPr>
      <w:r>
        <w:t xml:space="preserve">It is reasonable in this instance to assess a penalty for </w:t>
      </w:r>
      <w:proofErr w:type="spellStart"/>
      <w:r>
        <w:t>Gexa’s</w:t>
      </w:r>
      <w:proofErr w:type="spellEnd"/>
      <w:r>
        <w:t xml:space="preserve"> actions </w:t>
      </w:r>
      <w:r w:rsidRPr="00940FF9">
        <w:t xml:space="preserve">from the date </w:t>
      </w:r>
      <w:r>
        <w:t xml:space="preserve">it submitted a deficient Final Compliance Report to the Commission on December </w:t>
      </w:r>
      <w:r w:rsidR="00137649">
        <w:t>13</w:t>
      </w:r>
      <w:r>
        <w:t>, 2018, until it provided compliant documents.</w:t>
      </w:r>
      <w:r w:rsidR="002E43F4">
        <w:t xml:space="preserve"> </w:t>
      </w:r>
      <w:r>
        <w:t>Commission Staff notified Gexa on October 4, 2019, of its deficient compliance filing.</w:t>
      </w:r>
      <w:r w:rsidR="002E43F4">
        <w:t xml:space="preserve"> </w:t>
      </w:r>
      <w:r>
        <w:t>Gexa did not correct the deficiency on the use of correct terminology and missing standard terms and conditions within 10-days of notification</w:t>
      </w:r>
      <w:r w:rsidRPr="007F709A">
        <w:t xml:space="preserve"> </w:t>
      </w:r>
      <w:r>
        <w:t>and instead filed a waiver motion on December 6, 2019, notifying the Commission of the retroactive amendments to its contract, which took effect on December 6, 2019.</w:t>
      </w:r>
      <w:r>
        <w:rPr>
          <w:rStyle w:val="FootnoteReference"/>
        </w:rPr>
        <w:footnoteReference w:id="50"/>
      </w:r>
      <w:r>
        <w:t xml:space="preserve"> Therefore, Gexa was out of compliance for </w:t>
      </w:r>
      <w:r w:rsidR="000C1958">
        <w:t>357</w:t>
      </w:r>
      <w:r w:rsidRPr="007F709A" w:rsidR="000C1958">
        <w:t xml:space="preserve"> </w:t>
      </w:r>
      <w:r w:rsidRPr="007F709A">
        <w:t>days</w:t>
      </w:r>
      <w:r>
        <w:t xml:space="preserve"> from December </w:t>
      </w:r>
      <w:r w:rsidR="00137649">
        <w:t>1</w:t>
      </w:r>
      <w:r w:rsidR="000C1958">
        <w:t>4</w:t>
      </w:r>
      <w:r>
        <w:t>, 2018</w:t>
      </w:r>
      <w:r w:rsidR="00DB06BF">
        <w:t xml:space="preserve"> (</w:t>
      </w:r>
      <w:r w:rsidRPr="00C77427" w:rsidR="008661CC">
        <w:t>the first</w:t>
      </w:r>
      <w:r w:rsidR="008661CC">
        <w:t xml:space="preserve"> </w:t>
      </w:r>
      <w:r w:rsidRPr="00C77427" w:rsidR="008661CC">
        <w:t xml:space="preserve">business day after the filing </w:t>
      </w:r>
      <w:r w:rsidR="008661CC">
        <w:t>was</w:t>
      </w:r>
      <w:r w:rsidRPr="00C77427" w:rsidR="008661CC">
        <w:t xml:space="preserve"> due</w:t>
      </w:r>
      <w:r w:rsidR="008661CC">
        <w:t>)</w:t>
      </w:r>
      <w:r>
        <w:t>, through December 6, 2019.</w:t>
      </w:r>
      <w:r w:rsidR="002E43F4">
        <w:t xml:space="preserve"> </w:t>
      </w:r>
      <w:r>
        <w:t>Based on the penalty rules in Resolution E-4720, Gexa shall pay $500 per incident</w:t>
      </w:r>
      <w:r>
        <w:rPr>
          <w:rStyle w:val="FootnoteReference"/>
        </w:rPr>
        <w:footnoteReference w:id="51"/>
      </w:r>
      <w:r>
        <w:t xml:space="preserve"> plus $500 per day for the first ten days and $1,000 for the remaining </w:t>
      </w:r>
      <w:r w:rsidR="0063052C">
        <w:t xml:space="preserve">347 </w:t>
      </w:r>
      <w:r>
        <w:t>days that it was out of compliance</w:t>
      </w:r>
      <w:r w:rsidRPr="007F709A">
        <w:t>.</w:t>
      </w:r>
      <w:r w:rsidRPr="00DE468F">
        <w:rPr>
          <w:vertAlign w:val="superscript"/>
        </w:rPr>
        <w:footnoteReference w:id="52"/>
      </w:r>
      <w:r w:rsidR="000B5A4E">
        <w:t xml:space="preserve"> </w:t>
      </w:r>
      <w:r>
        <w:t>The total penalty amount is $</w:t>
      </w:r>
      <w:r w:rsidR="009D0182">
        <w:t>3</w:t>
      </w:r>
      <w:r w:rsidR="003238D6">
        <w:t>5</w:t>
      </w:r>
      <w:r w:rsidR="009D0182">
        <w:t>2,</w:t>
      </w:r>
      <w:r w:rsidR="00F550EA">
        <w:t>500</w:t>
      </w:r>
      <w:r>
        <w:t>.</w:t>
      </w:r>
      <w:r>
        <w:rPr>
          <w:rStyle w:val="FootnoteReference"/>
        </w:rPr>
        <w:footnoteReference w:id="53"/>
      </w:r>
      <w:r>
        <w:t xml:space="preserve"> We disagree with </w:t>
      </w:r>
      <w:proofErr w:type="spellStart"/>
      <w:r>
        <w:t>Gexa’s</w:t>
      </w:r>
      <w:proofErr w:type="spellEnd"/>
      <w:r>
        <w:t xml:space="preserve"> assertion</w:t>
      </w:r>
      <w:r w:rsidR="00F24BC2">
        <w:t xml:space="preserve"> that</w:t>
      </w:r>
      <w:r w:rsidR="00EF2B06">
        <w:t xml:space="preserve"> </w:t>
      </w:r>
      <w:r>
        <w:t xml:space="preserve">its non-compliance </w:t>
      </w:r>
      <w:r w:rsidR="00E12DF0">
        <w:t>is</w:t>
      </w:r>
      <w:r>
        <w:t xml:space="preserve"> a misunderstanding of the terms and </w:t>
      </w:r>
      <w:r>
        <w:lastRenderedPageBreak/>
        <w:t>conditions.</w:t>
      </w:r>
      <w:r>
        <w:rPr>
          <w:rStyle w:val="FootnoteReference"/>
        </w:rPr>
        <w:footnoteReference w:id="54"/>
      </w:r>
      <w:r w:rsidR="00E8448C">
        <w:t xml:space="preserve"> </w:t>
      </w:r>
      <w:r>
        <w:t xml:space="preserve"> Gexa had opportunities to use the correct standard terms and conditions when it signed the contract in 2015, when it retired its RECs</w:t>
      </w:r>
      <w:r w:rsidR="00914358">
        <w:t>,</w:t>
      </w:r>
      <w:r>
        <w:t xml:space="preserve"> and </w:t>
      </w:r>
      <w:r w:rsidR="00914358">
        <w:t xml:space="preserve">when it </w:t>
      </w:r>
      <w:r>
        <w:t xml:space="preserve">filed its compliance report, but it failed to use the correct terms as required under the RPS Program rules. </w:t>
      </w:r>
    </w:p>
    <w:p w:rsidR="004071E6" w:rsidP="00FE0B72" w:rsidRDefault="004071E6" w14:paraId="72AED572" w14:textId="4FC67F61">
      <w:pPr>
        <w:pStyle w:val="Standard"/>
      </w:pPr>
      <w:r>
        <w:rPr>
          <w:szCs w:val="26"/>
        </w:rPr>
        <w:t xml:space="preserve">Gexa knew its </w:t>
      </w:r>
      <w:r>
        <w:t xml:space="preserve">obligations, and yet it submitted non-compliant contract language. Therefore, we impose the penalty, which should deter Gexa and other market participants from violating Commission rules. </w:t>
      </w:r>
    </w:p>
    <w:p w:rsidRPr="0015175E" w:rsidR="006920C0" w:rsidP="00042A52" w:rsidRDefault="006920C0" w14:paraId="00F4B5DB" w14:textId="3AC14A60">
      <w:pPr>
        <w:pStyle w:val="Standard"/>
        <w:rPr>
          <w:szCs w:val="26"/>
        </w:rPr>
      </w:pPr>
      <w:r w:rsidRPr="00C77427">
        <w:rPr>
          <w:szCs w:val="26"/>
        </w:rPr>
        <w:t>TURN/CUE</w:t>
      </w:r>
      <w:r w:rsidR="00852708">
        <w:rPr>
          <w:szCs w:val="26"/>
        </w:rPr>
        <w:t>’s Opening Comments on the Proposed Decision state that the penalty should be assess</w:t>
      </w:r>
      <w:r w:rsidR="0040359C">
        <w:rPr>
          <w:szCs w:val="26"/>
        </w:rPr>
        <w:t>ed</w:t>
      </w:r>
      <w:r w:rsidR="00852708">
        <w:rPr>
          <w:szCs w:val="26"/>
        </w:rPr>
        <w:t xml:space="preserve"> </w:t>
      </w:r>
      <w:r w:rsidR="0040359C">
        <w:rPr>
          <w:szCs w:val="26"/>
        </w:rPr>
        <w:t xml:space="preserve">at </w:t>
      </w:r>
      <w:r w:rsidR="00042A52">
        <w:t xml:space="preserve">$1,441,500 based </w:t>
      </w:r>
      <w:r w:rsidR="003D678F">
        <w:t>on</w:t>
      </w:r>
      <w:r w:rsidR="00042A52">
        <w:t xml:space="preserve"> </w:t>
      </w:r>
      <w:r w:rsidRPr="00C77427">
        <w:rPr>
          <w:szCs w:val="26"/>
        </w:rPr>
        <w:t xml:space="preserve">the day the </w:t>
      </w:r>
      <w:proofErr w:type="spellStart"/>
      <w:r w:rsidRPr="00C77427">
        <w:rPr>
          <w:szCs w:val="26"/>
        </w:rPr>
        <w:t>Gexa</w:t>
      </w:r>
      <w:r w:rsidR="00852708">
        <w:rPr>
          <w:szCs w:val="26"/>
        </w:rPr>
        <w:t>’s</w:t>
      </w:r>
      <w:proofErr w:type="spellEnd"/>
      <w:r w:rsidRPr="00C77427">
        <w:rPr>
          <w:szCs w:val="26"/>
        </w:rPr>
        <w:t xml:space="preserve"> contract was executed in 2015,</w:t>
      </w:r>
      <w:r w:rsidR="00042A52">
        <w:rPr>
          <w:szCs w:val="26"/>
        </w:rPr>
        <w:t xml:space="preserve"> </w:t>
      </w:r>
      <w:r w:rsidRPr="00C77427">
        <w:rPr>
          <w:szCs w:val="26"/>
        </w:rPr>
        <w:t xml:space="preserve">or </w:t>
      </w:r>
      <w:r w:rsidR="00042A52">
        <w:rPr>
          <w:szCs w:val="26"/>
        </w:rPr>
        <w:t xml:space="preserve">at </w:t>
      </w:r>
      <w:r w:rsidR="002C5B6E">
        <w:t xml:space="preserve">$975,500 based </w:t>
      </w:r>
      <w:r w:rsidRPr="00C77427">
        <w:rPr>
          <w:szCs w:val="26"/>
        </w:rPr>
        <w:t>on the first day that RECs were delivered under the contract.</w:t>
      </w:r>
      <w:r w:rsidR="00DA0C02">
        <w:rPr>
          <w:rStyle w:val="FootnoteReference"/>
          <w:szCs w:val="26"/>
        </w:rPr>
        <w:footnoteReference w:id="55"/>
      </w:r>
      <w:r w:rsidRPr="00C77427">
        <w:rPr>
          <w:szCs w:val="26"/>
        </w:rPr>
        <w:t xml:space="preserve"> </w:t>
      </w:r>
      <w:r w:rsidR="00EA41D3">
        <w:rPr>
          <w:szCs w:val="26"/>
        </w:rPr>
        <w:t>In its reply comments</w:t>
      </w:r>
      <w:r w:rsidR="002C5B6E">
        <w:rPr>
          <w:szCs w:val="26"/>
        </w:rPr>
        <w:t>,</w:t>
      </w:r>
      <w:r w:rsidR="00EA41D3">
        <w:rPr>
          <w:szCs w:val="26"/>
        </w:rPr>
        <w:t xml:space="preserve"> Gexa states that </w:t>
      </w:r>
      <w:r w:rsidRPr="00C77427">
        <w:rPr>
          <w:szCs w:val="26"/>
        </w:rPr>
        <w:t>TURN/CUE’s argument is</w:t>
      </w:r>
      <w:r w:rsidR="00EA41D3">
        <w:rPr>
          <w:szCs w:val="26"/>
        </w:rPr>
        <w:t xml:space="preserve"> </w:t>
      </w:r>
      <w:r w:rsidRPr="00C77427">
        <w:rPr>
          <w:szCs w:val="26"/>
        </w:rPr>
        <w:t>contrary to Resolutions E-4720 and E-5143, which each specify a scheduled penalty from the first</w:t>
      </w:r>
      <w:r w:rsidRPr="00C77427" w:rsidR="0015175E">
        <w:rPr>
          <w:szCs w:val="26"/>
        </w:rPr>
        <w:t xml:space="preserve"> </w:t>
      </w:r>
      <w:r w:rsidRPr="00C77427">
        <w:rPr>
          <w:szCs w:val="26"/>
        </w:rPr>
        <w:t>business day after the filing is due and every business day thereafter.</w:t>
      </w:r>
      <w:r w:rsidR="00D578E3">
        <w:rPr>
          <w:rStyle w:val="FootnoteReference"/>
          <w:szCs w:val="26"/>
        </w:rPr>
        <w:footnoteReference w:id="56"/>
      </w:r>
      <w:r w:rsidR="0036121A">
        <w:rPr>
          <w:szCs w:val="26"/>
        </w:rPr>
        <w:t xml:space="preserve"> </w:t>
      </w:r>
      <w:proofErr w:type="spellStart"/>
      <w:r w:rsidR="0040359C">
        <w:rPr>
          <w:szCs w:val="26"/>
        </w:rPr>
        <w:t>Gexa</w:t>
      </w:r>
      <w:proofErr w:type="spellEnd"/>
      <w:r w:rsidR="0040359C">
        <w:rPr>
          <w:szCs w:val="26"/>
        </w:rPr>
        <w:t xml:space="preserve"> further states that the penalty amount should be calculated </w:t>
      </w:r>
      <w:r w:rsidR="009D41D8">
        <w:rPr>
          <w:szCs w:val="26"/>
        </w:rPr>
        <w:t>for 244 days instead</w:t>
      </w:r>
      <w:r w:rsidR="004C3891">
        <w:rPr>
          <w:szCs w:val="26"/>
        </w:rPr>
        <w:t xml:space="preserve"> but does not </w:t>
      </w:r>
      <w:r w:rsidR="009469AC">
        <w:rPr>
          <w:szCs w:val="26"/>
        </w:rPr>
        <w:t xml:space="preserve">support its rationale for the </w:t>
      </w:r>
      <w:r w:rsidR="00FD0D7A">
        <w:rPr>
          <w:szCs w:val="26"/>
        </w:rPr>
        <w:t xml:space="preserve">reduced </w:t>
      </w:r>
      <w:r w:rsidR="009469AC">
        <w:rPr>
          <w:szCs w:val="26"/>
        </w:rPr>
        <w:t>number of days</w:t>
      </w:r>
      <w:r w:rsidR="00E2523B">
        <w:rPr>
          <w:szCs w:val="26"/>
        </w:rPr>
        <w:t xml:space="preserve">. </w:t>
      </w:r>
      <w:r w:rsidR="005E2182">
        <w:rPr>
          <w:szCs w:val="26"/>
        </w:rPr>
        <w:t xml:space="preserve">While we agree with </w:t>
      </w:r>
      <w:proofErr w:type="spellStart"/>
      <w:r w:rsidR="00E2523B">
        <w:rPr>
          <w:szCs w:val="26"/>
        </w:rPr>
        <w:t>Gexa’s</w:t>
      </w:r>
      <w:proofErr w:type="spellEnd"/>
      <w:r w:rsidR="00E2523B">
        <w:rPr>
          <w:szCs w:val="26"/>
        </w:rPr>
        <w:t xml:space="preserve"> reply that </w:t>
      </w:r>
      <w:r w:rsidR="009469AC">
        <w:rPr>
          <w:szCs w:val="26"/>
        </w:rPr>
        <w:t xml:space="preserve">the </w:t>
      </w:r>
      <w:r w:rsidR="00B44AFB">
        <w:rPr>
          <w:szCs w:val="26"/>
        </w:rPr>
        <w:t xml:space="preserve">penalty should be based </w:t>
      </w:r>
      <w:r w:rsidR="009469AC">
        <w:rPr>
          <w:szCs w:val="26"/>
        </w:rPr>
        <w:t>on</w:t>
      </w:r>
      <w:r w:rsidRPr="007913DE" w:rsidR="00CE0A25">
        <w:rPr>
          <w:szCs w:val="26"/>
        </w:rPr>
        <w:t xml:space="preserve"> the first business day after the filing is due and every business day thereafter</w:t>
      </w:r>
      <w:r w:rsidR="00CE0A25">
        <w:rPr>
          <w:szCs w:val="26"/>
        </w:rPr>
        <w:t xml:space="preserve">, we disagree with </w:t>
      </w:r>
      <w:proofErr w:type="spellStart"/>
      <w:r w:rsidR="00CE0A25">
        <w:rPr>
          <w:szCs w:val="26"/>
        </w:rPr>
        <w:t>Gexa’s</w:t>
      </w:r>
      <w:proofErr w:type="spellEnd"/>
      <w:r w:rsidR="00CE0A25">
        <w:rPr>
          <w:szCs w:val="26"/>
        </w:rPr>
        <w:t xml:space="preserve"> </w:t>
      </w:r>
      <w:r w:rsidR="00F20A78">
        <w:rPr>
          <w:szCs w:val="26"/>
        </w:rPr>
        <w:t>calculations based on 244 days.</w:t>
      </w:r>
      <w:r w:rsidR="000D6DB6">
        <w:rPr>
          <w:szCs w:val="26"/>
        </w:rPr>
        <w:t xml:space="preserve"> </w:t>
      </w:r>
      <w:r w:rsidR="00F20A78">
        <w:rPr>
          <w:szCs w:val="26"/>
        </w:rPr>
        <w:t xml:space="preserve"> </w:t>
      </w:r>
      <w:r w:rsidR="00F5100A">
        <w:rPr>
          <w:szCs w:val="26"/>
        </w:rPr>
        <w:t xml:space="preserve">Therefore, </w:t>
      </w:r>
      <w:r w:rsidR="00F20A78">
        <w:rPr>
          <w:szCs w:val="26"/>
        </w:rPr>
        <w:t>Gexa shall pay a penalty of $3</w:t>
      </w:r>
      <w:r w:rsidR="00B81A91">
        <w:rPr>
          <w:szCs w:val="26"/>
        </w:rPr>
        <w:t>5</w:t>
      </w:r>
      <w:r w:rsidR="00F20A78">
        <w:rPr>
          <w:szCs w:val="26"/>
        </w:rPr>
        <w:t>2,</w:t>
      </w:r>
      <w:r w:rsidR="00F550EA">
        <w:rPr>
          <w:szCs w:val="26"/>
        </w:rPr>
        <w:t>500</w:t>
      </w:r>
      <w:r w:rsidR="00F20A78">
        <w:rPr>
          <w:szCs w:val="26"/>
        </w:rPr>
        <w:t xml:space="preserve">. </w:t>
      </w:r>
    </w:p>
    <w:p w:rsidR="004071E6" w:rsidP="00C77427" w:rsidRDefault="004071E6" w14:paraId="383F72A5" w14:textId="2430877A">
      <w:pPr>
        <w:pStyle w:val="Heading1"/>
        <w:numPr>
          <w:ilvl w:val="0"/>
          <w:numId w:val="46"/>
        </w:numPr>
      </w:pPr>
      <w:bookmarkStart w:name="_Toc89343471" w:id="27"/>
      <w:bookmarkStart w:name="_Toc94610215" w:id="28"/>
      <w:r>
        <w:t>Payment of Penalty</w:t>
      </w:r>
      <w:bookmarkEnd w:id="27"/>
      <w:bookmarkEnd w:id="28"/>
    </w:p>
    <w:p w:rsidRPr="003F4B0C" w:rsidR="004071E6" w:rsidP="00FE0B72" w:rsidRDefault="004071E6" w14:paraId="751E0412" w14:textId="77777777">
      <w:pPr>
        <w:pStyle w:val="Standard"/>
      </w:pPr>
      <w:r w:rsidRPr="003F4B0C">
        <w:t xml:space="preserve">Payment of Scheduled Penalties shall be submitted to the Commission’s Fiscal Office, 505 Van Ness Avenue San Francisco, CA 94102, in the form of a </w:t>
      </w:r>
      <w:r w:rsidRPr="003F4B0C">
        <w:lastRenderedPageBreak/>
        <w:t>certified check, payable to the ‘California Public Utilities Commission for credit to the State General Fund.’</w:t>
      </w:r>
      <w:r w:rsidRPr="003F4B0C">
        <w:rPr>
          <w:rStyle w:val="FootnoteReference"/>
        </w:rPr>
        <w:footnoteReference w:id="57"/>
      </w:r>
      <w:r w:rsidRPr="003F4B0C">
        <w:t xml:space="preserve"> </w:t>
      </w:r>
    </w:p>
    <w:p w:rsidR="004071E6" w:rsidP="002942EC" w:rsidRDefault="004071E6" w14:paraId="1B8F2878" w14:textId="57A8F8EA">
      <w:pPr>
        <w:pStyle w:val="Heading1"/>
      </w:pPr>
      <w:bookmarkStart w:name="_Toc89343472" w:id="29"/>
      <w:bookmarkStart w:name="_Toc94610216" w:id="30"/>
      <w:r>
        <w:t>Categorization and Need for Hearing</w:t>
      </w:r>
      <w:bookmarkEnd w:id="29"/>
      <w:bookmarkEnd w:id="30"/>
    </w:p>
    <w:p w:rsidRPr="00322A9F" w:rsidR="004071E6" w:rsidP="00FE0B72" w:rsidRDefault="004071E6" w14:paraId="5E1035DE" w14:textId="1E28F0A8">
      <w:pPr>
        <w:pStyle w:val="Standard"/>
      </w:pPr>
      <w:r w:rsidRPr="00322A9F">
        <w:t xml:space="preserve">The Scoping Memo confirmed the categorization of this proceeding as </w:t>
      </w:r>
      <w:proofErr w:type="spellStart"/>
      <w:r w:rsidRPr="00322A9F">
        <w:t>ratesetting</w:t>
      </w:r>
      <w:proofErr w:type="spellEnd"/>
      <w:r w:rsidRPr="00322A9F">
        <w:t xml:space="preserve"> and that hearings are needed. Although no hearings were necessary on the issues addressed in this decision, the proceeding remains </w:t>
      </w:r>
      <w:proofErr w:type="gramStart"/>
      <w:r w:rsidRPr="00322A9F">
        <w:t>open</w:t>
      </w:r>
      <w:proofErr w:type="gramEnd"/>
      <w:r w:rsidRPr="00322A9F">
        <w:t xml:space="preserve"> and hearings may be needed on other issues in this proceeding.</w:t>
      </w:r>
    </w:p>
    <w:p w:rsidR="004071E6" w:rsidP="002942EC" w:rsidRDefault="004071E6" w14:paraId="2EEF8148" w14:textId="5F576704">
      <w:pPr>
        <w:pStyle w:val="Heading1"/>
      </w:pPr>
      <w:bookmarkStart w:name="_Toc89343473" w:id="31"/>
      <w:bookmarkStart w:name="_Toc94610217" w:id="32"/>
      <w:bookmarkEnd w:id="5"/>
      <w:r>
        <w:t>Comments on Proposed Decision</w:t>
      </w:r>
      <w:bookmarkEnd w:id="31"/>
      <w:bookmarkEnd w:id="32"/>
    </w:p>
    <w:p w:rsidR="00887E53" w:rsidP="00DC6E38" w:rsidRDefault="00DC6E38" w14:paraId="0C5B5519" w14:textId="13FC3821">
      <w:pPr>
        <w:pStyle w:val="Standard"/>
      </w:pPr>
      <w:r>
        <w:t>The proposed decision of A</w:t>
      </w:r>
      <w:r w:rsidR="00C85AA1">
        <w:t xml:space="preserve">dministrative </w:t>
      </w:r>
      <w:r>
        <w:t>L</w:t>
      </w:r>
      <w:r w:rsidR="00C85AA1">
        <w:t xml:space="preserve">aw </w:t>
      </w:r>
      <w:r>
        <w:t>J</w:t>
      </w:r>
      <w:r w:rsidR="00C85AA1">
        <w:t xml:space="preserve">udges </w:t>
      </w:r>
      <w:r w:rsidR="00A841B4">
        <w:t>Lakhanpal and Sisto</w:t>
      </w:r>
      <w:r>
        <w:t xml:space="preserve"> in this matter was mailed to the parties in accordance with Section 311 of the Pub</w:t>
      </w:r>
      <w:r w:rsidR="00D02255">
        <w:t>. Util.</w:t>
      </w:r>
      <w:r>
        <w:t xml:space="preserve"> Code and comments were allowed under Rule 14.3 of the Commission’s Rules of Practice and Procedure. Comments were filed on </w:t>
      </w:r>
    </w:p>
    <w:p w:rsidR="00DC6E38" w:rsidP="00C77427" w:rsidRDefault="000F277E" w14:paraId="5A15CA03" w14:textId="5D9A87DF">
      <w:pPr>
        <w:pStyle w:val="Standard"/>
        <w:ind w:firstLine="0"/>
      </w:pPr>
      <w:r>
        <w:t xml:space="preserve">January 11, 2022 by </w:t>
      </w:r>
      <w:proofErr w:type="spellStart"/>
      <w:r>
        <w:t>C</w:t>
      </w:r>
      <w:r w:rsidR="003859FD">
        <w:t>al</w:t>
      </w:r>
      <w:r>
        <w:t>WEA</w:t>
      </w:r>
      <w:proofErr w:type="spellEnd"/>
      <w:r>
        <w:t xml:space="preserve"> and jointly by </w:t>
      </w:r>
      <w:r w:rsidR="006565AC">
        <w:t>TURN</w:t>
      </w:r>
      <w:r>
        <w:t xml:space="preserve"> and </w:t>
      </w:r>
      <w:r w:rsidR="006565AC">
        <w:t>CUE</w:t>
      </w:r>
      <w:r w:rsidR="00DC6E38">
        <w:t xml:space="preserve">, and reply comments were filed on </w:t>
      </w:r>
      <w:r w:rsidR="00DB4B25">
        <w:t>January 18, 202</w:t>
      </w:r>
      <w:r w:rsidR="00E94381">
        <w:t>2</w:t>
      </w:r>
      <w:r w:rsidR="00DB4B25">
        <w:t xml:space="preserve"> </w:t>
      </w:r>
      <w:r w:rsidR="00DC6E38">
        <w:t xml:space="preserve">by </w:t>
      </w:r>
      <w:r w:rsidR="00DB4B25">
        <w:t>Gexa</w:t>
      </w:r>
      <w:r w:rsidR="00DC6E38">
        <w:t>.</w:t>
      </w:r>
    </w:p>
    <w:p w:rsidR="00E61964" w:rsidP="00DC6E38" w:rsidRDefault="00E61964" w14:paraId="4CB97B3B" w14:textId="5715EA47">
      <w:pPr>
        <w:pStyle w:val="Standard"/>
      </w:pPr>
      <w:r>
        <w:t xml:space="preserve">We have reviewed Opening Comments on the Proposed Decision and replies and </w:t>
      </w:r>
      <w:r w:rsidR="00C92144">
        <w:t xml:space="preserve">addressed them accordingly in this decision. </w:t>
      </w:r>
    </w:p>
    <w:p w:rsidR="004071E6" w:rsidP="002942EC" w:rsidRDefault="004071E6" w14:paraId="5E955BB5" w14:textId="77777777">
      <w:pPr>
        <w:pStyle w:val="Heading1"/>
      </w:pPr>
      <w:bookmarkStart w:name="_Toc89343474" w:id="33"/>
      <w:bookmarkStart w:name="_Toc94610218" w:id="34"/>
      <w:r>
        <w:t>Assignment of Proceeding</w:t>
      </w:r>
      <w:bookmarkEnd w:id="33"/>
      <w:bookmarkEnd w:id="34"/>
    </w:p>
    <w:p w:rsidRPr="00C54C1B" w:rsidR="004071E6" w:rsidP="00C54C1B" w:rsidRDefault="004071E6" w14:paraId="22EC0C7E" w14:textId="77777777">
      <w:pPr>
        <w:pStyle w:val="CoL"/>
      </w:pPr>
      <w:r>
        <w:t>Clifford Rechtschaffen</w:t>
      </w:r>
      <w:r w:rsidRPr="000873F5">
        <w:t xml:space="preserve"> is the assigned Commissioner</w:t>
      </w:r>
      <w:r>
        <w:t>,</w:t>
      </w:r>
      <w:r w:rsidRPr="000873F5">
        <w:t xml:space="preserve"> and </w:t>
      </w:r>
      <w:r>
        <w:t>Manisha Lakhanpal</w:t>
      </w:r>
      <w:r w:rsidRPr="000873F5">
        <w:t xml:space="preserve"> </w:t>
      </w:r>
      <w:r>
        <w:t>and Carolyn Sisto are</w:t>
      </w:r>
      <w:r w:rsidRPr="000873F5">
        <w:t xml:space="preserve"> the assigned Administrative Law Judge</w:t>
      </w:r>
      <w:r>
        <w:t>s</w:t>
      </w:r>
      <w:r w:rsidRPr="000873F5">
        <w:t xml:space="preserve"> in this proceeding.</w:t>
      </w:r>
    </w:p>
    <w:p w:rsidR="004071E6" w:rsidP="00720F9E" w:rsidRDefault="004071E6" w14:paraId="54A7FA2A" w14:textId="77777777">
      <w:pPr>
        <w:pStyle w:val="dummy0"/>
        <w:numPr>
          <w:ilvl w:val="0"/>
          <w:numId w:val="0"/>
        </w:numPr>
        <w:ind w:left="72"/>
      </w:pPr>
      <w:bookmarkStart w:name="_Toc450990219" w:id="35"/>
      <w:bookmarkStart w:name="_Toc451151266" w:id="36"/>
      <w:bookmarkStart w:name="_Toc89343475" w:id="37"/>
      <w:r>
        <w:t>Findings of Fact</w:t>
      </w:r>
      <w:bookmarkEnd w:id="35"/>
      <w:bookmarkEnd w:id="36"/>
      <w:bookmarkEnd w:id="37"/>
    </w:p>
    <w:p w:rsidRPr="00523FC9" w:rsidR="004071E6" w:rsidP="00FE0B72" w:rsidRDefault="004071E6" w14:paraId="4B350688" w14:textId="4B207A5B">
      <w:pPr>
        <w:pStyle w:val="FoF"/>
      </w:pPr>
      <w:proofErr w:type="spellStart"/>
      <w:r w:rsidRPr="00523FC9">
        <w:t>Gexa</w:t>
      </w:r>
      <w:proofErr w:type="spellEnd"/>
      <w:r w:rsidRPr="00523FC9">
        <w:t xml:space="preserve"> Energy California LLC (</w:t>
      </w:r>
      <w:proofErr w:type="spellStart"/>
      <w:r w:rsidRPr="00523FC9">
        <w:t>Gexa</w:t>
      </w:r>
      <w:proofErr w:type="spellEnd"/>
      <w:r w:rsidRPr="00523FC9">
        <w:t xml:space="preserve">) filed its </w:t>
      </w:r>
      <w:r>
        <w:t>Final</w:t>
      </w:r>
      <w:r w:rsidRPr="00523FC9">
        <w:t xml:space="preserve"> Renewables Portfolio Standard (RPS) Compliance report for </w:t>
      </w:r>
      <w:r>
        <w:t xml:space="preserve">Compliance Period </w:t>
      </w:r>
      <w:r w:rsidRPr="00523FC9">
        <w:t xml:space="preserve">2014-2016 (Compliance Period 2) on December </w:t>
      </w:r>
      <w:r w:rsidRPr="00523FC9" w:rsidR="00137649">
        <w:t>1</w:t>
      </w:r>
      <w:r w:rsidR="00137649">
        <w:t>3</w:t>
      </w:r>
      <w:r w:rsidRPr="00523FC9">
        <w:t xml:space="preserve">, 2018. </w:t>
      </w:r>
    </w:p>
    <w:p w:rsidRPr="00523FC9" w:rsidR="004071E6" w:rsidP="00FE0B72" w:rsidRDefault="004071E6" w14:paraId="4C48711D" w14:textId="77777777">
      <w:pPr>
        <w:pStyle w:val="FoF"/>
      </w:pPr>
      <w:r w:rsidRPr="00523FC9">
        <w:lastRenderedPageBreak/>
        <w:t xml:space="preserve">Energy Division found that </w:t>
      </w:r>
      <w:proofErr w:type="spellStart"/>
      <w:r w:rsidRPr="00523FC9">
        <w:t>Gexa’s</w:t>
      </w:r>
      <w:proofErr w:type="spellEnd"/>
      <w:r w:rsidRPr="00523FC9">
        <w:t xml:space="preserve"> RPS contract with NextEra Power Marketing (NextEra) was out of compliance with long-term contracting requirements under the RPS program rules. </w:t>
      </w:r>
    </w:p>
    <w:p w:rsidRPr="00523FC9" w:rsidR="004071E6" w:rsidP="00FE0B72" w:rsidRDefault="004071E6" w14:paraId="122839FC" w14:textId="57E93FD7">
      <w:pPr>
        <w:pStyle w:val="FoF"/>
      </w:pPr>
      <w:r w:rsidRPr="00523FC9">
        <w:t xml:space="preserve">Energy Division’s Compliance Determination Notice disallowed 148,187 renewable energy credits </w:t>
      </w:r>
      <w:r w:rsidR="00F83611">
        <w:t>(</w:t>
      </w:r>
      <w:r w:rsidRPr="00523FC9">
        <w:t>RECs</w:t>
      </w:r>
      <w:r w:rsidR="00F83611">
        <w:t>)</w:t>
      </w:r>
      <w:r w:rsidRPr="00523FC9">
        <w:t xml:space="preserve"> that would count towards </w:t>
      </w:r>
      <w:proofErr w:type="spellStart"/>
      <w:r w:rsidRPr="00523FC9">
        <w:t>Gexa’s</w:t>
      </w:r>
      <w:proofErr w:type="spellEnd"/>
      <w:r w:rsidRPr="00523FC9">
        <w:t xml:space="preserve"> procurement quantity requirement and assessed a $3,704,675 penalty. </w:t>
      </w:r>
    </w:p>
    <w:p w:rsidR="004071E6" w:rsidP="00FE0B72" w:rsidRDefault="004071E6" w14:paraId="2C4520DC" w14:textId="77777777">
      <w:pPr>
        <w:pStyle w:val="FoF"/>
      </w:pPr>
      <w:proofErr w:type="spellStart"/>
      <w:r w:rsidRPr="00523FC9">
        <w:t>Gexa’s</w:t>
      </w:r>
      <w:proofErr w:type="spellEnd"/>
      <w:r w:rsidRPr="00523FC9">
        <w:t xml:space="preserve"> contract with NextEra did not include </w:t>
      </w:r>
      <w:r>
        <w:t xml:space="preserve">all </w:t>
      </w:r>
      <w:r w:rsidRPr="00523FC9">
        <w:t>the required non-modifiable RPS standard terms and conditions</w:t>
      </w:r>
      <w:r>
        <w:t xml:space="preserve">. </w:t>
      </w:r>
    </w:p>
    <w:p w:rsidRPr="00523FC9" w:rsidR="004071E6" w:rsidP="00FE0B72" w:rsidRDefault="004071E6" w14:paraId="730A671E" w14:textId="77777777">
      <w:pPr>
        <w:pStyle w:val="FoF"/>
      </w:pPr>
      <w:proofErr w:type="spellStart"/>
      <w:r>
        <w:t>Gexa’s</w:t>
      </w:r>
      <w:proofErr w:type="spellEnd"/>
      <w:r>
        <w:t xml:space="preserve"> contract did not include </w:t>
      </w:r>
      <w:r w:rsidRPr="00523FC9">
        <w:t xml:space="preserve">specific language </w:t>
      </w:r>
      <w:r>
        <w:t xml:space="preserve">under the modifiable terms and conditions </w:t>
      </w:r>
      <w:r w:rsidRPr="00523FC9">
        <w:t>to demonstrate that it was at least a ten-year-long contract to qualify as a</w:t>
      </w:r>
      <w:r>
        <w:t>n</w:t>
      </w:r>
      <w:r w:rsidRPr="00523FC9">
        <w:t xml:space="preserve"> </w:t>
      </w:r>
      <w:r>
        <w:t xml:space="preserve">RPS </w:t>
      </w:r>
      <w:r w:rsidRPr="00523FC9">
        <w:t xml:space="preserve">long-term procurement contract. </w:t>
      </w:r>
    </w:p>
    <w:p w:rsidR="00946765" w:rsidP="00FE0B72" w:rsidRDefault="004071E6" w14:paraId="6B7A12E7" w14:textId="77777777">
      <w:pPr>
        <w:pStyle w:val="FoF"/>
      </w:pPr>
      <w:r w:rsidRPr="00523FC9">
        <w:t xml:space="preserve">In response to Energy Division’s Compliance Determination Notice, Gexa </w:t>
      </w:r>
      <w:r>
        <w:t xml:space="preserve">did the following – (a) </w:t>
      </w:r>
      <w:r w:rsidRPr="00523FC9">
        <w:t xml:space="preserve">filed a waiver request for procurement quantity requirement for Compliance Period 2, </w:t>
      </w:r>
      <w:r>
        <w:t xml:space="preserve">(b) </w:t>
      </w:r>
      <w:r w:rsidRPr="00523FC9">
        <w:t xml:space="preserve">requested reversal of the Energy Division’s assessment that its contract is not a long-term contract, and </w:t>
      </w:r>
    </w:p>
    <w:p w:rsidRPr="00523FC9" w:rsidR="004071E6" w:rsidP="00EF2B06" w:rsidRDefault="004071E6" w14:paraId="7122E9E0" w14:textId="2EA42DB4">
      <w:pPr>
        <w:pStyle w:val="FoF"/>
        <w:numPr>
          <w:ilvl w:val="0"/>
          <w:numId w:val="0"/>
        </w:numPr>
      </w:pPr>
      <w:r>
        <w:t xml:space="preserve">(c) </w:t>
      </w:r>
      <w:r w:rsidRPr="00523FC9">
        <w:t xml:space="preserve">retroactively amended the contract on December 6, 2019, to include the </w:t>
      </w:r>
      <w:r>
        <w:t xml:space="preserve">missing </w:t>
      </w:r>
      <w:r w:rsidRPr="00523FC9">
        <w:t xml:space="preserve">non-modifiable </w:t>
      </w:r>
      <w:r>
        <w:t xml:space="preserve">and modifiable </w:t>
      </w:r>
      <w:r w:rsidRPr="00523FC9">
        <w:t>standard terms and condition and specific delivery terms.</w:t>
      </w:r>
    </w:p>
    <w:p w:rsidRPr="00523FC9" w:rsidR="004071E6" w:rsidP="00FE0B72" w:rsidRDefault="004071E6" w14:paraId="63731981" w14:textId="34079D9A">
      <w:pPr>
        <w:pStyle w:val="FoF"/>
      </w:pPr>
      <w:proofErr w:type="spellStart"/>
      <w:r w:rsidRPr="00523FC9">
        <w:t>C</w:t>
      </w:r>
      <w:r w:rsidR="003859FD">
        <w:t>al</w:t>
      </w:r>
      <w:r w:rsidRPr="00523FC9">
        <w:t>WEA’s</w:t>
      </w:r>
      <w:proofErr w:type="spellEnd"/>
      <w:r w:rsidRPr="00523FC9">
        <w:t xml:space="preserve"> comments and CUE and TURN’s joint comments supported Energy Division’s Compliance Determination and opposed </w:t>
      </w:r>
      <w:proofErr w:type="spellStart"/>
      <w:r w:rsidRPr="00523FC9">
        <w:t>Gexa’s</w:t>
      </w:r>
      <w:proofErr w:type="spellEnd"/>
      <w:r w:rsidRPr="00523FC9">
        <w:t xml:space="preserve"> waiver request. </w:t>
      </w:r>
    </w:p>
    <w:p w:rsidRPr="00523FC9" w:rsidR="004071E6" w:rsidP="00FE0B72" w:rsidRDefault="004071E6" w14:paraId="51A64FB1" w14:textId="77777777">
      <w:pPr>
        <w:pStyle w:val="FoF"/>
      </w:pPr>
      <w:r w:rsidRPr="00523FC9">
        <w:t xml:space="preserve">A long-term contract is a key feature of the RPS program and a primary requirement for </w:t>
      </w:r>
      <w:r>
        <w:t>meeting</w:t>
      </w:r>
      <w:r w:rsidRPr="00523FC9">
        <w:t xml:space="preserve"> compliance.</w:t>
      </w:r>
    </w:p>
    <w:p w:rsidRPr="00523FC9" w:rsidR="004071E6" w:rsidP="00FE0B72" w:rsidRDefault="004071E6" w14:paraId="744C0D5E" w14:textId="77777777">
      <w:pPr>
        <w:pStyle w:val="FoF"/>
      </w:pPr>
      <w:proofErr w:type="spellStart"/>
      <w:r w:rsidRPr="00523FC9">
        <w:t>Gexa’s</w:t>
      </w:r>
      <w:proofErr w:type="spellEnd"/>
      <w:r w:rsidRPr="00523FC9">
        <w:t xml:space="preserve"> sales were reduced to zero sales six months after it executed the contract with NextEra in December 2015, as Gexa stopped serving load after the second quarter of 2016.</w:t>
      </w:r>
    </w:p>
    <w:p w:rsidRPr="00523FC9" w:rsidR="004071E6" w:rsidP="00FE0B72" w:rsidRDefault="004071E6" w14:paraId="24A9C7B6" w14:textId="724E30BF">
      <w:pPr>
        <w:pStyle w:val="FoF"/>
      </w:pPr>
      <w:r w:rsidRPr="00523FC9">
        <w:lastRenderedPageBreak/>
        <w:t>We find that Gexa purchased, took delivery of, and retired 0.25</w:t>
      </w:r>
      <w:r w:rsidR="00914358">
        <w:t xml:space="preserve"> percent</w:t>
      </w:r>
      <w:r w:rsidRPr="00523FC9">
        <w:t xml:space="preserve"> of </w:t>
      </w:r>
      <w:proofErr w:type="spellStart"/>
      <w:r w:rsidRPr="00523FC9">
        <w:t>Gexa’s</w:t>
      </w:r>
      <w:proofErr w:type="spellEnd"/>
      <w:r w:rsidRPr="00523FC9">
        <w:t xml:space="preserve"> total retail sales in 2013 as portfolio content category 3 RECs, including the entire 863 RECs required under the applicable long-term contract requirement for Compliance Period 2.</w:t>
      </w:r>
    </w:p>
    <w:p w:rsidRPr="00523FC9" w:rsidR="004071E6" w:rsidP="00FE0B72" w:rsidRDefault="004071E6" w14:paraId="205F4EA3" w14:textId="6B91C007">
      <w:pPr>
        <w:pStyle w:val="FoF"/>
      </w:pPr>
      <w:proofErr w:type="spellStart"/>
      <w:r w:rsidRPr="00523FC9">
        <w:t>Gexa’s</w:t>
      </w:r>
      <w:proofErr w:type="spellEnd"/>
      <w:r w:rsidRPr="00523FC9">
        <w:t xml:space="preserve"> REC Agreement </w:t>
      </w:r>
      <w:r>
        <w:t>requires</w:t>
      </w:r>
      <w:r w:rsidR="00806F63">
        <w:t xml:space="preserve"> that</w:t>
      </w:r>
      <w:r w:rsidRPr="00523FC9">
        <w:t xml:space="preserve"> the first REC delivery date was no later than </w:t>
      </w:r>
      <w:r w:rsidR="00946765">
        <w:t xml:space="preserve">April 1, </w:t>
      </w:r>
      <w:r w:rsidRPr="00523FC9">
        <w:t xml:space="preserve">2017, while the latest delivery date </w:t>
      </w:r>
      <w:r>
        <w:t>is</w:t>
      </w:r>
      <w:r w:rsidRPr="00523FC9">
        <w:t xml:space="preserve"> no later than </w:t>
      </w:r>
      <w:r w:rsidR="00946765">
        <w:t>April 1</w:t>
      </w:r>
      <w:r w:rsidRPr="00946765" w:rsidR="00946765">
        <w:rPr>
          <w:vertAlign w:val="superscript"/>
        </w:rPr>
        <w:t>st</w:t>
      </w:r>
      <w:r w:rsidR="00946765">
        <w:t xml:space="preserve"> </w:t>
      </w:r>
      <w:r w:rsidRPr="00523FC9">
        <w:t>following the end of the applicable Compliance Period, which would have ended on December 31, 2027.</w:t>
      </w:r>
    </w:p>
    <w:p w:rsidRPr="00523FC9" w:rsidR="004071E6" w:rsidP="00FE0B72" w:rsidRDefault="004071E6" w14:paraId="03587B91" w14:textId="77777777">
      <w:pPr>
        <w:pStyle w:val="FoF"/>
      </w:pPr>
      <w:proofErr w:type="spellStart"/>
      <w:r w:rsidRPr="00523FC9">
        <w:t>Gexa’s</w:t>
      </w:r>
      <w:proofErr w:type="spellEnd"/>
      <w:r w:rsidRPr="00523FC9">
        <w:t xml:space="preserve"> waiver request is based on its submission that its retired RECs should not have been disallowed.</w:t>
      </w:r>
    </w:p>
    <w:p w:rsidR="004071E6" w:rsidP="00FE0B72" w:rsidRDefault="004071E6" w14:paraId="74890D90" w14:textId="4E42171C">
      <w:pPr>
        <w:pStyle w:val="FoF"/>
      </w:pPr>
      <w:r w:rsidRPr="00523FC9">
        <w:t>Until Gexa corrected the underlying contract terms and conditions,</w:t>
      </w:r>
      <w:r>
        <w:t xml:space="preserve"> </w:t>
      </w:r>
      <w:r w:rsidRPr="00523FC9">
        <w:t xml:space="preserve">it was out of compliance with the RPS program rules. </w:t>
      </w:r>
    </w:p>
    <w:p w:rsidR="00887E53" w:rsidP="00867B51" w:rsidRDefault="004071E6" w14:paraId="0DD870AF" w14:textId="3802C801">
      <w:pPr>
        <w:pStyle w:val="FoF"/>
      </w:pPr>
      <w:r w:rsidRPr="00523FC9">
        <w:t xml:space="preserve">For non-compliance with the </w:t>
      </w:r>
      <w:r>
        <w:t xml:space="preserve">required </w:t>
      </w:r>
      <w:r w:rsidRPr="00523FC9">
        <w:t xml:space="preserve">use of non-modifiable standard terms and conditions, Gexa was out of compliance for </w:t>
      </w:r>
      <w:r w:rsidRPr="00523FC9" w:rsidR="000637F3">
        <w:t>35</w:t>
      </w:r>
      <w:r w:rsidR="00053040">
        <w:t>7</w:t>
      </w:r>
      <w:r w:rsidRPr="00523FC9" w:rsidR="000637F3">
        <w:t xml:space="preserve"> </w:t>
      </w:r>
      <w:r w:rsidRPr="00523FC9">
        <w:t xml:space="preserve">days from </w:t>
      </w:r>
    </w:p>
    <w:p w:rsidRPr="00523FC9" w:rsidR="004071E6" w:rsidP="00C77427" w:rsidRDefault="004071E6" w14:paraId="48DA4DBD" w14:textId="5DBFAB1F">
      <w:pPr>
        <w:pStyle w:val="FoF"/>
        <w:numPr>
          <w:ilvl w:val="0"/>
          <w:numId w:val="0"/>
        </w:numPr>
      </w:pPr>
      <w:r w:rsidRPr="00523FC9">
        <w:t xml:space="preserve">December </w:t>
      </w:r>
      <w:r w:rsidRPr="00523FC9" w:rsidR="000637F3">
        <w:t>1</w:t>
      </w:r>
      <w:r w:rsidR="00053040">
        <w:t>4</w:t>
      </w:r>
      <w:r w:rsidRPr="00523FC9">
        <w:t>, 2018</w:t>
      </w:r>
      <w:r w:rsidR="00053040">
        <w:t xml:space="preserve"> (</w:t>
      </w:r>
      <w:r w:rsidR="000A3B47">
        <w:t xml:space="preserve">the first business day after the </w:t>
      </w:r>
      <w:r w:rsidR="00156E29">
        <w:t xml:space="preserve">RPS compliance </w:t>
      </w:r>
      <w:r w:rsidR="000A3B47">
        <w:t>filing was due)</w:t>
      </w:r>
      <w:r w:rsidRPr="00523FC9">
        <w:t>, through December 6, 2019</w:t>
      </w:r>
      <w:r w:rsidR="000A3B47">
        <w:t xml:space="preserve"> (</w:t>
      </w:r>
      <w:r w:rsidR="00A61D7B">
        <w:t>the day the corrected contract information was filed)</w:t>
      </w:r>
      <w:r w:rsidRPr="00523FC9">
        <w:t>.</w:t>
      </w:r>
    </w:p>
    <w:p w:rsidR="004071E6" w:rsidP="00720F9E" w:rsidRDefault="004071E6" w14:paraId="79E53262" w14:textId="77777777">
      <w:pPr>
        <w:pStyle w:val="dummy0"/>
        <w:numPr>
          <w:ilvl w:val="0"/>
          <w:numId w:val="0"/>
        </w:numPr>
        <w:ind w:left="72"/>
      </w:pPr>
      <w:bookmarkStart w:name="_Toc370798914" w:id="38"/>
      <w:bookmarkStart w:name="_Toc450990220" w:id="39"/>
      <w:bookmarkStart w:name="_Toc451151267" w:id="40"/>
      <w:bookmarkStart w:name="_Toc89343476" w:id="41"/>
      <w:r>
        <w:t>Conclusions of Law</w:t>
      </w:r>
      <w:bookmarkEnd w:id="38"/>
      <w:bookmarkEnd w:id="39"/>
      <w:bookmarkEnd w:id="40"/>
      <w:bookmarkEnd w:id="41"/>
    </w:p>
    <w:p w:rsidRPr="00BA3C84" w:rsidR="004071E6" w:rsidP="004071E6" w:rsidRDefault="004071E6" w14:paraId="68CADAED" w14:textId="77777777">
      <w:pPr>
        <w:pStyle w:val="CoL"/>
        <w:numPr>
          <w:ilvl w:val="0"/>
          <w:numId w:val="43"/>
        </w:numPr>
        <w:ind w:left="0" w:firstLine="360"/>
      </w:pPr>
      <w:r w:rsidRPr="00BA3C84">
        <w:t xml:space="preserve">RPS contracts of any length must include the non-modifiable </w:t>
      </w:r>
      <w:r w:rsidRPr="00767E30">
        <w:t>standard terms and condition</w:t>
      </w:r>
      <w:r w:rsidRPr="00BA3C84">
        <w:t>s for compliance with the California RPS program.</w:t>
      </w:r>
    </w:p>
    <w:p w:rsidRPr="00BA3C84" w:rsidR="004071E6" w:rsidP="004071E6" w:rsidRDefault="004071E6" w14:paraId="493DA3B8" w14:textId="77777777">
      <w:pPr>
        <w:pStyle w:val="CoL"/>
        <w:numPr>
          <w:ilvl w:val="0"/>
          <w:numId w:val="43"/>
        </w:numPr>
        <w:ind w:left="0" w:firstLine="360"/>
      </w:pPr>
      <w:r w:rsidRPr="00A663DB">
        <w:t xml:space="preserve">Commission rules do not authorize retroactive amendments to contract language during the compliance period and/or after the compliance </w:t>
      </w:r>
      <w:r>
        <w:t xml:space="preserve">reports are filed. </w:t>
      </w:r>
    </w:p>
    <w:p w:rsidRPr="00BA3C84" w:rsidR="004071E6" w:rsidP="004071E6" w:rsidRDefault="004071E6" w14:paraId="5CBE99B7" w14:textId="77777777">
      <w:pPr>
        <w:pStyle w:val="CoL"/>
        <w:numPr>
          <w:ilvl w:val="0"/>
          <w:numId w:val="43"/>
        </w:numPr>
        <w:ind w:left="0" w:firstLine="360"/>
      </w:pPr>
      <w:r w:rsidRPr="00A663DB">
        <w:t xml:space="preserve">Given the totality of the circumstances, Gexa knew its </w:t>
      </w:r>
      <w:r w:rsidRPr="00BA3C84">
        <w:t>obligations, and yet it submitted non</w:t>
      </w:r>
      <w:r>
        <w:t>-</w:t>
      </w:r>
      <w:r w:rsidRPr="00BA3C84">
        <w:t xml:space="preserve">compliant contract language. </w:t>
      </w:r>
    </w:p>
    <w:p w:rsidRPr="00BA3C84" w:rsidR="004071E6" w:rsidP="004071E6" w:rsidRDefault="004071E6" w14:paraId="171BF373" w14:textId="77777777">
      <w:pPr>
        <w:pStyle w:val="CoL"/>
        <w:numPr>
          <w:ilvl w:val="0"/>
          <w:numId w:val="43"/>
        </w:numPr>
        <w:ind w:left="0" w:firstLine="360"/>
      </w:pPr>
      <w:r w:rsidRPr="00A663DB">
        <w:lastRenderedPageBreak/>
        <w:t>Gexa purchased and retired the entire quantity of RECs needed to meet its RPS obligation for Compliance Period 2, including the 863 RECs required under a long-term contract for Compliance Period 2.</w:t>
      </w:r>
    </w:p>
    <w:p w:rsidRPr="00BA3C84" w:rsidR="004071E6" w:rsidP="004071E6" w:rsidRDefault="004071E6" w14:paraId="265740D2" w14:textId="77777777">
      <w:pPr>
        <w:pStyle w:val="CoL"/>
        <w:numPr>
          <w:ilvl w:val="0"/>
          <w:numId w:val="43"/>
        </w:numPr>
        <w:ind w:left="0" w:firstLine="360"/>
      </w:pPr>
      <w:r w:rsidRPr="00A663DB">
        <w:t xml:space="preserve">Factual circumstances limited to </w:t>
      </w:r>
      <w:proofErr w:type="spellStart"/>
      <w:r w:rsidRPr="00A663DB">
        <w:t>Gexa’s</w:t>
      </w:r>
      <w:proofErr w:type="spellEnd"/>
      <w:r w:rsidRPr="00A663DB">
        <w:t xml:space="preserve"> contract show that </w:t>
      </w:r>
      <w:proofErr w:type="spellStart"/>
      <w:r w:rsidRPr="00A663DB">
        <w:t>Gexa’s</w:t>
      </w:r>
      <w:proofErr w:type="spellEnd"/>
      <w:r w:rsidRPr="00A663DB">
        <w:t xml:space="preserve"> REC Agreement grants Gexa the authority to procure RECs over ten years.</w:t>
      </w:r>
    </w:p>
    <w:p w:rsidRPr="00A663DB" w:rsidR="004071E6" w:rsidP="004071E6" w:rsidRDefault="004071E6" w14:paraId="7C5E7B0C" w14:textId="77777777">
      <w:pPr>
        <w:pStyle w:val="CoL"/>
        <w:numPr>
          <w:ilvl w:val="0"/>
          <w:numId w:val="43"/>
        </w:numPr>
        <w:ind w:left="0" w:firstLine="360"/>
      </w:pPr>
      <w:r w:rsidRPr="00A663DB">
        <w:t xml:space="preserve">Since we are not disallowing </w:t>
      </w:r>
      <w:proofErr w:type="spellStart"/>
      <w:r w:rsidRPr="00A663DB">
        <w:t>Gexa’s</w:t>
      </w:r>
      <w:proofErr w:type="spellEnd"/>
      <w:r w:rsidRPr="00A663DB">
        <w:t xml:space="preserve"> procurement amounts, the waiver request is moot and </w:t>
      </w:r>
      <w:r>
        <w:t>requires no further discussion</w:t>
      </w:r>
      <w:r w:rsidRPr="00A663DB">
        <w:t xml:space="preserve">. </w:t>
      </w:r>
    </w:p>
    <w:p w:rsidRPr="00BA3C84" w:rsidR="004071E6" w:rsidP="004071E6" w:rsidRDefault="004071E6" w14:paraId="4FA3757E" w14:textId="77777777">
      <w:pPr>
        <w:pStyle w:val="CoL"/>
        <w:numPr>
          <w:ilvl w:val="0"/>
          <w:numId w:val="43"/>
        </w:numPr>
        <w:ind w:left="0" w:firstLine="360"/>
      </w:pPr>
      <w:proofErr w:type="spellStart"/>
      <w:r w:rsidRPr="00A663DB">
        <w:t>Gexa’s</w:t>
      </w:r>
      <w:proofErr w:type="spellEnd"/>
      <w:r w:rsidRPr="00A663DB">
        <w:t xml:space="preserve"> Final Compliance Report was out of compliance with our regulatory requirements as its REC Agreement with NextEra failed to contain </w:t>
      </w:r>
      <w:r>
        <w:t xml:space="preserve">all of </w:t>
      </w:r>
      <w:r w:rsidRPr="00A663DB">
        <w:t>the required standard terms and conditions in its contract terms.</w:t>
      </w:r>
    </w:p>
    <w:p w:rsidR="00867B51" w:rsidP="00867B51" w:rsidRDefault="004071E6" w14:paraId="1D1A2404" w14:textId="64F9E23E">
      <w:pPr>
        <w:pStyle w:val="CoL"/>
        <w:numPr>
          <w:ilvl w:val="0"/>
          <w:numId w:val="43"/>
        </w:numPr>
        <w:ind w:left="0" w:firstLine="360"/>
      </w:pPr>
      <w:r w:rsidRPr="00A663DB">
        <w:t>Pursuant to Commission Res</w:t>
      </w:r>
      <w:r w:rsidR="00E13D05">
        <w:t xml:space="preserve"> </w:t>
      </w:r>
      <w:r w:rsidRPr="00A663DB">
        <w:t>E-4720, it is reasonable for Gexa to pay a penalty of $</w:t>
      </w:r>
      <w:r w:rsidR="00E87D2F">
        <w:t>3</w:t>
      </w:r>
      <w:r w:rsidR="006B0393">
        <w:t>5</w:t>
      </w:r>
      <w:r w:rsidR="00E87D2F">
        <w:t>2,</w:t>
      </w:r>
      <w:r w:rsidR="00F550EA">
        <w:t>500</w:t>
      </w:r>
      <w:r w:rsidRPr="00A663DB">
        <w:t xml:space="preserve"> assessed at </w:t>
      </w:r>
      <w:r w:rsidRPr="00BA3C84">
        <w:t>$500 per incident plus $500 per day for the first ten days</w:t>
      </w:r>
      <w:r w:rsidRPr="00A663DB">
        <w:t xml:space="preserve"> and </w:t>
      </w:r>
      <w:r w:rsidRPr="00BA3C84">
        <w:t>$1,000 for</w:t>
      </w:r>
      <w:r w:rsidR="005773E3">
        <w:t xml:space="preserve"> each of</w:t>
      </w:r>
      <w:r w:rsidRPr="00BA3C84">
        <w:t xml:space="preserve"> the remaining </w:t>
      </w:r>
      <w:r w:rsidRPr="00BA3C84" w:rsidR="000B7ECD">
        <w:t>3</w:t>
      </w:r>
      <w:r w:rsidR="00FF75E8">
        <w:t>4</w:t>
      </w:r>
      <w:r w:rsidR="000B7ECD">
        <w:t>7</w:t>
      </w:r>
      <w:r w:rsidRPr="00BA3C84" w:rsidR="000B7ECD">
        <w:t xml:space="preserve"> </w:t>
      </w:r>
      <w:r w:rsidRPr="00BA3C84">
        <w:t>days that it was out of compliance</w:t>
      </w:r>
      <w:r w:rsidRPr="00A663DB">
        <w:t>.</w:t>
      </w:r>
      <w:r w:rsidRPr="003B1F45" w:rsidDel="003B1F45">
        <w:rPr>
          <w:vertAlign w:val="superscript"/>
        </w:rPr>
        <w:t xml:space="preserve"> </w:t>
      </w:r>
      <w:r w:rsidRPr="00A663DB">
        <w:t xml:space="preserve"> </w:t>
      </w:r>
    </w:p>
    <w:p w:rsidRPr="00BA3C84" w:rsidR="004071E6" w:rsidP="00867B51" w:rsidRDefault="004071E6" w14:paraId="05FE98C6" w14:textId="5BA67D1A">
      <w:pPr>
        <w:pStyle w:val="CoL"/>
        <w:numPr>
          <w:ilvl w:val="0"/>
          <w:numId w:val="43"/>
        </w:numPr>
        <w:ind w:left="0" w:firstLine="360"/>
      </w:pPr>
      <w:r w:rsidRPr="00BA3C84">
        <w:t xml:space="preserve">No hearings were necessary on the issues addressed in this decision. </w:t>
      </w:r>
    </w:p>
    <w:p w:rsidR="004071E6" w:rsidP="000B5A4E" w:rsidRDefault="000B5A4E" w14:paraId="13379AC8" w14:textId="145E4E5D">
      <w:pPr>
        <w:pStyle w:val="CoL"/>
        <w:numPr>
          <w:ilvl w:val="0"/>
          <w:numId w:val="43"/>
        </w:numPr>
        <w:ind w:left="0" w:firstLine="270"/>
      </w:pPr>
      <w:r>
        <w:t xml:space="preserve"> </w:t>
      </w:r>
      <w:r w:rsidRPr="00BA3C84" w:rsidR="004071E6">
        <w:t>The pr</w:t>
      </w:r>
      <w:r w:rsidR="00867B51">
        <w:t>o</w:t>
      </w:r>
      <w:r w:rsidRPr="00BA3C84" w:rsidR="004071E6">
        <w:t>ceeding remains open.</w:t>
      </w:r>
    </w:p>
    <w:p w:rsidR="004071E6" w:rsidP="000B5D23" w:rsidRDefault="004071E6" w14:paraId="57399CA2" w14:textId="77777777">
      <w:pPr>
        <w:pStyle w:val="mainex0"/>
        <w:keepNext/>
        <w:keepLines/>
        <w:spacing w:before="240" w:after="120"/>
      </w:pPr>
      <w:bookmarkStart w:name="_Toc370798915" w:id="42"/>
      <w:bookmarkStart w:name="_Toc450990221" w:id="43"/>
      <w:bookmarkStart w:name="_Toc451151268" w:id="44"/>
      <w:bookmarkStart w:name="_Toc89343477" w:id="45"/>
      <w:bookmarkStart w:name="OLE_LINK1" w:id="46"/>
      <w:bookmarkStart w:name="OLE_LINK2" w:id="47"/>
      <w:r>
        <w:t>ORDER</w:t>
      </w:r>
      <w:bookmarkEnd w:id="42"/>
      <w:bookmarkEnd w:id="43"/>
      <w:bookmarkEnd w:id="44"/>
      <w:bookmarkEnd w:id="45"/>
    </w:p>
    <w:bookmarkEnd w:id="46"/>
    <w:bookmarkEnd w:id="47"/>
    <w:p w:rsidRPr="007A5CE2" w:rsidR="004071E6" w:rsidP="000B5A4E" w:rsidRDefault="004071E6" w14:paraId="583AD29C" w14:textId="77777777">
      <w:pPr>
        <w:pStyle w:val="Quote1"/>
        <w:keepNext/>
        <w:keepLines/>
        <w:spacing w:after="120"/>
        <w:rPr>
          <w:rFonts w:ascii="Book Antiqua" w:hAnsi="Book Antiqua"/>
          <w:sz w:val="2"/>
        </w:rPr>
      </w:pPr>
    </w:p>
    <w:p w:rsidRPr="00287C33" w:rsidR="004071E6" w:rsidP="000B5A4E" w:rsidRDefault="004071E6" w14:paraId="63AE89C1" w14:textId="77777777">
      <w:pPr>
        <w:spacing w:before="120"/>
      </w:pPr>
      <w:r w:rsidRPr="00FE0B72">
        <w:rPr>
          <w:b/>
          <w:bCs/>
        </w:rPr>
        <w:t>IT IS ORDERED</w:t>
      </w:r>
      <w:r w:rsidRPr="00287C33">
        <w:t xml:space="preserve"> that:</w:t>
      </w:r>
    </w:p>
    <w:p w:rsidRPr="00A47375" w:rsidR="004071E6" w:rsidP="00AE7061" w:rsidRDefault="004071E6" w14:paraId="39E79E36" w14:textId="61695297">
      <w:pPr>
        <w:pStyle w:val="OP"/>
        <w:numPr>
          <w:ilvl w:val="0"/>
          <w:numId w:val="48"/>
        </w:numPr>
        <w:ind w:firstLine="360"/>
        <w:rPr>
          <w:szCs w:val="26"/>
        </w:rPr>
      </w:pPr>
      <w:r w:rsidRPr="00A47375">
        <w:rPr>
          <w:szCs w:val="26"/>
        </w:rPr>
        <w:t xml:space="preserve">Gexa Energy California LLC </w:t>
      </w:r>
      <w:r w:rsidRPr="00A47375">
        <w:t xml:space="preserve">is penalized </w:t>
      </w:r>
      <w:r w:rsidRPr="00A47375">
        <w:rPr>
          <w:szCs w:val="26"/>
        </w:rPr>
        <w:t>$</w:t>
      </w:r>
      <w:r w:rsidR="000B7ECD">
        <w:rPr>
          <w:szCs w:val="26"/>
        </w:rPr>
        <w:t>3</w:t>
      </w:r>
      <w:r w:rsidR="006B0393">
        <w:rPr>
          <w:szCs w:val="26"/>
        </w:rPr>
        <w:t>5</w:t>
      </w:r>
      <w:r w:rsidR="000B7ECD">
        <w:rPr>
          <w:szCs w:val="26"/>
        </w:rPr>
        <w:t>2,</w:t>
      </w:r>
      <w:r w:rsidR="00F550EA">
        <w:rPr>
          <w:szCs w:val="26"/>
        </w:rPr>
        <w:t>500</w:t>
      </w:r>
      <w:r>
        <w:t xml:space="preserve"> </w:t>
      </w:r>
      <w:r w:rsidRPr="00A47375">
        <w:t xml:space="preserve">for </w:t>
      </w:r>
      <w:r>
        <w:t>failing</w:t>
      </w:r>
      <w:r w:rsidRPr="00A47375">
        <w:t xml:space="preserve"> to comply with the Renewable</w:t>
      </w:r>
      <w:r>
        <w:t>s</w:t>
      </w:r>
      <w:r w:rsidRPr="00A47375">
        <w:t xml:space="preserve"> Portfolio Standard</w:t>
      </w:r>
      <w:r>
        <w:t xml:space="preserve"> reporting requirements</w:t>
      </w:r>
      <w:r w:rsidRPr="00A47375">
        <w:t>.</w:t>
      </w:r>
    </w:p>
    <w:p w:rsidR="00AE7061" w:rsidP="00AE7061" w:rsidRDefault="004071E6" w14:paraId="531A856F" w14:textId="77777777">
      <w:pPr>
        <w:pStyle w:val="OP"/>
        <w:numPr>
          <w:ilvl w:val="0"/>
          <w:numId w:val="48"/>
        </w:numPr>
        <w:ind w:firstLine="360"/>
      </w:pPr>
      <w:r>
        <w:rPr>
          <w:szCs w:val="26"/>
        </w:rPr>
        <w:t xml:space="preserve">Within 30 days of the effective date of this order, </w:t>
      </w:r>
      <w:r w:rsidRPr="00886371">
        <w:rPr>
          <w:szCs w:val="26"/>
        </w:rPr>
        <w:t xml:space="preserve">Gexa Energy California LLC </w:t>
      </w:r>
      <w:r>
        <w:rPr>
          <w:szCs w:val="26"/>
        </w:rPr>
        <w:t>shall make the payment of $</w:t>
      </w:r>
      <w:r w:rsidR="000B7ECD">
        <w:rPr>
          <w:szCs w:val="26"/>
        </w:rPr>
        <w:t>3</w:t>
      </w:r>
      <w:r w:rsidR="006B0393">
        <w:rPr>
          <w:szCs w:val="26"/>
        </w:rPr>
        <w:t>5</w:t>
      </w:r>
      <w:r w:rsidR="000B7ECD">
        <w:rPr>
          <w:szCs w:val="26"/>
        </w:rPr>
        <w:t>2,</w:t>
      </w:r>
      <w:r w:rsidR="00F550EA">
        <w:rPr>
          <w:szCs w:val="26"/>
        </w:rPr>
        <w:t>500</w:t>
      </w:r>
      <w:r>
        <w:rPr>
          <w:szCs w:val="26"/>
        </w:rPr>
        <w:t xml:space="preserve"> </w:t>
      </w:r>
      <w:r>
        <w:t xml:space="preserve">to the Commission’s Fiscal Office, </w:t>
      </w:r>
    </w:p>
    <w:p w:rsidR="004071E6" w:rsidP="00AE7061" w:rsidRDefault="004071E6" w14:paraId="05AD4314" w14:textId="771A9D89">
      <w:pPr>
        <w:pStyle w:val="OP"/>
        <w:ind w:firstLine="0"/>
      </w:pPr>
      <w:r>
        <w:t>505 Van Ness Avenue, San Francisco, CA 94102, in the form of a certified check, payable to the California Public Utilities Commission for credit to the State General Fund.</w:t>
      </w:r>
    </w:p>
    <w:p w:rsidRPr="00EF318F" w:rsidR="004071E6" w:rsidP="00AE7061" w:rsidRDefault="004071E6" w14:paraId="62F3185A" w14:textId="77777777">
      <w:pPr>
        <w:pStyle w:val="OP"/>
        <w:numPr>
          <w:ilvl w:val="0"/>
          <w:numId w:val="48"/>
        </w:numPr>
        <w:ind w:firstLine="360"/>
        <w:rPr>
          <w:szCs w:val="26"/>
        </w:rPr>
      </w:pPr>
      <w:r w:rsidRPr="00EF318F">
        <w:rPr>
          <w:szCs w:val="26"/>
        </w:rPr>
        <w:lastRenderedPageBreak/>
        <w:t>Rulemaking 18</w:t>
      </w:r>
      <w:r w:rsidRPr="00EF318F">
        <w:rPr>
          <w:szCs w:val="26"/>
        </w:rPr>
        <w:noBreakHyphen/>
        <w:t>07</w:t>
      </w:r>
      <w:r w:rsidRPr="00EF318F">
        <w:rPr>
          <w:szCs w:val="26"/>
        </w:rPr>
        <w:noBreakHyphen/>
        <w:t>003 remains open.</w:t>
      </w:r>
    </w:p>
    <w:p w:rsidRPr="00A47375" w:rsidR="004071E6" w:rsidP="00FE0B72" w:rsidRDefault="004071E6" w14:paraId="22FA167B" w14:textId="77777777">
      <w:pPr>
        <w:pStyle w:val="Standard"/>
      </w:pPr>
      <w:r w:rsidRPr="00A47375">
        <w:t>This order is effective today.</w:t>
      </w:r>
    </w:p>
    <w:p w:rsidR="00DF1234" w:rsidP="00C77427" w:rsidRDefault="004071E6" w14:paraId="3A7871CC" w14:textId="270DCE30">
      <w:pPr>
        <w:pStyle w:val="Standard"/>
        <w:spacing w:after="120"/>
      </w:pPr>
      <w:r w:rsidRPr="00A47375">
        <w:t>Date</w:t>
      </w:r>
      <w:r>
        <w:t>d</w:t>
      </w:r>
      <w:r w:rsidR="00937C61">
        <w:t xml:space="preserve"> January 27, 2022</w:t>
      </w:r>
      <w:r w:rsidRPr="00A47375">
        <w:t>, at San Francisco, California.</w:t>
      </w:r>
    </w:p>
    <w:p w:rsidR="00937C61" w:rsidP="00C77427" w:rsidRDefault="00937C61" w14:paraId="57ABD284" w14:textId="77777777">
      <w:pPr>
        <w:pStyle w:val="Standard"/>
        <w:spacing w:after="120"/>
      </w:pPr>
    </w:p>
    <w:p w:rsidRPr="00937C61" w:rsidR="00937C61" w:rsidP="00937C61" w:rsidRDefault="00937C61" w14:paraId="26C413E3" w14:textId="77777777">
      <w:pPr>
        <w:autoSpaceDE w:val="0"/>
        <w:autoSpaceDN w:val="0"/>
        <w:adjustRightInd w:val="0"/>
        <w:spacing w:line="240" w:lineRule="auto"/>
        <w:ind w:left="4320" w:firstLine="0"/>
        <w:jc w:val="both"/>
        <w:rPr>
          <w:rFonts w:ascii="Palatino" w:hAnsi="Palatino" w:eastAsia="Times New Roman" w:cs="Palatino"/>
          <w:szCs w:val="26"/>
        </w:rPr>
      </w:pPr>
      <w:bookmarkStart w:name="_Hlk17215919" w:id="48"/>
      <w:r w:rsidRPr="00937C61">
        <w:rPr>
          <w:rFonts w:ascii="Palatino" w:hAnsi="Palatino" w:eastAsia="Times New Roman" w:cs="Courier New"/>
          <w:szCs w:val="26"/>
        </w:rPr>
        <w:t>ALICE REYNOLDS</w:t>
      </w:r>
    </w:p>
    <w:p w:rsidRPr="00937C61" w:rsidR="00937C61" w:rsidP="00937C61" w:rsidRDefault="00937C61" w14:paraId="4B3BBD23" w14:textId="77777777">
      <w:pPr>
        <w:autoSpaceDE w:val="0"/>
        <w:autoSpaceDN w:val="0"/>
        <w:adjustRightInd w:val="0"/>
        <w:spacing w:line="240" w:lineRule="auto"/>
        <w:jc w:val="both"/>
        <w:rPr>
          <w:rFonts w:ascii="Palatino" w:hAnsi="Palatino" w:eastAsia="Times New Roman" w:cs="Palatino"/>
          <w:szCs w:val="26"/>
        </w:rPr>
      </w:pPr>
      <w:r w:rsidRPr="00937C61">
        <w:rPr>
          <w:rFonts w:ascii="Palatino" w:hAnsi="Palatino" w:eastAsia="Times New Roman" w:cs="Palatino"/>
          <w:szCs w:val="26"/>
        </w:rPr>
        <w:tab/>
      </w:r>
      <w:r w:rsidRPr="00937C61">
        <w:rPr>
          <w:rFonts w:ascii="Palatino" w:hAnsi="Palatino" w:eastAsia="Times New Roman" w:cs="Palatino"/>
          <w:szCs w:val="26"/>
        </w:rPr>
        <w:tab/>
      </w:r>
      <w:r w:rsidRPr="00937C61">
        <w:rPr>
          <w:rFonts w:ascii="Palatino" w:hAnsi="Palatino" w:eastAsia="Times New Roman" w:cs="Palatino"/>
          <w:szCs w:val="26"/>
        </w:rPr>
        <w:tab/>
      </w:r>
      <w:r w:rsidRPr="00937C61">
        <w:rPr>
          <w:rFonts w:ascii="Palatino" w:hAnsi="Palatino" w:eastAsia="Times New Roman" w:cs="Palatino"/>
          <w:szCs w:val="26"/>
        </w:rPr>
        <w:tab/>
      </w:r>
      <w:r w:rsidRPr="00937C61">
        <w:rPr>
          <w:rFonts w:ascii="Palatino" w:hAnsi="Palatino" w:eastAsia="Times New Roman" w:cs="Palatino"/>
          <w:szCs w:val="26"/>
        </w:rPr>
        <w:tab/>
        <w:t xml:space="preserve">                   President</w:t>
      </w:r>
    </w:p>
    <w:p w:rsidRPr="00937C61" w:rsidR="00937C61" w:rsidP="00937C61" w:rsidRDefault="00937C61" w14:paraId="4DD3C11B" w14:textId="77777777">
      <w:pPr>
        <w:autoSpaceDE w:val="0"/>
        <w:autoSpaceDN w:val="0"/>
        <w:adjustRightInd w:val="0"/>
        <w:spacing w:line="240" w:lineRule="auto"/>
        <w:ind w:left="4320" w:firstLine="0"/>
        <w:jc w:val="both"/>
        <w:rPr>
          <w:rFonts w:ascii="Palatino" w:hAnsi="Palatino" w:eastAsia="Times New Roman" w:cs="Times New Roman"/>
          <w:sz w:val="28"/>
          <w:szCs w:val="28"/>
        </w:rPr>
      </w:pPr>
      <w:r w:rsidRPr="00937C61">
        <w:rPr>
          <w:rFonts w:ascii="Palatino" w:hAnsi="Palatino" w:eastAsia="Times New Roman" w:cs="Times New Roman"/>
          <w:sz w:val="28"/>
          <w:szCs w:val="28"/>
        </w:rPr>
        <w:t>CLIFFORD RECHTSCHAFFEN</w:t>
      </w:r>
    </w:p>
    <w:p w:rsidRPr="00937C61" w:rsidR="00937C61" w:rsidP="00937C61" w:rsidRDefault="00937C61" w14:paraId="4FA3F708" w14:textId="77777777">
      <w:pPr>
        <w:autoSpaceDE w:val="0"/>
        <w:autoSpaceDN w:val="0"/>
        <w:adjustRightInd w:val="0"/>
        <w:spacing w:line="240" w:lineRule="auto"/>
        <w:ind w:left="4320" w:firstLine="0"/>
        <w:jc w:val="both"/>
        <w:rPr>
          <w:rFonts w:ascii="Palatino" w:hAnsi="Palatino" w:eastAsia="Times New Roman" w:cs="Times New Roman"/>
          <w:sz w:val="28"/>
          <w:szCs w:val="28"/>
        </w:rPr>
      </w:pPr>
      <w:r w:rsidRPr="00937C61">
        <w:rPr>
          <w:rFonts w:ascii="Palatino" w:hAnsi="Palatino" w:eastAsia="Times New Roman" w:cs="Times New Roman"/>
          <w:sz w:val="28"/>
          <w:szCs w:val="28"/>
        </w:rPr>
        <w:t>GENEVIEVE SHIROMA</w:t>
      </w:r>
    </w:p>
    <w:p w:rsidRPr="00937C61" w:rsidR="00937C61" w:rsidP="00937C61" w:rsidRDefault="00937C61" w14:paraId="6048E005" w14:textId="77777777">
      <w:pPr>
        <w:autoSpaceDE w:val="0"/>
        <w:autoSpaceDN w:val="0"/>
        <w:adjustRightInd w:val="0"/>
        <w:spacing w:line="240" w:lineRule="auto"/>
        <w:ind w:left="4320" w:firstLine="0"/>
        <w:jc w:val="both"/>
        <w:rPr>
          <w:rFonts w:ascii="Palatino" w:hAnsi="Palatino" w:eastAsia="Times New Roman" w:cs="Times New Roman"/>
          <w:sz w:val="28"/>
          <w:szCs w:val="28"/>
        </w:rPr>
      </w:pPr>
      <w:r w:rsidRPr="00937C61">
        <w:rPr>
          <w:rFonts w:ascii="Palatino" w:hAnsi="Palatino" w:eastAsia="Times New Roman" w:cs="Times New Roman"/>
          <w:sz w:val="28"/>
          <w:szCs w:val="28"/>
        </w:rPr>
        <w:t>DARCIE HOUCK</w:t>
      </w:r>
    </w:p>
    <w:p w:rsidRPr="00937C61" w:rsidR="00937C61" w:rsidP="00937C61" w:rsidRDefault="00937C61" w14:paraId="66C71228" w14:textId="77777777">
      <w:pPr>
        <w:autoSpaceDE w:val="0"/>
        <w:autoSpaceDN w:val="0"/>
        <w:adjustRightInd w:val="0"/>
        <w:spacing w:line="240" w:lineRule="auto"/>
        <w:ind w:left="4320"/>
        <w:jc w:val="both"/>
        <w:rPr>
          <w:rFonts w:ascii="Palatino" w:hAnsi="Palatino" w:eastAsia="Times New Roman" w:cs="Palatino"/>
          <w:szCs w:val="26"/>
        </w:rPr>
      </w:pPr>
      <w:r w:rsidRPr="00937C61">
        <w:rPr>
          <w:rFonts w:ascii="Palatino" w:hAnsi="Palatino" w:eastAsia="Times New Roman" w:cs="Palatino"/>
          <w:szCs w:val="26"/>
        </w:rPr>
        <w:t xml:space="preserve">         Commissioners</w:t>
      </w:r>
    </w:p>
    <w:bookmarkEnd w:id="48"/>
    <w:p w:rsidRPr="00DF1234" w:rsidR="00937C61" w:rsidP="00C77427" w:rsidRDefault="00937C61" w14:paraId="20AD7830" w14:textId="77777777">
      <w:pPr>
        <w:pStyle w:val="Standard"/>
        <w:spacing w:after="120"/>
      </w:pPr>
    </w:p>
    <w:sectPr w:rsidRPr="00DF1234" w:rsidR="00937C61" w:rsidSect="00FD04E3">
      <w:headerReference w:type="default" r:id="rId14"/>
      <w:footerReference w:type="default" r:id="rId15"/>
      <w:headerReference w:type="first" r:id="rId16"/>
      <w:footerReference w:type="first" r:id="rId17"/>
      <w:pgSz w:w="12240" w:h="15840"/>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C3B6" w14:textId="77777777" w:rsidR="00DB2204" w:rsidRDefault="00DB2204" w:rsidP="0098138E">
      <w:pPr>
        <w:spacing w:line="240" w:lineRule="auto"/>
      </w:pPr>
      <w:r>
        <w:separator/>
      </w:r>
    </w:p>
  </w:endnote>
  <w:endnote w:type="continuationSeparator" w:id="0">
    <w:p w14:paraId="0824D2F7" w14:textId="77777777" w:rsidR="00DB2204" w:rsidRDefault="00DB2204" w:rsidP="0098138E">
      <w:pPr>
        <w:spacing w:line="240" w:lineRule="auto"/>
      </w:pPr>
      <w:r>
        <w:continuationSeparator/>
      </w:r>
    </w:p>
  </w:endnote>
  <w:endnote w:type="continuationNotice" w:id="1">
    <w:p w14:paraId="205DB320" w14:textId="77777777" w:rsidR="00DB2204" w:rsidRDefault="00DB22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DB40" w14:textId="77777777" w:rsidR="00EE4315" w:rsidRDefault="00A04C71" w:rsidP="00A04C71">
    <w:pPr>
      <w:tabs>
        <w:tab w:val="left" w:pos="600"/>
        <w:tab w:val="center" w:pos="4680"/>
      </w:tabs>
      <w:ind w:firstLine="0"/>
    </w:pPr>
    <w:r>
      <w:tab/>
    </w:r>
    <w:r>
      <w:tab/>
    </w:r>
    <w:r w:rsidR="00EE4315">
      <w:t xml:space="preserve">- </w:t>
    </w:r>
    <w:sdt>
      <w:sdtPr>
        <w:id w:val="1935164809"/>
        <w:docPartObj>
          <w:docPartGallery w:val="Page Numbers (Bottom of Page)"/>
          <w:docPartUnique/>
        </w:docPartObj>
      </w:sdtPr>
      <w:sdtEndPr>
        <w:rPr>
          <w:noProof/>
        </w:rPr>
      </w:sdtEndPr>
      <w:sdtContent>
        <w:r w:rsidR="00EE4315">
          <w:fldChar w:fldCharType="begin"/>
        </w:r>
        <w:r w:rsidR="00EE4315">
          <w:instrText xml:space="preserve"> PAGE   \* MERGEFORMAT </w:instrText>
        </w:r>
        <w:r w:rsidR="00EE4315">
          <w:fldChar w:fldCharType="separate"/>
        </w:r>
        <w:r w:rsidR="00EE4315">
          <w:rPr>
            <w:noProof/>
          </w:rPr>
          <w:t>2</w:t>
        </w:r>
        <w:r w:rsidR="00EE4315">
          <w:rPr>
            <w:noProof/>
          </w:rPr>
          <w:fldChar w:fldCharType="end"/>
        </w:r>
        <w:r w:rsidR="00EE4315">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3D18" w14:textId="38135780" w:rsidR="009660A9" w:rsidRDefault="00691AF0" w:rsidP="00D44D28">
    <w:pPr>
      <w:pStyle w:val="Footer"/>
      <w:ind w:firstLine="0"/>
    </w:pPr>
    <w:r>
      <w:rPr>
        <w:sz w:val="16"/>
        <w:szCs w:val="16"/>
      </w:rPr>
      <w:t>446941917</w:t>
    </w:r>
    <w:r w:rsidR="009660A9">
      <w:rPr>
        <w:sz w:val="16"/>
        <w:szCs w:val="16"/>
      </w:rPr>
      <w:tab/>
    </w:r>
    <w:r w:rsidR="009660A9" w:rsidRPr="009660A9">
      <w:rPr>
        <w:szCs w:val="26"/>
      </w:rPr>
      <w:t>-</w:t>
    </w:r>
    <w:r w:rsidR="00547AA5">
      <w:rPr>
        <w:szCs w:val="26"/>
      </w:rPr>
      <w:t xml:space="preserve"> 1</w:t>
    </w:r>
    <w:r w:rsidR="009660A9" w:rsidRPr="009660A9">
      <w:rPr>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8E8" w14:textId="02F140C4" w:rsidR="00547AA5" w:rsidRDefault="00547AA5" w:rsidP="00D44D28">
    <w:pPr>
      <w:pStyle w:val="Footer"/>
      <w:ind w:firstLine="0"/>
    </w:pPr>
    <w:r>
      <w:rPr>
        <w:sz w:val="16"/>
        <w:szCs w:val="16"/>
      </w:rPr>
      <w:tab/>
    </w:r>
    <w:r w:rsidRPr="009660A9">
      <w:rPr>
        <w:szCs w:val="26"/>
      </w:rPr>
      <w:t>-</w:t>
    </w:r>
    <w:r>
      <w:rPr>
        <w:szCs w:val="26"/>
      </w:rPr>
      <w:t xml:space="preserve"> i</w:t>
    </w:r>
    <w:r w:rsidRPr="009660A9">
      <w:rPr>
        <w:szCs w:val="2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9DCC" w14:textId="77777777" w:rsidR="00FD04E3" w:rsidRDefault="00FD04E3" w:rsidP="00A04C71">
    <w:pPr>
      <w:tabs>
        <w:tab w:val="left" w:pos="600"/>
        <w:tab w:val="center" w:pos="4680"/>
      </w:tabs>
      <w:ind w:firstLine="0"/>
    </w:pPr>
    <w:r>
      <w:tab/>
    </w:r>
    <w:r>
      <w:tab/>
      <w:t xml:space="preserve">- </w:t>
    </w:r>
    <w:sdt>
      <w:sdtPr>
        <w:id w:val="-10704278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4D24" w14:textId="280C4714" w:rsidR="00FD04E3" w:rsidRDefault="00FD04E3" w:rsidP="00FD04E3">
    <w:pPr>
      <w:pStyle w:val="Footer"/>
      <w:ind w:firstLine="0"/>
      <w:jc w:val="center"/>
    </w:pPr>
    <w:r w:rsidRPr="009660A9">
      <w:rPr>
        <w:szCs w:val="26"/>
      </w:rPr>
      <w:t>-</w:t>
    </w:r>
    <w:r>
      <w:rPr>
        <w:szCs w:val="26"/>
      </w:rPr>
      <w:t xml:space="preserve"> </w:t>
    </w:r>
    <w:r w:rsidRPr="00FD04E3">
      <w:rPr>
        <w:szCs w:val="26"/>
      </w:rPr>
      <w:fldChar w:fldCharType="begin"/>
    </w:r>
    <w:r w:rsidRPr="00FD04E3">
      <w:rPr>
        <w:szCs w:val="26"/>
      </w:rPr>
      <w:instrText xml:space="preserve"> PAGE   \* MERGEFORMAT </w:instrText>
    </w:r>
    <w:r w:rsidRPr="00FD04E3">
      <w:rPr>
        <w:szCs w:val="26"/>
      </w:rPr>
      <w:fldChar w:fldCharType="separate"/>
    </w:r>
    <w:r w:rsidRPr="00FD04E3">
      <w:rPr>
        <w:noProof/>
        <w:szCs w:val="26"/>
      </w:rPr>
      <w:t>1</w:t>
    </w:r>
    <w:r w:rsidRPr="00FD04E3">
      <w:rPr>
        <w:noProof/>
        <w:szCs w:val="26"/>
      </w:rPr>
      <w:fldChar w:fldCharType="end"/>
    </w:r>
    <w:r w:rsidRPr="009660A9">
      <w:rPr>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637D" w14:textId="77777777" w:rsidR="00DB2204" w:rsidRDefault="00DB2204" w:rsidP="00DF58E7">
      <w:pPr>
        <w:spacing w:line="240" w:lineRule="auto"/>
        <w:ind w:firstLine="0"/>
      </w:pPr>
      <w:r>
        <w:separator/>
      </w:r>
    </w:p>
  </w:footnote>
  <w:footnote w:type="continuationSeparator" w:id="0">
    <w:p w14:paraId="059DEDD9" w14:textId="77777777" w:rsidR="00DB2204" w:rsidRDefault="00DB2204" w:rsidP="00DF58E7">
      <w:pPr>
        <w:spacing w:line="240" w:lineRule="auto"/>
        <w:ind w:firstLine="0"/>
      </w:pPr>
      <w:r>
        <w:continuationSeparator/>
      </w:r>
    </w:p>
  </w:footnote>
  <w:footnote w:type="continuationNotice" w:id="1">
    <w:p w14:paraId="071B5ADD" w14:textId="77777777" w:rsidR="00DB2204" w:rsidRPr="00DF58E7" w:rsidRDefault="00DB2204" w:rsidP="00DF58E7">
      <w:pPr>
        <w:spacing w:line="240" w:lineRule="auto"/>
        <w:ind w:firstLine="0"/>
        <w:jc w:val="right"/>
        <w:rPr>
          <w:i/>
          <w:sz w:val="22"/>
        </w:rPr>
      </w:pPr>
    </w:p>
  </w:footnote>
  <w:footnote w:id="2">
    <w:p w14:paraId="1743F3DA" w14:textId="1F3313ED" w:rsidR="004071E6" w:rsidRPr="00322A9F" w:rsidRDefault="004071E6" w:rsidP="004071E6">
      <w:pPr>
        <w:pStyle w:val="FootnoteText"/>
        <w:rPr>
          <w:szCs w:val="22"/>
        </w:rPr>
      </w:pPr>
      <w:r w:rsidRPr="00322A9F">
        <w:rPr>
          <w:rStyle w:val="FootnoteReference"/>
          <w:szCs w:val="22"/>
        </w:rPr>
        <w:footnoteRef/>
      </w:r>
      <w:r w:rsidRPr="00322A9F">
        <w:rPr>
          <w:szCs w:val="22"/>
        </w:rPr>
        <w:t xml:space="preserve"> Established by Senate Bill </w:t>
      </w:r>
      <w:r w:rsidR="008A1C55">
        <w:rPr>
          <w:szCs w:val="22"/>
        </w:rPr>
        <w:t xml:space="preserve">(SB) </w:t>
      </w:r>
      <w:r w:rsidRPr="00322A9F">
        <w:rPr>
          <w:szCs w:val="22"/>
        </w:rPr>
        <w:t>1078 (Stats. 2002, ch. 516), the RPS program has been revised many times over the years it has been in effect.  The RPS program is</w:t>
      </w:r>
      <w:r>
        <w:rPr>
          <w:szCs w:val="22"/>
        </w:rPr>
        <w:t xml:space="preserve"> codified at</w:t>
      </w:r>
      <w:r w:rsidR="008A1C55">
        <w:rPr>
          <w:szCs w:val="22"/>
        </w:rPr>
        <w:t xml:space="preserve"> Public Utility</w:t>
      </w:r>
      <w:r>
        <w:rPr>
          <w:szCs w:val="22"/>
        </w:rPr>
        <w:t xml:space="preserve"> </w:t>
      </w:r>
      <w:r w:rsidR="0060178E">
        <w:rPr>
          <w:szCs w:val="22"/>
        </w:rPr>
        <w:t>(</w:t>
      </w:r>
      <w:r>
        <w:rPr>
          <w:szCs w:val="22"/>
        </w:rPr>
        <w:t>Pub. Util.</w:t>
      </w:r>
      <w:r w:rsidR="0060178E">
        <w:rPr>
          <w:szCs w:val="22"/>
        </w:rPr>
        <w:t>)</w:t>
      </w:r>
      <w:r>
        <w:rPr>
          <w:szCs w:val="22"/>
        </w:rPr>
        <w:t xml:space="preserve"> Code §§ </w:t>
      </w:r>
      <w:r w:rsidRPr="00322A9F">
        <w:rPr>
          <w:szCs w:val="22"/>
        </w:rPr>
        <w:t>399.11</w:t>
      </w:r>
      <w:r>
        <w:rPr>
          <w:szCs w:val="22"/>
        </w:rPr>
        <w:noBreakHyphen/>
      </w:r>
      <w:r w:rsidRPr="00322A9F">
        <w:rPr>
          <w:szCs w:val="22"/>
        </w:rPr>
        <w:t>399.3</w:t>
      </w:r>
      <w:r>
        <w:rPr>
          <w:szCs w:val="22"/>
        </w:rPr>
        <w:t>3</w:t>
      </w:r>
      <w:r w:rsidRPr="00322A9F">
        <w:rPr>
          <w:szCs w:val="22"/>
        </w:rPr>
        <w:t xml:space="preserve">.  </w:t>
      </w:r>
    </w:p>
  </w:footnote>
  <w:footnote w:id="3">
    <w:p w14:paraId="24EEC1D9" w14:textId="7134BA7E" w:rsidR="004071E6" w:rsidRDefault="004071E6" w:rsidP="00B55520">
      <w:pPr>
        <w:pStyle w:val="FootnoteText"/>
      </w:pPr>
      <w:r>
        <w:rPr>
          <w:rStyle w:val="FootnoteReference"/>
        </w:rPr>
        <w:footnoteRef/>
      </w:r>
      <w:r>
        <w:t xml:space="preserve"> </w:t>
      </w:r>
      <w:r w:rsidRPr="00863397">
        <w:rPr>
          <w:i/>
          <w:iCs/>
        </w:rPr>
        <w:t>See</w:t>
      </w:r>
      <w:r>
        <w:t xml:space="preserve"> </w:t>
      </w:r>
      <w:r w:rsidRPr="00767E30">
        <w:t xml:space="preserve">Exhibit B to Gexa Supplemental Filing in Response to </w:t>
      </w:r>
      <w:r w:rsidR="00863397">
        <w:t>Administrative Law Judge (</w:t>
      </w:r>
      <w:r w:rsidRPr="00767E30">
        <w:t>ALJ</w:t>
      </w:r>
      <w:r w:rsidR="00863397">
        <w:t>)</w:t>
      </w:r>
      <w:r w:rsidRPr="00767E30">
        <w:t xml:space="preserve"> Ruling</w:t>
      </w:r>
      <w:r>
        <w:t xml:space="preserve"> at 2. </w:t>
      </w:r>
    </w:p>
  </w:footnote>
  <w:footnote w:id="4">
    <w:p w14:paraId="768F5887" w14:textId="77777777" w:rsidR="004071E6" w:rsidRPr="002F3D76" w:rsidRDefault="004071E6" w:rsidP="00FE0B72">
      <w:pPr>
        <w:autoSpaceDE w:val="0"/>
        <w:autoSpaceDN w:val="0"/>
        <w:adjustRightInd w:val="0"/>
        <w:spacing w:after="120" w:line="240" w:lineRule="auto"/>
        <w:ind w:firstLine="0"/>
        <w:contextualSpacing/>
        <w:rPr>
          <w:rFonts w:cs="TimesNewRoman"/>
          <w:sz w:val="22"/>
        </w:rPr>
      </w:pPr>
      <w:r w:rsidRPr="002F3D76">
        <w:rPr>
          <w:rStyle w:val="FootnoteReference"/>
          <w:sz w:val="22"/>
        </w:rPr>
        <w:footnoteRef/>
      </w:r>
      <w:r w:rsidRPr="002F3D76">
        <w:rPr>
          <w:sz w:val="22"/>
        </w:rPr>
        <w:t xml:space="preserve"> </w:t>
      </w:r>
      <w:r w:rsidRPr="002F3D76">
        <w:rPr>
          <w:rFonts w:cs="TimesNewRoman"/>
          <w:i/>
          <w:iCs/>
          <w:sz w:val="22"/>
        </w:rPr>
        <w:t xml:space="preserve">See </w:t>
      </w:r>
      <w:r w:rsidRPr="002F3D76">
        <w:rPr>
          <w:rFonts w:cs="TimesNewRoman"/>
          <w:sz w:val="22"/>
        </w:rPr>
        <w:t>Gexa’s March 3, 2020, Supplemental Filing in response to ALJ Ruling seeking additional information, Exhibit C, Attachment 3 First Amendment to Renewable Energy Credit Purchase</w:t>
      </w:r>
    </w:p>
    <w:p w14:paraId="744423CF" w14:textId="77777777" w:rsidR="004071E6" w:rsidRPr="002F3D76" w:rsidRDefault="004071E6" w:rsidP="00FE0B72">
      <w:pPr>
        <w:autoSpaceDE w:val="0"/>
        <w:autoSpaceDN w:val="0"/>
        <w:adjustRightInd w:val="0"/>
        <w:spacing w:after="120" w:line="240" w:lineRule="auto"/>
        <w:ind w:firstLine="0"/>
        <w:contextualSpacing/>
        <w:rPr>
          <w:rFonts w:cs="TimesNewRoman"/>
          <w:sz w:val="22"/>
        </w:rPr>
      </w:pPr>
      <w:r w:rsidRPr="002F3D76">
        <w:rPr>
          <w:rFonts w:cs="TimesNewRoman"/>
          <w:sz w:val="22"/>
        </w:rPr>
        <w:t xml:space="preserve">and Sale Master Agreement and Confirmation Agreement of a REC Transaction dated December 6, 2019 by and between NextEra Energy Marketing, LLC. </w:t>
      </w:r>
    </w:p>
  </w:footnote>
  <w:footnote w:id="5">
    <w:p w14:paraId="751EA446" w14:textId="72E1D563" w:rsidR="004071E6" w:rsidRPr="00322A9F" w:rsidRDefault="004071E6" w:rsidP="004071E6">
      <w:pPr>
        <w:pStyle w:val="FootnoteText"/>
        <w:rPr>
          <w:szCs w:val="22"/>
        </w:rPr>
      </w:pPr>
      <w:r w:rsidRPr="00322A9F">
        <w:rPr>
          <w:rStyle w:val="FootnoteReference"/>
          <w:szCs w:val="22"/>
        </w:rPr>
        <w:footnoteRef/>
      </w:r>
      <w:r w:rsidRPr="00322A9F">
        <w:rPr>
          <w:szCs w:val="22"/>
        </w:rPr>
        <w:t xml:space="preserve"> Stats. 2018, Ch. 313 (de Leon).</w:t>
      </w:r>
    </w:p>
  </w:footnote>
  <w:footnote w:id="6">
    <w:p w14:paraId="3390F6CF" w14:textId="77777777" w:rsidR="004071E6" w:rsidRDefault="004071E6" w:rsidP="004071E6">
      <w:pPr>
        <w:pStyle w:val="FootnoteText"/>
      </w:pPr>
      <w:r>
        <w:rPr>
          <w:rStyle w:val="FootnoteReference"/>
        </w:rPr>
        <w:footnoteRef/>
      </w:r>
      <w:r>
        <w:t xml:space="preserve"> D.12-06-038 at 7. </w:t>
      </w:r>
    </w:p>
  </w:footnote>
  <w:footnote w:id="7">
    <w:p w14:paraId="5B5933E5" w14:textId="77777777" w:rsidR="004071E6" w:rsidRDefault="004071E6" w:rsidP="004071E6">
      <w:pPr>
        <w:pStyle w:val="FootnoteText"/>
      </w:pPr>
      <w:r>
        <w:rPr>
          <w:rStyle w:val="FootnoteReference"/>
        </w:rPr>
        <w:footnoteRef/>
      </w:r>
      <w:r>
        <w:t xml:space="preserve"> D.12-06-038 at 40.</w:t>
      </w:r>
    </w:p>
  </w:footnote>
  <w:footnote w:id="8">
    <w:p w14:paraId="0828CA16" w14:textId="06B55E42" w:rsidR="004071E6" w:rsidRDefault="004071E6" w:rsidP="004071E6">
      <w:pPr>
        <w:pStyle w:val="FootnoteText"/>
      </w:pPr>
      <w:r>
        <w:rPr>
          <w:rStyle w:val="FootnoteReference"/>
        </w:rPr>
        <w:footnoteRef/>
      </w:r>
      <w:r>
        <w:t xml:space="preserve"> </w:t>
      </w:r>
      <w:r w:rsidR="00A37B71" w:rsidRPr="00FA5BD7">
        <w:t>R</w:t>
      </w:r>
      <w:r w:rsidR="00FA5BD7">
        <w:t>es</w:t>
      </w:r>
      <w:r w:rsidR="00A37B71" w:rsidRPr="00FA5BD7">
        <w:t xml:space="preserve"> </w:t>
      </w:r>
      <w:r w:rsidRPr="00FA5BD7">
        <w:t>E-4720</w:t>
      </w:r>
      <w:r>
        <w:t xml:space="preserve"> at 15-16.</w:t>
      </w:r>
    </w:p>
  </w:footnote>
  <w:footnote w:id="9">
    <w:p w14:paraId="1FDD6511" w14:textId="77777777"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Gexa’s Reply to ALJ Ruling, April 17, 2020, at 17 and </w:t>
      </w:r>
      <w:r w:rsidRPr="00DE25E9">
        <w:rPr>
          <w:i/>
          <w:szCs w:val="22"/>
        </w:rPr>
        <w:t xml:space="preserve">Motion of Gexa Energy California, LLC for a Waiver of the Renewables Portfolio Standard Procurement Quantity Requirement for Compliance Period 2 </w:t>
      </w:r>
      <w:r w:rsidRPr="00DE25E9">
        <w:rPr>
          <w:szCs w:val="22"/>
        </w:rPr>
        <w:t>(Rulemaking 18-07-003), December 6, 2019 (Gexa Waiver Motion) at 6-12 and 29-30.</w:t>
      </w:r>
    </w:p>
  </w:footnote>
  <w:footnote w:id="10">
    <w:p w14:paraId="0B7B0410" w14:textId="56F7CFEF"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w:t>
      </w:r>
      <w:r w:rsidR="00B55520">
        <w:rPr>
          <w:szCs w:val="22"/>
        </w:rPr>
        <w:t xml:space="preserve"> </w:t>
      </w:r>
      <w:r w:rsidRPr="00DE25E9">
        <w:rPr>
          <w:szCs w:val="22"/>
        </w:rPr>
        <w:t xml:space="preserve">Exhibit D, </w:t>
      </w:r>
      <w:r w:rsidRPr="00DE25E9">
        <w:rPr>
          <w:i/>
          <w:iCs/>
          <w:szCs w:val="22"/>
        </w:rPr>
        <w:t>Supplemental Filing of Gexa Energy California, LLC Pursuant to A</w:t>
      </w:r>
      <w:r w:rsidR="00DE25E9">
        <w:rPr>
          <w:i/>
          <w:iCs/>
          <w:szCs w:val="22"/>
        </w:rPr>
        <w:t>LJ</w:t>
      </w:r>
      <w:r w:rsidRPr="00DE25E9">
        <w:rPr>
          <w:i/>
          <w:iCs/>
          <w:szCs w:val="22"/>
        </w:rPr>
        <w:t>’s Ruling to Review Compliance Determination Request as Part of the Motion for Waiver Request, Seeking Evidence as Part of Record, and Denying the Joint Motion for Late Filed Response.</w:t>
      </w:r>
      <w:r w:rsidRPr="00DE25E9">
        <w:rPr>
          <w:szCs w:val="22"/>
        </w:rPr>
        <w:t xml:space="preserve"> </w:t>
      </w:r>
    </w:p>
  </w:footnote>
  <w:footnote w:id="11">
    <w:p w14:paraId="095786D9" w14:textId="2374EE75"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w:t>
      </w:r>
      <w:r w:rsidR="00B55520">
        <w:rPr>
          <w:szCs w:val="22"/>
        </w:rPr>
        <w:t xml:space="preserve"> </w:t>
      </w:r>
      <w:r w:rsidRPr="00DE25E9">
        <w:rPr>
          <w:szCs w:val="22"/>
        </w:rPr>
        <w:t>Gexa Waiver Motion</w:t>
      </w:r>
      <w:r w:rsidRPr="00DE25E9">
        <w:rPr>
          <w:i/>
          <w:iCs/>
          <w:szCs w:val="22"/>
        </w:rPr>
        <w:t xml:space="preserve"> </w:t>
      </w:r>
      <w:r w:rsidRPr="00DE25E9">
        <w:rPr>
          <w:szCs w:val="22"/>
        </w:rPr>
        <w:t xml:space="preserve">at 13. </w:t>
      </w:r>
    </w:p>
  </w:footnote>
  <w:footnote w:id="12">
    <w:p w14:paraId="7DDCECAC" w14:textId="562B36B0"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w:t>
      </w:r>
      <w:r w:rsidR="00B55520">
        <w:rPr>
          <w:szCs w:val="22"/>
        </w:rPr>
        <w:t xml:space="preserve"> </w:t>
      </w:r>
      <w:r w:rsidRPr="00DE25E9">
        <w:rPr>
          <w:szCs w:val="22"/>
        </w:rPr>
        <w:t>Gexa Waiver Motion</w:t>
      </w:r>
      <w:r w:rsidRPr="00DE25E9">
        <w:rPr>
          <w:i/>
          <w:iCs/>
          <w:szCs w:val="22"/>
        </w:rPr>
        <w:t xml:space="preserve"> </w:t>
      </w:r>
      <w:r w:rsidRPr="00DE25E9">
        <w:rPr>
          <w:szCs w:val="22"/>
        </w:rPr>
        <w:t>at 18-27.</w:t>
      </w:r>
    </w:p>
  </w:footnote>
  <w:footnote w:id="13">
    <w:p w14:paraId="1F708B61" w14:textId="7B811EFE"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w:t>
      </w:r>
      <w:r w:rsidR="00B55520">
        <w:rPr>
          <w:szCs w:val="22"/>
        </w:rPr>
        <w:t xml:space="preserve"> </w:t>
      </w:r>
      <w:r w:rsidRPr="00DE25E9">
        <w:rPr>
          <w:szCs w:val="22"/>
        </w:rPr>
        <w:t>Gexa Waiver Motion at 2.</w:t>
      </w:r>
    </w:p>
  </w:footnote>
  <w:footnote w:id="14">
    <w:p w14:paraId="3B9FDCAF" w14:textId="267E2C75" w:rsidR="004071E6" w:rsidRPr="00DE25E9" w:rsidRDefault="004071E6" w:rsidP="004071E6">
      <w:pPr>
        <w:pStyle w:val="FootnoteText"/>
        <w:rPr>
          <w:szCs w:val="22"/>
        </w:rPr>
      </w:pPr>
      <w:r w:rsidRPr="00DE25E9">
        <w:rPr>
          <w:rStyle w:val="FootnoteReference"/>
          <w:szCs w:val="22"/>
        </w:rPr>
        <w:footnoteRef/>
      </w:r>
      <w:r w:rsidRPr="00DE25E9">
        <w:rPr>
          <w:szCs w:val="22"/>
        </w:rPr>
        <w:t xml:space="preserve"> </w:t>
      </w:r>
      <w:r w:rsidR="00B55520">
        <w:rPr>
          <w:szCs w:val="22"/>
        </w:rPr>
        <w:t xml:space="preserve"> </w:t>
      </w:r>
      <w:r w:rsidRPr="00DE25E9">
        <w:rPr>
          <w:szCs w:val="22"/>
        </w:rPr>
        <w:t>Gexa Waiver Motion at 4.</w:t>
      </w:r>
    </w:p>
  </w:footnote>
  <w:footnote w:id="15">
    <w:p w14:paraId="7EE1F43F" w14:textId="77777777" w:rsidR="004071E6" w:rsidRDefault="004071E6" w:rsidP="004071E6">
      <w:pPr>
        <w:pStyle w:val="FootnoteText"/>
        <w:rPr>
          <w:szCs w:val="22"/>
        </w:rPr>
      </w:pPr>
      <w:r>
        <w:rPr>
          <w:rStyle w:val="FootnoteReference"/>
          <w:szCs w:val="22"/>
        </w:rPr>
        <w:footnoteRef/>
      </w:r>
      <w:r>
        <w:rPr>
          <w:szCs w:val="22"/>
        </w:rPr>
        <w:t xml:space="preserve">  </w:t>
      </w:r>
      <w:r>
        <w:t>Gexa Waiver Motion at</w:t>
      </w:r>
      <w:r>
        <w:rPr>
          <w:szCs w:val="22"/>
        </w:rPr>
        <w:t xml:space="preserve"> at 32.</w:t>
      </w:r>
    </w:p>
  </w:footnote>
  <w:footnote w:id="16">
    <w:p w14:paraId="3D640A73" w14:textId="77777777" w:rsidR="004071E6" w:rsidRDefault="004071E6" w:rsidP="004071E6">
      <w:pPr>
        <w:pStyle w:val="FootnoteText"/>
        <w:rPr>
          <w:szCs w:val="22"/>
        </w:rPr>
      </w:pPr>
      <w:r>
        <w:rPr>
          <w:rStyle w:val="FootnoteReference"/>
          <w:szCs w:val="22"/>
        </w:rPr>
        <w:footnoteRef/>
      </w:r>
      <w:r>
        <w:rPr>
          <w:szCs w:val="22"/>
        </w:rPr>
        <w:t xml:space="preserve">  </w:t>
      </w:r>
      <w:r>
        <w:t xml:space="preserve">Gexa Waiver Motion </w:t>
      </w:r>
      <w:r>
        <w:rPr>
          <w:spacing w:val="-1"/>
          <w:szCs w:val="22"/>
        </w:rPr>
        <w:t xml:space="preserve">at 32, </w:t>
      </w:r>
      <w:r>
        <w:rPr>
          <w:i/>
          <w:spacing w:val="-1"/>
          <w:szCs w:val="22"/>
        </w:rPr>
        <w:t>citing</w:t>
      </w:r>
      <w:r>
        <w:rPr>
          <w:spacing w:val="-1"/>
          <w:szCs w:val="22"/>
        </w:rPr>
        <w:t xml:space="preserve"> D.98</w:t>
      </w:r>
      <w:r>
        <w:rPr>
          <w:spacing w:val="-1"/>
          <w:szCs w:val="22"/>
        </w:rPr>
        <w:noBreakHyphen/>
        <w:t>12</w:t>
      </w:r>
      <w:r>
        <w:rPr>
          <w:spacing w:val="-1"/>
          <w:szCs w:val="22"/>
        </w:rPr>
        <w:noBreakHyphen/>
        <w:t>075, (1998) 84 CPUC 2d 155, 182</w:t>
      </w:r>
      <w:r>
        <w:rPr>
          <w:spacing w:val="-1"/>
          <w:szCs w:val="22"/>
        </w:rPr>
        <w:noBreakHyphen/>
        <w:t>183, 1998 Cal. PUC LEXIS 1016.</w:t>
      </w:r>
    </w:p>
  </w:footnote>
  <w:footnote w:id="17">
    <w:p w14:paraId="41F1B777" w14:textId="77777777" w:rsidR="004071E6" w:rsidRDefault="004071E6" w:rsidP="004071E6">
      <w:pPr>
        <w:pStyle w:val="FootnoteText"/>
      </w:pPr>
      <w:r>
        <w:rPr>
          <w:rStyle w:val="FootnoteReference"/>
        </w:rPr>
        <w:footnoteRef/>
      </w:r>
      <w:r>
        <w:t xml:space="preserve"> </w:t>
      </w:r>
      <w:r w:rsidRPr="0004345E">
        <w:rPr>
          <w:i/>
          <w:iCs/>
        </w:rPr>
        <w:t>Id.</w:t>
      </w:r>
      <w:r>
        <w:t xml:space="preserve"> at 35.</w:t>
      </w:r>
    </w:p>
  </w:footnote>
  <w:footnote w:id="18">
    <w:p w14:paraId="71183A54" w14:textId="6749E461" w:rsidR="004071E6" w:rsidRDefault="004071E6" w:rsidP="004071E6">
      <w:pPr>
        <w:pStyle w:val="FootnoteText"/>
      </w:pPr>
      <w:r>
        <w:rPr>
          <w:rStyle w:val="FootnoteReference"/>
        </w:rPr>
        <w:footnoteRef/>
      </w:r>
      <w:r>
        <w:t xml:space="preserve"> Gexa Reply Comments at 3.</w:t>
      </w:r>
    </w:p>
  </w:footnote>
  <w:footnote w:id="19">
    <w:p w14:paraId="49828A26" w14:textId="24D731A6" w:rsidR="004071E6" w:rsidRDefault="004071E6" w:rsidP="004071E6">
      <w:pPr>
        <w:pStyle w:val="FootnoteText"/>
      </w:pPr>
      <w:r>
        <w:rPr>
          <w:rStyle w:val="FootnoteReference"/>
        </w:rPr>
        <w:footnoteRef/>
      </w:r>
      <w:r>
        <w:t xml:space="preserve"> Gexa Reply Comments at 3 and</w:t>
      </w:r>
      <w:r w:rsidR="001F7E87">
        <w:t xml:space="preserve"> </w:t>
      </w:r>
      <w:r>
        <w:t>4.</w:t>
      </w:r>
    </w:p>
  </w:footnote>
  <w:footnote w:id="20">
    <w:p w14:paraId="2FFAA15B" w14:textId="60EA07B8" w:rsidR="004071E6" w:rsidRDefault="004071E6" w:rsidP="004071E6">
      <w:pPr>
        <w:pStyle w:val="FootnoteText"/>
      </w:pPr>
      <w:r>
        <w:rPr>
          <w:rStyle w:val="FootnoteReference"/>
        </w:rPr>
        <w:footnoteRef/>
      </w:r>
      <w:r>
        <w:t xml:space="preserve"> Comments of the California Wind Energy Association on Supplemental Filing of Gexa Energy California, LLC. Regarding Requested Waiver of the RPS Procurement Quantity Requirement for Compliance Period 2 at 1.</w:t>
      </w:r>
      <w:r w:rsidR="00284948">
        <w:t xml:space="preserve"> </w:t>
      </w:r>
      <w:r>
        <w:t xml:space="preserve"> (CalWEA Comments)</w:t>
      </w:r>
    </w:p>
  </w:footnote>
  <w:footnote w:id="21">
    <w:p w14:paraId="3D0CF9D3" w14:textId="0D370553" w:rsidR="004071E6" w:rsidRDefault="004071E6" w:rsidP="004071E6">
      <w:pPr>
        <w:pStyle w:val="FootnoteText"/>
      </w:pPr>
      <w:r>
        <w:rPr>
          <w:rStyle w:val="FootnoteReference"/>
        </w:rPr>
        <w:footnoteRef/>
      </w:r>
      <w:r>
        <w:t xml:space="preserve"> Comments of The Utility Reform Network and the Coalition of California Utility Employees on the Motion of Gexa Energy for a Waiver of the RPS Procurement Requirements for Compliance Period 2 at 2. </w:t>
      </w:r>
      <w:r w:rsidR="00284948">
        <w:t xml:space="preserve"> </w:t>
      </w:r>
      <w:r>
        <w:t>(TURN/CUE Comments)</w:t>
      </w:r>
    </w:p>
  </w:footnote>
  <w:footnote w:id="22">
    <w:p w14:paraId="35D8DE5B" w14:textId="2496F40D" w:rsidR="004071E6" w:rsidRDefault="004071E6" w:rsidP="004071E6">
      <w:pPr>
        <w:pStyle w:val="FootnoteText"/>
      </w:pPr>
      <w:r>
        <w:rPr>
          <w:rStyle w:val="FootnoteReference"/>
        </w:rPr>
        <w:footnoteRef/>
      </w:r>
      <w:r>
        <w:t xml:space="preserve"> </w:t>
      </w:r>
      <w:r w:rsidRPr="00284948">
        <w:rPr>
          <w:i/>
          <w:iCs/>
        </w:rPr>
        <w:t>See</w:t>
      </w:r>
      <w:r>
        <w:t xml:space="preserve"> CalWEA Comments at 1.</w:t>
      </w:r>
    </w:p>
  </w:footnote>
  <w:footnote w:id="23">
    <w:p w14:paraId="5BD72691" w14:textId="42CB6469" w:rsidR="004071E6" w:rsidRDefault="004071E6" w:rsidP="004071E6">
      <w:pPr>
        <w:pStyle w:val="FootnoteText"/>
      </w:pPr>
      <w:r>
        <w:rPr>
          <w:rStyle w:val="FootnoteReference"/>
        </w:rPr>
        <w:footnoteRef/>
      </w:r>
      <w:r>
        <w:t xml:space="preserve"> CalWEA Comments at 3. </w:t>
      </w:r>
    </w:p>
  </w:footnote>
  <w:footnote w:id="24">
    <w:p w14:paraId="67EF7CE3" w14:textId="60834B1A" w:rsidR="004071E6" w:rsidRDefault="004071E6" w:rsidP="004071E6">
      <w:pPr>
        <w:pStyle w:val="FootnoteText"/>
      </w:pPr>
      <w:r>
        <w:rPr>
          <w:rStyle w:val="FootnoteReference"/>
        </w:rPr>
        <w:footnoteRef/>
      </w:r>
      <w:r>
        <w:t xml:space="preserve"> </w:t>
      </w:r>
      <w:r w:rsidRPr="00FE0B72">
        <w:rPr>
          <w:i/>
          <w:iCs/>
        </w:rPr>
        <w:t xml:space="preserve">Id </w:t>
      </w:r>
      <w:r>
        <w:t xml:space="preserve">at 3. </w:t>
      </w:r>
    </w:p>
  </w:footnote>
  <w:footnote w:id="25">
    <w:p w14:paraId="6997061A" w14:textId="30A28FC7" w:rsidR="004071E6" w:rsidRDefault="004071E6" w:rsidP="004071E6">
      <w:pPr>
        <w:pStyle w:val="FootnoteText"/>
      </w:pPr>
      <w:r>
        <w:rPr>
          <w:rStyle w:val="FootnoteReference"/>
        </w:rPr>
        <w:footnoteRef/>
      </w:r>
      <w:r>
        <w:t xml:space="preserve"> CalWEA Comments at 3.</w:t>
      </w:r>
    </w:p>
  </w:footnote>
  <w:footnote w:id="26">
    <w:p w14:paraId="61D1F407" w14:textId="77777777" w:rsidR="004071E6" w:rsidRDefault="004071E6" w:rsidP="004071E6">
      <w:pPr>
        <w:pStyle w:val="FootnoteText"/>
      </w:pPr>
      <w:r>
        <w:rPr>
          <w:rStyle w:val="FootnoteReference"/>
        </w:rPr>
        <w:footnoteRef/>
      </w:r>
      <w:r>
        <w:t xml:space="preserve"> </w:t>
      </w:r>
      <w:r>
        <w:rPr>
          <w:i/>
          <w:iCs/>
        </w:rPr>
        <w:t>Id</w:t>
      </w:r>
      <w:r>
        <w:t xml:space="preserve"> at 4.</w:t>
      </w:r>
    </w:p>
  </w:footnote>
  <w:footnote w:id="27">
    <w:p w14:paraId="4E8B8F8D" w14:textId="77777777" w:rsidR="004071E6" w:rsidRDefault="004071E6" w:rsidP="004071E6">
      <w:pPr>
        <w:pStyle w:val="FootnoteText"/>
      </w:pPr>
      <w:r>
        <w:rPr>
          <w:rStyle w:val="FootnoteReference"/>
        </w:rPr>
        <w:footnoteRef/>
      </w:r>
      <w:r>
        <w:t xml:space="preserve"> TURN/CUE Comments at 1.</w:t>
      </w:r>
    </w:p>
  </w:footnote>
  <w:footnote w:id="28">
    <w:p w14:paraId="5B0EFA59" w14:textId="4B01C7C1" w:rsidR="004071E6" w:rsidRPr="003F4B0C" w:rsidRDefault="00F42A9A" w:rsidP="00FE0B72">
      <w:pPr>
        <w:spacing w:after="120" w:line="240" w:lineRule="auto"/>
        <w:ind w:firstLine="0"/>
        <w:rPr>
          <w:sz w:val="22"/>
        </w:rPr>
      </w:pPr>
      <w:r>
        <w:rPr>
          <w:rStyle w:val="FootnoteReference"/>
          <w:sz w:val="22"/>
          <w:szCs w:val="20"/>
        </w:rPr>
        <w:footnoteRef/>
      </w:r>
      <w:r w:rsidR="004071E6" w:rsidRPr="003F4B0C">
        <w:rPr>
          <w:sz w:val="22"/>
        </w:rPr>
        <w:t xml:space="preserve"> D.11-01-025 states that the non-modifiable standard terms and conditions shall be included in all contracts for procurement for compliance with the California RPS program.</w:t>
      </w:r>
    </w:p>
  </w:footnote>
  <w:footnote w:id="29">
    <w:p w14:paraId="68A71846" w14:textId="77777777" w:rsidR="004071E6" w:rsidRPr="003F4B0C" w:rsidRDefault="004071E6" w:rsidP="003F4B0C">
      <w:pPr>
        <w:pStyle w:val="FootnoteText"/>
        <w:rPr>
          <w:szCs w:val="22"/>
        </w:rPr>
      </w:pPr>
      <w:r w:rsidRPr="003F4B0C">
        <w:rPr>
          <w:rStyle w:val="FootnoteReference"/>
          <w:szCs w:val="22"/>
        </w:rPr>
        <w:footnoteRef/>
      </w:r>
      <w:r w:rsidRPr="003F4B0C">
        <w:rPr>
          <w:szCs w:val="22"/>
        </w:rPr>
        <w:t xml:space="preserve"> Gexa’s Supplemental Filing in response to ALJ Ruling at 17-18. </w:t>
      </w:r>
    </w:p>
  </w:footnote>
  <w:footnote w:id="30">
    <w:p w14:paraId="6D5B1D81" w14:textId="77777777" w:rsidR="004071E6" w:rsidRPr="003C47F0" w:rsidRDefault="004071E6" w:rsidP="004071E6">
      <w:pPr>
        <w:pStyle w:val="FootnoteText"/>
        <w:rPr>
          <w:szCs w:val="22"/>
        </w:rPr>
      </w:pPr>
      <w:r w:rsidRPr="003C47F0">
        <w:rPr>
          <w:rStyle w:val="FootnoteReference"/>
          <w:szCs w:val="22"/>
        </w:rPr>
        <w:footnoteRef/>
      </w:r>
      <w:r w:rsidRPr="003C47F0">
        <w:rPr>
          <w:szCs w:val="22"/>
        </w:rPr>
        <w:t xml:space="preserve"> </w:t>
      </w:r>
      <w:r w:rsidRPr="003C47F0">
        <w:rPr>
          <w:i/>
          <w:iCs/>
          <w:szCs w:val="22"/>
        </w:rPr>
        <w:t>See</w:t>
      </w:r>
      <w:r w:rsidRPr="003C47F0">
        <w:rPr>
          <w:szCs w:val="22"/>
        </w:rPr>
        <w:t xml:space="preserve"> D.08-04-009 at 3. </w:t>
      </w:r>
    </w:p>
  </w:footnote>
  <w:footnote w:id="31">
    <w:p w14:paraId="5B87C32A" w14:textId="77777777" w:rsidR="004071E6" w:rsidRPr="003C47F0" w:rsidRDefault="004071E6" w:rsidP="004071E6">
      <w:pPr>
        <w:pStyle w:val="FootnoteText"/>
        <w:rPr>
          <w:szCs w:val="22"/>
        </w:rPr>
      </w:pPr>
      <w:r w:rsidRPr="003C47F0">
        <w:rPr>
          <w:rStyle w:val="FootnoteReference"/>
          <w:szCs w:val="22"/>
        </w:rPr>
        <w:footnoteRef/>
      </w:r>
      <w:r w:rsidRPr="003C47F0">
        <w:rPr>
          <w:szCs w:val="22"/>
        </w:rPr>
        <w:t xml:space="preserve"> </w:t>
      </w:r>
      <w:r w:rsidRPr="003C47F0">
        <w:rPr>
          <w:i/>
          <w:iCs/>
          <w:szCs w:val="22"/>
        </w:rPr>
        <w:t>See</w:t>
      </w:r>
      <w:r w:rsidRPr="003C47F0">
        <w:rPr>
          <w:szCs w:val="22"/>
        </w:rPr>
        <w:t xml:space="preserve"> D.08-04-009 at 4. </w:t>
      </w:r>
    </w:p>
  </w:footnote>
  <w:footnote w:id="32">
    <w:p w14:paraId="02571248" w14:textId="77777777" w:rsidR="004071E6" w:rsidRPr="003C47F0" w:rsidRDefault="004071E6" w:rsidP="004071E6">
      <w:pPr>
        <w:pStyle w:val="FootnoteText"/>
        <w:rPr>
          <w:szCs w:val="22"/>
        </w:rPr>
      </w:pPr>
      <w:r w:rsidRPr="003C47F0">
        <w:rPr>
          <w:rStyle w:val="FootnoteReference"/>
          <w:szCs w:val="22"/>
        </w:rPr>
        <w:footnoteRef/>
      </w:r>
      <w:r w:rsidRPr="003C47F0">
        <w:rPr>
          <w:szCs w:val="22"/>
        </w:rPr>
        <w:t xml:space="preserve"> </w:t>
      </w:r>
      <w:r w:rsidRPr="003C47F0">
        <w:rPr>
          <w:rFonts w:cs="TimesNewRoman,Italic"/>
          <w:i/>
          <w:iCs/>
          <w:szCs w:val="22"/>
        </w:rPr>
        <w:t xml:space="preserve">See </w:t>
      </w:r>
      <w:r w:rsidRPr="003C47F0">
        <w:rPr>
          <w:rFonts w:cs="TimesNewRoman,Italic"/>
          <w:szCs w:val="22"/>
        </w:rPr>
        <w:t xml:space="preserve">Gexa </w:t>
      </w:r>
      <w:r w:rsidRPr="003C47F0">
        <w:rPr>
          <w:rFonts w:cs="TimesNewRoman"/>
          <w:szCs w:val="22"/>
        </w:rPr>
        <w:t>Exhibit C, Attachment 3 and redline of the Master Agreement in Exhibit D to Gexa Supplemental Filing in response to ALJ Ruling.</w:t>
      </w:r>
    </w:p>
  </w:footnote>
  <w:footnote w:id="33">
    <w:p w14:paraId="6164F679" w14:textId="77777777" w:rsidR="004071E6" w:rsidRPr="003C47F0" w:rsidRDefault="004071E6" w:rsidP="004071E6">
      <w:pPr>
        <w:pStyle w:val="FootnoteText"/>
        <w:rPr>
          <w:szCs w:val="22"/>
        </w:rPr>
      </w:pPr>
      <w:r w:rsidRPr="003C47F0">
        <w:rPr>
          <w:rStyle w:val="FootnoteReference"/>
          <w:szCs w:val="22"/>
        </w:rPr>
        <w:footnoteRef/>
      </w:r>
      <w:r w:rsidRPr="003C47F0">
        <w:rPr>
          <w:szCs w:val="22"/>
        </w:rPr>
        <w:t xml:space="preserve"> </w:t>
      </w:r>
      <w:r w:rsidRPr="003C47F0">
        <w:rPr>
          <w:rFonts w:cs="TimesNewRoman,Italic"/>
          <w:i/>
          <w:iCs/>
          <w:szCs w:val="22"/>
        </w:rPr>
        <w:t xml:space="preserve">See </w:t>
      </w:r>
      <w:r w:rsidRPr="003C47F0">
        <w:rPr>
          <w:rFonts w:cs="TimesNewRoman,Italic"/>
          <w:szCs w:val="22"/>
        </w:rPr>
        <w:t xml:space="preserve">Gexa </w:t>
      </w:r>
      <w:r w:rsidRPr="003C47F0">
        <w:rPr>
          <w:rFonts w:cs="TimesNewRoman"/>
          <w:szCs w:val="22"/>
        </w:rPr>
        <w:t>Exhibit C, Attachment 3 and redline of the Master Agreement in Exhibit D to Gexa Supplemental Filing in response to ALJ Ruling.</w:t>
      </w:r>
    </w:p>
  </w:footnote>
  <w:footnote w:id="34">
    <w:p w14:paraId="79506123" w14:textId="10BE5D2D" w:rsidR="004071E6" w:rsidRPr="00E666AF" w:rsidRDefault="004071E6" w:rsidP="00382DC4">
      <w:pPr>
        <w:pStyle w:val="FootnoteText"/>
        <w:tabs>
          <w:tab w:val="left" w:pos="7875"/>
        </w:tabs>
      </w:pPr>
      <w:r w:rsidRPr="00E666AF">
        <w:rPr>
          <w:rStyle w:val="FootnoteReference"/>
        </w:rPr>
        <w:footnoteRef/>
      </w:r>
      <w:r w:rsidRPr="00E666AF">
        <w:t xml:space="preserve"> </w:t>
      </w:r>
      <w:r w:rsidRPr="00AB0E2C">
        <w:rPr>
          <w:i/>
          <w:iCs/>
        </w:rPr>
        <w:t>See</w:t>
      </w:r>
      <w:r w:rsidRPr="00E666AF">
        <w:t xml:space="preserve"> D.12-06-038 at</w:t>
      </w:r>
      <w:r w:rsidR="00E666AF">
        <w:t xml:space="preserve"> </w:t>
      </w:r>
      <w:r w:rsidRPr="00E666AF">
        <w:t>39 and 40.</w:t>
      </w:r>
      <w:r w:rsidR="00382DC4">
        <w:tab/>
      </w:r>
    </w:p>
  </w:footnote>
  <w:footnote w:id="35">
    <w:p w14:paraId="1BAB831D" w14:textId="0FD9BD5D" w:rsidR="004071E6" w:rsidRPr="00E666AF" w:rsidRDefault="004071E6" w:rsidP="004071E6">
      <w:pPr>
        <w:pStyle w:val="FootnoteText"/>
      </w:pPr>
      <w:r w:rsidRPr="00E666AF">
        <w:rPr>
          <w:rStyle w:val="FootnoteReference"/>
        </w:rPr>
        <w:footnoteRef/>
      </w:r>
      <w:r w:rsidRPr="00E666AF">
        <w:t xml:space="preserve"> Gexa Response to ALJ Ruling at</w:t>
      </w:r>
      <w:r w:rsidR="00E666AF">
        <w:t xml:space="preserve"> </w:t>
      </w:r>
      <w:r w:rsidRPr="00E666AF">
        <w:t>14 and</w:t>
      </w:r>
      <w:r w:rsidR="00E666AF">
        <w:t xml:space="preserve"> </w:t>
      </w:r>
      <w:r w:rsidRPr="00E666AF">
        <w:t>15.</w:t>
      </w:r>
    </w:p>
  </w:footnote>
  <w:footnote w:id="36">
    <w:p w14:paraId="0FB4ECC3" w14:textId="0C2D3DC8" w:rsidR="004071E6" w:rsidRPr="00E666AF" w:rsidRDefault="004071E6" w:rsidP="004071E6">
      <w:pPr>
        <w:pStyle w:val="FootnoteText"/>
      </w:pPr>
      <w:r w:rsidRPr="00E666AF">
        <w:rPr>
          <w:rStyle w:val="FootnoteReference"/>
        </w:rPr>
        <w:footnoteRef/>
      </w:r>
      <w:r w:rsidRPr="00E666AF">
        <w:t xml:space="preserve"> Gexa Response to ALJ Ruling at 15.</w:t>
      </w:r>
    </w:p>
  </w:footnote>
  <w:footnote w:id="37">
    <w:p w14:paraId="2AEBBC8C" w14:textId="77777777" w:rsidR="004071E6" w:rsidRPr="00E666AF" w:rsidRDefault="004071E6" w:rsidP="004071E6">
      <w:pPr>
        <w:pStyle w:val="FootnoteText"/>
        <w:rPr>
          <w:szCs w:val="22"/>
        </w:rPr>
      </w:pPr>
      <w:r w:rsidRPr="00E666AF">
        <w:rPr>
          <w:rStyle w:val="FootnoteReference"/>
          <w:szCs w:val="22"/>
        </w:rPr>
        <w:footnoteRef/>
      </w:r>
      <w:r w:rsidRPr="00E666AF">
        <w:rPr>
          <w:szCs w:val="22"/>
        </w:rPr>
        <w:t xml:space="preserve"> Gexa Reply Comments at 13 and 14.</w:t>
      </w:r>
    </w:p>
  </w:footnote>
  <w:footnote w:id="38">
    <w:p w14:paraId="4A38C7C9" w14:textId="77777777" w:rsidR="00E666AF" w:rsidRDefault="004071E6" w:rsidP="00E666AF">
      <w:pPr>
        <w:pStyle w:val="FootnoteText"/>
        <w:spacing w:after="0"/>
        <w:rPr>
          <w:szCs w:val="22"/>
        </w:rPr>
      </w:pPr>
      <w:r w:rsidRPr="00E666AF">
        <w:rPr>
          <w:rStyle w:val="FootnoteReference"/>
          <w:szCs w:val="22"/>
        </w:rPr>
        <w:footnoteRef/>
      </w:r>
      <w:r w:rsidRPr="00E666AF">
        <w:rPr>
          <w:szCs w:val="22"/>
        </w:rPr>
        <w:t xml:space="preserve"> </w:t>
      </w:r>
      <w:r w:rsidRPr="00E666AF">
        <w:rPr>
          <w:i/>
          <w:iCs/>
          <w:szCs w:val="22"/>
        </w:rPr>
        <w:t>See</w:t>
      </w:r>
      <w:r w:rsidRPr="00E666AF">
        <w:rPr>
          <w:szCs w:val="22"/>
        </w:rPr>
        <w:t xml:space="preserve"> Exhibit D (PUBLIC VERSION) to Gexa Supplemental Filing in Response to ALJ Ruling </w:t>
      </w:r>
    </w:p>
    <w:p w14:paraId="30AD1A2E" w14:textId="30911E01" w:rsidR="004071E6" w:rsidRPr="00E666AF" w:rsidRDefault="004071E6" w:rsidP="00E666AF">
      <w:pPr>
        <w:pStyle w:val="FootnoteText"/>
        <w:spacing w:after="0"/>
        <w:rPr>
          <w:szCs w:val="22"/>
        </w:rPr>
      </w:pPr>
      <w:r w:rsidRPr="00E666AF">
        <w:rPr>
          <w:szCs w:val="22"/>
        </w:rPr>
        <w:t>at 14.</w:t>
      </w:r>
    </w:p>
  </w:footnote>
  <w:footnote w:id="39">
    <w:p w14:paraId="52CA5D50" w14:textId="7564B1D9" w:rsidR="00E626CF" w:rsidRDefault="00E626CF">
      <w:pPr>
        <w:pStyle w:val="FootnoteText"/>
      </w:pPr>
      <w:r>
        <w:rPr>
          <w:rStyle w:val="FootnoteReference"/>
        </w:rPr>
        <w:footnoteRef/>
      </w:r>
      <w:r>
        <w:t xml:space="preserve"> See Gexa Reply Comments at p. 5.</w:t>
      </w:r>
    </w:p>
  </w:footnote>
  <w:footnote w:id="40">
    <w:p w14:paraId="0BD91510" w14:textId="197D9819" w:rsidR="00E626CF" w:rsidRDefault="00E626CF">
      <w:pPr>
        <w:pStyle w:val="FootnoteText"/>
      </w:pPr>
      <w:r>
        <w:rPr>
          <w:rStyle w:val="FootnoteReference"/>
        </w:rPr>
        <w:footnoteRef/>
      </w:r>
      <w:r>
        <w:t xml:space="preserve"> </w:t>
      </w:r>
      <w:r w:rsidRPr="00C77427">
        <w:rPr>
          <w:i/>
          <w:iCs/>
        </w:rPr>
        <w:t>Id.</w:t>
      </w:r>
    </w:p>
  </w:footnote>
  <w:footnote w:id="41">
    <w:p w14:paraId="68A65515" w14:textId="68AD2B1D" w:rsidR="00301CB2" w:rsidRDefault="00301CB2">
      <w:pPr>
        <w:pStyle w:val="FootnoteText"/>
      </w:pPr>
      <w:r>
        <w:rPr>
          <w:rStyle w:val="FootnoteReference"/>
        </w:rPr>
        <w:footnoteRef/>
      </w:r>
      <w:r>
        <w:t xml:space="preserve"> </w:t>
      </w:r>
      <w:r w:rsidR="00793862">
        <w:t>See Gexa Reply Comments at p. 6.</w:t>
      </w:r>
    </w:p>
  </w:footnote>
  <w:footnote w:id="42">
    <w:p w14:paraId="548CD96B" w14:textId="7E0475B3" w:rsidR="005D40CD" w:rsidRDefault="005D40CD">
      <w:pPr>
        <w:pStyle w:val="FootnoteText"/>
      </w:pPr>
      <w:r>
        <w:rPr>
          <w:rStyle w:val="FootnoteReference"/>
        </w:rPr>
        <w:footnoteRef/>
      </w:r>
      <w:r>
        <w:t xml:space="preserve"> </w:t>
      </w:r>
      <w:r w:rsidR="002E7D35">
        <w:t>See D.17</w:t>
      </w:r>
      <w:r w:rsidR="00D42050">
        <w:t xml:space="preserve">-06-026 OP 1. </w:t>
      </w:r>
    </w:p>
  </w:footnote>
  <w:footnote w:id="43">
    <w:p w14:paraId="7BD22FF2" w14:textId="353288F6" w:rsidR="004071E6" w:rsidRPr="00E666AF" w:rsidRDefault="004071E6" w:rsidP="004071E6">
      <w:pPr>
        <w:pStyle w:val="FootnoteText"/>
        <w:rPr>
          <w:szCs w:val="22"/>
        </w:rPr>
      </w:pPr>
      <w:r w:rsidRPr="00E666AF">
        <w:rPr>
          <w:rStyle w:val="FootnoteReference"/>
          <w:szCs w:val="22"/>
        </w:rPr>
        <w:footnoteRef/>
      </w:r>
      <w:r w:rsidRPr="00E666AF">
        <w:rPr>
          <w:szCs w:val="22"/>
        </w:rPr>
        <w:t xml:space="preserve"> TURN</w:t>
      </w:r>
      <w:r w:rsidR="00E470B1">
        <w:rPr>
          <w:szCs w:val="22"/>
        </w:rPr>
        <w:t>/CUE</w:t>
      </w:r>
      <w:r w:rsidRPr="00E666AF">
        <w:rPr>
          <w:szCs w:val="22"/>
        </w:rPr>
        <w:t xml:space="preserve"> Comments at 4.</w:t>
      </w:r>
    </w:p>
  </w:footnote>
  <w:footnote w:id="44">
    <w:p w14:paraId="1F02EC59" w14:textId="38D0BAF4" w:rsidR="00066FF6" w:rsidRDefault="00066FF6">
      <w:pPr>
        <w:pStyle w:val="FootnoteText"/>
      </w:pPr>
      <w:r>
        <w:rPr>
          <w:rStyle w:val="FootnoteReference"/>
        </w:rPr>
        <w:footnoteRef/>
      </w:r>
      <w:r>
        <w:t xml:space="preserve"> </w:t>
      </w:r>
      <w:r w:rsidR="0027607B">
        <w:t>See TURN/CUE Opening Comments on the PD at p. 3-4.</w:t>
      </w:r>
    </w:p>
  </w:footnote>
  <w:footnote w:id="45">
    <w:p w14:paraId="498663EE" w14:textId="1D5FAF63" w:rsidR="004071E6" w:rsidRDefault="004071E6" w:rsidP="004071E6">
      <w:pPr>
        <w:pStyle w:val="FootnoteText"/>
      </w:pPr>
      <w:r>
        <w:rPr>
          <w:rStyle w:val="FootnoteReference"/>
        </w:rPr>
        <w:footnoteRef/>
      </w:r>
      <w:r>
        <w:t xml:space="preserve"> Gexa Waiver Motion at 31-32.</w:t>
      </w:r>
    </w:p>
  </w:footnote>
  <w:footnote w:id="46">
    <w:p w14:paraId="43B4759B" w14:textId="213DEE22" w:rsidR="004071E6" w:rsidRDefault="004071E6" w:rsidP="004071E6">
      <w:pPr>
        <w:pStyle w:val="FootnoteText"/>
      </w:pPr>
      <w:r>
        <w:rPr>
          <w:rStyle w:val="FootnoteReference"/>
        </w:rPr>
        <w:footnoteRef/>
      </w:r>
      <w:r>
        <w:t xml:space="preserve"> </w:t>
      </w:r>
      <w:r w:rsidRPr="001804A7">
        <w:t>Exhibit</w:t>
      </w:r>
      <w:r>
        <w:t xml:space="preserve"> </w:t>
      </w:r>
      <w:r w:rsidRPr="001804A7">
        <w:t>C</w:t>
      </w:r>
      <w:r>
        <w:t xml:space="preserve">, Attachment 3, </w:t>
      </w:r>
      <w:r w:rsidRPr="001804A7">
        <w:t>Gexa</w:t>
      </w:r>
      <w:r>
        <w:t xml:space="preserve"> </w:t>
      </w:r>
      <w:r w:rsidRPr="001804A7">
        <w:t>Supplemental</w:t>
      </w:r>
      <w:r>
        <w:t xml:space="preserve"> </w:t>
      </w:r>
      <w:r w:rsidRPr="001804A7">
        <w:t>Filing</w:t>
      </w:r>
      <w:r>
        <w:t xml:space="preserve"> </w:t>
      </w:r>
      <w:r w:rsidRPr="001804A7">
        <w:t>in</w:t>
      </w:r>
      <w:r>
        <w:t xml:space="preserve"> </w:t>
      </w:r>
      <w:r w:rsidRPr="001804A7">
        <w:t>Response</w:t>
      </w:r>
      <w:r>
        <w:t xml:space="preserve"> </w:t>
      </w:r>
      <w:r w:rsidRPr="001804A7">
        <w:t>to</w:t>
      </w:r>
      <w:r>
        <w:t xml:space="preserve"> </w:t>
      </w:r>
      <w:r w:rsidRPr="001804A7">
        <w:t>ALJ</w:t>
      </w:r>
      <w:r>
        <w:t xml:space="preserve"> </w:t>
      </w:r>
      <w:r w:rsidRPr="001804A7">
        <w:t>Ruling</w:t>
      </w:r>
      <w:r>
        <w:t xml:space="preserve"> at 19.</w:t>
      </w:r>
    </w:p>
  </w:footnote>
  <w:footnote w:id="47">
    <w:p w14:paraId="7D109478" w14:textId="77777777" w:rsidR="004071E6" w:rsidRPr="007521BF" w:rsidRDefault="004071E6" w:rsidP="004071E6">
      <w:pPr>
        <w:pStyle w:val="FootnoteText"/>
        <w:rPr>
          <w:szCs w:val="22"/>
        </w:rPr>
      </w:pPr>
      <w:r>
        <w:rPr>
          <w:rStyle w:val="FootnoteReference"/>
        </w:rPr>
        <w:footnoteRef/>
      </w:r>
      <w:r>
        <w:t xml:space="preserve"> </w:t>
      </w:r>
      <w:r w:rsidRPr="007521BF">
        <w:rPr>
          <w:szCs w:val="22"/>
        </w:rPr>
        <w:t>D.06-10-019, D.06-10-050, D.11-01-026.</w:t>
      </w:r>
    </w:p>
  </w:footnote>
  <w:footnote w:id="48">
    <w:p w14:paraId="001CC5A5" w14:textId="1F5F02FB" w:rsidR="004071E6" w:rsidRPr="007521BF" w:rsidRDefault="004071E6" w:rsidP="004071E6">
      <w:pPr>
        <w:pStyle w:val="FootnoteText"/>
        <w:rPr>
          <w:szCs w:val="22"/>
        </w:rPr>
      </w:pPr>
      <w:r w:rsidRPr="007521BF">
        <w:rPr>
          <w:rStyle w:val="FootnoteReference"/>
          <w:szCs w:val="22"/>
        </w:rPr>
        <w:footnoteRef/>
      </w:r>
      <w:r w:rsidRPr="007521BF">
        <w:rPr>
          <w:szCs w:val="22"/>
        </w:rPr>
        <w:t xml:space="preserve"> </w:t>
      </w:r>
      <w:r w:rsidRPr="002E43F4">
        <w:rPr>
          <w:i/>
          <w:iCs/>
          <w:szCs w:val="22"/>
        </w:rPr>
        <w:t xml:space="preserve">See </w:t>
      </w:r>
      <w:r w:rsidRPr="007521BF">
        <w:rPr>
          <w:szCs w:val="22"/>
        </w:rPr>
        <w:t>D.</w:t>
      </w:r>
      <w:r w:rsidRPr="007521BF">
        <w:rPr>
          <w:rFonts w:cs="Arial"/>
          <w:color w:val="000000"/>
          <w:szCs w:val="22"/>
        </w:rPr>
        <w:t>11-12-052 Implementing Portfolio Content Categories for the Renewables Portfolio Standard Program at</w:t>
      </w:r>
      <w:r w:rsidR="002E43F4">
        <w:rPr>
          <w:rFonts w:cs="Arial"/>
          <w:color w:val="000000"/>
          <w:szCs w:val="22"/>
        </w:rPr>
        <w:t xml:space="preserve"> </w:t>
      </w:r>
      <w:r w:rsidRPr="007521BF">
        <w:rPr>
          <w:rFonts w:cs="Arial"/>
          <w:color w:val="000000"/>
          <w:szCs w:val="22"/>
        </w:rPr>
        <w:t>13.</w:t>
      </w:r>
    </w:p>
  </w:footnote>
  <w:footnote w:id="49">
    <w:p w14:paraId="6AD6FCC4" w14:textId="1A2DCD08" w:rsidR="004071E6" w:rsidRPr="007521BF" w:rsidRDefault="004071E6" w:rsidP="004071E6">
      <w:pPr>
        <w:pStyle w:val="FootnoteText"/>
        <w:rPr>
          <w:szCs w:val="22"/>
        </w:rPr>
      </w:pPr>
      <w:r w:rsidRPr="007521BF">
        <w:rPr>
          <w:rStyle w:val="FootnoteReference"/>
          <w:szCs w:val="22"/>
        </w:rPr>
        <w:footnoteRef/>
      </w:r>
      <w:r w:rsidRPr="007521BF">
        <w:rPr>
          <w:szCs w:val="22"/>
        </w:rPr>
        <w:t xml:space="preserve"> </w:t>
      </w:r>
      <w:r w:rsidRPr="0041754A">
        <w:rPr>
          <w:szCs w:val="22"/>
        </w:rPr>
        <w:t>Res E-5143</w:t>
      </w:r>
      <w:r w:rsidRPr="007521BF">
        <w:rPr>
          <w:szCs w:val="22"/>
        </w:rPr>
        <w:t xml:space="preserve"> (issued June 25, 2021) updates and replaces </w:t>
      </w:r>
      <w:r w:rsidRPr="0041754A">
        <w:rPr>
          <w:szCs w:val="22"/>
        </w:rPr>
        <w:t>Res E-4720</w:t>
      </w:r>
      <w:r w:rsidRPr="007521BF">
        <w:rPr>
          <w:szCs w:val="22"/>
        </w:rPr>
        <w:t xml:space="preserve">. </w:t>
      </w:r>
    </w:p>
  </w:footnote>
  <w:footnote w:id="50">
    <w:p w14:paraId="54ABE363" w14:textId="03F0CB82" w:rsidR="004071E6" w:rsidRPr="002E43F4" w:rsidRDefault="004071E6" w:rsidP="00B45195">
      <w:pPr>
        <w:pStyle w:val="FootnoteText"/>
        <w:rPr>
          <w:szCs w:val="22"/>
        </w:rPr>
      </w:pPr>
      <w:r w:rsidRPr="002E43F4">
        <w:rPr>
          <w:rStyle w:val="FootnoteReference"/>
          <w:szCs w:val="22"/>
        </w:rPr>
        <w:footnoteRef/>
      </w:r>
      <w:r w:rsidR="002E43F4">
        <w:rPr>
          <w:szCs w:val="22"/>
        </w:rPr>
        <w:t xml:space="preserve"> </w:t>
      </w:r>
      <w:r w:rsidRPr="002E43F4">
        <w:rPr>
          <w:szCs w:val="22"/>
        </w:rPr>
        <w:t xml:space="preserve">Exhibit C (PUBLIC_VERSION), Attachment 3, Gexa Supplemental Filing in Response to ALJ Ruling. </w:t>
      </w:r>
    </w:p>
  </w:footnote>
  <w:footnote w:id="51">
    <w:p w14:paraId="613F42AD" w14:textId="77777777" w:rsidR="004071E6" w:rsidRPr="002E43F4" w:rsidRDefault="004071E6" w:rsidP="00B45195">
      <w:pPr>
        <w:pStyle w:val="FootnoteText"/>
        <w:rPr>
          <w:szCs w:val="22"/>
        </w:rPr>
      </w:pPr>
      <w:r w:rsidRPr="002E43F4">
        <w:rPr>
          <w:rStyle w:val="FootnoteReference"/>
          <w:szCs w:val="22"/>
        </w:rPr>
        <w:footnoteRef/>
      </w:r>
      <w:r w:rsidRPr="002E43F4">
        <w:rPr>
          <w:szCs w:val="22"/>
        </w:rPr>
        <w:t xml:space="preserve"> The non-modifiable standard terms and conditions that Gexa omitted is considered an incident.</w:t>
      </w:r>
    </w:p>
  </w:footnote>
  <w:footnote w:id="52">
    <w:p w14:paraId="7FC628F4" w14:textId="6EBD0341" w:rsidR="002942EC" w:rsidRDefault="004071E6" w:rsidP="00FE0B72">
      <w:pPr>
        <w:spacing w:after="120" w:line="240" w:lineRule="auto"/>
        <w:ind w:firstLine="0"/>
        <w:contextualSpacing/>
        <w:rPr>
          <w:sz w:val="22"/>
        </w:rPr>
      </w:pPr>
      <w:r w:rsidRPr="002E43F4">
        <w:rPr>
          <w:rStyle w:val="FootnoteReference"/>
          <w:sz w:val="22"/>
        </w:rPr>
        <w:footnoteRef/>
      </w:r>
      <w:r w:rsidRPr="002E43F4">
        <w:rPr>
          <w:sz w:val="22"/>
        </w:rPr>
        <w:t xml:space="preserve"> Gexa submitted its Final Compliance Period 2 report and documents – </w:t>
      </w:r>
      <w:r w:rsidR="002942EC">
        <w:rPr>
          <w:sz w:val="22"/>
        </w:rPr>
        <w:t xml:space="preserve">December </w:t>
      </w:r>
      <w:r w:rsidR="000637F3">
        <w:rPr>
          <w:sz w:val="22"/>
        </w:rPr>
        <w:t>13</w:t>
      </w:r>
      <w:r w:rsidR="002942EC">
        <w:rPr>
          <w:sz w:val="22"/>
        </w:rPr>
        <w:t xml:space="preserve">, </w:t>
      </w:r>
      <w:r w:rsidRPr="002E43F4">
        <w:rPr>
          <w:sz w:val="22"/>
        </w:rPr>
        <w:t xml:space="preserve">2018; </w:t>
      </w:r>
    </w:p>
    <w:p w14:paraId="52EDCE66" w14:textId="7DB558E5" w:rsidR="004071E6" w:rsidRPr="002E43F4" w:rsidRDefault="004071E6" w:rsidP="00FE0B72">
      <w:pPr>
        <w:spacing w:after="120" w:line="240" w:lineRule="auto"/>
        <w:ind w:firstLine="0"/>
        <w:rPr>
          <w:sz w:val="22"/>
        </w:rPr>
      </w:pPr>
      <w:r w:rsidRPr="002E43F4">
        <w:rPr>
          <w:sz w:val="22"/>
        </w:rPr>
        <w:t xml:space="preserve">ED staff found Gexa out of compliance – </w:t>
      </w:r>
      <w:r w:rsidR="002942EC">
        <w:rPr>
          <w:sz w:val="22"/>
        </w:rPr>
        <w:t xml:space="preserve">October 4, </w:t>
      </w:r>
      <w:r w:rsidRPr="002E43F4">
        <w:rPr>
          <w:sz w:val="22"/>
        </w:rPr>
        <w:t xml:space="preserve">2019; Gexa filed its Motion for Waiver Request, mentioning an amendment– </w:t>
      </w:r>
      <w:r w:rsidR="002942EC">
        <w:rPr>
          <w:sz w:val="22"/>
        </w:rPr>
        <w:t xml:space="preserve">December 6, </w:t>
      </w:r>
      <w:r w:rsidRPr="002E43F4">
        <w:rPr>
          <w:sz w:val="22"/>
        </w:rPr>
        <w:t xml:space="preserve">2019; ALJ ruling requesting Gexa to submit its contracts into the record – </w:t>
      </w:r>
      <w:r w:rsidR="002942EC">
        <w:rPr>
          <w:sz w:val="22"/>
        </w:rPr>
        <w:t xml:space="preserve">February 18, </w:t>
      </w:r>
      <w:r w:rsidRPr="002E43F4">
        <w:rPr>
          <w:sz w:val="22"/>
        </w:rPr>
        <w:t xml:space="preserve">2020; Gexa filed its response to Ruling, including its contract and amendment to the contract in the response (Exhibit D) – </w:t>
      </w:r>
      <w:r w:rsidR="002942EC">
        <w:rPr>
          <w:sz w:val="22"/>
        </w:rPr>
        <w:t xml:space="preserve">March 3, </w:t>
      </w:r>
      <w:r w:rsidRPr="002E43F4">
        <w:rPr>
          <w:sz w:val="22"/>
        </w:rPr>
        <w:t xml:space="preserve">2020 </w:t>
      </w:r>
    </w:p>
  </w:footnote>
  <w:footnote w:id="53">
    <w:p w14:paraId="0813F9F2" w14:textId="5F55B939" w:rsidR="004071E6" w:rsidRPr="00760DC8" w:rsidRDefault="004071E6" w:rsidP="00C77427">
      <w:pPr>
        <w:autoSpaceDE w:val="0"/>
        <w:autoSpaceDN w:val="0"/>
        <w:adjustRightInd w:val="0"/>
        <w:spacing w:line="240" w:lineRule="auto"/>
        <w:ind w:firstLine="0"/>
      </w:pPr>
      <w:r w:rsidRPr="002E43F4">
        <w:rPr>
          <w:rStyle w:val="FootnoteReference"/>
        </w:rPr>
        <w:footnoteRef/>
      </w:r>
      <w:r w:rsidRPr="002E43F4">
        <w:t xml:space="preserve"> </w:t>
      </w:r>
      <w:r w:rsidRPr="00760DC8">
        <w:rPr>
          <w:sz w:val="22"/>
        </w:rPr>
        <w:t xml:space="preserve">Penalty for </w:t>
      </w:r>
      <w:r w:rsidR="00760DC8" w:rsidRPr="00760DC8">
        <w:rPr>
          <w:sz w:val="22"/>
        </w:rPr>
        <w:t xml:space="preserve">357 </w:t>
      </w:r>
      <w:r w:rsidRPr="00760DC8">
        <w:rPr>
          <w:sz w:val="22"/>
        </w:rPr>
        <w:t>non-compliant days</w:t>
      </w:r>
      <w:r w:rsidR="00760DC8" w:rsidRPr="00760DC8">
        <w:rPr>
          <w:sz w:val="22"/>
        </w:rPr>
        <w:t xml:space="preserve"> is calculated </w:t>
      </w:r>
      <w:r w:rsidR="00760DC8" w:rsidRPr="00C77427">
        <w:rPr>
          <w:sz w:val="22"/>
        </w:rPr>
        <w:t>from the first</w:t>
      </w:r>
      <w:r w:rsidR="00760DC8">
        <w:rPr>
          <w:sz w:val="22"/>
        </w:rPr>
        <w:t xml:space="preserve"> </w:t>
      </w:r>
      <w:r w:rsidR="00760DC8" w:rsidRPr="00C77427">
        <w:rPr>
          <w:sz w:val="22"/>
        </w:rPr>
        <w:t>business day after the filing is due and every business day thereafter</w:t>
      </w:r>
      <w:r w:rsidR="00666FB2">
        <w:rPr>
          <w:sz w:val="22"/>
        </w:rPr>
        <w:t xml:space="preserve">. </w:t>
      </w:r>
      <w:r w:rsidR="00266713">
        <w:rPr>
          <w:sz w:val="22"/>
        </w:rPr>
        <w:t>RPS Compliance Report was due on December 13, 2018, therefore the penalty is calculated from December 14, 2018 through December 6, 2019.</w:t>
      </w:r>
      <w:r w:rsidR="00760DC8" w:rsidRPr="00C77427">
        <w:rPr>
          <w:sz w:val="22"/>
        </w:rPr>
        <w:t xml:space="preserve"> </w:t>
      </w:r>
      <w:r w:rsidRPr="00760DC8">
        <w:rPr>
          <w:sz w:val="22"/>
        </w:rPr>
        <w:t xml:space="preserve">[$500 for the incident + ($500 * first 10 days) + ($1,000 * remaining </w:t>
      </w:r>
      <w:r w:rsidR="00DA4287" w:rsidRPr="00760DC8">
        <w:rPr>
          <w:sz w:val="22"/>
        </w:rPr>
        <w:t>34</w:t>
      </w:r>
      <w:r w:rsidR="00DA4287">
        <w:rPr>
          <w:sz w:val="22"/>
        </w:rPr>
        <w:t>7</w:t>
      </w:r>
      <w:r w:rsidRPr="00760DC8">
        <w:rPr>
          <w:sz w:val="22"/>
        </w:rPr>
        <w:t>)] = $</w:t>
      </w:r>
      <w:r w:rsidR="00DA4287">
        <w:rPr>
          <w:sz w:val="22"/>
        </w:rPr>
        <w:t>3</w:t>
      </w:r>
      <w:r w:rsidR="00177BE2">
        <w:rPr>
          <w:sz w:val="22"/>
        </w:rPr>
        <w:t>5</w:t>
      </w:r>
      <w:r w:rsidR="009D0182">
        <w:rPr>
          <w:sz w:val="22"/>
        </w:rPr>
        <w:t>2</w:t>
      </w:r>
      <w:r w:rsidR="00DA4287">
        <w:rPr>
          <w:sz w:val="22"/>
        </w:rPr>
        <w:t>,</w:t>
      </w:r>
      <w:r w:rsidR="00373651">
        <w:rPr>
          <w:sz w:val="22"/>
        </w:rPr>
        <w:t>500</w:t>
      </w:r>
      <w:r w:rsidRPr="00760DC8">
        <w:rPr>
          <w:sz w:val="22"/>
        </w:rPr>
        <w:t>.</w:t>
      </w:r>
    </w:p>
  </w:footnote>
  <w:footnote w:id="54">
    <w:p w14:paraId="0168790F" w14:textId="1F38C47C" w:rsidR="004071E6" w:rsidRDefault="004071E6" w:rsidP="004071E6">
      <w:pPr>
        <w:pStyle w:val="FootnoteText"/>
      </w:pPr>
      <w:r>
        <w:rPr>
          <w:rStyle w:val="FootnoteReference"/>
        </w:rPr>
        <w:footnoteRef/>
      </w:r>
      <w:r>
        <w:t xml:space="preserve"> </w:t>
      </w:r>
      <w:r w:rsidRPr="001804A7">
        <w:t>Exhibit</w:t>
      </w:r>
      <w:r>
        <w:t xml:space="preserve"> </w:t>
      </w:r>
      <w:r w:rsidRPr="001804A7">
        <w:t>C</w:t>
      </w:r>
      <w:r>
        <w:t xml:space="preserve"> </w:t>
      </w:r>
      <w:r w:rsidRPr="001804A7">
        <w:t>(PUBLIC_VERSION)</w:t>
      </w:r>
      <w:r>
        <w:t xml:space="preserve">, </w:t>
      </w:r>
      <w:r w:rsidRPr="001804A7">
        <w:t>Gexa</w:t>
      </w:r>
      <w:r>
        <w:t xml:space="preserve"> </w:t>
      </w:r>
      <w:r w:rsidRPr="001804A7">
        <w:t>Supplemental</w:t>
      </w:r>
      <w:r>
        <w:t xml:space="preserve"> </w:t>
      </w:r>
      <w:r w:rsidRPr="001804A7">
        <w:t>Filing</w:t>
      </w:r>
      <w:r>
        <w:t xml:space="preserve"> </w:t>
      </w:r>
      <w:r w:rsidRPr="001804A7">
        <w:t>in</w:t>
      </w:r>
      <w:r>
        <w:t xml:space="preserve"> </w:t>
      </w:r>
      <w:r w:rsidRPr="001804A7">
        <w:t>Response</w:t>
      </w:r>
      <w:r>
        <w:t xml:space="preserve"> </w:t>
      </w:r>
      <w:r w:rsidRPr="001804A7">
        <w:t>to</w:t>
      </w:r>
      <w:r>
        <w:t xml:space="preserve"> </w:t>
      </w:r>
      <w:r w:rsidRPr="001804A7">
        <w:t>ALJ</w:t>
      </w:r>
      <w:r>
        <w:t xml:space="preserve"> </w:t>
      </w:r>
      <w:r w:rsidRPr="001804A7">
        <w:t>Ruling</w:t>
      </w:r>
      <w:r>
        <w:t xml:space="preserve"> on March 3, 2020 at</w:t>
      </w:r>
      <w:r w:rsidR="002942EC">
        <w:t xml:space="preserve"> </w:t>
      </w:r>
      <w:r>
        <w:t>27.</w:t>
      </w:r>
    </w:p>
  </w:footnote>
  <w:footnote w:id="55">
    <w:p w14:paraId="324725FC" w14:textId="6DBC7878" w:rsidR="00DA0C02" w:rsidRDefault="00DA0C02">
      <w:pPr>
        <w:pStyle w:val="FootnoteText"/>
      </w:pPr>
      <w:r>
        <w:rPr>
          <w:rStyle w:val="FootnoteReference"/>
        </w:rPr>
        <w:footnoteRef/>
      </w:r>
      <w:r>
        <w:t xml:space="preserve"> </w:t>
      </w:r>
      <w:r w:rsidR="001F5093" w:rsidRPr="001F5093">
        <w:rPr>
          <w:szCs w:val="22"/>
        </w:rPr>
        <w:t>See TURN/CUE Opening Comments on the PD at p.5-7.</w:t>
      </w:r>
    </w:p>
  </w:footnote>
  <w:footnote w:id="56">
    <w:p w14:paraId="2A21DC85" w14:textId="1D38B8CF" w:rsidR="00D578E3" w:rsidRDefault="00D578E3">
      <w:pPr>
        <w:pStyle w:val="FootnoteText"/>
      </w:pPr>
      <w:r>
        <w:rPr>
          <w:rStyle w:val="FootnoteReference"/>
        </w:rPr>
        <w:footnoteRef/>
      </w:r>
      <w:r>
        <w:t xml:space="preserve"> </w:t>
      </w:r>
      <w:r w:rsidR="00217F51">
        <w:t>See Gexa’s reply comments at p. 7.</w:t>
      </w:r>
    </w:p>
  </w:footnote>
  <w:footnote w:id="57">
    <w:p w14:paraId="1FF8D425" w14:textId="2B095F81" w:rsidR="004071E6" w:rsidRDefault="004071E6" w:rsidP="004071E6">
      <w:pPr>
        <w:pStyle w:val="FootnoteText"/>
      </w:pPr>
      <w:r>
        <w:rPr>
          <w:rStyle w:val="FootnoteReference"/>
        </w:rPr>
        <w:footnoteRef/>
      </w:r>
      <w:r>
        <w:t xml:space="preserve"> </w:t>
      </w:r>
      <w:r w:rsidRPr="002942EC">
        <w:rPr>
          <w:i/>
          <w:iCs/>
        </w:rPr>
        <w:t>See</w:t>
      </w:r>
      <w:r>
        <w:t xml:space="preserve"> </w:t>
      </w:r>
      <w:r w:rsidRPr="00C21800">
        <w:t>Res E-4720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7C19" w14:textId="23824023" w:rsidR="00A51C42" w:rsidRDefault="00DF1234" w:rsidP="00A51C42">
    <w:pPr>
      <w:pStyle w:val="Header"/>
      <w:tabs>
        <w:tab w:val="clear" w:pos="4680"/>
      </w:tabs>
      <w:ind w:firstLine="0"/>
      <w:rPr>
        <w:iCs/>
      </w:rPr>
    </w:pPr>
    <w:r>
      <w:t>A.20-12-001  ALJ/JSJ/</w:t>
    </w:r>
    <w:proofErr w:type="spellStart"/>
    <w:r>
      <w:t>smt</w:t>
    </w:r>
    <w:proofErr w:type="spellEnd"/>
    <w:r>
      <w:tab/>
    </w:r>
    <w:r>
      <w:rPr>
        <w:b/>
      </w:rPr>
      <w:t>PROPOSED DECISION</w:t>
    </w:r>
  </w:p>
  <w:p w14:paraId="78CC668A" w14:textId="77777777" w:rsidR="00DF1234" w:rsidRPr="00B3087D" w:rsidRDefault="00DF1234" w:rsidP="00DF1234">
    <w:pPr>
      <w:pStyle w:val="Header"/>
      <w:tabs>
        <w:tab w:val="clear" w:pos="4680"/>
      </w:tabs>
      <w:ind w:firstLine="0"/>
      <w:rPr>
        <w:i/>
        <w:color w:val="FF0000"/>
      </w:rPr>
    </w:pPr>
    <w:r w:rsidRPr="00B3087D">
      <w:rPr>
        <w:i/>
        <w:color w:val="FF0000"/>
      </w:rPr>
      <w:t>[</w:t>
    </w:r>
    <w:r>
      <w:rPr>
        <w:i/>
        <w:color w:val="FF0000"/>
      </w:rPr>
      <w:t>4/2/2021</w:t>
    </w:r>
    <w:r w:rsidRPr="00B3087D">
      <w:rPr>
        <w:i/>
        <w:color w:val="FF0000"/>
      </w:rPr>
      <w:t xml:space="preserve">] Internal Review Draft; Subject to </w:t>
    </w:r>
    <w:r w:rsidRPr="00B3087D">
      <w:rPr>
        <w:b/>
        <w:i/>
        <w:color w:val="FF0000"/>
      </w:rPr>
      <w:t>ALJ Division Review</w:t>
    </w:r>
  </w:p>
  <w:p w14:paraId="5486A422" w14:textId="77777777" w:rsidR="00DF1234" w:rsidRDefault="00DF1234" w:rsidP="00DF1234">
    <w:pPr>
      <w:pStyle w:val="Header"/>
      <w:tabs>
        <w:tab w:val="clear" w:pos="4680"/>
      </w:tabs>
      <w:ind w:firstLine="0"/>
      <w:rPr>
        <w:i/>
        <w:color w:val="FF0000"/>
      </w:rPr>
    </w:pPr>
    <w:r>
      <w:rPr>
        <w:b/>
        <w:color w:val="FF0000"/>
      </w:rPr>
      <w:t>CONFIDENTIAL</w:t>
    </w:r>
    <w:r w:rsidRPr="00B3087D">
      <w:rPr>
        <w:b/>
        <w:color w:val="FF0000"/>
      </w:rPr>
      <w:t xml:space="preserve">; </w:t>
    </w:r>
    <w:r w:rsidRPr="00B3087D">
      <w:rPr>
        <w:i/>
        <w:color w:val="FF0000"/>
      </w:rPr>
      <w:t>Deliberative Process Privilege</w:t>
    </w:r>
  </w:p>
  <w:p w14:paraId="40EAEEB9" w14:textId="45F5A5E6" w:rsidR="00DF1234" w:rsidRDefault="00DF1234" w:rsidP="00A51C42">
    <w:pPr>
      <w:pStyle w:val="Header"/>
      <w:tabs>
        <w:tab w:val="clear" w:pos="4680"/>
      </w:tabs>
      <w:ind w:firstLine="0"/>
      <w:rPr>
        <w:iCs/>
      </w:rPr>
    </w:pPr>
  </w:p>
  <w:p w14:paraId="7BEA361A" w14:textId="77777777" w:rsidR="00D550F4" w:rsidRPr="00A51C42" w:rsidRDefault="00D550F4" w:rsidP="00A51C42">
    <w:pPr>
      <w:pStyle w:val="Header"/>
      <w:tabs>
        <w:tab w:val="clear" w:pos="4680"/>
      </w:tabs>
      <w:ind w:firstLine="0"/>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2D87" w14:textId="77777777" w:rsidR="00C77427" w:rsidRDefault="00C77427" w:rsidP="00C7742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74B7" w14:textId="56A6C290" w:rsidR="00FD04E3" w:rsidRDefault="00102C06" w:rsidP="00FD04E3">
    <w:pPr>
      <w:pStyle w:val="Header"/>
      <w:tabs>
        <w:tab w:val="clear" w:pos="4680"/>
      </w:tabs>
      <w:ind w:firstLine="0"/>
      <w:rPr>
        <w:iCs/>
      </w:rPr>
    </w:pPr>
    <w:r>
      <w:t>R.18-07-003  ALJ/ML2</w:t>
    </w:r>
    <w:r w:rsidR="00FD04E3">
      <w:t>/</w:t>
    </w:r>
    <w:r w:rsidR="004739C2">
      <w:t>CS8/</w:t>
    </w:r>
    <w:proofErr w:type="spellStart"/>
    <w:r w:rsidR="00FD04E3">
      <w:t>smt</w:t>
    </w:r>
    <w:proofErr w:type="spellEnd"/>
    <w:r w:rsidR="00FD04E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485F" w14:textId="77A38B3E" w:rsidR="00FD04E3" w:rsidRDefault="00102C06" w:rsidP="00A51C42">
    <w:pPr>
      <w:pStyle w:val="Header"/>
      <w:tabs>
        <w:tab w:val="clear" w:pos="4680"/>
      </w:tabs>
      <w:ind w:firstLine="0"/>
      <w:rPr>
        <w:iCs/>
      </w:rPr>
    </w:pPr>
    <w:r>
      <w:t>R.18-07-003</w:t>
    </w:r>
    <w:r w:rsidR="00FD04E3">
      <w:t xml:space="preserve">  AL</w:t>
    </w:r>
    <w:r>
      <w:t>J/ML2</w:t>
    </w:r>
    <w:r w:rsidR="00FD04E3">
      <w:t>/</w:t>
    </w:r>
    <w:r w:rsidR="005860F9">
      <w:t>CS8/</w:t>
    </w:r>
    <w:proofErr w:type="spellStart"/>
    <w:r w:rsidR="00FD04E3">
      <w:t>smt</w:t>
    </w:r>
    <w:proofErr w:type="spellEnd"/>
    <w:r w:rsidR="00FD04E3">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B468" w14:textId="5682EBF9" w:rsidR="00FD04E3" w:rsidRPr="00102C06" w:rsidRDefault="00102C06" w:rsidP="00FD04E3">
    <w:pPr>
      <w:pStyle w:val="Header"/>
      <w:tabs>
        <w:tab w:val="clear" w:pos="4680"/>
      </w:tabs>
      <w:ind w:firstLine="0"/>
      <w:rPr>
        <w:iCs/>
      </w:rPr>
    </w:pPr>
    <w:r>
      <w:t>R.18-07-003  ALJ/ML2/</w:t>
    </w:r>
    <w:r w:rsidR="005860F9">
      <w:t>CS8/</w:t>
    </w:r>
    <w:proofErr w:type="spellStart"/>
    <w:r>
      <w:t>smt</w:t>
    </w:r>
    <w:proofErr w:type="spellEnd"/>
    <w:r w:rsidR="00FD04E3" w:rsidRPr="00102C06">
      <w:tab/>
    </w:r>
  </w:p>
  <w:p w14:paraId="66627C06" w14:textId="7E94F436" w:rsidR="00FD04E3" w:rsidRDefault="00FD04E3" w:rsidP="00FD04E3">
    <w:pPr>
      <w:pStyle w:val="Header"/>
      <w:tabs>
        <w:tab w:val="clear" w:pos="4680"/>
      </w:tabs>
      <w:ind w:firstLine="0"/>
      <w:rPr>
        <w:i/>
        <w:color w:val="FF0000"/>
      </w:rPr>
    </w:pPr>
  </w:p>
  <w:p w14:paraId="19684B17" w14:textId="77777777" w:rsidR="00FD04E3" w:rsidRPr="00A51C42" w:rsidRDefault="00FD04E3" w:rsidP="00FD04E3">
    <w:pPr>
      <w:pStyle w:val="Header"/>
      <w:tabs>
        <w:tab w:val="clear" w:pos="4680"/>
      </w:tabs>
      <w:ind w:firstLine="0"/>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27603"/>
    <w:multiLevelType w:val="hybridMultilevel"/>
    <w:tmpl w:val="35729F6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E63015"/>
    <w:multiLevelType w:val="hybridMultilevel"/>
    <w:tmpl w:val="B91C1B88"/>
    <w:lvl w:ilvl="0" w:tplc="9D7C04BC">
      <w:start w:val="1"/>
      <w:numFmt w:val="decimal"/>
      <w:lvlText w:val="%1."/>
      <w:lvlJc w:val="left"/>
      <w:pPr>
        <w:ind w:left="432" w:hanging="360"/>
      </w:pPr>
      <w:rPr>
        <w:rFonts w:hint="default"/>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3" w15:restartNumberingAfterBreak="0">
    <w:nsid w:val="0C6D7012"/>
    <w:multiLevelType w:val="hybridMultilevel"/>
    <w:tmpl w:val="66F65A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0A6AC8"/>
    <w:multiLevelType w:val="hybridMultilevel"/>
    <w:tmpl w:val="9766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A228BB"/>
    <w:multiLevelType w:val="hybridMultilevel"/>
    <w:tmpl w:val="A224CE3C"/>
    <w:lvl w:ilvl="0" w:tplc="338E31B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40676"/>
    <w:multiLevelType w:val="hybridMultilevel"/>
    <w:tmpl w:val="030EB29C"/>
    <w:lvl w:ilvl="0" w:tplc="17F464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B381E"/>
    <w:multiLevelType w:val="singleLevel"/>
    <w:tmpl w:val="2FB6A734"/>
    <w:lvl w:ilvl="0">
      <w:start w:val="1"/>
      <w:numFmt w:val="decimal"/>
      <w:lvlText w:val="%1."/>
      <w:legacy w:legacy="1" w:legacySpace="144" w:legacyIndent="0"/>
      <w:lvlJc w:val="left"/>
    </w:lvl>
  </w:abstractNum>
  <w:abstractNum w:abstractNumId="8"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9" w15:restartNumberingAfterBreak="0">
    <w:nsid w:val="15F056CB"/>
    <w:multiLevelType w:val="multilevel"/>
    <w:tmpl w:val="18F4A5AC"/>
    <w:numStyleLink w:val="FoFCoLOP"/>
  </w:abstractNum>
  <w:abstractNum w:abstractNumId="10" w15:restartNumberingAfterBreak="0">
    <w:nsid w:val="1E2242C9"/>
    <w:multiLevelType w:val="multilevel"/>
    <w:tmpl w:val="70AAB8E6"/>
    <w:numStyleLink w:val="Headings"/>
  </w:abstractNum>
  <w:abstractNum w:abstractNumId="11" w15:restartNumberingAfterBreak="0">
    <w:nsid w:val="259205A6"/>
    <w:multiLevelType w:val="hybridMultilevel"/>
    <w:tmpl w:val="767E4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FF73FF"/>
    <w:multiLevelType w:val="hybridMultilevel"/>
    <w:tmpl w:val="94DC5584"/>
    <w:lvl w:ilvl="0" w:tplc="1A0697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D46003"/>
    <w:multiLevelType w:val="singleLevel"/>
    <w:tmpl w:val="408002C8"/>
    <w:lvl w:ilvl="0">
      <w:start w:val="1"/>
      <w:numFmt w:val="decimal"/>
      <w:lvlText w:val="%1."/>
      <w:legacy w:legacy="1" w:legacySpace="144" w:legacyIndent="0"/>
      <w:lvlJc w:val="left"/>
    </w:lvl>
  </w:abstractNum>
  <w:abstractNum w:abstractNumId="14" w15:restartNumberingAfterBreak="0">
    <w:nsid w:val="304750F0"/>
    <w:multiLevelType w:val="hybridMultilevel"/>
    <w:tmpl w:val="9064D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F6D42"/>
    <w:multiLevelType w:val="multilevel"/>
    <w:tmpl w:val="70AAB8E6"/>
    <w:styleLink w:val="Headings"/>
    <w:lvl w:ilvl="0">
      <w:start w:val="1"/>
      <w:numFmt w:val="decimal"/>
      <w:lvlText w:val="%1."/>
      <w:lvlJc w:val="left"/>
      <w:pPr>
        <w:tabs>
          <w:tab w:val="num" w:pos="720"/>
        </w:tabs>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2160"/>
        </w:tabs>
        <w:ind w:left="216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03353C"/>
    <w:multiLevelType w:val="multilevel"/>
    <w:tmpl w:val="FA78627C"/>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decimal"/>
      <w:lvlText w:val="%8."/>
      <w:lvlJc w:val="left"/>
      <w:pPr>
        <w:ind w:left="1080" w:hanging="360"/>
      </w:pPr>
      <w:rPr>
        <w:rFonts w:hint="default"/>
        <w:sz w:val="26"/>
      </w:rPr>
    </w:lvl>
    <w:lvl w:ilvl="8">
      <w:start w:val="1"/>
      <w:numFmt w:val="none"/>
      <w:lvlText w:val=""/>
      <w:lvlJc w:val="left"/>
      <w:pPr>
        <w:ind w:left="3240" w:hanging="360"/>
      </w:pPr>
      <w:rPr>
        <w:rFonts w:hint="default"/>
      </w:rPr>
    </w:lvl>
  </w:abstractNum>
  <w:abstractNum w:abstractNumId="18" w15:restartNumberingAfterBreak="0">
    <w:nsid w:val="3868395F"/>
    <w:multiLevelType w:val="hybridMultilevel"/>
    <w:tmpl w:val="5F50F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7A66AE"/>
    <w:multiLevelType w:val="multilevel"/>
    <w:tmpl w:val="D8083EB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D0F3266"/>
    <w:multiLevelType w:val="hybridMultilevel"/>
    <w:tmpl w:val="13808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132BA0"/>
    <w:multiLevelType w:val="hybridMultilevel"/>
    <w:tmpl w:val="51B27CB8"/>
    <w:lvl w:ilvl="0" w:tplc="0409000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B035BF"/>
    <w:multiLevelType w:val="multilevel"/>
    <w:tmpl w:val="FB988360"/>
    <w:lvl w:ilvl="0">
      <w:start w:val="1"/>
      <w:numFmt w:val="decimal"/>
      <w:pStyle w:val="Heading1"/>
      <w:lvlText w:val="%1."/>
      <w:lvlJc w:val="left"/>
      <w:pPr>
        <w:tabs>
          <w:tab w:val="num" w:pos="720"/>
        </w:tabs>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2"/>
      <w:numFmt w:val="decimal"/>
      <w:lvlText w:val="%1.%2."/>
      <w:lvlJc w:val="left"/>
      <w:pPr>
        <w:tabs>
          <w:tab w:val="num" w:pos="2160"/>
        </w:tabs>
        <w:ind w:left="216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4" w15:restartNumberingAfterBreak="0">
    <w:nsid w:val="47AB3939"/>
    <w:multiLevelType w:val="singleLevel"/>
    <w:tmpl w:val="2FB6A734"/>
    <w:lvl w:ilvl="0">
      <w:start w:val="1"/>
      <w:numFmt w:val="decimal"/>
      <w:lvlText w:val="%1."/>
      <w:legacy w:legacy="1" w:legacySpace="144" w:legacyIndent="0"/>
      <w:lvlJc w:val="left"/>
    </w:lvl>
  </w:abstractNum>
  <w:abstractNum w:abstractNumId="25" w15:restartNumberingAfterBreak="0">
    <w:nsid w:val="48C31D3C"/>
    <w:multiLevelType w:val="hybridMultilevel"/>
    <w:tmpl w:val="781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71AAC"/>
    <w:multiLevelType w:val="hybridMultilevel"/>
    <w:tmpl w:val="05AAC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A86B94"/>
    <w:multiLevelType w:val="hybridMultilevel"/>
    <w:tmpl w:val="AE0A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72FBB"/>
    <w:multiLevelType w:val="hybridMultilevel"/>
    <w:tmpl w:val="95AEB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CB3101"/>
    <w:multiLevelType w:val="multilevel"/>
    <w:tmpl w:val="A6D6FA9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59D042D7"/>
    <w:multiLevelType w:val="multilevel"/>
    <w:tmpl w:val="18F4A5AC"/>
    <w:numStyleLink w:val="FoFCoLOP"/>
  </w:abstractNum>
  <w:abstractNum w:abstractNumId="31"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22537E"/>
    <w:multiLevelType w:val="multilevel"/>
    <w:tmpl w:val="70AAB8E6"/>
    <w:numStyleLink w:val="Headings"/>
  </w:abstractNum>
  <w:abstractNum w:abstractNumId="33" w15:restartNumberingAfterBreak="0">
    <w:nsid w:val="66157FB4"/>
    <w:multiLevelType w:val="hybridMultilevel"/>
    <w:tmpl w:val="05AAC0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4B36F5"/>
    <w:multiLevelType w:val="hybridMultilevel"/>
    <w:tmpl w:val="32B2575E"/>
    <w:lvl w:ilvl="0" w:tplc="6F1C2276">
      <w:start w:val="4"/>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6" w15:restartNumberingAfterBreak="0">
    <w:nsid w:val="71F80C0D"/>
    <w:multiLevelType w:val="hybridMultilevel"/>
    <w:tmpl w:val="F8E29D84"/>
    <w:lvl w:ilvl="0" w:tplc="DDE2C36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9A0AFE"/>
    <w:multiLevelType w:val="multilevel"/>
    <w:tmpl w:val="18F4A5AC"/>
    <w:numStyleLink w:val="FoFCoLOP"/>
  </w:abstractNum>
  <w:abstractNum w:abstractNumId="38" w15:restartNumberingAfterBreak="0">
    <w:nsid w:val="7A613A62"/>
    <w:multiLevelType w:val="hybridMultilevel"/>
    <w:tmpl w:val="94DC5584"/>
    <w:lvl w:ilvl="0" w:tplc="1A0697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1C30FD"/>
    <w:multiLevelType w:val="singleLevel"/>
    <w:tmpl w:val="2FB6A734"/>
    <w:lvl w:ilvl="0">
      <w:start w:val="1"/>
      <w:numFmt w:val="decimal"/>
      <w:lvlText w:val="%1."/>
      <w:legacy w:legacy="1" w:legacySpace="144" w:legacyIndent="0"/>
      <w:lvlJc w:val="left"/>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0"/>
  </w:num>
  <w:num w:numId="4">
    <w:abstractNumId w:val="9"/>
  </w:num>
  <w:num w:numId="5">
    <w:abstractNumId w:val="37"/>
  </w:num>
  <w:num w:numId="6">
    <w:abstractNumId w:val="15"/>
  </w:num>
  <w:num w:numId="7">
    <w:abstractNumId w:val="10"/>
  </w:num>
  <w:num w:numId="8">
    <w:abstractNumId w:val="34"/>
  </w:num>
  <w:num w:numId="9">
    <w:abstractNumId w:val="0"/>
  </w:num>
  <w:num w:numId="10">
    <w:abstractNumId w:val="32"/>
  </w:num>
  <w:num w:numId="11">
    <w:abstractNumId w:val="36"/>
  </w:num>
  <w:num w:numId="12">
    <w:abstractNumId w:val="23"/>
  </w:num>
  <w:num w:numId="13">
    <w:abstractNumId w:val="14"/>
  </w:num>
  <w:num w:numId="14">
    <w:abstractNumId w:val="25"/>
  </w:num>
  <w:num w:numId="15">
    <w:abstractNumId w:val="28"/>
  </w:num>
  <w:num w:numId="16">
    <w:abstractNumId w:val="12"/>
  </w:num>
  <w:num w:numId="17">
    <w:abstractNumId w:val="38"/>
  </w:num>
  <w:num w:numId="18">
    <w:abstractNumId w:val="27"/>
  </w:num>
  <w:num w:numId="19">
    <w:abstractNumId w:val="24"/>
  </w:num>
  <w:num w:numId="20">
    <w:abstractNumId w:val="30"/>
    <w:lvlOverride w:ilvl="0">
      <w:lvl w:ilvl="0">
        <w:start w:val="1"/>
        <w:numFmt w:val="decimal"/>
        <w:pStyle w:val="FoF"/>
        <w:lvlText w:val="%1."/>
        <w:lvlJc w:val="right"/>
        <w:pPr>
          <w:ind w:left="0" w:firstLine="540"/>
        </w:pPr>
        <w:rPr>
          <w:rFonts w:hint="default"/>
        </w:rPr>
      </w:lvl>
    </w:lvlOverride>
  </w:num>
  <w:num w:numId="21">
    <w:abstractNumId w:val="9"/>
    <w:lvlOverride w:ilvl="0">
      <w:lvl w:ilvl="0">
        <w:start w:val="1"/>
        <w:numFmt w:val="decimal"/>
        <w:lvlText w:val="%1."/>
        <w:lvlJc w:val="right"/>
        <w:pPr>
          <w:ind w:left="0" w:firstLine="540"/>
        </w:pPr>
        <w:rPr>
          <w:rFonts w:hint="default"/>
        </w:rPr>
      </w:lvl>
    </w:lvlOverride>
  </w:num>
  <w:num w:numId="22">
    <w:abstractNumId w:val="37"/>
    <w:lvlOverride w:ilvl="0">
      <w:lvl w:ilvl="0">
        <w:start w:val="1"/>
        <w:numFmt w:val="decimal"/>
        <w:lvlText w:val="%1."/>
        <w:lvlJc w:val="right"/>
        <w:pPr>
          <w:ind w:left="0" w:firstLine="540"/>
        </w:pPr>
        <w:rPr>
          <w:rFonts w:hint="default"/>
          <w:sz w:val="26"/>
          <w:szCs w:val="26"/>
        </w:rPr>
      </w:lvl>
    </w:lvlOverride>
  </w:num>
  <w:num w:numId="23">
    <w:abstractNumId w:val="3"/>
  </w:num>
  <w:num w:numId="24">
    <w:abstractNumId w:val="20"/>
  </w:num>
  <w:num w:numId="25">
    <w:abstractNumId w:val="17"/>
  </w:num>
  <w:num w:numId="26">
    <w:abstractNumId w:val="6"/>
  </w:num>
  <w:num w:numId="27">
    <w:abstractNumId w:val="11"/>
  </w:num>
  <w:num w:numId="28">
    <w:abstractNumId w:val="23"/>
  </w:num>
  <w:num w:numId="29">
    <w:abstractNumId w:val="13"/>
  </w:num>
  <w:num w:numId="30">
    <w:abstractNumId w:val="7"/>
  </w:num>
  <w:num w:numId="31">
    <w:abstractNumId w:val="39"/>
  </w:num>
  <w:num w:numId="32">
    <w:abstractNumId w:val="16"/>
  </w:num>
  <w:num w:numId="33">
    <w:abstractNumId w:val="29"/>
  </w:num>
  <w:num w:numId="34">
    <w:abstractNumId w:val="19"/>
  </w:num>
  <w:num w:numId="35">
    <w:abstractNumId w:val="3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18"/>
  </w:num>
  <w:num w:numId="39">
    <w:abstractNumId w:val="4"/>
  </w:num>
  <w:num w:numId="40">
    <w:abstractNumId w:val="26"/>
  </w:num>
  <w:num w:numId="41">
    <w:abstractNumId w:val="33"/>
  </w:num>
  <w:num w:numId="42">
    <w:abstractNumId w:val="2"/>
  </w:num>
  <w:num w:numId="43">
    <w:abstractNumId w:val="5"/>
  </w:num>
  <w:num w:numId="44">
    <w:abstractNumId w:val="1"/>
  </w:num>
  <w:num w:numId="45">
    <w:abstractNumId w:val="23"/>
    <w:lvlOverride w:ilvl="0">
      <w:startOverride w:val="4"/>
    </w:lvlOverride>
    <w:lvlOverride w:ilvl="1">
      <w:startOverride w:val="2"/>
    </w:lvlOverride>
  </w:num>
  <w:num w:numId="46">
    <w:abstractNumId w:val="2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15"/>
    <w:rsid w:val="00000F6A"/>
    <w:rsid w:val="00005A0B"/>
    <w:rsid w:val="00007489"/>
    <w:rsid w:val="0001318A"/>
    <w:rsid w:val="00021D9A"/>
    <w:rsid w:val="00021DDC"/>
    <w:rsid w:val="00023100"/>
    <w:rsid w:val="00024B29"/>
    <w:rsid w:val="00025B2C"/>
    <w:rsid w:val="000338DC"/>
    <w:rsid w:val="00042A52"/>
    <w:rsid w:val="00043F3F"/>
    <w:rsid w:val="000520A8"/>
    <w:rsid w:val="00053040"/>
    <w:rsid w:val="00061B59"/>
    <w:rsid w:val="000637F3"/>
    <w:rsid w:val="00063C4C"/>
    <w:rsid w:val="00066FF6"/>
    <w:rsid w:val="0007115A"/>
    <w:rsid w:val="00082FE7"/>
    <w:rsid w:val="000920A4"/>
    <w:rsid w:val="000973C8"/>
    <w:rsid w:val="000A18DB"/>
    <w:rsid w:val="000A1ED3"/>
    <w:rsid w:val="000A2AA9"/>
    <w:rsid w:val="000A3B47"/>
    <w:rsid w:val="000A56F2"/>
    <w:rsid w:val="000A6E05"/>
    <w:rsid w:val="000B12FA"/>
    <w:rsid w:val="000B191F"/>
    <w:rsid w:val="000B5A4E"/>
    <w:rsid w:val="000B5D23"/>
    <w:rsid w:val="000B7B87"/>
    <w:rsid w:val="000B7ECD"/>
    <w:rsid w:val="000C08BF"/>
    <w:rsid w:val="000C0CB8"/>
    <w:rsid w:val="000C1958"/>
    <w:rsid w:val="000C3B9A"/>
    <w:rsid w:val="000C6827"/>
    <w:rsid w:val="000D2263"/>
    <w:rsid w:val="000D25A8"/>
    <w:rsid w:val="000D4920"/>
    <w:rsid w:val="000D4EFE"/>
    <w:rsid w:val="000D5815"/>
    <w:rsid w:val="000D6DB6"/>
    <w:rsid w:val="000E00F2"/>
    <w:rsid w:val="000E0A1B"/>
    <w:rsid w:val="000E0CA3"/>
    <w:rsid w:val="000E4C53"/>
    <w:rsid w:val="000F24A0"/>
    <w:rsid w:val="000F277E"/>
    <w:rsid w:val="000F637E"/>
    <w:rsid w:val="00102C06"/>
    <w:rsid w:val="00113E42"/>
    <w:rsid w:val="001178C7"/>
    <w:rsid w:val="00120067"/>
    <w:rsid w:val="00120A7D"/>
    <w:rsid w:val="00121089"/>
    <w:rsid w:val="00123640"/>
    <w:rsid w:val="0012468A"/>
    <w:rsid w:val="001338DE"/>
    <w:rsid w:val="00137649"/>
    <w:rsid w:val="00142A92"/>
    <w:rsid w:val="00142CA4"/>
    <w:rsid w:val="0014509F"/>
    <w:rsid w:val="00146954"/>
    <w:rsid w:val="0015175E"/>
    <w:rsid w:val="00156E29"/>
    <w:rsid w:val="00165D08"/>
    <w:rsid w:val="00172256"/>
    <w:rsid w:val="0017655C"/>
    <w:rsid w:val="00177BE2"/>
    <w:rsid w:val="001844B6"/>
    <w:rsid w:val="001848FC"/>
    <w:rsid w:val="00191B51"/>
    <w:rsid w:val="00193A6A"/>
    <w:rsid w:val="001976B6"/>
    <w:rsid w:val="001A2B40"/>
    <w:rsid w:val="001A6241"/>
    <w:rsid w:val="001B0AF0"/>
    <w:rsid w:val="001B474E"/>
    <w:rsid w:val="001C363F"/>
    <w:rsid w:val="001C7FC3"/>
    <w:rsid w:val="001D2023"/>
    <w:rsid w:val="001D3934"/>
    <w:rsid w:val="001E1D7A"/>
    <w:rsid w:val="001E2A62"/>
    <w:rsid w:val="001E2B40"/>
    <w:rsid w:val="001E3068"/>
    <w:rsid w:val="001E46A8"/>
    <w:rsid w:val="001F2819"/>
    <w:rsid w:val="001F28C8"/>
    <w:rsid w:val="001F45EE"/>
    <w:rsid w:val="001F5093"/>
    <w:rsid w:val="001F7E87"/>
    <w:rsid w:val="00201BC3"/>
    <w:rsid w:val="002043EC"/>
    <w:rsid w:val="002050D4"/>
    <w:rsid w:val="002060D0"/>
    <w:rsid w:val="00206295"/>
    <w:rsid w:val="00211502"/>
    <w:rsid w:val="00213368"/>
    <w:rsid w:val="002157B8"/>
    <w:rsid w:val="00215C9C"/>
    <w:rsid w:val="00216DE8"/>
    <w:rsid w:val="00217F51"/>
    <w:rsid w:val="00223957"/>
    <w:rsid w:val="00234E3A"/>
    <w:rsid w:val="002417BF"/>
    <w:rsid w:val="0024264A"/>
    <w:rsid w:val="00243DC0"/>
    <w:rsid w:val="00247477"/>
    <w:rsid w:val="00251B4E"/>
    <w:rsid w:val="00252E84"/>
    <w:rsid w:val="00254F25"/>
    <w:rsid w:val="00254F9A"/>
    <w:rsid w:val="002637B3"/>
    <w:rsid w:val="00266713"/>
    <w:rsid w:val="00270440"/>
    <w:rsid w:val="0027607B"/>
    <w:rsid w:val="002766C8"/>
    <w:rsid w:val="00281A37"/>
    <w:rsid w:val="00282F02"/>
    <w:rsid w:val="00284948"/>
    <w:rsid w:val="00286857"/>
    <w:rsid w:val="00293DEE"/>
    <w:rsid w:val="002942EC"/>
    <w:rsid w:val="002B2C19"/>
    <w:rsid w:val="002B4891"/>
    <w:rsid w:val="002B6DAA"/>
    <w:rsid w:val="002C0A05"/>
    <w:rsid w:val="002C1379"/>
    <w:rsid w:val="002C37A2"/>
    <w:rsid w:val="002C5B6E"/>
    <w:rsid w:val="002C6243"/>
    <w:rsid w:val="002C7A36"/>
    <w:rsid w:val="002C7FE9"/>
    <w:rsid w:val="002D2752"/>
    <w:rsid w:val="002D31CF"/>
    <w:rsid w:val="002D4EFD"/>
    <w:rsid w:val="002D6201"/>
    <w:rsid w:val="002D7928"/>
    <w:rsid w:val="002E43F4"/>
    <w:rsid w:val="002E69E6"/>
    <w:rsid w:val="002E71A6"/>
    <w:rsid w:val="002E7D35"/>
    <w:rsid w:val="002F147E"/>
    <w:rsid w:val="002F3039"/>
    <w:rsid w:val="002F3D76"/>
    <w:rsid w:val="002F78B9"/>
    <w:rsid w:val="002F7AAE"/>
    <w:rsid w:val="00300C75"/>
    <w:rsid w:val="00301CB2"/>
    <w:rsid w:val="00303DFE"/>
    <w:rsid w:val="00316071"/>
    <w:rsid w:val="00316678"/>
    <w:rsid w:val="003176A6"/>
    <w:rsid w:val="00323337"/>
    <w:rsid w:val="003238D6"/>
    <w:rsid w:val="00331CF7"/>
    <w:rsid w:val="00335948"/>
    <w:rsid w:val="00335CE0"/>
    <w:rsid w:val="003405F4"/>
    <w:rsid w:val="00343E5C"/>
    <w:rsid w:val="003457D5"/>
    <w:rsid w:val="003472FA"/>
    <w:rsid w:val="00352921"/>
    <w:rsid w:val="003537CB"/>
    <w:rsid w:val="00357FE3"/>
    <w:rsid w:val="0036017B"/>
    <w:rsid w:val="0036121A"/>
    <w:rsid w:val="00362755"/>
    <w:rsid w:val="00366B13"/>
    <w:rsid w:val="00373651"/>
    <w:rsid w:val="00373B93"/>
    <w:rsid w:val="00373F7C"/>
    <w:rsid w:val="003740BD"/>
    <w:rsid w:val="003743B1"/>
    <w:rsid w:val="00382DC4"/>
    <w:rsid w:val="003859FD"/>
    <w:rsid w:val="003A34EC"/>
    <w:rsid w:val="003B32F9"/>
    <w:rsid w:val="003B409F"/>
    <w:rsid w:val="003B4DF6"/>
    <w:rsid w:val="003B57C4"/>
    <w:rsid w:val="003C0FEC"/>
    <w:rsid w:val="003C47F0"/>
    <w:rsid w:val="003D2C94"/>
    <w:rsid w:val="003D3DFA"/>
    <w:rsid w:val="003D678F"/>
    <w:rsid w:val="003D7102"/>
    <w:rsid w:val="003E0080"/>
    <w:rsid w:val="003E3204"/>
    <w:rsid w:val="003F03FD"/>
    <w:rsid w:val="003F14B4"/>
    <w:rsid w:val="003F2476"/>
    <w:rsid w:val="003F4329"/>
    <w:rsid w:val="003F4B0C"/>
    <w:rsid w:val="0040359C"/>
    <w:rsid w:val="004064BC"/>
    <w:rsid w:val="004064C5"/>
    <w:rsid w:val="004071E6"/>
    <w:rsid w:val="00412C83"/>
    <w:rsid w:val="00415CED"/>
    <w:rsid w:val="0041754A"/>
    <w:rsid w:val="004212BE"/>
    <w:rsid w:val="00426014"/>
    <w:rsid w:val="00434020"/>
    <w:rsid w:val="004409FF"/>
    <w:rsid w:val="00442708"/>
    <w:rsid w:val="00450FAF"/>
    <w:rsid w:val="00452386"/>
    <w:rsid w:val="0045783E"/>
    <w:rsid w:val="00460B7D"/>
    <w:rsid w:val="00464AEF"/>
    <w:rsid w:val="00465C81"/>
    <w:rsid w:val="00467263"/>
    <w:rsid w:val="00473041"/>
    <w:rsid w:val="004739C2"/>
    <w:rsid w:val="0047459F"/>
    <w:rsid w:val="00475615"/>
    <w:rsid w:val="00477721"/>
    <w:rsid w:val="00480CB0"/>
    <w:rsid w:val="004815B4"/>
    <w:rsid w:val="004850E1"/>
    <w:rsid w:val="00493075"/>
    <w:rsid w:val="00493345"/>
    <w:rsid w:val="00493B69"/>
    <w:rsid w:val="00494DDE"/>
    <w:rsid w:val="004A4190"/>
    <w:rsid w:val="004A61E3"/>
    <w:rsid w:val="004B18DE"/>
    <w:rsid w:val="004B34EA"/>
    <w:rsid w:val="004B5494"/>
    <w:rsid w:val="004C0084"/>
    <w:rsid w:val="004C3891"/>
    <w:rsid w:val="004C484A"/>
    <w:rsid w:val="004C7649"/>
    <w:rsid w:val="004C7D3A"/>
    <w:rsid w:val="004D437B"/>
    <w:rsid w:val="004E2ADD"/>
    <w:rsid w:val="004E4BFA"/>
    <w:rsid w:val="004E70E8"/>
    <w:rsid w:val="004F211D"/>
    <w:rsid w:val="004F55A7"/>
    <w:rsid w:val="004F5EF3"/>
    <w:rsid w:val="004F7042"/>
    <w:rsid w:val="005018A8"/>
    <w:rsid w:val="00505A39"/>
    <w:rsid w:val="00505D0A"/>
    <w:rsid w:val="00512C15"/>
    <w:rsid w:val="00512C30"/>
    <w:rsid w:val="00515115"/>
    <w:rsid w:val="005226E5"/>
    <w:rsid w:val="005240BF"/>
    <w:rsid w:val="005310DA"/>
    <w:rsid w:val="005410AA"/>
    <w:rsid w:val="00546AE3"/>
    <w:rsid w:val="00547AA5"/>
    <w:rsid w:val="00550485"/>
    <w:rsid w:val="005558C5"/>
    <w:rsid w:val="00557154"/>
    <w:rsid w:val="00565AA0"/>
    <w:rsid w:val="0057407C"/>
    <w:rsid w:val="005773E3"/>
    <w:rsid w:val="00585390"/>
    <w:rsid w:val="005860F9"/>
    <w:rsid w:val="0058621D"/>
    <w:rsid w:val="005939A5"/>
    <w:rsid w:val="00595CB1"/>
    <w:rsid w:val="0059762D"/>
    <w:rsid w:val="005A148C"/>
    <w:rsid w:val="005A7814"/>
    <w:rsid w:val="005A7DA6"/>
    <w:rsid w:val="005B017C"/>
    <w:rsid w:val="005B075F"/>
    <w:rsid w:val="005B0AB7"/>
    <w:rsid w:val="005C5A7D"/>
    <w:rsid w:val="005C6C82"/>
    <w:rsid w:val="005D40CD"/>
    <w:rsid w:val="005E046F"/>
    <w:rsid w:val="005E1CB3"/>
    <w:rsid w:val="005E2182"/>
    <w:rsid w:val="005E7350"/>
    <w:rsid w:val="005F161F"/>
    <w:rsid w:val="005F3C09"/>
    <w:rsid w:val="0060178E"/>
    <w:rsid w:val="00604471"/>
    <w:rsid w:val="00607CD2"/>
    <w:rsid w:val="00613A6B"/>
    <w:rsid w:val="00614114"/>
    <w:rsid w:val="0061481E"/>
    <w:rsid w:val="006278C0"/>
    <w:rsid w:val="0063052C"/>
    <w:rsid w:val="00632207"/>
    <w:rsid w:val="00632EF5"/>
    <w:rsid w:val="006331E4"/>
    <w:rsid w:val="00633A53"/>
    <w:rsid w:val="0063491C"/>
    <w:rsid w:val="00636DB7"/>
    <w:rsid w:val="006565AC"/>
    <w:rsid w:val="00666FB2"/>
    <w:rsid w:val="00667C1F"/>
    <w:rsid w:val="0067289E"/>
    <w:rsid w:val="00674798"/>
    <w:rsid w:val="006804E6"/>
    <w:rsid w:val="00686491"/>
    <w:rsid w:val="00687647"/>
    <w:rsid w:val="00691AF0"/>
    <w:rsid w:val="006920C0"/>
    <w:rsid w:val="00695DE3"/>
    <w:rsid w:val="006A026E"/>
    <w:rsid w:val="006A358A"/>
    <w:rsid w:val="006A4AE6"/>
    <w:rsid w:val="006B0393"/>
    <w:rsid w:val="006B06D8"/>
    <w:rsid w:val="006B2122"/>
    <w:rsid w:val="006B4AD5"/>
    <w:rsid w:val="006B5C99"/>
    <w:rsid w:val="006C54BD"/>
    <w:rsid w:val="006C6EAE"/>
    <w:rsid w:val="006D6793"/>
    <w:rsid w:val="006E5E28"/>
    <w:rsid w:val="006E64F3"/>
    <w:rsid w:val="006E6574"/>
    <w:rsid w:val="006E7F47"/>
    <w:rsid w:val="006F023B"/>
    <w:rsid w:val="00700C9C"/>
    <w:rsid w:val="00713D6E"/>
    <w:rsid w:val="00714CF2"/>
    <w:rsid w:val="007156B9"/>
    <w:rsid w:val="007158A3"/>
    <w:rsid w:val="007172F7"/>
    <w:rsid w:val="00717F22"/>
    <w:rsid w:val="00720817"/>
    <w:rsid w:val="00720F9E"/>
    <w:rsid w:val="00722850"/>
    <w:rsid w:val="007251CF"/>
    <w:rsid w:val="007265D9"/>
    <w:rsid w:val="00732543"/>
    <w:rsid w:val="0073321B"/>
    <w:rsid w:val="0073353F"/>
    <w:rsid w:val="007343E8"/>
    <w:rsid w:val="0074068D"/>
    <w:rsid w:val="00741F1A"/>
    <w:rsid w:val="00742E45"/>
    <w:rsid w:val="007447AF"/>
    <w:rsid w:val="00747EDA"/>
    <w:rsid w:val="00750816"/>
    <w:rsid w:val="00750D4A"/>
    <w:rsid w:val="007515BB"/>
    <w:rsid w:val="00757313"/>
    <w:rsid w:val="00760DC8"/>
    <w:rsid w:val="007657C1"/>
    <w:rsid w:val="00767E05"/>
    <w:rsid w:val="0077269B"/>
    <w:rsid w:val="0077344D"/>
    <w:rsid w:val="007870A6"/>
    <w:rsid w:val="00793862"/>
    <w:rsid w:val="00795B9C"/>
    <w:rsid w:val="00796775"/>
    <w:rsid w:val="00797A41"/>
    <w:rsid w:val="007A2824"/>
    <w:rsid w:val="007A406D"/>
    <w:rsid w:val="007A62B0"/>
    <w:rsid w:val="007A6A67"/>
    <w:rsid w:val="007A6F87"/>
    <w:rsid w:val="007A7198"/>
    <w:rsid w:val="007A7EA2"/>
    <w:rsid w:val="007B3BA0"/>
    <w:rsid w:val="007C04B8"/>
    <w:rsid w:val="007C5A0C"/>
    <w:rsid w:val="007D505A"/>
    <w:rsid w:val="007E0FEE"/>
    <w:rsid w:val="007F2017"/>
    <w:rsid w:val="007F2CC6"/>
    <w:rsid w:val="007F3C64"/>
    <w:rsid w:val="0080331D"/>
    <w:rsid w:val="00806F63"/>
    <w:rsid w:val="008102E8"/>
    <w:rsid w:val="00811D4B"/>
    <w:rsid w:val="00817B4B"/>
    <w:rsid w:val="008216D1"/>
    <w:rsid w:val="00821A7B"/>
    <w:rsid w:val="008313AB"/>
    <w:rsid w:val="008339BB"/>
    <w:rsid w:val="0084220F"/>
    <w:rsid w:val="00843056"/>
    <w:rsid w:val="0084651D"/>
    <w:rsid w:val="00850F0D"/>
    <w:rsid w:val="00851496"/>
    <w:rsid w:val="00852708"/>
    <w:rsid w:val="00854D1B"/>
    <w:rsid w:val="00862027"/>
    <w:rsid w:val="008632A7"/>
    <w:rsid w:val="00863397"/>
    <w:rsid w:val="0086419A"/>
    <w:rsid w:val="008661CC"/>
    <w:rsid w:val="00867B51"/>
    <w:rsid w:val="0087023B"/>
    <w:rsid w:val="008723CD"/>
    <w:rsid w:val="00875CF0"/>
    <w:rsid w:val="008762BB"/>
    <w:rsid w:val="0088118C"/>
    <w:rsid w:val="00884EEA"/>
    <w:rsid w:val="00885F9C"/>
    <w:rsid w:val="00887E53"/>
    <w:rsid w:val="008A179F"/>
    <w:rsid w:val="008A1C55"/>
    <w:rsid w:val="008A4F95"/>
    <w:rsid w:val="008A71D4"/>
    <w:rsid w:val="008B0864"/>
    <w:rsid w:val="008B0FBD"/>
    <w:rsid w:val="008B280C"/>
    <w:rsid w:val="008C30E8"/>
    <w:rsid w:val="008C5AD2"/>
    <w:rsid w:val="008C5E56"/>
    <w:rsid w:val="008C6503"/>
    <w:rsid w:val="008C7413"/>
    <w:rsid w:val="008D16B7"/>
    <w:rsid w:val="008D2D8D"/>
    <w:rsid w:val="008D4E01"/>
    <w:rsid w:val="008D7D46"/>
    <w:rsid w:val="008E174C"/>
    <w:rsid w:val="008E3BE8"/>
    <w:rsid w:val="008E6AE6"/>
    <w:rsid w:val="008E6DBF"/>
    <w:rsid w:val="008F0116"/>
    <w:rsid w:val="008F143D"/>
    <w:rsid w:val="008F2422"/>
    <w:rsid w:val="0090035F"/>
    <w:rsid w:val="00903129"/>
    <w:rsid w:val="0090426F"/>
    <w:rsid w:val="00914358"/>
    <w:rsid w:val="00924724"/>
    <w:rsid w:val="00924DD5"/>
    <w:rsid w:val="00932865"/>
    <w:rsid w:val="00937C61"/>
    <w:rsid w:val="0094417C"/>
    <w:rsid w:val="00946765"/>
    <w:rsid w:val="009469AC"/>
    <w:rsid w:val="00950ED2"/>
    <w:rsid w:val="00951A52"/>
    <w:rsid w:val="00955DDB"/>
    <w:rsid w:val="009602D5"/>
    <w:rsid w:val="009615C8"/>
    <w:rsid w:val="00964401"/>
    <w:rsid w:val="009660A9"/>
    <w:rsid w:val="00973187"/>
    <w:rsid w:val="00980C5B"/>
    <w:rsid w:val="0098138E"/>
    <w:rsid w:val="00985AA6"/>
    <w:rsid w:val="0098655A"/>
    <w:rsid w:val="00996EF4"/>
    <w:rsid w:val="00997F8E"/>
    <w:rsid w:val="009A1E52"/>
    <w:rsid w:val="009A300E"/>
    <w:rsid w:val="009A3525"/>
    <w:rsid w:val="009A62AC"/>
    <w:rsid w:val="009B4535"/>
    <w:rsid w:val="009B5544"/>
    <w:rsid w:val="009B6E32"/>
    <w:rsid w:val="009D0182"/>
    <w:rsid w:val="009D41D8"/>
    <w:rsid w:val="009E70FE"/>
    <w:rsid w:val="009E7B86"/>
    <w:rsid w:val="009E7C7F"/>
    <w:rsid w:val="009F1EFA"/>
    <w:rsid w:val="009F2A8B"/>
    <w:rsid w:val="009F7F0C"/>
    <w:rsid w:val="00A04047"/>
    <w:rsid w:val="00A04100"/>
    <w:rsid w:val="00A04C71"/>
    <w:rsid w:val="00A051A7"/>
    <w:rsid w:val="00A06C26"/>
    <w:rsid w:val="00A107C2"/>
    <w:rsid w:val="00A10BE0"/>
    <w:rsid w:val="00A1342A"/>
    <w:rsid w:val="00A15611"/>
    <w:rsid w:val="00A16681"/>
    <w:rsid w:val="00A17CE0"/>
    <w:rsid w:val="00A213A7"/>
    <w:rsid w:val="00A21591"/>
    <w:rsid w:val="00A22A93"/>
    <w:rsid w:val="00A304F9"/>
    <w:rsid w:val="00A336B7"/>
    <w:rsid w:val="00A3560C"/>
    <w:rsid w:val="00A37B71"/>
    <w:rsid w:val="00A4057F"/>
    <w:rsid w:val="00A42306"/>
    <w:rsid w:val="00A45453"/>
    <w:rsid w:val="00A45E48"/>
    <w:rsid w:val="00A51C42"/>
    <w:rsid w:val="00A55ACD"/>
    <w:rsid w:val="00A61C6C"/>
    <w:rsid w:val="00A61D7B"/>
    <w:rsid w:val="00A62099"/>
    <w:rsid w:val="00A65880"/>
    <w:rsid w:val="00A71247"/>
    <w:rsid w:val="00A75913"/>
    <w:rsid w:val="00A763EF"/>
    <w:rsid w:val="00A82E01"/>
    <w:rsid w:val="00A841B4"/>
    <w:rsid w:val="00A852A4"/>
    <w:rsid w:val="00A91855"/>
    <w:rsid w:val="00A95404"/>
    <w:rsid w:val="00A95E86"/>
    <w:rsid w:val="00A96072"/>
    <w:rsid w:val="00AA0FE8"/>
    <w:rsid w:val="00AA1D2F"/>
    <w:rsid w:val="00AA2811"/>
    <w:rsid w:val="00AA4891"/>
    <w:rsid w:val="00AB06EE"/>
    <w:rsid w:val="00AB0E2C"/>
    <w:rsid w:val="00AB42F1"/>
    <w:rsid w:val="00AB7541"/>
    <w:rsid w:val="00AC2741"/>
    <w:rsid w:val="00AD3738"/>
    <w:rsid w:val="00AD719B"/>
    <w:rsid w:val="00AE46A4"/>
    <w:rsid w:val="00AE7061"/>
    <w:rsid w:val="00AF3CD3"/>
    <w:rsid w:val="00AF79B8"/>
    <w:rsid w:val="00B01F7E"/>
    <w:rsid w:val="00B103E6"/>
    <w:rsid w:val="00B3087D"/>
    <w:rsid w:val="00B34794"/>
    <w:rsid w:val="00B354E0"/>
    <w:rsid w:val="00B40D54"/>
    <w:rsid w:val="00B43DA7"/>
    <w:rsid w:val="00B44AFB"/>
    <w:rsid w:val="00B45195"/>
    <w:rsid w:val="00B45208"/>
    <w:rsid w:val="00B475A5"/>
    <w:rsid w:val="00B50900"/>
    <w:rsid w:val="00B544A1"/>
    <w:rsid w:val="00B5470E"/>
    <w:rsid w:val="00B55520"/>
    <w:rsid w:val="00B60421"/>
    <w:rsid w:val="00B62B45"/>
    <w:rsid w:val="00B70393"/>
    <w:rsid w:val="00B71CCB"/>
    <w:rsid w:val="00B72EBC"/>
    <w:rsid w:val="00B72EFD"/>
    <w:rsid w:val="00B7375C"/>
    <w:rsid w:val="00B81A91"/>
    <w:rsid w:val="00B8641B"/>
    <w:rsid w:val="00B91914"/>
    <w:rsid w:val="00B9490F"/>
    <w:rsid w:val="00BA5DB9"/>
    <w:rsid w:val="00BA765C"/>
    <w:rsid w:val="00BB0243"/>
    <w:rsid w:val="00BB36CE"/>
    <w:rsid w:val="00BB5453"/>
    <w:rsid w:val="00BC11D8"/>
    <w:rsid w:val="00BC3D4D"/>
    <w:rsid w:val="00BC5393"/>
    <w:rsid w:val="00BD0474"/>
    <w:rsid w:val="00BD0720"/>
    <w:rsid w:val="00BD0B14"/>
    <w:rsid w:val="00BD3DAE"/>
    <w:rsid w:val="00BD731C"/>
    <w:rsid w:val="00BE12ED"/>
    <w:rsid w:val="00BF0D45"/>
    <w:rsid w:val="00BF0EF5"/>
    <w:rsid w:val="00BF463A"/>
    <w:rsid w:val="00BF524B"/>
    <w:rsid w:val="00BF5E6B"/>
    <w:rsid w:val="00BF7B92"/>
    <w:rsid w:val="00C02B86"/>
    <w:rsid w:val="00C10B5F"/>
    <w:rsid w:val="00C12950"/>
    <w:rsid w:val="00C1399A"/>
    <w:rsid w:val="00C21800"/>
    <w:rsid w:val="00C32914"/>
    <w:rsid w:val="00C338C3"/>
    <w:rsid w:val="00C33B92"/>
    <w:rsid w:val="00C356CB"/>
    <w:rsid w:val="00C35795"/>
    <w:rsid w:val="00C35CCD"/>
    <w:rsid w:val="00C36793"/>
    <w:rsid w:val="00C513E7"/>
    <w:rsid w:val="00C53058"/>
    <w:rsid w:val="00C54C1B"/>
    <w:rsid w:val="00C56415"/>
    <w:rsid w:val="00C653B8"/>
    <w:rsid w:val="00C6756B"/>
    <w:rsid w:val="00C70C1D"/>
    <w:rsid w:val="00C71BCD"/>
    <w:rsid w:val="00C77427"/>
    <w:rsid w:val="00C812D8"/>
    <w:rsid w:val="00C81E20"/>
    <w:rsid w:val="00C83E27"/>
    <w:rsid w:val="00C84975"/>
    <w:rsid w:val="00C85AA1"/>
    <w:rsid w:val="00C913A1"/>
    <w:rsid w:val="00C91458"/>
    <w:rsid w:val="00C92144"/>
    <w:rsid w:val="00C92C49"/>
    <w:rsid w:val="00C93F40"/>
    <w:rsid w:val="00CA3759"/>
    <w:rsid w:val="00CA6328"/>
    <w:rsid w:val="00CA78AB"/>
    <w:rsid w:val="00CB2A74"/>
    <w:rsid w:val="00CB3F58"/>
    <w:rsid w:val="00CC2182"/>
    <w:rsid w:val="00CC585D"/>
    <w:rsid w:val="00CC6A99"/>
    <w:rsid w:val="00CC72BB"/>
    <w:rsid w:val="00CD221D"/>
    <w:rsid w:val="00CD39F5"/>
    <w:rsid w:val="00CD5EAD"/>
    <w:rsid w:val="00CE0A25"/>
    <w:rsid w:val="00CF0722"/>
    <w:rsid w:val="00CF6362"/>
    <w:rsid w:val="00CF7AE6"/>
    <w:rsid w:val="00D00AA3"/>
    <w:rsid w:val="00D02255"/>
    <w:rsid w:val="00D02C41"/>
    <w:rsid w:val="00D07F73"/>
    <w:rsid w:val="00D11A85"/>
    <w:rsid w:val="00D17043"/>
    <w:rsid w:val="00D2041C"/>
    <w:rsid w:val="00D21C8F"/>
    <w:rsid w:val="00D22909"/>
    <w:rsid w:val="00D235B3"/>
    <w:rsid w:val="00D25ADE"/>
    <w:rsid w:val="00D3060A"/>
    <w:rsid w:val="00D42050"/>
    <w:rsid w:val="00D42504"/>
    <w:rsid w:val="00D43297"/>
    <w:rsid w:val="00D44D28"/>
    <w:rsid w:val="00D44DB6"/>
    <w:rsid w:val="00D50119"/>
    <w:rsid w:val="00D515CA"/>
    <w:rsid w:val="00D54F57"/>
    <w:rsid w:val="00D550F4"/>
    <w:rsid w:val="00D5524A"/>
    <w:rsid w:val="00D578E3"/>
    <w:rsid w:val="00D63A11"/>
    <w:rsid w:val="00D6491E"/>
    <w:rsid w:val="00D64FFD"/>
    <w:rsid w:val="00D73EF3"/>
    <w:rsid w:val="00D74223"/>
    <w:rsid w:val="00D82A43"/>
    <w:rsid w:val="00D837CB"/>
    <w:rsid w:val="00D87737"/>
    <w:rsid w:val="00D9190E"/>
    <w:rsid w:val="00D95E4E"/>
    <w:rsid w:val="00D96B89"/>
    <w:rsid w:val="00D97F18"/>
    <w:rsid w:val="00DA0C02"/>
    <w:rsid w:val="00DA162C"/>
    <w:rsid w:val="00DA4287"/>
    <w:rsid w:val="00DA7B5D"/>
    <w:rsid w:val="00DB06BF"/>
    <w:rsid w:val="00DB1DBF"/>
    <w:rsid w:val="00DB2204"/>
    <w:rsid w:val="00DB4B25"/>
    <w:rsid w:val="00DB5422"/>
    <w:rsid w:val="00DC3411"/>
    <w:rsid w:val="00DC628D"/>
    <w:rsid w:val="00DC6791"/>
    <w:rsid w:val="00DC6E38"/>
    <w:rsid w:val="00DD2629"/>
    <w:rsid w:val="00DD6E69"/>
    <w:rsid w:val="00DD736D"/>
    <w:rsid w:val="00DE25E9"/>
    <w:rsid w:val="00DE4384"/>
    <w:rsid w:val="00DE4B5A"/>
    <w:rsid w:val="00DE6E15"/>
    <w:rsid w:val="00DF1234"/>
    <w:rsid w:val="00DF508A"/>
    <w:rsid w:val="00DF58E7"/>
    <w:rsid w:val="00E0061B"/>
    <w:rsid w:val="00E102F7"/>
    <w:rsid w:val="00E1044B"/>
    <w:rsid w:val="00E11876"/>
    <w:rsid w:val="00E12DF0"/>
    <w:rsid w:val="00E13D05"/>
    <w:rsid w:val="00E13D2D"/>
    <w:rsid w:val="00E1582C"/>
    <w:rsid w:val="00E165A3"/>
    <w:rsid w:val="00E23CBB"/>
    <w:rsid w:val="00E248DD"/>
    <w:rsid w:val="00E2523B"/>
    <w:rsid w:val="00E35820"/>
    <w:rsid w:val="00E37B59"/>
    <w:rsid w:val="00E4140F"/>
    <w:rsid w:val="00E470B1"/>
    <w:rsid w:val="00E50562"/>
    <w:rsid w:val="00E54D85"/>
    <w:rsid w:val="00E54FEE"/>
    <w:rsid w:val="00E61964"/>
    <w:rsid w:val="00E626CF"/>
    <w:rsid w:val="00E666AF"/>
    <w:rsid w:val="00E67891"/>
    <w:rsid w:val="00E70784"/>
    <w:rsid w:val="00E8448C"/>
    <w:rsid w:val="00E85776"/>
    <w:rsid w:val="00E87293"/>
    <w:rsid w:val="00E87D2F"/>
    <w:rsid w:val="00E91A0E"/>
    <w:rsid w:val="00E94381"/>
    <w:rsid w:val="00E96EB8"/>
    <w:rsid w:val="00EA36C6"/>
    <w:rsid w:val="00EA41D3"/>
    <w:rsid w:val="00EA45F8"/>
    <w:rsid w:val="00EA4735"/>
    <w:rsid w:val="00EB03B3"/>
    <w:rsid w:val="00EC13C2"/>
    <w:rsid w:val="00EC3692"/>
    <w:rsid w:val="00ED1A9D"/>
    <w:rsid w:val="00ED5725"/>
    <w:rsid w:val="00ED7031"/>
    <w:rsid w:val="00EE0B68"/>
    <w:rsid w:val="00EE19FF"/>
    <w:rsid w:val="00EE3060"/>
    <w:rsid w:val="00EE3188"/>
    <w:rsid w:val="00EE4315"/>
    <w:rsid w:val="00EE4421"/>
    <w:rsid w:val="00EF07D9"/>
    <w:rsid w:val="00EF2B06"/>
    <w:rsid w:val="00EF66AA"/>
    <w:rsid w:val="00EF7C3D"/>
    <w:rsid w:val="00F001D5"/>
    <w:rsid w:val="00F056D3"/>
    <w:rsid w:val="00F20A78"/>
    <w:rsid w:val="00F23DE4"/>
    <w:rsid w:val="00F23F24"/>
    <w:rsid w:val="00F24BC2"/>
    <w:rsid w:val="00F26ED3"/>
    <w:rsid w:val="00F27908"/>
    <w:rsid w:val="00F35544"/>
    <w:rsid w:val="00F37617"/>
    <w:rsid w:val="00F37FCA"/>
    <w:rsid w:val="00F42A9A"/>
    <w:rsid w:val="00F42F30"/>
    <w:rsid w:val="00F4421E"/>
    <w:rsid w:val="00F476EC"/>
    <w:rsid w:val="00F47F33"/>
    <w:rsid w:val="00F5100A"/>
    <w:rsid w:val="00F539BA"/>
    <w:rsid w:val="00F550EA"/>
    <w:rsid w:val="00F60105"/>
    <w:rsid w:val="00F62B7A"/>
    <w:rsid w:val="00F6397D"/>
    <w:rsid w:val="00F663F3"/>
    <w:rsid w:val="00F676B5"/>
    <w:rsid w:val="00F7293E"/>
    <w:rsid w:val="00F73993"/>
    <w:rsid w:val="00F76203"/>
    <w:rsid w:val="00F76650"/>
    <w:rsid w:val="00F817D9"/>
    <w:rsid w:val="00F8211D"/>
    <w:rsid w:val="00F83034"/>
    <w:rsid w:val="00F83611"/>
    <w:rsid w:val="00F838BA"/>
    <w:rsid w:val="00F848F8"/>
    <w:rsid w:val="00F900ED"/>
    <w:rsid w:val="00F9187B"/>
    <w:rsid w:val="00F92385"/>
    <w:rsid w:val="00F953DA"/>
    <w:rsid w:val="00F97B48"/>
    <w:rsid w:val="00FA1B4F"/>
    <w:rsid w:val="00FA2DBD"/>
    <w:rsid w:val="00FA5BD7"/>
    <w:rsid w:val="00FA707A"/>
    <w:rsid w:val="00FA7557"/>
    <w:rsid w:val="00FB6790"/>
    <w:rsid w:val="00FC161C"/>
    <w:rsid w:val="00FC3F54"/>
    <w:rsid w:val="00FC47F9"/>
    <w:rsid w:val="00FC568B"/>
    <w:rsid w:val="00FD04E3"/>
    <w:rsid w:val="00FD0D7A"/>
    <w:rsid w:val="00FD469D"/>
    <w:rsid w:val="00FE0B72"/>
    <w:rsid w:val="00FE31E3"/>
    <w:rsid w:val="00FE4FF7"/>
    <w:rsid w:val="00FE5414"/>
    <w:rsid w:val="00FE5580"/>
    <w:rsid w:val="00FE5CD0"/>
    <w:rsid w:val="00FF110C"/>
    <w:rsid w:val="00FF544A"/>
    <w:rsid w:val="00FF56D6"/>
    <w:rsid w:val="00FF5F59"/>
    <w:rsid w:val="00FF75E8"/>
    <w:rsid w:val="0F5D4362"/>
    <w:rsid w:val="10679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7C87"/>
  <w15:chartTrackingRefBased/>
  <w15:docId w15:val="{F7F02F5B-B43B-4112-908E-B0E9ED36D05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C42"/>
    <w:pPr>
      <w:spacing w:after="0" w:line="360" w:lineRule="auto"/>
      <w:ind w:firstLine="720"/>
    </w:pPr>
    <w:rPr>
      <w:rFonts w:ascii="Book Antiqua" w:hAnsi="Book Antiqua"/>
      <w:sz w:val="26"/>
    </w:rPr>
  </w:style>
  <w:style w:type="paragraph" w:styleId="Heading1">
    <w:name w:val="heading 1"/>
    <w:basedOn w:val="Dummy"/>
    <w:next w:val="Standard"/>
    <w:link w:val="Heading1Char"/>
    <w:qFormat/>
    <w:rsid w:val="00A51C42"/>
    <w:pPr>
      <w:numPr>
        <w:numId w:val="12"/>
      </w:numPr>
      <w:ind w:right="2160"/>
    </w:pPr>
    <w:rPr>
      <w:rFonts w:eastAsiaTheme="majorEastAsia" w:cstheme="majorBidi"/>
      <w:szCs w:val="32"/>
    </w:rPr>
  </w:style>
  <w:style w:type="paragraph" w:styleId="Heading2">
    <w:name w:val="heading 2"/>
    <w:basedOn w:val="Dummy"/>
    <w:next w:val="Standard"/>
    <w:link w:val="Heading2Char"/>
    <w:qFormat/>
    <w:rsid w:val="00CC2182"/>
    <w:pPr>
      <w:ind w:left="720" w:right="2160"/>
      <w:outlineLvl w:val="1"/>
    </w:pPr>
  </w:style>
  <w:style w:type="paragraph" w:styleId="Heading3">
    <w:name w:val="heading 3"/>
    <w:basedOn w:val="Dummy"/>
    <w:next w:val="Standard"/>
    <w:link w:val="Heading3Char"/>
    <w:qFormat/>
    <w:rsid w:val="00CC2182"/>
    <w:pPr>
      <w:ind w:left="1350" w:right="2160"/>
      <w:outlineLvl w:val="2"/>
    </w:pPr>
    <w:rPr>
      <w:rFonts w:eastAsiaTheme="majorEastAsia" w:cstheme="majorBidi"/>
      <w:szCs w:val="24"/>
    </w:rPr>
  </w:style>
  <w:style w:type="paragraph" w:styleId="Heading4">
    <w:name w:val="heading 4"/>
    <w:basedOn w:val="Dummy"/>
    <w:next w:val="Standard"/>
    <w:link w:val="Heading4Char"/>
    <w:qFormat/>
    <w:rsid w:val="00A51C42"/>
    <w:pPr>
      <w:numPr>
        <w:ilvl w:val="3"/>
        <w:numId w:val="12"/>
      </w:numPr>
      <w:ind w:right="2160"/>
      <w:outlineLvl w:val="3"/>
    </w:pPr>
    <w:rPr>
      <w:rFonts w:eastAsiaTheme="majorEastAsia" w:cstheme="majorBidi"/>
      <w:iCs/>
    </w:rPr>
  </w:style>
  <w:style w:type="paragraph" w:styleId="Heading5">
    <w:name w:val="heading 5"/>
    <w:basedOn w:val="Dummy"/>
    <w:next w:val="Standard"/>
    <w:link w:val="Heading5Char"/>
    <w:qFormat/>
    <w:rsid w:val="00A51C42"/>
    <w:pPr>
      <w:numPr>
        <w:ilvl w:val="4"/>
        <w:numId w:val="12"/>
      </w:numPr>
      <w:ind w:right="2160"/>
      <w:outlineLvl w:val="4"/>
    </w:pPr>
    <w:rPr>
      <w:rFonts w:eastAsiaTheme="majorEastAsia" w:cstheme="majorBidi"/>
    </w:rPr>
  </w:style>
  <w:style w:type="paragraph" w:styleId="Heading6">
    <w:name w:val="heading 6"/>
    <w:basedOn w:val="Dummy"/>
    <w:next w:val="Standard"/>
    <w:link w:val="Heading6Char"/>
    <w:qFormat/>
    <w:rsid w:val="00A51C42"/>
    <w:pPr>
      <w:numPr>
        <w:ilvl w:val="5"/>
        <w:numId w:val="12"/>
      </w:numPr>
      <w:spacing w:before="40"/>
      <w:ind w:right="2160"/>
      <w:outlineLvl w:val="5"/>
    </w:pPr>
    <w:rPr>
      <w:rFonts w:eastAsiaTheme="majorEastAsia" w:cstheme="majorBidi"/>
    </w:rPr>
  </w:style>
  <w:style w:type="paragraph" w:styleId="Heading7">
    <w:name w:val="heading 7"/>
    <w:basedOn w:val="Normal"/>
    <w:next w:val="sub6"/>
    <w:link w:val="Heading7Char"/>
    <w:qFormat/>
    <w:rsid w:val="004071E6"/>
    <w:pPr>
      <w:tabs>
        <w:tab w:val="num" w:pos="360"/>
        <w:tab w:val="left" w:pos="2520"/>
      </w:tabs>
      <w:spacing w:before="120" w:after="120" w:line="240" w:lineRule="auto"/>
      <w:ind w:left="2520" w:hanging="1800"/>
      <w:outlineLvl w:val="6"/>
    </w:pPr>
    <w:rPr>
      <w:rFonts w:ascii="Helvetica" w:eastAsia="Times New Roman" w:hAnsi="Helvetica" w:cs="Times New Roman"/>
      <w:b/>
      <w:szCs w:val="24"/>
    </w:rPr>
  </w:style>
  <w:style w:type="paragraph" w:styleId="Heading8">
    <w:name w:val="heading 8"/>
    <w:basedOn w:val="Normal"/>
    <w:next w:val="sub7"/>
    <w:link w:val="Heading8Char"/>
    <w:qFormat/>
    <w:rsid w:val="004071E6"/>
    <w:pPr>
      <w:tabs>
        <w:tab w:val="num" w:pos="360"/>
      </w:tabs>
      <w:spacing w:before="120" w:after="120" w:line="240" w:lineRule="auto"/>
      <w:ind w:left="2700" w:hanging="1890"/>
      <w:outlineLvl w:val="7"/>
    </w:pPr>
    <w:rPr>
      <w:rFonts w:ascii="Helvetica" w:eastAsia="Times New Roman" w:hAnsi="Helvetica" w:cs="Times New Roman"/>
      <w:b/>
      <w:iCs/>
      <w:sz w:val="24"/>
      <w:szCs w:val="24"/>
    </w:rPr>
  </w:style>
  <w:style w:type="paragraph" w:styleId="Heading9">
    <w:name w:val="heading 9"/>
    <w:basedOn w:val="Normal"/>
    <w:next w:val="Normal"/>
    <w:link w:val="Heading9Char"/>
    <w:qFormat/>
    <w:rsid w:val="004071E6"/>
    <w:pPr>
      <w:spacing w:before="240" w:after="60" w:line="240" w:lineRule="auto"/>
      <w:ind w:firstLine="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0A9"/>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CC2182"/>
    <w:rPr>
      <w:rFonts w:ascii="Arial" w:hAnsi="Arial" w:cs="Arial"/>
      <w:b/>
      <w:sz w:val="26"/>
      <w:szCs w:val="26"/>
    </w:rPr>
  </w:style>
  <w:style w:type="character" w:customStyle="1" w:styleId="Heading3Char">
    <w:name w:val="Heading 3 Char"/>
    <w:basedOn w:val="DefaultParagraphFont"/>
    <w:link w:val="Heading3"/>
    <w:uiPriority w:val="4"/>
    <w:rsid w:val="00CC2182"/>
    <w:rPr>
      <w:rFonts w:ascii="Arial" w:eastAsiaTheme="majorEastAsia" w:hAnsi="Arial" w:cstheme="majorBidi"/>
      <w:b/>
      <w:sz w:val="26"/>
      <w:szCs w:val="24"/>
    </w:rPr>
  </w:style>
  <w:style w:type="character" w:customStyle="1" w:styleId="Heading4Char">
    <w:name w:val="Heading 4 Char"/>
    <w:basedOn w:val="DefaultParagraphFont"/>
    <w:link w:val="Heading4"/>
    <w:rsid w:val="009660A9"/>
    <w:rPr>
      <w:rFonts w:ascii="Arial" w:eastAsiaTheme="majorEastAsia" w:hAnsi="Arial" w:cstheme="majorBidi"/>
      <w:b/>
      <w:iCs/>
      <w:sz w:val="26"/>
      <w:szCs w:val="26"/>
    </w:rPr>
  </w:style>
  <w:style w:type="character" w:customStyle="1" w:styleId="Heading5Char">
    <w:name w:val="Heading 5 Char"/>
    <w:basedOn w:val="DefaultParagraphFont"/>
    <w:link w:val="Heading5"/>
    <w:rsid w:val="009660A9"/>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rsid w:val="00B01F7E"/>
    <w:pPr>
      <w:spacing w:after="120" w:line="240" w:lineRule="auto"/>
      <w:ind w:firstLine="0"/>
    </w:pPr>
    <w:rPr>
      <w:sz w:val="22"/>
      <w:szCs w:val="20"/>
    </w:rPr>
  </w:style>
  <w:style w:type="character" w:customStyle="1" w:styleId="FootnoteTextChar">
    <w:name w:val="Footnote Text Char"/>
    <w:aliases w:val="Footnote Text Char1 Char1,Footnote Text Char Char Char2,Footnote Text Char2 Char Char1,Footnote Text Char Char Char Char1,Footnote Text Char2 Char Char Char Char1,Footnote Text Char Char Char Char Char Char1,fn Char1"/>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3"/>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20"/>
      </w:numPr>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9660A9"/>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C7D3A"/>
    <w:rPr>
      <w:rFonts w:ascii="Segoe UI" w:hAnsi="Segoe UI" w:cs="Segoe UI"/>
      <w:sz w:val="18"/>
      <w:szCs w:val="18"/>
    </w:rPr>
  </w:style>
  <w:style w:type="numbering" w:customStyle="1" w:styleId="Headings">
    <w:name w:val="Headings"/>
    <w:uiPriority w:val="99"/>
    <w:rsid w:val="00A51C42"/>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A51C42"/>
    <w:pPr>
      <w:numPr>
        <w:ilvl w:val="7"/>
        <w:numId w:val="12"/>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rsid w:val="009660A9"/>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9660A9"/>
    <w:pPr>
      <w:spacing w:after="0"/>
    </w:pPr>
    <w:rPr>
      <w:sz w:val="22"/>
    </w:rPr>
  </w:style>
  <w:style w:type="paragraph" w:customStyle="1" w:styleId="ListNum">
    <w:name w:val="List Num"/>
    <w:basedOn w:val="Standard"/>
    <w:uiPriority w:val="4"/>
    <w:rsid w:val="00A51C42"/>
    <w:pPr>
      <w:numPr>
        <w:ilvl w:val="6"/>
        <w:numId w:val="12"/>
      </w:numPr>
      <w:spacing w:after="120" w:line="240" w:lineRule="auto"/>
    </w:pPr>
  </w:style>
  <w:style w:type="paragraph" w:styleId="ListParagraph">
    <w:name w:val="List Paragraph"/>
    <w:basedOn w:val="Normal"/>
    <w:uiPriority w:val="34"/>
    <w:qFormat/>
    <w:rsid w:val="000B7B87"/>
    <w:pPr>
      <w:ind w:left="720"/>
      <w:contextualSpacing/>
    </w:pPr>
  </w:style>
  <w:style w:type="table" w:customStyle="1" w:styleId="TableGrid1">
    <w:name w:val="Table Grid1"/>
    <w:basedOn w:val="TableNormal"/>
    <w:next w:val="TableGrid"/>
    <w:uiPriority w:val="39"/>
    <w:rsid w:val="00DF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rior">
    <w:name w:val="ss_prior"/>
    <w:basedOn w:val="DefaultParagraphFont"/>
    <w:rsid w:val="00DF1234"/>
  </w:style>
  <w:style w:type="paragraph" w:customStyle="1" w:styleId="main0">
    <w:name w:val="main"/>
    <w:basedOn w:val="Normal"/>
    <w:link w:val="mainChar"/>
    <w:rsid w:val="004071E6"/>
    <w:pPr>
      <w:spacing w:line="240" w:lineRule="auto"/>
      <w:ind w:firstLine="0"/>
      <w:jc w:val="center"/>
    </w:pPr>
    <w:rPr>
      <w:rFonts w:ascii="Helvetica" w:eastAsia="Times New Roman" w:hAnsi="Helvetica" w:cs="Times New Roman"/>
      <w:b/>
      <w:szCs w:val="20"/>
    </w:rPr>
  </w:style>
  <w:style w:type="character" w:customStyle="1" w:styleId="mainChar">
    <w:name w:val="main Char"/>
    <w:link w:val="main0"/>
    <w:rsid w:val="004071E6"/>
    <w:rPr>
      <w:rFonts w:ascii="Helvetica" w:eastAsia="Times New Roman" w:hAnsi="Helvetica" w:cs="Times New Roman"/>
      <w:b/>
      <w:sz w:val="26"/>
      <w:szCs w:val="20"/>
    </w:rPr>
  </w:style>
  <w:style w:type="character" w:customStyle="1" w:styleId="Heading7Char">
    <w:name w:val="Heading 7 Char"/>
    <w:basedOn w:val="DefaultParagraphFont"/>
    <w:link w:val="Heading7"/>
    <w:rsid w:val="004071E6"/>
    <w:rPr>
      <w:rFonts w:ascii="Helvetica" w:eastAsia="Times New Roman" w:hAnsi="Helvetica" w:cs="Times New Roman"/>
      <w:b/>
      <w:sz w:val="26"/>
      <w:szCs w:val="24"/>
    </w:rPr>
  </w:style>
  <w:style w:type="character" w:customStyle="1" w:styleId="Heading8Char">
    <w:name w:val="Heading 8 Char"/>
    <w:basedOn w:val="DefaultParagraphFont"/>
    <w:link w:val="Heading8"/>
    <w:rsid w:val="004071E6"/>
    <w:rPr>
      <w:rFonts w:ascii="Helvetica" w:eastAsia="Times New Roman" w:hAnsi="Helvetica" w:cs="Times New Roman"/>
      <w:b/>
      <w:iCs/>
      <w:sz w:val="24"/>
      <w:szCs w:val="24"/>
    </w:rPr>
  </w:style>
  <w:style w:type="character" w:customStyle="1" w:styleId="Heading9Char">
    <w:name w:val="Heading 9 Char"/>
    <w:basedOn w:val="DefaultParagraphFont"/>
    <w:link w:val="Heading9"/>
    <w:rsid w:val="004071E6"/>
    <w:rPr>
      <w:rFonts w:ascii="Arial" w:eastAsia="Times New Roman" w:hAnsi="Arial" w:cs="Arial"/>
    </w:rPr>
  </w:style>
  <w:style w:type="paragraph" w:customStyle="1" w:styleId="standard0">
    <w:name w:val="standard"/>
    <w:basedOn w:val="Normal"/>
    <w:link w:val="standardChar"/>
    <w:rsid w:val="004071E6"/>
    <w:rPr>
      <w:rFonts w:ascii="Palatino" w:eastAsia="Times New Roman" w:hAnsi="Palatino" w:cs="Times New Roman"/>
      <w:szCs w:val="20"/>
    </w:rPr>
  </w:style>
  <w:style w:type="paragraph" w:customStyle="1" w:styleId="sub1">
    <w:name w:val="sub1"/>
    <w:basedOn w:val="Normal"/>
    <w:rsid w:val="004071E6"/>
    <w:rPr>
      <w:rFonts w:ascii="Palatino" w:eastAsia="Times New Roman" w:hAnsi="Palatino" w:cs="Times New Roman"/>
      <w:szCs w:val="20"/>
    </w:rPr>
  </w:style>
  <w:style w:type="paragraph" w:customStyle="1" w:styleId="sub2">
    <w:name w:val="sub2"/>
    <w:basedOn w:val="Normal"/>
    <w:rsid w:val="004071E6"/>
    <w:rPr>
      <w:rFonts w:ascii="Palatino" w:eastAsia="Times New Roman" w:hAnsi="Palatino" w:cs="Times New Roman"/>
      <w:szCs w:val="20"/>
    </w:rPr>
  </w:style>
  <w:style w:type="paragraph" w:customStyle="1" w:styleId="sub3">
    <w:name w:val="sub3"/>
    <w:basedOn w:val="Normal"/>
    <w:rsid w:val="004071E6"/>
    <w:rPr>
      <w:rFonts w:ascii="Palatino" w:eastAsia="Times New Roman" w:hAnsi="Palatino" w:cs="Times New Roman"/>
      <w:szCs w:val="20"/>
    </w:rPr>
  </w:style>
  <w:style w:type="paragraph" w:customStyle="1" w:styleId="sub4">
    <w:name w:val="sub4"/>
    <w:basedOn w:val="Normal"/>
    <w:rsid w:val="004071E6"/>
    <w:rPr>
      <w:rFonts w:ascii="Palatino" w:eastAsia="Times New Roman" w:hAnsi="Palatino" w:cs="Times New Roman"/>
      <w:szCs w:val="20"/>
    </w:rPr>
  </w:style>
  <w:style w:type="paragraph" w:styleId="Subtitle">
    <w:name w:val="Subtitle"/>
    <w:basedOn w:val="Normal"/>
    <w:link w:val="SubtitleChar"/>
    <w:qFormat/>
    <w:rsid w:val="004071E6"/>
    <w:pPr>
      <w:spacing w:after="60" w:line="240" w:lineRule="auto"/>
      <w:ind w:firstLine="0"/>
      <w:jc w:val="center"/>
    </w:pPr>
    <w:rPr>
      <w:rFonts w:ascii="Arial" w:eastAsia="Times New Roman" w:hAnsi="Arial" w:cs="Times New Roman"/>
      <w:szCs w:val="20"/>
    </w:rPr>
  </w:style>
  <w:style w:type="character" w:customStyle="1" w:styleId="SubtitleChar">
    <w:name w:val="Subtitle Char"/>
    <w:basedOn w:val="DefaultParagraphFont"/>
    <w:link w:val="Subtitle"/>
    <w:rsid w:val="004071E6"/>
    <w:rPr>
      <w:rFonts w:ascii="Arial" w:eastAsia="Times New Roman" w:hAnsi="Arial" w:cs="Times New Roman"/>
      <w:sz w:val="26"/>
      <w:szCs w:val="20"/>
    </w:rPr>
  </w:style>
  <w:style w:type="paragraph" w:customStyle="1" w:styleId="Quote1">
    <w:name w:val="Quote1"/>
    <w:basedOn w:val="standard0"/>
    <w:next w:val="standard0"/>
    <w:rsid w:val="004071E6"/>
    <w:pPr>
      <w:spacing w:before="120" w:after="240" w:line="240" w:lineRule="auto"/>
      <w:ind w:left="720" w:right="720" w:firstLine="0"/>
    </w:pPr>
  </w:style>
  <w:style w:type="paragraph" w:customStyle="1" w:styleId="letter">
    <w:name w:val="letter"/>
    <w:basedOn w:val="num1"/>
    <w:rsid w:val="004071E6"/>
    <w:pPr>
      <w:spacing w:after="120" w:line="240" w:lineRule="auto"/>
      <w:ind w:left="994" w:hanging="274"/>
    </w:pPr>
  </w:style>
  <w:style w:type="paragraph" w:customStyle="1" w:styleId="num1">
    <w:name w:val="num1"/>
    <w:basedOn w:val="Normal"/>
    <w:link w:val="num1Char"/>
    <w:rsid w:val="004071E6"/>
    <w:pPr>
      <w:tabs>
        <w:tab w:val="left" w:pos="-720"/>
      </w:tabs>
      <w:suppressAutoHyphens/>
      <w:ind w:firstLine="360"/>
    </w:pPr>
    <w:rPr>
      <w:rFonts w:ascii="Palatino" w:eastAsia="Times New Roman" w:hAnsi="Palatino" w:cs="Times New Roman"/>
      <w:szCs w:val="20"/>
    </w:rPr>
  </w:style>
  <w:style w:type="paragraph" w:customStyle="1" w:styleId="mainex0">
    <w:name w:val="mainex"/>
    <w:basedOn w:val="main0"/>
    <w:rsid w:val="004071E6"/>
    <w:rPr>
      <w:spacing w:val="120"/>
    </w:rPr>
  </w:style>
  <w:style w:type="paragraph" w:customStyle="1" w:styleId="num2">
    <w:name w:val="num2"/>
    <w:basedOn w:val="num1"/>
    <w:rsid w:val="004071E6"/>
    <w:pPr>
      <w:ind w:firstLine="270"/>
    </w:pPr>
  </w:style>
  <w:style w:type="character" w:styleId="PageNumber">
    <w:name w:val="page number"/>
    <w:basedOn w:val="DefaultParagraphFont"/>
    <w:rsid w:val="004071E6"/>
  </w:style>
  <w:style w:type="paragraph" w:styleId="BodyText">
    <w:name w:val="Body Text"/>
    <w:basedOn w:val="Normal"/>
    <w:link w:val="BodyTextChar"/>
    <w:rsid w:val="004071E6"/>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71E6"/>
    <w:rPr>
      <w:rFonts w:ascii="Times New Roman" w:eastAsia="Times New Roman" w:hAnsi="Times New Roman" w:cs="Times New Roman"/>
      <w:sz w:val="24"/>
      <w:szCs w:val="20"/>
    </w:rPr>
  </w:style>
  <w:style w:type="character" w:styleId="FollowedHyperlink">
    <w:name w:val="FollowedHyperlink"/>
    <w:rsid w:val="004071E6"/>
    <w:rPr>
      <w:color w:val="800080"/>
      <w:u w:val="single"/>
    </w:rPr>
  </w:style>
  <w:style w:type="paragraph" w:customStyle="1" w:styleId="dummy0">
    <w:name w:val="dummy"/>
    <w:basedOn w:val="Heading1"/>
    <w:rsid w:val="004071E6"/>
    <w:pPr>
      <w:keepLines w:val="0"/>
      <w:tabs>
        <w:tab w:val="clear" w:pos="720"/>
      </w:tabs>
      <w:spacing w:before="120"/>
      <w:ind w:left="72" w:right="0" w:firstLine="0"/>
      <w:outlineLvl w:val="9"/>
    </w:pPr>
    <w:rPr>
      <w:rFonts w:ascii="Helvetica" w:eastAsia="Times New Roman" w:hAnsi="Helvetica" w:cs="Times New Roman"/>
      <w:kern w:val="28"/>
      <w:szCs w:val="20"/>
    </w:rPr>
  </w:style>
  <w:style w:type="paragraph" w:styleId="BlockText">
    <w:name w:val="Block Text"/>
    <w:basedOn w:val="Normal"/>
    <w:rsid w:val="004071E6"/>
    <w:pPr>
      <w:spacing w:line="240" w:lineRule="auto"/>
      <w:ind w:left="720" w:right="720" w:firstLine="0"/>
    </w:pPr>
    <w:rPr>
      <w:rFonts w:ascii="Times" w:eastAsia="Times New Roman" w:hAnsi="Times" w:cs="Times New Roman"/>
      <w:sz w:val="24"/>
      <w:szCs w:val="20"/>
    </w:rPr>
  </w:style>
  <w:style w:type="paragraph" w:styleId="NormalIndent">
    <w:name w:val="Normal Indent"/>
    <w:basedOn w:val="Normal"/>
    <w:rsid w:val="004071E6"/>
    <w:pPr>
      <w:spacing w:line="480" w:lineRule="auto"/>
    </w:pPr>
    <w:rPr>
      <w:rFonts w:ascii="Times" w:eastAsia="Times New Roman" w:hAnsi="Times" w:cs="Times New Roman"/>
      <w:sz w:val="24"/>
      <w:szCs w:val="20"/>
    </w:rPr>
  </w:style>
  <w:style w:type="paragraph" w:styleId="BodyText3">
    <w:name w:val="Body Text 3"/>
    <w:basedOn w:val="Normal"/>
    <w:link w:val="BodyText3Char"/>
    <w:rsid w:val="004071E6"/>
    <w:pPr>
      <w:overflowPunct w:val="0"/>
      <w:autoSpaceDE w:val="0"/>
      <w:autoSpaceDN w:val="0"/>
      <w:adjustRightInd w:val="0"/>
      <w:spacing w:line="240" w:lineRule="auto"/>
      <w:ind w:firstLine="0"/>
      <w:textAlignment w:val="baseline"/>
    </w:pPr>
    <w:rPr>
      <w:rFonts w:ascii="Times New Roman" w:eastAsia="Times New Roman" w:hAnsi="Times New Roman" w:cs="Times New Roman"/>
      <w:sz w:val="24"/>
      <w:szCs w:val="20"/>
      <w:u w:val="single"/>
    </w:rPr>
  </w:style>
  <w:style w:type="character" w:customStyle="1" w:styleId="BodyText3Char">
    <w:name w:val="Body Text 3 Char"/>
    <w:basedOn w:val="DefaultParagraphFont"/>
    <w:link w:val="BodyText3"/>
    <w:rsid w:val="004071E6"/>
    <w:rPr>
      <w:rFonts w:ascii="Times New Roman" w:eastAsia="Times New Roman" w:hAnsi="Times New Roman" w:cs="Times New Roman"/>
      <w:sz w:val="24"/>
      <w:szCs w:val="20"/>
      <w:u w:val="single"/>
    </w:rPr>
  </w:style>
  <w:style w:type="paragraph" w:styleId="BodyText2">
    <w:name w:val="Body Text 2"/>
    <w:basedOn w:val="Normal"/>
    <w:link w:val="BodyText2Char"/>
    <w:rsid w:val="004071E6"/>
    <w:pPr>
      <w:overflowPunct w:val="0"/>
      <w:autoSpaceDE w:val="0"/>
      <w:autoSpaceDN w:val="0"/>
      <w:adjustRightInd w:val="0"/>
      <w:spacing w:line="480" w:lineRule="auto"/>
      <w:textAlignment w:val="baseline"/>
    </w:pPr>
    <w:rPr>
      <w:rFonts w:ascii="Times" w:eastAsia="Times New Roman" w:hAnsi="Times" w:cs="Times New Roman"/>
      <w:sz w:val="24"/>
      <w:szCs w:val="20"/>
    </w:rPr>
  </w:style>
  <w:style w:type="character" w:customStyle="1" w:styleId="BodyText2Char">
    <w:name w:val="Body Text 2 Char"/>
    <w:basedOn w:val="DefaultParagraphFont"/>
    <w:link w:val="BodyText2"/>
    <w:rsid w:val="004071E6"/>
    <w:rPr>
      <w:rFonts w:ascii="Times" w:eastAsia="Times New Roman" w:hAnsi="Times" w:cs="Times New Roman"/>
      <w:sz w:val="24"/>
      <w:szCs w:val="20"/>
    </w:rPr>
  </w:style>
  <w:style w:type="paragraph" w:customStyle="1" w:styleId="Quotation">
    <w:name w:val="Quotation"/>
    <w:basedOn w:val="BodyText"/>
    <w:next w:val="BodyText"/>
    <w:rsid w:val="004071E6"/>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4071E6"/>
    <w:pPr>
      <w:spacing w:after="120" w:line="480" w:lineRule="auto"/>
      <w:ind w:left="360" w:firstLine="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71E6"/>
    <w:rPr>
      <w:rFonts w:ascii="Times New Roman" w:eastAsia="Times New Roman" w:hAnsi="Times New Roman" w:cs="Times New Roman"/>
      <w:sz w:val="24"/>
      <w:szCs w:val="24"/>
    </w:rPr>
  </w:style>
  <w:style w:type="paragraph" w:styleId="PlainText">
    <w:name w:val="Plain Text"/>
    <w:basedOn w:val="Normal"/>
    <w:link w:val="PlainTextChar"/>
    <w:uiPriority w:val="99"/>
    <w:rsid w:val="004071E6"/>
    <w:pPr>
      <w:spacing w:line="250" w:lineRule="exact"/>
      <w:ind w:firstLine="0"/>
    </w:pPr>
    <w:rPr>
      <w:rFonts w:ascii="Courier New" w:eastAsia="Times New Roman" w:hAnsi="Courier New" w:cs="Courier New"/>
      <w:spacing w:val="-4"/>
      <w:sz w:val="24"/>
      <w:szCs w:val="20"/>
    </w:rPr>
  </w:style>
  <w:style w:type="character" w:customStyle="1" w:styleId="PlainTextChar">
    <w:name w:val="Plain Text Char"/>
    <w:basedOn w:val="DefaultParagraphFont"/>
    <w:link w:val="PlainText"/>
    <w:uiPriority w:val="99"/>
    <w:rsid w:val="004071E6"/>
    <w:rPr>
      <w:rFonts w:ascii="Courier New" w:eastAsia="Times New Roman" w:hAnsi="Courier New" w:cs="Courier New"/>
      <w:spacing w:val="-4"/>
      <w:sz w:val="24"/>
      <w:szCs w:val="20"/>
    </w:rPr>
  </w:style>
  <w:style w:type="paragraph" w:styleId="BodyTextIndent3">
    <w:name w:val="Body Text Indent 3"/>
    <w:basedOn w:val="Normal"/>
    <w:link w:val="BodyTextIndent3Char"/>
    <w:rsid w:val="004071E6"/>
    <w:pPr>
      <w:spacing w:line="240" w:lineRule="auto"/>
      <w:ind w:left="720" w:firstLine="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4071E6"/>
    <w:rPr>
      <w:rFonts w:ascii="Times New Roman" w:eastAsia="Times New Roman" w:hAnsi="Times New Roman" w:cs="Times New Roman"/>
      <w:snapToGrid w:val="0"/>
      <w:sz w:val="24"/>
      <w:szCs w:val="20"/>
    </w:rPr>
  </w:style>
  <w:style w:type="paragraph" w:customStyle="1" w:styleId="xl24">
    <w:name w:val="xl24"/>
    <w:basedOn w:val="Normal"/>
    <w:rsid w:val="004071E6"/>
    <w:pP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25">
    <w:name w:val="xl25"/>
    <w:basedOn w:val="Normal"/>
    <w:rsid w:val="004071E6"/>
    <w:pP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26">
    <w:name w:val="xl26"/>
    <w:basedOn w:val="Normal"/>
    <w:rsid w:val="004071E6"/>
    <w:pPr>
      <w:spacing w:before="100" w:beforeAutospacing="1" w:after="100" w:afterAutospacing="1" w:line="240" w:lineRule="auto"/>
      <w:ind w:firstLine="0"/>
      <w:jc w:val="right"/>
    </w:pPr>
    <w:rPr>
      <w:rFonts w:ascii="Arial" w:eastAsia="Arial Unicode MS" w:hAnsi="Arial" w:cs="Arial"/>
      <w:b/>
      <w:bCs/>
      <w:sz w:val="24"/>
      <w:szCs w:val="24"/>
    </w:rPr>
  </w:style>
  <w:style w:type="paragraph" w:customStyle="1" w:styleId="xl27">
    <w:name w:val="xl27"/>
    <w:basedOn w:val="Normal"/>
    <w:rsid w:val="004071E6"/>
    <w:pPr>
      <w:spacing w:before="100" w:beforeAutospacing="1" w:after="100" w:afterAutospacing="1" w:line="240" w:lineRule="auto"/>
      <w:ind w:firstLine="0"/>
      <w:jc w:val="center"/>
    </w:pPr>
    <w:rPr>
      <w:rFonts w:ascii="Arial" w:eastAsia="Arial Unicode MS" w:hAnsi="Arial" w:cs="Arial"/>
      <w:b/>
      <w:bCs/>
      <w:sz w:val="24"/>
      <w:szCs w:val="24"/>
    </w:rPr>
  </w:style>
  <w:style w:type="paragraph" w:customStyle="1" w:styleId="xl28">
    <w:name w:val="xl28"/>
    <w:basedOn w:val="Normal"/>
    <w:rsid w:val="004071E6"/>
    <w:pPr>
      <w:pBdr>
        <w:top w:val="single" w:sz="8" w:space="0" w:color="auto"/>
        <w:left w:val="single" w:sz="8"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29">
    <w:name w:val="xl29"/>
    <w:basedOn w:val="Normal"/>
    <w:rsid w:val="004071E6"/>
    <w:pPr>
      <w:pBdr>
        <w:top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0">
    <w:name w:val="xl30"/>
    <w:basedOn w:val="Normal"/>
    <w:rsid w:val="004071E6"/>
    <w:pPr>
      <w:pBdr>
        <w:top w:val="single" w:sz="8"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1">
    <w:name w:val="xl31"/>
    <w:basedOn w:val="Normal"/>
    <w:rsid w:val="004071E6"/>
    <w:pPr>
      <w:pBdr>
        <w:left w:val="single" w:sz="8"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32">
    <w:name w:val="xl32"/>
    <w:basedOn w:val="Normal"/>
    <w:rsid w:val="004071E6"/>
    <w:pPr>
      <w:pBdr>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3">
    <w:name w:val="xl33"/>
    <w:basedOn w:val="Normal"/>
    <w:rsid w:val="0040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4">
    <w:name w:val="xl34"/>
    <w:basedOn w:val="Normal"/>
    <w:rsid w:val="0040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5">
    <w:name w:val="xl35"/>
    <w:basedOn w:val="Normal"/>
    <w:rsid w:val="0040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6">
    <w:name w:val="xl36"/>
    <w:basedOn w:val="Normal"/>
    <w:rsid w:val="0040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7">
    <w:name w:val="xl37"/>
    <w:basedOn w:val="Normal"/>
    <w:rsid w:val="004071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8">
    <w:name w:val="xl38"/>
    <w:basedOn w:val="Normal"/>
    <w:rsid w:val="004071E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9">
    <w:name w:val="xl39"/>
    <w:basedOn w:val="Normal"/>
    <w:rsid w:val="004071E6"/>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0">
    <w:name w:val="xl40"/>
    <w:basedOn w:val="Normal"/>
    <w:rsid w:val="0040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41">
    <w:name w:val="xl41"/>
    <w:basedOn w:val="Normal"/>
    <w:rsid w:val="0040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2">
    <w:name w:val="xl42"/>
    <w:basedOn w:val="Normal"/>
    <w:rsid w:val="0040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3">
    <w:name w:val="xl43"/>
    <w:basedOn w:val="Normal"/>
    <w:rsid w:val="0040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4">
    <w:name w:val="xl44"/>
    <w:basedOn w:val="Normal"/>
    <w:rsid w:val="004071E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45">
    <w:name w:val="xl45"/>
    <w:basedOn w:val="Normal"/>
    <w:rsid w:val="0040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6">
    <w:name w:val="xl46"/>
    <w:basedOn w:val="Normal"/>
    <w:rsid w:val="0040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7">
    <w:name w:val="xl47"/>
    <w:basedOn w:val="Normal"/>
    <w:rsid w:val="0040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8">
    <w:name w:val="xl48"/>
    <w:basedOn w:val="Normal"/>
    <w:rsid w:val="004071E6"/>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9">
    <w:name w:val="xl49"/>
    <w:basedOn w:val="Normal"/>
    <w:rsid w:val="004071E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50">
    <w:name w:val="xl50"/>
    <w:basedOn w:val="Normal"/>
    <w:rsid w:val="004071E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51">
    <w:name w:val="xl51"/>
    <w:basedOn w:val="Normal"/>
    <w:rsid w:val="004071E6"/>
    <w:pP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styleId="TOC7">
    <w:name w:val="toc 7"/>
    <w:basedOn w:val="Normal"/>
    <w:next w:val="Normal"/>
    <w:autoRedefine/>
    <w:uiPriority w:val="39"/>
    <w:rsid w:val="004071E6"/>
    <w:pPr>
      <w:tabs>
        <w:tab w:val="left" w:pos="2700"/>
        <w:tab w:val="right" w:leader="dot" w:pos="9350"/>
      </w:tabs>
      <w:spacing w:line="240" w:lineRule="auto"/>
      <w:ind w:left="2700" w:hanging="2160"/>
    </w:pPr>
    <w:rPr>
      <w:rFonts w:ascii="Palatino" w:eastAsia="Times New Roman" w:hAnsi="Palatino" w:cs="Times New Roman"/>
      <w:szCs w:val="20"/>
    </w:rPr>
  </w:style>
  <w:style w:type="paragraph" w:styleId="TOC8">
    <w:name w:val="toc 8"/>
    <w:basedOn w:val="Normal"/>
    <w:next w:val="Normal"/>
    <w:autoRedefine/>
    <w:uiPriority w:val="39"/>
    <w:rsid w:val="004071E6"/>
    <w:pPr>
      <w:tabs>
        <w:tab w:val="left" w:pos="3690"/>
        <w:tab w:val="right" w:leader="dot" w:pos="9350"/>
      </w:tabs>
      <w:spacing w:line="240" w:lineRule="auto"/>
      <w:ind w:left="2880" w:hanging="2340"/>
    </w:pPr>
    <w:rPr>
      <w:rFonts w:ascii="Palatino" w:eastAsia="Times New Roman" w:hAnsi="Palatino" w:cs="Times New Roman"/>
      <w:szCs w:val="20"/>
    </w:rPr>
  </w:style>
  <w:style w:type="paragraph" w:customStyle="1" w:styleId="sub5">
    <w:name w:val="sub5"/>
    <w:basedOn w:val="sub4"/>
    <w:rsid w:val="004071E6"/>
  </w:style>
  <w:style w:type="paragraph" w:customStyle="1" w:styleId="quote10">
    <w:name w:val="quote1"/>
    <w:basedOn w:val="Quote1"/>
    <w:rsid w:val="004071E6"/>
    <w:pPr>
      <w:ind w:right="1080"/>
    </w:pPr>
  </w:style>
  <w:style w:type="paragraph" w:customStyle="1" w:styleId="quote3">
    <w:name w:val="quote3"/>
    <w:basedOn w:val="Quote1"/>
    <w:rsid w:val="004071E6"/>
    <w:pPr>
      <w:ind w:right="1080"/>
    </w:pPr>
  </w:style>
  <w:style w:type="paragraph" w:customStyle="1" w:styleId="quote2">
    <w:name w:val="quote2"/>
    <w:basedOn w:val="quote3"/>
    <w:rsid w:val="004071E6"/>
  </w:style>
  <w:style w:type="paragraph" w:customStyle="1" w:styleId="bullets">
    <w:name w:val="bullets"/>
    <w:basedOn w:val="sub1"/>
    <w:rsid w:val="004071E6"/>
    <w:pPr>
      <w:numPr>
        <w:numId w:val="32"/>
      </w:numPr>
      <w:spacing w:after="120" w:line="240" w:lineRule="auto"/>
      <w:ind w:right="720"/>
    </w:pPr>
  </w:style>
  <w:style w:type="paragraph" w:customStyle="1" w:styleId="sub6">
    <w:name w:val="sub6"/>
    <w:basedOn w:val="sub4"/>
    <w:rsid w:val="004071E6"/>
  </w:style>
  <w:style w:type="paragraph" w:customStyle="1" w:styleId="sub7">
    <w:name w:val="sub7"/>
    <w:basedOn w:val="sub4"/>
    <w:rsid w:val="004071E6"/>
  </w:style>
  <w:style w:type="paragraph" w:customStyle="1" w:styleId="sub8">
    <w:name w:val="sub8"/>
    <w:basedOn w:val="sub7"/>
    <w:rsid w:val="004071E6"/>
    <w:pPr>
      <w:ind w:firstLine="3787"/>
    </w:pPr>
  </w:style>
  <w:style w:type="character" w:customStyle="1" w:styleId="standardChar">
    <w:name w:val="standard Char"/>
    <w:link w:val="standard0"/>
    <w:rsid w:val="004071E6"/>
    <w:rPr>
      <w:rFonts w:ascii="Palatino" w:eastAsia="Times New Roman" w:hAnsi="Palatino" w:cs="Times New Roman"/>
      <w:sz w:val="26"/>
      <w:szCs w:val="20"/>
    </w:rPr>
  </w:style>
  <w:style w:type="paragraph" w:customStyle="1" w:styleId="Style1">
    <w:name w:val="Style1"/>
    <w:basedOn w:val="Heading7"/>
    <w:next w:val="sub6"/>
    <w:rsid w:val="004071E6"/>
  </w:style>
  <w:style w:type="paragraph" w:customStyle="1" w:styleId="StyleHeading1Before0ptAfter0ptLinespacing15l">
    <w:name w:val="Style Heading 1 + Before:  0 pt After:  0 pt Line spacing:  1.5 l..."/>
    <w:basedOn w:val="Heading1"/>
    <w:autoRedefine/>
    <w:rsid w:val="004071E6"/>
    <w:pPr>
      <w:keepLines w:val="0"/>
      <w:spacing w:after="0" w:line="360" w:lineRule="auto"/>
    </w:pPr>
    <w:rPr>
      <w:rFonts w:ascii="Helvetica" w:eastAsia="Times New Roman" w:hAnsi="Helvetica" w:cs="Times New Roman"/>
      <w:bCs/>
      <w:kern w:val="28"/>
      <w:szCs w:val="20"/>
    </w:rPr>
  </w:style>
  <w:style w:type="paragraph" w:styleId="BodyTextIndent">
    <w:name w:val="Body Text Indent"/>
    <w:basedOn w:val="Normal"/>
    <w:link w:val="BodyTextIndentChar"/>
    <w:rsid w:val="004071E6"/>
    <w:pPr>
      <w:spacing w:after="120" w:line="240" w:lineRule="auto"/>
      <w:ind w:left="360" w:firstLine="0"/>
    </w:pPr>
    <w:rPr>
      <w:rFonts w:ascii="Palatino" w:eastAsia="Times New Roman" w:hAnsi="Palatino" w:cs="Times New Roman"/>
      <w:szCs w:val="20"/>
    </w:rPr>
  </w:style>
  <w:style w:type="character" w:customStyle="1" w:styleId="BodyTextIndentChar">
    <w:name w:val="Body Text Indent Char"/>
    <w:basedOn w:val="DefaultParagraphFont"/>
    <w:link w:val="BodyTextIndent"/>
    <w:rsid w:val="004071E6"/>
    <w:rPr>
      <w:rFonts w:ascii="Palatino" w:eastAsia="Times New Roman" w:hAnsi="Palatino" w:cs="Times New Roman"/>
      <w:sz w:val="26"/>
      <w:szCs w:val="20"/>
    </w:rPr>
  </w:style>
  <w:style w:type="paragraph" w:customStyle="1" w:styleId="a1">
    <w:name w:val="a.1"/>
    <w:basedOn w:val="BodyTextIndent"/>
    <w:rsid w:val="004071E6"/>
    <w:pPr>
      <w:numPr>
        <w:ilvl w:val="1"/>
        <w:numId w:val="34"/>
      </w:numPr>
      <w:ind w:right="1080"/>
    </w:pPr>
  </w:style>
  <w:style w:type="paragraph" w:customStyle="1" w:styleId="a2">
    <w:name w:val="a2"/>
    <w:basedOn w:val="BodyTextIndent"/>
    <w:rsid w:val="004071E6"/>
    <w:pPr>
      <w:ind w:left="1166" w:right="1080" w:hanging="446"/>
    </w:pPr>
  </w:style>
  <w:style w:type="character" w:customStyle="1" w:styleId="ilfuvd">
    <w:name w:val="ilfuvd"/>
    <w:basedOn w:val="DefaultParagraphFont"/>
    <w:rsid w:val="004071E6"/>
  </w:style>
  <w:style w:type="character" w:customStyle="1" w:styleId="kx21rb">
    <w:name w:val="kx21rb"/>
    <w:basedOn w:val="DefaultParagraphFont"/>
    <w:rsid w:val="004071E6"/>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rsid w:val="004071E6"/>
    <w:rPr>
      <w:rFonts w:ascii="Book Antiqua" w:hAnsi="Book Antiqua"/>
      <w:sz w:val="22"/>
    </w:rPr>
  </w:style>
  <w:style w:type="character" w:styleId="CommentReference">
    <w:name w:val="annotation reference"/>
    <w:basedOn w:val="DefaultParagraphFont"/>
    <w:unhideWhenUsed/>
    <w:rsid w:val="004071E6"/>
    <w:rPr>
      <w:sz w:val="16"/>
      <w:szCs w:val="16"/>
    </w:rPr>
  </w:style>
  <w:style w:type="paragraph" w:styleId="CommentText">
    <w:name w:val="annotation text"/>
    <w:basedOn w:val="Normal"/>
    <w:link w:val="CommentTextChar"/>
    <w:unhideWhenUsed/>
    <w:rsid w:val="004071E6"/>
    <w:pPr>
      <w:spacing w:line="240" w:lineRule="auto"/>
      <w:ind w:firstLine="0"/>
    </w:pPr>
    <w:rPr>
      <w:rFonts w:ascii="Palatino" w:eastAsia="Times New Roman" w:hAnsi="Palatino" w:cs="Times New Roman"/>
      <w:sz w:val="20"/>
      <w:szCs w:val="20"/>
    </w:rPr>
  </w:style>
  <w:style w:type="character" w:customStyle="1" w:styleId="CommentTextChar">
    <w:name w:val="Comment Text Char"/>
    <w:basedOn w:val="DefaultParagraphFont"/>
    <w:link w:val="CommentText"/>
    <w:rsid w:val="004071E6"/>
    <w:rPr>
      <w:rFonts w:ascii="Palatino" w:eastAsia="Times New Roman" w:hAnsi="Palatino" w:cs="Times New Roman"/>
      <w:sz w:val="20"/>
      <w:szCs w:val="20"/>
    </w:rPr>
  </w:style>
  <w:style w:type="character" w:customStyle="1" w:styleId="num1Char">
    <w:name w:val="num1 Char"/>
    <w:link w:val="num1"/>
    <w:rsid w:val="004071E6"/>
    <w:rPr>
      <w:rFonts w:ascii="Palatino" w:eastAsia="Times New Roman" w:hAnsi="Palatino" w:cs="Times New Roman"/>
      <w:sz w:val="26"/>
      <w:szCs w:val="20"/>
    </w:rPr>
  </w:style>
  <w:style w:type="paragraph" w:styleId="NormalWeb">
    <w:name w:val="Normal (Web)"/>
    <w:basedOn w:val="Normal"/>
    <w:uiPriority w:val="99"/>
    <w:unhideWhenUsed/>
    <w:rsid w:val="004071E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4071E6"/>
    <w:rPr>
      <w:b/>
      <w:bCs/>
    </w:rPr>
  </w:style>
  <w:style w:type="character" w:customStyle="1" w:styleId="CommentSubjectChar">
    <w:name w:val="Comment Subject Char"/>
    <w:basedOn w:val="CommentTextChar"/>
    <w:link w:val="CommentSubject"/>
    <w:semiHidden/>
    <w:rsid w:val="004071E6"/>
    <w:rPr>
      <w:rFonts w:ascii="Palatino" w:eastAsia="Times New Roman" w:hAnsi="Palatino" w:cs="Times New Roman"/>
      <w:b/>
      <w:bCs/>
      <w:sz w:val="20"/>
      <w:szCs w:val="20"/>
    </w:rPr>
  </w:style>
  <w:style w:type="paragraph" w:styleId="Revision">
    <w:name w:val="Revision"/>
    <w:hidden/>
    <w:uiPriority w:val="99"/>
    <w:semiHidden/>
    <w:rsid w:val="004071E6"/>
    <w:pPr>
      <w:spacing w:after="0" w:line="240" w:lineRule="auto"/>
    </w:pPr>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8C02-7A5C-4369-AF68-4B8D15F5598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5547</ap:Words>
  <ap:Characters>31622</ap:Characters>
  <ap:Application>Microsoft Office Word</ap:Application>
  <ap:DocSecurity>0</ap:DocSecurity>
  <ap:Lines>263</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37095</ap:CharactersWithSpaces>
  <ap:SharedDoc>false</ap:SharedDoc>
  <ap:HLinks>
    <vt:vector baseType="variant" size="96">
      <vt:variant>
        <vt:i4>1900592</vt:i4>
      </vt:variant>
      <vt:variant>
        <vt:i4>92</vt:i4>
      </vt:variant>
      <vt:variant>
        <vt:i4>0</vt:i4>
      </vt:variant>
      <vt:variant>
        <vt:i4>5</vt:i4>
      </vt:variant>
      <vt:variant>
        <vt:lpwstr/>
      </vt:variant>
      <vt:variant>
        <vt:lpwstr>_Toc89951503</vt:lpwstr>
      </vt:variant>
      <vt:variant>
        <vt:i4>1835056</vt:i4>
      </vt:variant>
      <vt:variant>
        <vt:i4>86</vt:i4>
      </vt:variant>
      <vt:variant>
        <vt:i4>0</vt:i4>
      </vt:variant>
      <vt:variant>
        <vt:i4>5</vt:i4>
      </vt:variant>
      <vt:variant>
        <vt:lpwstr/>
      </vt:variant>
      <vt:variant>
        <vt:lpwstr>_Toc89951502</vt:lpwstr>
      </vt:variant>
      <vt:variant>
        <vt:i4>2031664</vt:i4>
      </vt:variant>
      <vt:variant>
        <vt:i4>80</vt:i4>
      </vt:variant>
      <vt:variant>
        <vt:i4>0</vt:i4>
      </vt:variant>
      <vt:variant>
        <vt:i4>5</vt:i4>
      </vt:variant>
      <vt:variant>
        <vt:lpwstr/>
      </vt:variant>
      <vt:variant>
        <vt:lpwstr>_Toc89951501</vt:lpwstr>
      </vt:variant>
      <vt:variant>
        <vt:i4>1966128</vt:i4>
      </vt:variant>
      <vt:variant>
        <vt:i4>74</vt:i4>
      </vt:variant>
      <vt:variant>
        <vt:i4>0</vt:i4>
      </vt:variant>
      <vt:variant>
        <vt:i4>5</vt:i4>
      </vt:variant>
      <vt:variant>
        <vt:lpwstr/>
      </vt:variant>
      <vt:variant>
        <vt:lpwstr>_Toc89951500</vt:lpwstr>
      </vt:variant>
      <vt:variant>
        <vt:i4>1441849</vt:i4>
      </vt:variant>
      <vt:variant>
        <vt:i4>68</vt:i4>
      </vt:variant>
      <vt:variant>
        <vt:i4>0</vt:i4>
      </vt:variant>
      <vt:variant>
        <vt:i4>5</vt:i4>
      </vt:variant>
      <vt:variant>
        <vt:lpwstr/>
      </vt:variant>
      <vt:variant>
        <vt:lpwstr>_Toc89951499</vt:lpwstr>
      </vt:variant>
      <vt:variant>
        <vt:i4>1507385</vt:i4>
      </vt:variant>
      <vt:variant>
        <vt:i4>62</vt:i4>
      </vt:variant>
      <vt:variant>
        <vt:i4>0</vt:i4>
      </vt:variant>
      <vt:variant>
        <vt:i4>5</vt:i4>
      </vt:variant>
      <vt:variant>
        <vt:lpwstr/>
      </vt:variant>
      <vt:variant>
        <vt:lpwstr>_Toc89951498</vt:lpwstr>
      </vt:variant>
      <vt:variant>
        <vt:i4>1572921</vt:i4>
      </vt:variant>
      <vt:variant>
        <vt:i4>56</vt:i4>
      </vt:variant>
      <vt:variant>
        <vt:i4>0</vt:i4>
      </vt:variant>
      <vt:variant>
        <vt:i4>5</vt:i4>
      </vt:variant>
      <vt:variant>
        <vt:lpwstr/>
      </vt:variant>
      <vt:variant>
        <vt:lpwstr>_Toc89951497</vt:lpwstr>
      </vt:variant>
      <vt:variant>
        <vt:i4>1638457</vt:i4>
      </vt:variant>
      <vt:variant>
        <vt:i4>50</vt:i4>
      </vt:variant>
      <vt:variant>
        <vt:i4>0</vt:i4>
      </vt:variant>
      <vt:variant>
        <vt:i4>5</vt:i4>
      </vt:variant>
      <vt:variant>
        <vt:lpwstr/>
      </vt:variant>
      <vt:variant>
        <vt:lpwstr>_Toc89951496</vt:lpwstr>
      </vt:variant>
      <vt:variant>
        <vt:i4>1703993</vt:i4>
      </vt:variant>
      <vt:variant>
        <vt:i4>44</vt:i4>
      </vt:variant>
      <vt:variant>
        <vt:i4>0</vt:i4>
      </vt:variant>
      <vt:variant>
        <vt:i4>5</vt:i4>
      </vt:variant>
      <vt:variant>
        <vt:lpwstr/>
      </vt:variant>
      <vt:variant>
        <vt:lpwstr>_Toc89951495</vt:lpwstr>
      </vt:variant>
      <vt:variant>
        <vt:i4>1769529</vt:i4>
      </vt:variant>
      <vt:variant>
        <vt:i4>38</vt:i4>
      </vt:variant>
      <vt:variant>
        <vt:i4>0</vt:i4>
      </vt:variant>
      <vt:variant>
        <vt:i4>5</vt:i4>
      </vt:variant>
      <vt:variant>
        <vt:lpwstr/>
      </vt:variant>
      <vt:variant>
        <vt:lpwstr>_Toc89951494</vt:lpwstr>
      </vt:variant>
      <vt:variant>
        <vt:i4>1835065</vt:i4>
      </vt:variant>
      <vt:variant>
        <vt:i4>32</vt:i4>
      </vt:variant>
      <vt:variant>
        <vt:i4>0</vt:i4>
      </vt:variant>
      <vt:variant>
        <vt:i4>5</vt:i4>
      </vt:variant>
      <vt:variant>
        <vt:lpwstr/>
      </vt:variant>
      <vt:variant>
        <vt:lpwstr>_Toc89951493</vt:lpwstr>
      </vt:variant>
      <vt:variant>
        <vt:i4>1900601</vt:i4>
      </vt:variant>
      <vt:variant>
        <vt:i4>26</vt:i4>
      </vt:variant>
      <vt:variant>
        <vt:i4>0</vt:i4>
      </vt:variant>
      <vt:variant>
        <vt:i4>5</vt:i4>
      </vt:variant>
      <vt:variant>
        <vt:lpwstr/>
      </vt:variant>
      <vt:variant>
        <vt:lpwstr>_Toc89951492</vt:lpwstr>
      </vt:variant>
      <vt:variant>
        <vt:i4>1966137</vt:i4>
      </vt:variant>
      <vt:variant>
        <vt:i4>20</vt:i4>
      </vt:variant>
      <vt:variant>
        <vt:i4>0</vt:i4>
      </vt:variant>
      <vt:variant>
        <vt:i4>5</vt:i4>
      </vt:variant>
      <vt:variant>
        <vt:lpwstr/>
      </vt:variant>
      <vt:variant>
        <vt:lpwstr>_Toc89951491</vt:lpwstr>
      </vt:variant>
      <vt:variant>
        <vt:i4>2031673</vt:i4>
      </vt:variant>
      <vt:variant>
        <vt:i4>14</vt:i4>
      </vt:variant>
      <vt:variant>
        <vt:i4>0</vt:i4>
      </vt:variant>
      <vt:variant>
        <vt:i4>5</vt:i4>
      </vt:variant>
      <vt:variant>
        <vt:lpwstr/>
      </vt:variant>
      <vt:variant>
        <vt:lpwstr>_Toc89951490</vt:lpwstr>
      </vt:variant>
      <vt:variant>
        <vt:i4>1441848</vt:i4>
      </vt:variant>
      <vt:variant>
        <vt:i4>8</vt:i4>
      </vt:variant>
      <vt:variant>
        <vt:i4>0</vt:i4>
      </vt:variant>
      <vt:variant>
        <vt:i4>5</vt:i4>
      </vt:variant>
      <vt:variant>
        <vt:lpwstr/>
      </vt:variant>
      <vt:variant>
        <vt:lpwstr>_Toc89951489</vt:lpwstr>
      </vt:variant>
      <vt:variant>
        <vt:i4>1507382</vt:i4>
      </vt:variant>
      <vt:variant>
        <vt:i4>0</vt:i4>
      </vt:variant>
      <vt:variant>
        <vt:i4>0</vt:i4>
      </vt:variant>
      <vt:variant>
        <vt:i4>5</vt:i4>
      </vt:variant>
      <vt:variant>
        <vt:lpwstr/>
      </vt:variant>
      <vt:variant>
        <vt:lpwstr>_Toc68270926</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2022-01-25T17:48:00Z</cp:lastPrinted>
  <dcterms:created xsi:type="dcterms:W3CDTF">2022-02-01T14:29:30Z</dcterms:created>
  <dcterms:modified xsi:type="dcterms:W3CDTF">2022-02-01T14:29:30Z</dcterms:modified>
</cp:coreProperties>
</file>