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6C1" w:rsidP="008E6282" w:rsidRDefault="000E4F19" w14:paraId="0C1AF11F" w14:textId="0D0C6E45">
      <w:pPr>
        <w:tabs>
          <w:tab w:val="center" w:pos="4320"/>
          <w:tab w:val="right" w:pos="9360"/>
        </w:tabs>
        <w:rPr>
          <w:rFonts w:ascii="Book Antiqua" w:hAnsi="Book Antiqua"/>
          <w:b/>
          <w:bCs/>
          <w:sz w:val="26"/>
          <w:szCs w:val="26"/>
        </w:rPr>
      </w:pPr>
      <w:r w:rsidRPr="000E4F19">
        <w:rPr>
          <w:rFonts w:ascii="Book Antiqua" w:hAnsi="Book Antiqua"/>
          <w:sz w:val="26"/>
          <w:szCs w:val="26"/>
        </w:rPr>
        <w:t>ALJ/</w:t>
      </w:r>
      <w:r>
        <w:rPr>
          <w:rFonts w:ascii="Book Antiqua" w:hAnsi="Book Antiqua"/>
          <w:sz w:val="26"/>
          <w:szCs w:val="26"/>
        </w:rPr>
        <w:t>SW9/mph</w:t>
      </w:r>
      <w:r w:rsidRPr="000E4F19" w:rsidR="007E0FEE">
        <w:rPr>
          <w:rFonts w:ascii="Book Antiqua" w:hAnsi="Book Antiqua"/>
          <w:sz w:val="28"/>
          <w:szCs w:val="28"/>
        </w:rPr>
        <w:tab/>
      </w:r>
      <w:r w:rsidR="008E6282">
        <w:rPr>
          <w:rFonts w:ascii="Book Antiqua" w:hAnsi="Book Antiqua"/>
          <w:sz w:val="28"/>
          <w:szCs w:val="28"/>
        </w:rPr>
        <w:tab/>
      </w:r>
      <w:r w:rsidRPr="008E6282" w:rsidR="008E6282">
        <w:rPr>
          <w:rFonts w:ascii="Book Antiqua" w:hAnsi="Book Antiqua"/>
          <w:b/>
          <w:bCs/>
          <w:sz w:val="26"/>
          <w:szCs w:val="26"/>
        </w:rPr>
        <w:t>Date of Issuance 2/2/2022</w:t>
      </w:r>
    </w:p>
    <w:p w:rsidRPr="008E6282" w:rsidR="008E169F" w:rsidP="008E6282" w:rsidRDefault="008E169F" w14:paraId="30EF14C6" w14:textId="77777777">
      <w:pPr>
        <w:tabs>
          <w:tab w:val="center" w:pos="4320"/>
          <w:tab w:val="right" w:pos="9360"/>
        </w:tabs>
        <w:rPr>
          <w:rFonts w:ascii="Book Antiqua" w:hAnsi="Book Antiqua"/>
          <w:b/>
          <w:bCs/>
          <w:sz w:val="26"/>
          <w:szCs w:val="26"/>
        </w:rPr>
      </w:pPr>
    </w:p>
    <w:p w:rsidRPr="000E4F19" w:rsidR="00DA7B5D" w:rsidP="008F0116" w:rsidRDefault="00DA7B5D" w14:paraId="02C3A333" w14:textId="77777777">
      <w:pPr>
        <w:rPr>
          <w:rFonts w:ascii="Book Antiqua" w:hAnsi="Book Antiqua"/>
        </w:rPr>
      </w:pPr>
    </w:p>
    <w:p w:rsidRPr="000E4F19" w:rsidR="00DA7B5D" w:rsidP="0098655A" w:rsidRDefault="00DA7B5D" w14:paraId="265898AC" w14:textId="45720625">
      <w:pPr>
        <w:ind w:left="1080" w:hanging="1080"/>
        <w:rPr>
          <w:rFonts w:ascii="Book Antiqua" w:hAnsi="Book Antiqua"/>
          <w:sz w:val="26"/>
          <w:szCs w:val="26"/>
        </w:rPr>
      </w:pPr>
      <w:r w:rsidRPr="000E4F19">
        <w:rPr>
          <w:rFonts w:ascii="Book Antiqua" w:hAnsi="Book Antiqua"/>
          <w:sz w:val="26"/>
          <w:szCs w:val="26"/>
        </w:rPr>
        <w:t xml:space="preserve">Decision </w:t>
      </w:r>
      <w:r w:rsidR="008E169F">
        <w:rPr>
          <w:rFonts w:ascii="Book Antiqua" w:hAnsi="Book Antiqua"/>
          <w:sz w:val="26"/>
          <w:szCs w:val="26"/>
        </w:rPr>
        <w:t>22-01-</w:t>
      </w:r>
      <w:proofErr w:type="gramStart"/>
      <w:r w:rsidR="008E169F">
        <w:rPr>
          <w:rFonts w:ascii="Book Antiqua" w:hAnsi="Book Antiqua"/>
          <w:sz w:val="26"/>
          <w:szCs w:val="26"/>
        </w:rPr>
        <w:t>023  January</w:t>
      </w:r>
      <w:proofErr w:type="gramEnd"/>
      <w:r w:rsidR="008E169F">
        <w:rPr>
          <w:rFonts w:ascii="Book Antiqua" w:hAnsi="Book Antiqua"/>
          <w:sz w:val="26"/>
          <w:szCs w:val="26"/>
        </w:rPr>
        <w:t xml:space="preserve"> 27, 2022</w:t>
      </w:r>
    </w:p>
    <w:p w:rsidRPr="000E4F19" w:rsidR="00DA7B5D" w:rsidP="00BB0243" w:rsidRDefault="00DA7B5D" w14:paraId="2FE5BA5B" w14:textId="77777777">
      <w:pPr>
        <w:jc w:val="center"/>
        <w:rPr>
          <w:rFonts w:ascii="Book Antiqua" w:hAnsi="Book Antiqua"/>
          <w:u w:val="single"/>
        </w:rPr>
      </w:pPr>
    </w:p>
    <w:p w:rsidR="00DA7B5D" w:rsidP="00BB0243" w:rsidRDefault="00DA7B5D" w14:paraId="1B2B048F" w14:textId="77777777">
      <w:pPr>
        <w:jc w:val="center"/>
        <w:rPr>
          <w:rFonts w:ascii="Arial" w:hAnsi="Arial" w:cs="Arial"/>
        </w:rPr>
      </w:pPr>
      <w:r w:rsidRPr="00DA7B5D">
        <w:rPr>
          <w:rFonts w:ascii="Arial" w:hAnsi="Arial" w:cs="Arial"/>
          <w:b/>
        </w:rPr>
        <w:t>BEFORE THE PUBLIC UTILITIES COMMISSION OF THE STATE OF CALIFORNIA</w:t>
      </w:r>
    </w:p>
    <w:p w:rsidRPr="007E1F9F" w:rsidR="00DA7B5D" w:rsidP="008F0116" w:rsidRDefault="00DA7B5D" w14:paraId="5C5AB112" w14:textId="77777777">
      <w:pPr>
        <w:rPr>
          <w:rFonts w:ascii="Book Antiqua" w:hAnsi="Book Antiqua" w:cs="Arial"/>
          <w:sz w:val="26"/>
          <w:szCs w:val="26"/>
        </w:rPr>
      </w:pPr>
    </w:p>
    <w:tbl>
      <w:tblPr>
        <w:tblStyle w:val="TableGrid"/>
        <w:tblW w:w="9360" w:type="dxa"/>
        <w:jc w:val="center"/>
        <w:tblLayout w:type="fixed"/>
        <w:tblLook w:val="04A0" w:firstRow="1" w:lastRow="0" w:firstColumn="1" w:lastColumn="0" w:noHBand="0" w:noVBand="1"/>
      </w:tblPr>
      <w:tblGrid>
        <w:gridCol w:w="4680"/>
        <w:gridCol w:w="4680"/>
      </w:tblGrid>
      <w:tr w:rsidRPr="007E1F9F" w:rsidR="00DA7B5D" w:rsidTr="00E725FC" w14:paraId="6E85E98C" w14:textId="77777777">
        <w:trPr>
          <w:jc w:val="center"/>
        </w:trPr>
        <w:tc>
          <w:tcPr>
            <w:tcW w:w="5040" w:type="dxa"/>
            <w:tcBorders>
              <w:top w:val="nil"/>
              <w:left w:val="nil"/>
              <w:bottom w:val="single" w:color="auto" w:sz="4" w:space="0"/>
              <w:right w:val="single" w:color="auto" w:sz="4" w:space="0"/>
            </w:tcBorders>
          </w:tcPr>
          <w:p w:rsidRPr="007E1F9F" w:rsidR="00DA7B5D" w:rsidP="00C10B5F" w:rsidRDefault="00F035C5" w14:paraId="1E47F88D" w14:textId="6E632637">
            <w:pPr>
              <w:rPr>
                <w:rFonts w:ascii="Book Antiqua" w:hAnsi="Book Antiqua" w:cs="Arial"/>
                <w:sz w:val="26"/>
                <w:szCs w:val="26"/>
              </w:rPr>
            </w:pPr>
            <w:r w:rsidRPr="007E1F9F">
              <w:rPr>
                <w:rFonts w:ascii="Book Antiqua" w:hAnsi="Book Antiqua" w:cs="Arial"/>
                <w:sz w:val="26"/>
                <w:szCs w:val="26"/>
              </w:rPr>
              <w:t>Order Instituting Rulemaking to Review, Revise, and Consider Alternatives to the Power Charge Indifference Adjustment.</w:t>
            </w:r>
            <w:r w:rsidRPr="007E1F9F" w:rsidR="00DA7B5D">
              <w:rPr>
                <w:rFonts w:ascii="Book Antiqua" w:hAnsi="Book Antiqua" w:cs="Arial"/>
                <w:sz w:val="26"/>
                <w:szCs w:val="26"/>
              </w:rPr>
              <w:br/>
            </w:r>
          </w:p>
        </w:tc>
        <w:tc>
          <w:tcPr>
            <w:tcW w:w="5040" w:type="dxa"/>
            <w:tcBorders>
              <w:top w:val="nil"/>
              <w:left w:val="single" w:color="auto" w:sz="4" w:space="0"/>
              <w:bottom w:val="nil"/>
              <w:right w:val="nil"/>
            </w:tcBorders>
            <w:vAlign w:val="center"/>
          </w:tcPr>
          <w:p w:rsidRPr="007E1F9F" w:rsidR="00DA7B5D" w:rsidP="00412C83" w:rsidRDefault="00F035C5" w14:paraId="4A16FA1C" w14:textId="5EE67F18">
            <w:pPr>
              <w:jc w:val="center"/>
              <w:rPr>
                <w:rFonts w:ascii="Book Antiqua" w:hAnsi="Book Antiqua" w:cs="Arial"/>
                <w:sz w:val="26"/>
                <w:szCs w:val="26"/>
              </w:rPr>
            </w:pPr>
            <w:r w:rsidRPr="007E1F9F">
              <w:rPr>
                <w:rFonts w:ascii="Book Antiqua" w:hAnsi="Book Antiqua" w:cs="Arial"/>
                <w:sz w:val="26"/>
                <w:szCs w:val="26"/>
              </w:rPr>
              <w:t>R</w:t>
            </w:r>
            <w:r w:rsidR="000E4F19">
              <w:rPr>
                <w:rFonts w:ascii="Book Antiqua" w:hAnsi="Book Antiqua" w:cs="Arial"/>
                <w:sz w:val="26"/>
                <w:szCs w:val="26"/>
              </w:rPr>
              <w:t xml:space="preserve">ulemaking </w:t>
            </w:r>
            <w:r w:rsidRPr="007E1F9F">
              <w:rPr>
                <w:rFonts w:ascii="Book Antiqua" w:hAnsi="Book Antiqua" w:cs="Arial"/>
                <w:sz w:val="26"/>
                <w:szCs w:val="26"/>
              </w:rPr>
              <w:t>17-06-026</w:t>
            </w:r>
          </w:p>
        </w:tc>
      </w:tr>
    </w:tbl>
    <w:p w:rsidR="00DA7B5D" w:rsidP="008F0116" w:rsidRDefault="00DA7B5D" w14:paraId="225D96D9" w14:textId="77777777">
      <w:pPr>
        <w:rPr>
          <w:rFonts w:ascii="Arial" w:hAnsi="Arial" w:cs="Arial"/>
        </w:rPr>
      </w:pPr>
    </w:p>
    <w:p w:rsidR="00DA7B5D" w:rsidP="008F0116" w:rsidRDefault="00DA7B5D" w14:paraId="7B70C763" w14:textId="77777777">
      <w:pPr>
        <w:rPr>
          <w:rFonts w:ascii="Arial" w:hAnsi="Arial" w:cs="Arial"/>
        </w:rPr>
      </w:pPr>
    </w:p>
    <w:p w:rsidRPr="00F92385" w:rsidR="00F92385" w:rsidP="00B3087D" w:rsidRDefault="00F035C5" w14:paraId="309E28E3" w14:textId="2F210D48">
      <w:pPr>
        <w:pStyle w:val="Dummy"/>
        <w:jc w:val="center"/>
        <w:sectPr w:rsidRPr="00F92385" w:rsidR="00F92385" w:rsidSect="00AC1EE3">
          <w:headerReference w:type="first" r:id="rId11"/>
          <w:footerReference w:type="first" r:id="rId12"/>
          <w:pgSz w:w="12240" w:h="15840"/>
          <w:pgMar w:top="1440" w:right="1440" w:bottom="1440" w:left="1440" w:header="720" w:footer="720" w:gutter="0"/>
          <w:pgNumType w:start="1"/>
          <w:cols w:space="720"/>
          <w:titlePg/>
          <w:docGrid w:linePitch="360"/>
        </w:sectPr>
      </w:pPr>
      <w:bookmarkStart w:name="_Toc93918131" w:id="0"/>
      <w:r>
        <w:t>DECISION RESOLVING PHASE 2 ISSUES RELATED TO ENERGY RESOURCES RECOVERY ACCOUNT</w:t>
      </w:r>
      <w:r w:rsidR="006A32DA">
        <w:t xml:space="preserve"> PROCEEDINGS</w:t>
      </w:r>
      <w:bookmarkEnd w:id="0"/>
    </w:p>
    <w:p w:rsidRPr="001E2A62" w:rsidR="00D50119" w:rsidP="00F76650" w:rsidRDefault="00D50119" w14:paraId="3E93531F"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34E8B11E" w14:textId="77777777">
      <w:pPr>
        <w:tabs>
          <w:tab w:val="right" w:pos="9360"/>
        </w:tabs>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F22C07" w:rsidP="00F22C07" w:rsidRDefault="005F3102" w14:paraId="40A0A5CC" w14:textId="03E61B52">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93918131">
            <w:r w:rsidRPr="005370EE" w:rsidR="00F22C07">
              <w:rPr>
                <w:rStyle w:val="Hyperlink"/>
                <w:noProof/>
              </w:rPr>
              <w:t>DECISION RESOLVING PHASE 2 ISSUES RELATED TO ENERGY RESOURCES RECOVERY ACCOUNT PROCEEDINGS</w:t>
            </w:r>
            <w:r w:rsidR="00F22C07">
              <w:rPr>
                <w:noProof/>
                <w:webHidden/>
              </w:rPr>
              <w:tab/>
            </w:r>
            <w:r w:rsidR="00F22C07">
              <w:rPr>
                <w:noProof/>
                <w:webHidden/>
              </w:rPr>
              <w:fldChar w:fldCharType="begin"/>
            </w:r>
            <w:r w:rsidR="00F22C07">
              <w:rPr>
                <w:noProof/>
                <w:webHidden/>
              </w:rPr>
              <w:instrText xml:space="preserve"> PAGEREF _Toc93918131 \h </w:instrText>
            </w:r>
            <w:r w:rsidR="00F22C07">
              <w:rPr>
                <w:noProof/>
                <w:webHidden/>
              </w:rPr>
            </w:r>
            <w:r w:rsidR="00F22C07">
              <w:rPr>
                <w:noProof/>
                <w:webHidden/>
              </w:rPr>
              <w:fldChar w:fldCharType="separate"/>
            </w:r>
            <w:r w:rsidR="00706DD8">
              <w:rPr>
                <w:noProof/>
                <w:webHidden/>
              </w:rPr>
              <w:t>1</w:t>
            </w:r>
            <w:r w:rsidR="00F22C07">
              <w:rPr>
                <w:noProof/>
                <w:webHidden/>
              </w:rPr>
              <w:fldChar w:fldCharType="end"/>
            </w:r>
          </w:hyperlink>
        </w:p>
        <w:p w:rsidR="00F22C07" w:rsidRDefault="006C07FD" w14:paraId="6E05651D" w14:textId="412A892A">
          <w:pPr>
            <w:pStyle w:val="TOC1"/>
            <w:tabs>
              <w:tab w:val="right" w:leader="dot" w:pos="9350"/>
            </w:tabs>
            <w:rPr>
              <w:rFonts w:asciiTheme="minorHAnsi" w:hAnsiTheme="minorHAnsi" w:cstheme="minorBidi"/>
              <w:noProof/>
              <w:sz w:val="22"/>
            </w:rPr>
          </w:pPr>
          <w:hyperlink w:history="1" w:anchor="_Toc93918132">
            <w:r w:rsidRPr="005370EE" w:rsidR="00F22C07">
              <w:rPr>
                <w:rStyle w:val="Hyperlink"/>
                <w:noProof/>
              </w:rPr>
              <w:t>Summary</w:t>
            </w:r>
            <w:r w:rsidR="00F22C07">
              <w:rPr>
                <w:noProof/>
                <w:webHidden/>
              </w:rPr>
              <w:tab/>
            </w:r>
            <w:r w:rsidR="00F22C07">
              <w:rPr>
                <w:noProof/>
                <w:webHidden/>
              </w:rPr>
              <w:fldChar w:fldCharType="begin"/>
            </w:r>
            <w:r w:rsidR="00F22C07">
              <w:rPr>
                <w:noProof/>
                <w:webHidden/>
              </w:rPr>
              <w:instrText xml:space="preserve"> PAGEREF _Toc93918132 \h </w:instrText>
            </w:r>
            <w:r w:rsidR="00F22C07">
              <w:rPr>
                <w:noProof/>
                <w:webHidden/>
              </w:rPr>
            </w:r>
            <w:r w:rsidR="00F22C07">
              <w:rPr>
                <w:noProof/>
                <w:webHidden/>
              </w:rPr>
              <w:fldChar w:fldCharType="separate"/>
            </w:r>
            <w:r w:rsidR="00706DD8">
              <w:rPr>
                <w:noProof/>
                <w:webHidden/>
              </w:rPr>
              <w:t>2</w:t>
            </w:r>
            <w:r w:rsidR="00F22C07">
              <w:rPr>
                <w:noProof/>
                <w:webHidden/>
              </w:rPr>
              <w:fldChar w:fldCharType="end"/>
            </w:r>
          </w:hyperlink>
        </w:p>
        <w:p w:rsidR="00F22C07" w:rsidRDefault="006C07FD" w14:paraId="6004F9DA" w14:textId="132FBA2F">
          <w:pPr>
            <w:pStyle w:val="TOC1"/>
            <w:tabs>
              <w:tab w:val="right" w:leader="dot" w:pos="9350"/>
            </w:tabs>
            <w:rPr>
              <w:rFonts w:asciiTheme="minorHAnsi" w:hAnsiTheme="minorHAnsi" w:cstheme="minorBidi"/>
              <w:noProof/>
              <w:sz w:val="22"/>
            </w:rPr>
          </w:pPr>
          <w:hyperlink w:history="1" w:anchor="_Toc93918133">
            <w:r w:rsidRPr="005370EE" w:rsidR="00F22C07">
              <w:rPr>
                <w:rStyle w:val="Hyperlink"/>
                <w:noProof/>
              </w:rPr>
              <w:t>1.</w:t>
            </w:r>
            <w:r w:rsidR="00F22C07">
              <w:rPr>
                <w:rFonts w:asciiTheme="minorHAnsi" w:hAnsiTheme="minorHAnsi" w:cstheme="minorBidi"/>
                <w:noProof/>
                <w:sz w:val="22"/>
              </w:rPr>
              <w:tab/>
            </w:r>
            <w:r w:rsidRPr="005370EE" w:rsidR="00F22C07">
              <w:rPr>
                <w:rStyle w:val="Hyperlink"/>
                <w:noProof/>
              </w:rPr>
              <w:t>Background</w:t>
            </w:r>
            <w:r w:rsidR="00F22C07">
              <w:rPr>
                <w:noProof/>
                <w:webHidden/>
              </w:rPr>
              <w:tab/>
            </w:r>
            <w:r w:rsidR="00F22C07">
              <w:rPr>
                <w:noProof/>
                <w:webHidden/>
              </w:rPr>
              <w:fldChar w:fldCharType="begin"/>
            </w:r>
            <w:r w:rsidR="00F22C07">
              <w:rPr>
                <w:noProof/>
                <w:webHidden/>
              </w:rPr>
              <w:instrText xml:space="preserve"> PAGEREF _Toc93918133 \h </w:instrText>
            </w:r>
            <w:r w:rsidR="00F22C07">
              <w:rPr>
                <w:noProof/>
                <w:webHidden/>
              </w:rPr>
            </w:r>
            <w:r w:rsidR="00F22C07">
              <w:rPr>
                <w:noProof/>
                <w:webHidden/>
              </w:rPr>
              <w:fldChar w:fldCharType="separate"/>
            </w:r>
            <w:r w:rsidR="00706DD8">
              <w:rPr>
                <w:noProof/>
                <w:webHidden/>
              </w:rPr>
              <w:t>2</w:t>
            </w:r>
            <w:r w:rsidR="00F22C07">
              <w:rPr>
                <w:noProof/>
                <w:webHidden/>
              </w:rPr>
              <w:fldChar w:fldCharType="end"/>
            </w:r>
          </w:hyperlink>
        </w:p>
        <w:p w:rsidR="00F22C07" w:rsidRDefault="006C07FD" w14:paraId="39F204D3" w14:textId="759FDC9C">
          <w:pPr>
            <w:pStyle w:val="TOC1"/>
            <w:tabs>
              <w:tab w:val="right" w:leader="dot" w:pos="9350"/>
            </w:tabs>
            <w:rPr>
              <w:rFonts w:asciiTheme="minorHAnsi" w:hAnsiTheme="minorHAnsi" w:cstheme="minorBidi"/>
              <w:noProof/>
              <w:sz w:val="22"/>
            </w:rPr>
          </w:pPr>
          <w:hyperlink w:history="1" w:anchor="_Toc93918134">
            <w:r w:rsidRPr="005370EE" w:rsidR="00F22C07">
              <w:rPr>
                <w:rStyle w:val="Hyperlink"/>
                <w:noProof/>
              </w:rPr>
              <w:t>2.</w:t>
            </w:r>
            <w:r w:rsidR="00F22C07">
              <w:rPr>
                <w:rFonts w:asciiTheme="minorHAnsi" w:hAnsiTheme="minorHAnsi" w:cstheme="minorBidi"/>
                <w:noProof/>
                <w:sz w:val="22"/>
              </w:rPr>
              <w:tab/>
            </w:r>
            <w:r w:rsidRPr="005370EE" w:rsidR="00F22C07">
              <w:rPr>
                <w:rStyle w:val="Hyperlink"/>
                <w:noProof/>
              </w:rPr>
              <w:t>Issues Before the Commission</w:t>
            </w:r>
            <w:r w:rsidR="00F22C07">
              <w:rPr>
                <w:noProof/>
                <w:webHidden/>
              </w:rPr>
              <w:tab/>
            </w:r>
            <w:r w:rsidR="00F22C07">
              <w:rPr>
                <w:noProof/>
                <w:webHidden/>
              </w:rPr>
              <w:fldChar w:fldCharType="begin"/>
            </w:r>
            <w:r w:rsidR="00F22C07">
              <w:rPr>
                <w:noProof/>
                <w:webHidden/>
              </w:rPr>
              <w:instrText xml:space="preserve"> PAGEREF _Toc93918134 \h </w:instrText>
            </w:r>
            <w:r w:rsidR="00F22C07">
              <w:rPr>
                <w:noProof/>
                <w:webHidden/>
              </w:rPr>
            </w:r>
            <w:r w:rsidR="00F22C07">
              <w:rPr>
                <w:noProof/>
                <w:webHidden/>
              </w:rPr>
              <w:fldChar w:fldCharType="separate"/>
            </w:r>
            <w:r w:rsidR="00706DD8">
              <w:rPr>
                <w:noProof/>
                <w:webHidden/>
              </w:rPr>
              <w:t>4</w:t>
            </w:r>
            <w:r w:rsidR="00F22C07">
              <w:rPr>
                <w:noProof/>
                <w:webHidden/>
              </w:rPr>
              <w:fldChar w:fldCharType="end"/>
            </w:r>
          </w:hyperlink>
        </w:p>
        <w:p w:rsidR="00F22C07" w:rsidRDefault="006C07FD" w14:paraId="14AFEA52" w14:textId="62AEB272">
          <w:pPr>
            <w:pStyle w:val="TOC1"/>
            <w:tabs>
              <w:tab w:val="right" w:leader="dot" w:pos="9350"/>
            </w:tabs>
            <w:rPr>
              <w:rFonts w:asciiTheme="minorHAnsi" w:hAnsiTheme="minorHAnsi" w:cstheme="minorBidi"/>
              <w:noProof/>
              <w:sz w:val="22"/>
            </w:rPr>
          </w:pPr>
          <w:hyperlink w:history="1" w:anchor="_Toc93918135">
            <w:r w:rsidRPr="005370EE" w:rsidR="00F22C07">
              <w:rPr>
                <w:rStyle w:val="Hyperlink"/>
                <w:noProof/>
              </w:rPr>
              <w:t>3.</w:t>
            </w:r>
            <w:r w:rsidR="00F22C07">
              <w:rPr>
                <w:rFonts w:asciiTheme="minorHAnsi" w:hAnsiTheme="minorHAnsi" w:cstheme="minorBidi"/>
                <w:noProof/>
                <w:sz w:val="22"/>
              </w:rPr>
              <w:tab/>
            </w:r>
            <w:r w:rsidRPr="005370EE" w:rsidR="00F22C07">
              <w:rPr>
                <w:rStyle w:val="Hyperlink"/>
                <w:noProof/>
              </w:rPr>
              <w:t>Whether to Modify ERRA Deadlines or Requirements</w:t>
            </w:r>
            <w:r w:rsidR="00F22C07">
              <w:rPr>
                <w:noProof/>
                <w:webHidden/>
              </w:rPr>
              <w:tab/>
            </w:r>
            <w:r w:rsidR="00F22C07">
              <w:rPr>
                <w:noProof/>
                <w:webHidden/>
              </w:rPr>
              <w:fldChar w:fldCharType="begin"/>
            </w:r>
            <w:r w:rsidR="00F22C07">
              <w:rPr>
                <w:noProof/>
                <w:webHidden/>
              </w:rPr>
              <w:instrText xml:space="preserve"> PAGEREF _Toc93918135 \h </w:instrText>
            </w:r>
            <w:r w:rsidR="00F22C07">
              <w:rPr>
                <w:noProof/>
                <w:webHidden/>
              </w:rPr>
            </w:r>
            <w:r w:rsidR="00F22C07">
              <w:rPr>
                <w:noProof/>
                <w:webHidden/>
              </w:rPr>
              <w:fldChar w:fldCharType="separate"/>
            </w:r>
            <w:r w:rsidR="00706DD8">
              <w:rPr>
                <w:noProof/>
                <w:webHidden/>
              </w:rPr>
              <w:t>5</w:t>
            </w:r>
            <w:r w:rsidR="00F22C07">
              <w:rPr>
                <w:noProof/>
                <w:webHidden/>
              </w:rPr>
              <w:fldChar w:fldCharType="end"/>
            </w:r>
          </w:hyperlink>
        </w:p>
        <w:p w:rsidR="00F22C07" w:rsidRDefault="006C07FD" w14:paraId="3BBD1332" w14:textId="2CB5D9BD">
          <w:pPr>
            <w:pStyle w:val="TOC2"/>
            <w:tabs>
              <w:tab w:val="right" w:leader="dot" w:pos="9350"/>
            </w:tabs>
            <w:rPr>
              <w:rFonts w:asciiTheme="minorHAnsi" w:hAnsiTheme="minorHAnsi" w:cstheme="minorBidi"/>
              <w:noProof/>
              <w:sz w:val="22"/>
            </w:rPr>
          </w:pPr>
          <w:hyperlink w:history="1" w:anchor="_Toc93918136">
            <w:r w:rsidRPr="005370EE" w:rsidR="00F22C07">
              <w:rPr>
                <w:rStyle w:val="Hyperlink"/>
                <w:noProof/>
              </w:rPr>
              <w:t>3.1.</w:t>
            </w:r>
            <w:r w:rsidR="00F22C07">
              <w:rPr>
                <w:rFonts w:asciiTheme="minorHAnsi" w:hAnsiTheme="minorHAnsi" w:cstheme="minorBidi"/>
                <w:noProof/>
                <w:sz w:val="22"/>
              </w:rPr>
              <w:tab/>
            </w:r>
            <w:r w:rsidRPr="005370EE" w:rsidR="00F22C07">
              <w:rPr>
                <w:rStyle w:val="Hyperlink"/>
                <w:noProof/>
              </w:rPr>
              <w:t>PCIA Market Price Benchmark Calculation Release Date</w:t>
            </w:r>
            <w:r w:rsidR="00F22C07">
              <w:rPr>
                <w:noProof/>
                <w:webHidden/>
              </w:rPr>
              <w:tab/>
            </w:r>
            <w:r w:rsidR="00F22C07">
              <w:rPr>
                <w:noProof/>
                <w:webHidden/>
              </w:rPr>
              <w:fldChar w:fldCharType="begin"/>
            </w:r>
            <w:r w:rsidR="00F22C07">
              <w:rPr>
                <w:noProof/>
                <w:webHidden/>
              </w:rPr>
              <w:instrText xml:space="preserve"> PAGEREF _Toc93918136 \h </w:instrText>
            </w:r>
            <w:r w:rsidR="00F22C07">
              <w:rPr>
                <w:noProof/>
                <w:webHidden/>
              </w:rPr>
            </w:r>
            <w:r w:rsidR="00F22C07">
              <w:rPr>
                <w:noProof/>
                <w:webHidden/>
              </w:rPr>
              <w:fldChar w:fldCharType="separate"/>
            </w:r>
            <w:r w:rsidR="00706DD8">
              <w:rPr>
                <w:noProof/>
                <w:webHidden/>
              </w:rPr>
              <w:t>5</w:t>
            </w:r>
            <w:r w:rsidR="00F22C07">
              <w:rPr>
                <w:noProof/>
                <w:webHidden/>
              </w:rPr>
              <w:fldChar w:fldCharType="end"/>
            </w:r>
          </w:hyperlink>
        </w:p>
        <w:p w:rsidR="00F22C07" w:rsidRDefault="006C07FD" w14:paraId="5F9642F9" w14:textId="56911494">
          <w:pPr>
            <w:pStyle w:val="TOC2"/>
            <w:tabs>
              <w:tab w:val="right" w:leader="dot" w:pos="9350"/>
            </w:tabs>
            <w:rPr>
              <w:rFonts w:asciiTheme="minorHAnsi" w:hAnsiTheme="minorHAnsi" w:cstheme="minorBidi"/>
              <w:noProof/>
              <w:sz w:val="22"/>
            </w:rPr>
          </w:pPr>
          <w:hyperlink w:history="1" w:anchor="_Toc93918137">
            <w:r w:rsidRPr="005370EE" w:rsidR="00F22C07">
              <w:rPr>
                <w:rStyle w:val="Hyperlink"/>
                <w:noProof/>
              </w:rPr>
              <w:t>3.2.</w:t>
            </w:r>
            <w:r w:rsidR="00F22C07">
              <w:rPr>
                <w:rFonts w:asciiTheme="minorHAnsi" w:hAnsiTheme="minorHAnsi" w:cstheme="minorBidi"/>
                <w:noProof/>
                <w:sz w:val="22"/>
              </w:rPr>
              <w:tab/>
            </w:r>
            <w:r w:rsidRPr="005370EE" w:rsidR="00F22C07">
              <w:rPr>
                <w:rStyle w:val="Hyperlink"/>
                <w:noProof/>
              </w:rPr>
              <w:t>ERRA Forecast Application Filing Deadlines</w:t>
            </w:r>
            <w:r w:rsidR="00F22C07">
              <w:rPr>
                <w:noProof/>
                <w:webHidden/>
              </w:rPr>
              <w:tab/>
            </w:r>
            <w:r w:rsidR="00F22C07">
              <w:rPr>
                <w:noProof/>
                <w:webHidden/>
              </w:rPr>
              <w:fldChar w:fldCharType="begin"/>
            </w:r>
            <w:r w:rsidR="00F22C07">
              <w:rPr>
                <w:noProof/>
                <w:webHidden/>
              </w:rPr>
              <w:instrText xml:space="preserve"> PAGEREF _Toc93918137 \h </w:instrText>
            </w:r>
            <w:r w:rsidR="00F22C07">
              <w:rPr>
                <w:noProof/>
                <w:webHidden/>
              </w:rPr>
            </w:r>
            <w:r w:rsidR="00F22C07">
              <w:rPr>
                <w:noProof/>
                <w:webHidden/>
              </w:rPr>
              <w:fldChar w:fldCharType="separate"/>
            </w:r>
            <w:r w:rsidR="00706DD8">
              <w:rPr>
                <w:noProof/>
                <w:webHidden/>
              </w:rPr>
              <w:t>12</w:t>
            </w:r>
            <w:r w:rsidR="00F22C07">
              <w:rPr>
                <w:noProof/>
                <w:webHidden/>
              </w:rPr>
              <w:fldChar w:fldCharType="end"/>
            </w:r>
          </w:hyperlink>
        </w:p>
        <w:p w:rsidR="00F22C07" w:rsidRDefault="006C07FD" w14:paraId="2294342F" w14:textId="2C0F8E67">
          <w:pPr>
            <w:pStyle w:val="TOC1"/>
            <w:tabs>
              <w:tab w:val="right" w:leader="dot" w:pos="9350"/>
            </w:tabs>
            <w:rPr>
              <w:rFonts w:asciiTheme="minorHAnsi" w:hAnsiTheme="minorHAnsi" w:cstheme="minorBidi"/>
              <w:noProof/>
              <w:sz w:val="22"/>
            </w:rPr>
          </w:pPr>
          <w:hyperlink w:history="1" w:anchor="_Toc93918138">
            <w:r w:rsidRPr="005370EE" w:rsidR="00F22C07">
              <w:rPr>
                <w:rStyle w:val="Hyperlink"/>
                <w:noProof/>
              </w:rPr>
              <w:t>5.</w:t>
            </w:r>
            <w:r w:rsidR="00F22C07">
              <w:rPr>
                <w:rFonts w:asciiTheme="minorHAnsi" w:hAnsiTheme="minorHAnsi" w:cstheme="minorBidi"/>
                <w:noProof/>
                <w:sz w:val="22"/>
              </w:rPr>
              <w:tab/>
            </w:r>
            <w:r w:rsidRPr="005370EE" w:rsidR="00F22C07">
              <w:rPr>
                <w:rStyle w:val="Hyperlink"/>
                <w:noProof/>
              </w:rPr>
              <w:t>Whether any other changes are necessary to ensure efficient implementation of PCIA issues within ERRA proceedings</w:t>
            </w:r>
            <w:r w:rsidR="00F22C07">
              <w:rPr>
                <w:noProof/>
                <w:webHidden/>
              </w:rPr>
              <w:tab/>
            </w:r>
            <w:r w:rsidR="00F22C07">
              <w:rPr>
                <w:noProof/>
                <w:webHidden/>
              </w:rPr>
              <w:fldChar w:fldCharType="begin"/>
            </w:r>
            <w:r w:rsidR="00F22C07">
              <w:rPr>
                <w:noProof/>
                <w:webHidden/>
              </w:rPr>
              <w:instrText xml:space="preserve"> PAGEREF _Toc93918138 \h </w:instrText>
            </w:r>
            <w:r w:rsidR="00F22C07">
              <w:rPr>
                <w:noProof/>
                <w:webHidden/>
              </w:rPr>
            </w:r>
            <w:r w:rsidR="00F22C07">
              <w:rPr>
                <w:noProof/>
                <w:webHidden/>
              </w:rPr>
              <w:fldChar w:fldCharType="separate"/>
            </w:r>
            <w:r w:rsidR="00706DD8">
              <w:rPr>
                <w:noProof/>
                <w:webHidden/>
              </w:rPr>
              <w:t>15</w:t>
            </w:r>
            <w:r w:rsidR="00F22C07">
              <w:rPr>
                <w:noProof/>
                <w:webHidden/>
              </w:rPr>
              <w:fldChar w:fldCharType="end"/>
            </w:r>
          </w:hyperlink>
        </w:p>
        <w:p w:rsidR="00F22C07" w:rsidRDefault="006C07FD" w14:paraId="2AA2ADDE" w14:textId="28ED0A71">
          <w:pPr>
            <w:pStyle w:val="TOC2"/>
            <w:tabs>
              <w:tab w:val="right" w:leader="dot" w:pos="9350"/>
            </w:tabs>
            <w:rPr>
              <w:rFonts w:asciiTheme="minorHAnsi" w:hAnsiTheme="minorHAnsi" w:cstheme="minorBidi"/>
              <w:noProof/>
              <w:sz w:val="22"/>
            </w:rPr>
          </w:pPr>
          <w:hyperlink w:history="1" w:anchor="_Toc93918139">
            <w:r w:rsidRPr="005370EE" w:rsidR="00F22C07">
              <w:rPr>
                <w:rStyle w:val="Hyperlink"/>
                <w:noProof/>
              </w:rPr>
              <w:t>5.1.</w:t>
            </w:r>
            <w:r w:rsidR="00F22C07">
              <w:rPr>
                <w:rFonts w:asciiTheme="minorHAnsi" w:hAnsiTheme="minorHAnsi" w:cstheme="minorBidi"/>
                <w:noProof/>
                <w:sz w:val="22"/>
              </w:rPr>
              <w:tab/>
            </w:r>
            <w:r w:rsidRPr="005370EE" w:rsidR="00F22C07">
              <w:rPr>
                <w:rStyle w:val="Hyperlink"/>
                <w:noProof/>
              </w:rPr>
              <w:t>Data Access</w:t>
            </w:r>
            <w:r w:rsidR="00F22C07">
              <w:rPr>
                <w:noProof/>
                <w:webHidden/>
              </w:rPr>
              <w:tab/>
            </w:r>
            <w:r w:rsidR="00F22C07">
              <w:rPr>
                <w:noProof/>
                <w:webHidden/>
              </w:rPr>
              <w:fldChar w:fldCharType="begin"/>
            </w:r>
            <w:r w:rsidR="00F22C07">
              <w:rPr>
                <w:noProof/>
                <w:webHidden/>
              </w:rPr>
              <w:instrText xml:space="preserve"> PAGEREF _Toc93918139 \h </w:instrText>
            </w:r>
            <w:r w:rsidR="00F22C07">
              <w:rPr>
                <w:noProof/>
                <w:webHidden/>
              </w:rPr>
            </w:r>
            <w:r w:rsidR="00F22C07">
              <w:rPr>
                <w:noProof/>
                <w:webHidden/>
              </w:rPr>
              <w:fldChar w:fldCharType="separate"/>
            </w:r>
            <w:r w:rsidR="00706DD8">
              <w:rPr>
                <w:noProof/>
                <w:webHidden/>
              </w:rPr>
              <w:t>15</w:t>
            </w:r>
            <w:r w:rsidR="00F22C07">
              <w:rPr>
                <w:noProof/>
                <w:webHidden/>
              </w:rPr>
              <w:fldChar w:fldCharType="end"/>
            </w:r>
          </w:hyperlink>
        </w:p>
        <w:p w:rsidR="00F22C07" w:rsidRDefault="006C07FD" w14:paraId="3DF4D95E" w14:textId="756F69B1">
          <w:pPr>
            <w:pStyle w:val="TOC2"/>
            <w:tabs>
              <w:tab w:val="right" w:leader="dot" w:pos="9350"/>
            </w:tabs>
            <w:rPr>
              <w:rFonts w:asciiTheme="minorHAnsi" w:hAnsiTheme="minorHAnsi" w:cstheme="minorBidi"/>
              <w:noProof/>
              <w:sz w:val="22"/>
            </w:rPr>
          </w:pPr>
          <w:hyperlink w:history="1" w:anchor="_Toc93918140">
            <w:r w:rsidRPr="005370EE" w:rsidR="00F22C07">
              <w:rPr>
                <w:rStyle w:val="Hyperlink"/>
                <w:noProof/>
              </w:rPr>
              <w:t>5.2.</w:t>
            </w:r>
            <w:r w:rsidR="00F22C07">
              <w:rPr>
                <w:rFonts w:asciiTheme="minorHAnsi" w:hAnsiTheme="minorHAnsi" w:cstheme="minorBidi"/>
                <w:noProof/>
                <w:sz w:val="22"/>
              </w:rPr>
              <w:tab/>
            </w:r>
            <w:r w:rsidRPr="005370EE" w:rsidR="00F22C07">
              <w:rPr>
                <w:rStyle w:val="Hyperlink"/>
                <w:noProof/>
              </w:rPr>
              <w:t>ERRA Data Required Under D.20-12-035</w:t>
            </w:r>
            <w:r w:rsidR="00F22C07">
              <w:rPr>
                <w:noProof/>
                <w:webHidden/>
              </w:rPr>
              <w:tab/>
            </w:r>
            <w:r w:rsidR="00F22C07">
              <w:rPr>
                <w:noProof/>
                <w:webHidden/>
              </w:rPr>
              <w:fldChar w:fldCharType="begin"/>
            </w:r>
            <w:r w:rsidR="00F22C07">
              <w:rPr>
                <w:noProof/>
                <w:webHidden/>
              </w:rPr>
              <w:instrText xml:space="preserve"> PAGEREF _Toc93918140 \h </w:instrText>
            </w:r>
            <w:r w:rsidR="00F22C07">
              <w:rPr>
                <w:noProof/>
                <w:webHidden/>
              </w:rPr>
            </w:r>
            <w:r w:rsidR="00F22C07">
              <w:rPr>
                <w:noProof/>
                <w:webHidden/>
              </w:rPr>
              <w:fldChar w:fldCharType="separate"/>
            </w:r>
            <w:r w:rsidR="00706DD8">
              <w:rPr>
                <w:noProof/>
                <w:webHidden/>
              </w:rPr>
              <w:t>16</w:t>
            </w:r>
            <w:r w:rsidR="00F22C07">
              <w:rPr>
                <w:noProof/>
                <w:webHidden/>
              </w:rPr>
              <w:fldChar w:fldCharType="end"/>
            </w:r>
          </w:hyperlink>
        </w:p>
        <w:p w:rsidR="00F22C07" w:rsidRDefault="006C07FD" w14:paraId="7543BC11" w14:textId="219ACE68">
          <w:pPr>
            <w:pStyle w:val="TOC2"/>
            <w:tabs>
              <w:tab w:val="right" w:leader="dot" w:pos="9350"/>
            </w:tabs>
            <w:rPr>
              <w:rFonts w:asciiTheme="minorHAnsi" w:hAnsiTheme="minorHAnsi" w:cstheme="minorBidi"/>
              <w:noProof/>
              <w:sz w:val="22"/>
            </w:rPr>
          </w:pPr>
          <w:hyperlink w:history="1" w:anchor="_Toc93918141">
            <w:r w:rsidRPr="005370EE" w:rsidR="00F22C07">
              <w:rPr>
                <w:rStyle w:val="Hyperlink"/>
                <w:noProof/>
              </w:rPr>
              <w:t>5.3.</w:t>
            </w:r>
            <w:r w:rsidR="00F22C07">
              <w:rPr>
                <w:rFonts w:asciiTheme="minorHAnsi" w:hAnsiTheme="minorHAnsi" w:cstheme="minorBidi"/>
                <w:noProof/>
                <w:sz w:val="22"/>
              </w:rPr>
              <w:tab/>
            </w:r>
            <w:r w:rsidRPr="005370EE" w:rsidR="00F22C07">
              <w:rPr>
                <w:rStyle w:val="Hyperlink"/>
                <w:noProof/>
              </w:rPr>
              <w:t>Master Data Request</w:t>
            </w:r>
            <w:r w:rsidR="00F22C07">
              <w:rPr>
                <w:noProof/>
                <w:webHidden/>
              </w:rPr>
              <w:tab/>
            </w:r>
            <w:r w:rsidR="00F22C07">
              <w:rPr>
                <w:noProof/>
                <w:webHidden/>
              </w:rPr>
              <w:fldChar w:fldCharType="begin"/>
            </w:r>
            <w:r w:rsidR="00F22C07">
              <w:rPr>
                <w:noProof/>
                <w:webHidden/>
              </w:rPr>
              <w:instrText xml:space="preserve"> PAGEREF _Toc93918141 \h </w:instrText>
            </w:r>
            <w:r w:rsidR="00F22C07">
              <w:rPr>
                <w:noProof/>
                <w:webHidden/>
              </w:rPr>
            </w:r>
            <w:r w:rsidR="00F22C07">
              <w:rPr>
                <w:noProof/>
                <w:webHidden/>
              </w:rPr>
              <w:fldChar w:fldCharType="separate"/>
            </w:r>
            <w:r w:rsidR="00706DD8">
              <w:rPr>
                <w:noProof/>
                <w:webHidden/>
              </w:rPr>
              <w:t>17</w:t>
            </w:r>
            <w:r w:rsidR="00F22C07">
              <w:rPr>
                <w:noProof/>
                <w:webHidden/>
              </w:rPr>
              <w:fldChar w:fldCharType="end"/>
            </w:r>
          </w:hyperlink>
        </w:p>
        <w:p w:rsidR="00F22C07" w:rsidRDefault="006C07FD" w14:paraId="4292DEF9" w14:textId="088F793A">
          <w:pPr>
            <w:pStyle w:val="TOC2"/>
            <w:tabs>
              <w:tab w:val="right" w:leader="dot" w:pos="9350"/>
            </w:tabs>
            <w:rPr>
              <w:rFonts w:asciiTheme="minorHAnsi" w:hAnsiTheme="minorHAnsi" w:cstheme="minorBidi"/>
              <w:noProof/>
              <w:sz w:val="22"/>
            </w:rPr>
          </w:pPr>
          <w:hyperlink w:history="1" w:anchor="_Toc93918142">
            <w:r w:rsidRPr="005370EE" w:rsidR="00F22C07">
              <w:rPr>
                <w:rStyle w:val="Hyperlink"/>
                <w:noProof/>
              </w:rPr>
              <w:t>5.4.</w:t>
            </w:r>
            <w:r w:rsidR="00F22C07">
              <w:rPr>
                <w:rFonts w:asciiTheme="minorHAnsi" w:hAnsiTheme="minorHAnsi" w:cstheme="minorBidi"/>
                <w:noProof/>
                <w:sz w:val="22"/>
              </w:rPr>
              <w:tab/>
            </w:r>
            <w:r w:rsidRPr="005370EE" w:rsidR="00F22C07">
              <w:rPr>
                <w:rStyle w:val="Hyperlink"/>
                <w:noProof/>
              </w:rPr>
              <w:t>Data Access for PCIA Rate Forecasts</w:t>
            </w:r>
            <w:r w:rsidR="00F22C07">
              <w:rPr>
                <w:noProof/>
                <w:webHidden/>
              </w:rPr>
              <w:tab/>
            </w:r>
            <w:r w:rsidR="00F22C07">
              <w:rPr>
                <w:noProof/>
                <w:webHidden/>
              </w:rPr>
              <w:fldChar w:fldCharType="begin"/>
            </w:r>
            <w:r w:rsidR="00F22C07">
              <w:rPr>
                <w:noProof/>
                <w:webHidden/>
              </w:rPr>
              <w:instrText xml:space="preserve"> PAGEREF _Toc93918142 \h </w:instrText>
            </w:r>
            <w:r w:rsidR="00F22C07">
              <w:rPr>
                <w:noProof/>
                <w:webHidden/>
              </w:rPr>
            </w:r>
            <w:r w:rsidR="00F22C07">
              <w:rPr>
                <w:noProof/>
                <w:webHidden/>
              </w:rPr>
              <w:fldChar w:fldCharType="separate"/>
            </w:r>
            <w:r w:rsidR="00706DD8">
              <w:rPr>
                <w:noProof/>
                <w:webHidden/>
              </w:rPr>
              <w:t>18</w:t>
            </w:r>
            <w:r w:rsidR="00F22C07">
              <w:rPr>
                <w:noProof/>
                <w:webHidden/>
              </w:rPr>
              <w:fldChar w:fldCharType="end"/>
            </w:r>
          </w:hyperlink>
        </w:p>
        <w:p w:rsidR="00F22C07" w:rsidRDefault="006C07FD" w14:paraId="1780C79B" w14:textId="0A10892A">
          <w:pPr>
            <w:pStyle w:val="TOC2"/>
            <w:tabs>
              <w:tab w:val="right" w:leader="dot" w:pos="9350"/>
            </w:tabs>
            <w:rPr>
              <w:rFonts w:asciiTheme="minorHAnsi" w:hAnsiTheme="minorHAnsi" w:cstheme="minorBidi"/>
              <w:noProof/>
              <w:sz w:val="22"/>
            </w:rPr>
          </w:pPr>
          <w:hyperlink w:history="1" w:anchor="_Toc93918143">
            <w:r w:rsidRPr="005370EE" w:rsidR="00F22C07">
              <w:rPr>
                <w:rStyle w:val="Hyperlink"/>
                <w:noProof/>
              </w:rPr>
              <w:t>5.5.</w:t>
            </w:r>
            <w:r w:rsidR="00F22C07">
              <w:rPr>
                <w:rFonts w:asciiTheme="minorHAnsi" w:hAnsiTheme="minorHAnsi" w:cstheme="minorBidi"/>
                <w:noProof/>
                <w:sz w:val="22"/>
              </w:rPr>
              <w:tab/>
            </w:r>
            <w:r w:rsidRPr="005370EE" w:rsidR="00F22C07">
              <w:rPr>
                <w:rStyle w:val="Hyperlink"/>
                <w:noProof/>
              </w:rPr>
              <w:t>Data Confidentiality</w:t>
            </w:r>
            <w:r w:rsidR="00F22C07">
              <w:rPr>
                <w:noProof/>
                <w:webHidden/>
              </w:rPr>
              <w:tab/>
            </w:r>
            <w:r w:rsidR="00F22C07">
              <w:rPr>
                <w:noProof/>
                <w:webHidden/>
              </w:rPr>
              <w:fldChar w:fldCharType="begin"/>
            </w:r>
            <w:r w:rsidR="00F22C07">
              <w:rPr>
                <w:noProof/>
                <w:webHidden/>
              </w:rPr>
              <w:instrText xml:space="preserve"> PAGEREF _Toc93918143 \h </w:instrText>
            </w:r>
            <w:r w:rsidR="00F22C07">
              <w:rPr>
                <w:noProof/>
                <w:webHidden/>
              </w:rPr>
            </w:r>
            <w:r w:rsidR="00F22C07">
              <w:rPr>
                <w:noProof/>
                <w:webHidden/>
              </w:rPr>
              <w:fldChar w:fldCharType="separate"/>
            </w:r>
            <w:r w:rsidR="00706DD8">
              <w:rPr>
                <w:noProof/>
                <w:webHidden/>
              </w:rPr>
              <w:t>19</w:t>
            </w:r>
            <w:r w:rsidR="00F22C07">
              <w:rPr>
                <w:noProof/>
                <w:webHidden/>
              </w:rPr>
              <w:fldChar w:fldCharType="end"/>
            </w:r>
          </w:hyperlink>
        </w:p>
        <w:p w:rsidR="00F22C07" w:rsidRDefault="006C07FD" w14:paraId="42765448" w14:textId="17C3F65E">
          <w:pPr>
            <w:pStyle w:val="TOC2"/>
            <w:tabs>
              <w:tab w:val="right" w:leader="dot" w:pos="9350"/>
            </w:tabs>
            <w:rPr>
              <w:rFonts w:asciiTheme="minorHAnsi" w:hAnsiTheme="minorHAnsi" w:cstheme="minorBidi"/>
              <w:noProof/>
              <w:sz w:val="22"/>
            </w:rPr>
          </w:pPr>
          <w:hyperlink w:history="1" w:anchor="_Toc93918144">
            <w:r w:rsidRPr="005370EE" w:rsidR="00F22C07">
              <w:rPr>
                <w:rStyle w:val="Hyperlink"/>
                <w:noProof/>
              </w:rPr>
              <w:t>5.6.</w:t>
            </w:r>
            <w:r w:rsidR="00F22C07">
              <w:rPr>
                <w:rFonts w:asciiTheme="minorHAnsi" w:hAnsiTheme="minorHAnsi" w:cstheme="minorBidi"/>
                <w:noProof/>
                <w:sz w:val="22"/>
              </w:rPr>
              <w:tab/>
            </w:r>
            <w:r w:rsidRPr="005370EE" w:rsidR="00F22C07">
              <w:rPr>
                <w:rStyle w:val="Hyperlink"/>
                <w:noProof/>
              </w:rPr>
              <w:t>ERRA Trigger Mechanism</w:t>
            </w:r>
            <w:r w:rsidR="00F22C07">
              <w:rPr>
                <w:noProof/>
                <w:webHidden/>
              </w:rPr>
              <w:tab/>
            </w:r>
            <w:r w:rsidR="00F22C07">
              <w:rPr>
                <w:noProof/>
                <w:webHidden/>
              </w:rPr>
              <w:fldChar w:fldCharType="begin"/>
            </w:r>
            <w:r w:rsidR="00F22C07">
              <w:rPr>
                <w:noProof/>
                <w:webHidden/>
              </w:rPr>
              <w:instrText xml:space="preserve"> PAGEREF _Toc93918144 \h </w:instrText>
            </w:r>
            <w:r w:rsidR="00F22C07">
              <w:rPr>
                <w:noProof/>
                <w:webHidden/>
              </w:rPr>
            </w:r>
            <w:r w:rsidR="00F22C07">
              <w:rPr>
                <w:noProof/>
                <w:webHidden/>
              </w:rPr>
              <w:fldChar w:fldCharType="separate"/>
            </w:r>
            <w:r w:rsidR="00706DD8">
              <w:rPr>
                <w:noProof/>
                <w:webHidden/>
              </w:rPr>
              <w:t>22</w:t>
            </w:r>
            <w:r w:rsidR="00F22C07">
              <w:rPr>
                <w:noProof/>
                <w:webHidden/>
              </w:rPr>
              <w:fldChar w:fldCharType="end"/>
            </w:r>
          </w:hyperlink>
        </w:p>
        <w:p w:rsidR="00F22C07" w:rsidRDefault="006C07FD" w14:paraId="508C393A" w14:textId="4F915B61">
          <w:pPr>
            <w:pStyle w:val="TOC1"/>
            <w:tabs>
              <w:tab w:val="right" w:leader="dot" w:pos="9350"/>
            </w:tabs>
            <w:rPr>
              <w:rFonts w:asciiTheme="minorHAnsi" w:hAnsiTheme="minorHAnsi" w:cstheme="minorBidi"/>
              <w:noProof/>
              <w:sz w:val="22"/>
            </w:rPr>
          </w:pPr>
          <w:hyperlink w:history="1" w:anchor="_Toc93918145">
            <w:r w:rsidRPr="005370EE" w:rsidR="00F22C07">
              <w:rPr>
                <w:rStyle w:val="Hyperlink"/>
                <w:noProof/>
              </w:rPr>
              <w:t>6.</w:t>
            </w:r>
            <w:r w:rsidR="00F22C07">
              <w:rPr>
                <w:rFonts w:asciiTheme="minorHAnsi" w:hAnsiTheme="minorHAnsi" w:cstheme="minorBidi"/>
                <w:noProof/>
                <w:sz w:val="22"/>
              </w:rPr>
              <w:tab/>
            </w:r>
            <w:r w:rsidRPr="005370EE" w:rsidR="00F22C07">
              <w:rPr>
                <w:rStyle w:val="Hyperlink"/>
                <w:noProof/>
              </w:rPr>
              <w:t>Comments on Proposed Decision</w:t>
            </w:r>
            <w:r w:rsidR="00F22C07">
              <w:rPr>
                <w:noProof/>
                <w:webHidden/>
              </w:rPr>
              <w:tab/>
            </w:r>
            <w:r w:rsidR="00F22C07">
              <w:rPr>
                <w:noProof/>
                <w:webHidden/>
              </w:rPr>
              <w:fldChar w:fldCharType="begin"/>
            </w:r>
            <w:r w:rsidR="00F22C07">
              <w:rPr>
                <w:noProof/>
                <w:webHidden/>
              </w:rPr>
              <w:instrText xml:space="preserve"> PAGEREF _Toc93918145 \h </w:instrText>
            </w:r>
            <w:r w:rsidR="00F22C07">
              <w:rPr>
                <w:noProof/>
                <w:webHidden/>
              </w:rPr>
            </w:r>
            <w:r w:rsidR="00F22C07">
              <w:rPr>
                <w:noProof/>
                <w:webHidden/>
              </w:rPr>
              <w:fldChar w:fldCharType="separate"/>
            </w:r>
            <w:r w:rsidR="00706DD8">
              <w:rPr>
                <w:noProof/>
                <w:webHidden/>
              </w:rPr>
              <w:t>24</w:t>
            </w:r>
            <w:r w:rsidR="00F22C07">
              <w:rPr>
                <w:noProof/>
                <w:webHidden/>
              </w:rPr>
              <w:fldChar w:fldCharType="end"/>
            </w:r>
          </w:hyperlink>
        </w:p>
        <w:p w:rsidR="00F22C07" w:rsidRDefault="006C07FD" w14:paraId="2E7C5591" w14:textId="34406CB6">
          <w:pPr>
            <w:pStyle w:val="TOC1"/>
            <w:tabs>
              <w:tab w:val="right" w:leader="dot" w:pos="9350"/>
            </w:tabs>
            <w:rPr>
              <w:rFonts w:asciiTheme="minorHAnsi" w:hAnsiTheme="minorHAnsi" w:cstheme="minorBidi"/>
              <w:noProof/>
              <w:sz w:val="22"/>
            </w:rPr>
          </w:pPr>
          <w:hyperlink w:history="1" w:anchor="_Toc93918146">
            <w:r w:rsidRPr="005370EE" w:rsidR="00F22C07">
              <w:rPr>
                <w:rStyle w:val="Hyperlink"/>
                <w:noProof/>
              </w:rPr>
              <w:t>7.</w:t>
            </w:r>
            <w:r w:rsidR="00F22C07">
              <w:rPr>
                <w:rFonts w:asciiTheme="minorHAnsi" w:hAnsiTheme="minorHAnsi" w:cstheme="minorBidi"/>
                <w:noProof/>
                <w:sz w:val="22"/>
              </w:rPr>
              <w:tab/>
            </w:r>
            <w:r w:rsidRPr="005370EE" w:rsidR="00F22C07">
              <w:rPr>
                <w:rStyle w:val="Hyperlink"/>
                <w:noProof/>
              </w:rPr>
              <w:t>Assignment of Proceeding</w:t>
            </w:r>
            <w:r w:rsidR="00F22C07">
              <w:rPr>
                <w:noProof/>
                <w:webHidden/>
              </w:rPr>
              <w:tab/>
            </w:r>
            <w:r w:rsidR="00F22C07">
              <w:rPr>
                <w:noProof/>
                <w:webHidden/>
              </w:rPr>
              <w:fldChar w:fldCharType="begin"/>
            </w:r>
            <w:r w:rsidR="00F22C07">
              <w:rPr>
                <w:noProof/>
                <w:webHidden/>
              </w:rPr>
              <w:instrText xml:space="preserve"> PAGEREF _Toc93918146 \h </w:instrText>
            </w:r>
            <w:r w:rsidR="00F22C07">
              <w:rPr>
                <w:noProof/>
                <w:webHidden/>
              </w:rPr>
            </w:r>
            <w:r w:rsidR="00F22C07">
              <w:rPr>
                <w:noProof/>
                <w:webHidden/>
              </w:rPr>
              <w:fldChar w:fldCharType="separate"/>
            </w:r>
            <w:r w:rsidR="00706DD8">
              <w:rPr>
                <w:noProof/>
                <w:webHidden/>
              </w:rPr>
              <w:t>24</w:t>
            </w:r>
            <w:r w:rsidR="00F22C07">
              <w:rPr>
                <w:noProof/>
                <w:webHidden/>
              </w:rPr>
              <w:fldChar w:fldCharType="end"/>
            </w:r>
          </w:hyperlink>
        </w:p>
        <w:p w:rsidR="00F22C07" w:rsidRDefault="006C07FD" w14:paraId="72EB59F0" w14:textId="18AC8C4C">
          <w:pPr>
            <w:pStyle w:val="TOC1"/>
            <w:tabs>
              <w:tab w:val="right" w:leader="dot" w:pos="9350"/>
            </w:tabs>
            <w:rPr>
              <w:rFonts w:asciiTheme="minorHAnsi" w:hAnsiTheme="minorHAnsi" w:cstheme="minorBidi"/>
              <w:noProof/>
              <w:sz w:val="22"/>
            </w:rPr>
          </w:pPr>
          <w:hyperlink w:history="1" w:anchor="_Toc93918147">
            <w:r w:rsidRPr="005370EE" w:rsidR="00F22C07">
              <w:rPr>
                <w:rStyle w:val="Hyperlink"/>
                <w:noProof/>
              </w:rPr>
              <w:t>Findings of Fact</w:t>
            </w:r>
            <w:r w:rsidR="00F22C07">
              <w:rPr>
                <w:noProof/>
                <w:webHidden/>
              </w:rPr>
              <w:tab/>
            </w:r>
            <w:r w:rsidR="00F22C07">
              <w:rPr>
                <w:noProof/>
                <w:webHidden/>
              </w:rPr>
              <w:fldChar w:fldCharType="begin"/>
            </w:r>
            <w:r w:rsidR="00F22C07">
              <w:rPr>
                <w:noProof/>
                <w:webHidden/>
              </w:rPr>
              <w:instrText xml:space="preserve"> PAGEREF _Toc93918147 \h </w:instrText>
            </w:r>
            <w:r w:rsidR="00F22C07">
              <w:rPr>
                <w:noProof/>
                <w:webHidden/>
              </w:rPr>
            </w:r>
            <w:r w:rsidR="00F22C07">
              <w:rPr>
                <w:noProof/>
                <w:webHidden/>
              </w:rPr>
              <w:fldChar w:fldCharType="separate"/>
            </w:r>
            <w:r w:rsidR="00706DD8">
              <w:rPr>
                <w:noProof/>
                <w:webHidden/>
              </w:rPr>
              <w:t>24</w:t>
            </w:r>
            <w:r w:rsidR="00F22C07">
              <w:rPr>
                <w:noProof/>
                <w:webHidden/>
              </w:rPr>
              <w:fldChar w:fldCharType="end"/>
            </w:r>
          </w:hyperlink>
        </w:p>
        <w:p w:rsidR="00F22C07" w:rsidRDefault="006C07FD" w14:paraId="49E64A37" w14:textId="4024013B">
          <w:pPr>
            <w:pStyle w:val="TOC1"/>
            <w:tabs>
              <w:tab w:val="right" w:leader="dot" w:pos="9350"/>
            </w:tabs>
            <w:rPr>
              <w:rFonts w:asciiTheme="minorHAnsi" w:hAnsiTheme="minorHAnsi" w:cstheme="minorBidi"/>
              <w:noProof/>
              <w:sz w:val="22"/>
            </w:rPr>
          </w:pPr>
          <w:hyperlink w:history="1" w:anchor="_Toc93918148">
            <w:r w:rsidRPr="005370EE" w:rsidR="00F22C07">
              <w:rPr>
                <w:rStyle w:val="Hyperlink"/>
                <w:noProof/>
              </w:rPr>
              <w:t>Conclusions of Law</w:t>
            </w:r>
            <w:r w:rsidR="00F22C07">
              <w:rPr>
                <w:noProof/>
                <w:webHidden/>
              </w:rPr>
              <w:tab/>
            </w:r>
            <w:r w:rsidR="00F22C07">
              <w:rPr>
                <w:noProof/>
                <w:webHidden/>
              </w:rPr>
              <w:fldChar w:fldCharType="begin"/>
            </w:r>
            <w:r w:rsidR="00F22C07">
              <w:rPr>
                <w:noProof/>
                <w:webHidden/>
              </w:rPr>
              <w:instrText xml:space="preserve"> PAGEREF _Toc93918148 \h </w:instrText>
            </w:r>
            <w:r w:rsidR="00F22C07">
              <w:rPr>
                <w:noProof/>
                <w:webHidden/>
              </w:rPr>
            </w:r>
            <w:r w:rsidR="00F22C07">
              <w:rPr>
                <w:noProof/>
                <w:webHidden/>
              </w:rPr>
              <w:fldChar w:fldCharType="separate"/>
            </w:r>
            <w:r w:rsidR="00706DD8">
              <w:rPr>
                <w:noProof/>
                <w:webHidden/>
              </w:rPr>
              <w:t>25</w:t>
            </w:r>
            <w:r w:rsidR="00F22C07">
              <w:rPr>
                <w:noProof/>
                <w:webHidden/>
              </w:rPr>
              <w:fldChar w:fldCharType="end"/>
            </w:r>
          </w:hyperlink>
        </w:p>
        <w:p w:rsidR="00F22C07" w:rsidRDefault="006C07FD" w14:paraId="22BA0DE7" w14:textId="57B10296">
          <w:pPr>
            <w:pStyle w:val="TOC1"/>
            <w:tabs>
              <w:tab w:val="right" w:leader="dot" w:pos="9350"/>
            </w:tabs>
            <w:rPr>
              <w:rFonts w:asciiTheme="minorHAnsi" w:hAnsiTheme="minorHAnsi" w:cstheme="minorBidi"/>
              <w:noProof/>
              <w:sz w:val="22"/>
            </w:rPr>
          </w:pPr>
          <w:hyperlink w:history="1" w:anchor="_Toc93918149">
            <w:r w:rsidRPr="005370EE" w:rsidR="00F22C07">
              <w:rPr>
                <w:rStyle w:val="Hyperlink"/>
                <w:noProof/>
              </w:rPr>
              <w:t>ORDER</w:t>
            </w:r>
            <w:r w:rsidR="00F22C07">
              <w:rPr>
                <w:noProof/>
                <w:webHidden/>
              </w:rPr>
              <w:tab/>
            </w:r>
            <w:r w:rsidR="00F22C07">
              <w:rPr>
                <w:noProof/>
                <w:webHidden/>
              </w:rPr>
              <w:fldChar w:fldCharType="begin"/>
            </w:r>
            <w:r w:rsidR="00F22C07">
              <w:rPr>
                <w:noProof/>
                <w:webHidden/>
              </w:rPr>
              <w:instrText xml:space="preserve"> PAGEREF _Toc93918149 \h </w:instrText>
            </w:r>
            <w:r w:rsidR="00F22C07">
              <w:rPr>
                <w:noProof/>
                <w:webHidden/>
              </w:rPr>
            </w:r>
            <w:r w:rsidR="00F22C07">
              <w:rPr>
                <w:noProof/>
                <w:webHidden/>
              </w:rPr>
              <w:fldChar w:fldCharType="separate"/>
            </w:r>
            <w:r w:rsidR="00706DD8">
              <w:rPr>
                <w:noProof/>
                <w:webHidden/>
              </w:rPr>
              <w:t>27</w:t>
            </w:r>
            <w:r w:rsidR="00F22C07">
              <w:rPr>
                <w:noProof/>
                <w:webHidden/>
              </w:rPr>
              <w:fldChar w:fldCharType="end"/>
            </w:r>
          </w:hyperlink>
        </w:p>
        <w:p w:rsidRPr="007E1F9F" w:rsidR="00D44DB6" w:rsidP="005F3102" w:rsidRDefault="005F3102" w14:paraId="6C2A7AE7" w14:textId="56B41C4D">
          <w:pPr>
            <w:pStyle w:val="TOC1"/>
            <w:tabs>
              <w:tab w:val="right" w:leader="dot" w:pos="9350"/>
            </w:tabs>
            <w:sectPr w:rsidRPr="007E1F9F" w:rsidR="00D44DB6" w:rsidSect="00D44DB6">
              <w:headerReference w:type="default" r:id="rId13"/>
              <w:footerReference w:type="default" r:id="rId14"/>
              <w:pgSz w:w="12240" w:h="15840"/>
              <w:pgMar w:top="1728" w:right="1440" w:bottom="1440" w:left="1440" w:header="720" w:footer="720" w:gutter="0"/>
              <w:pgNumType w:fmt="lowerRoman" w:start="1"/>
              <w:cols w:space="720"/>
              <w:docGrid w:linePitch="360"/>
            </w:sectPr>
          </w:pPr>
          <w:r>
            <w:rPr>
              <w:rFonts w:asciiTheme="minorHAnsi" w:hAnsiTheme="minorHAnsi"/>
              <w:sz w:val="22"/>
            </w:rPr>
            <w:fldChar w:fldCharType="end"/>
          </w:r>
        </w:p>
      </w:sdtContent>
    </w:sdt>
    <w:p w:rsidR="00F035C5" w:rsidP="000E4F19" w:rsidRDefault="00F035C5" w14:paraId="110EB1DF" w14:textId="001D5D3B">
      <w:pPr>
        <w:pStyle w:val="Main"/>
      </w:pPr>
      <w:bookmarkStart w:name="_Toc8123714" w:id="1"/>
      <w:r w:rsidRPr="00F035C5">
        <w:lastRenderedPageBreak/>
        <w:t>DECISION RESOLVING PHASE 2 ISSUES RELATED TO ENERGY RESOURCES RECOVERY ACCOUNT</w:t>
      </w:r>
      <w:r w:rsidR="006A32DA">
        <w:t xml:space="preserve"> PROCEEDINGS</w:t>
      </w:r>
    </w:p>
    <w:p w:rsidRPr="000E4F19" w:rsidR="000E4F19" w:rsidP="000E4F19" w:rsidRDefault="000E4F19" w14:paraId="018E44B4" w14:textId="77777777">
      <w:pPr>
        <w:rPr>
          <w:rFonts w:eastAsiaTheme="majorEastAsia"/>
        </w:rPr>
      </w:pPr>
    </w:p>
    <w:p w:rsidR="005A148C" w:rsidP="005A148C" w:rsidRDefault="005A148C" w14:paraId="5BEA4AD5" w14:textId="0146B808">
      <w:pPr>
        <w:pStyle w:val="Dummy"/>
      </w:pPr>
      <w:bookmarkStart w:name="_Toc93918132" w:id="2"/>
      <w:r>
        <w:t>Summary</w:t>
      </w:r>
      <w:bookmarkEnd w:id="1"/>
      <w:bookmarkEnd w:id="2"/>
    </w:p>
    <w:p w:rsidR="003B38E9" w:rsidP="00844C82" w:rsidRDefault="006A32DA" w14:paraId="6F163386" w14:textId="58888A62">
      <w:pPr>
        <w:pStyle w:val="Standard"/>
      </w:pPr>
      <w:r>
        <w:t>This decision adopts improvements to support efficient consideration of Power Charge Indifference Adjustment</w:t>
      </w:r>
      <w:r w:rsidR="00DC574D">
        <w:t xml:space="preserve"> (PCIA)</w:t>
      </w:r>
      <w:r>
        <w:t xml:space="preserve"> issues in Energy Resource Recovery Account </w:t>
      </w:r>
      <w:r w:rsidR="00DC574D">
        <w:t xml:space="preserve">(ERRA) </w:t>
      </w:r>
      <w:r>
        <w:t xml:space="preserve">proceedings. </w:t>
      </w:r>
      <w:r w:rsidR="000E4F19">
        <w:t xml:space="preserve"> </w:t>
      </w:r>
      <w:r w:rsidR="00057C4B">
        <w:t xml:space="preserve">This decision </w:t>
      </w:r>
      <w:r w:rsidR="00E53030">
        <w:t>modifies the PCIA market price benchmark release date</w:t>
      </w:r>
      <w:r w:rsidR="00B8791B">
        <w:t xml:space="preserve"> and deadlines for ERRA forecast </w:t>
      </w:r>
      <w:r w:rsidR="00DA0523">
        <w:t xml:space="preserve">applications to </w:t>
      </w:r>
      <w:r w:rsidR="00680D38">
        <w:t xml:space="preserve">enable </w:t>
      </w:r>
      <w:r w:rsidR="00FB0E5A">
        <w:t>the</w:t>
      </w:r>
      <w:r w:rsidR="0041216B">
        <w:t xml:space="preserve"> Commission to timely issue decisions on ERRA forecast applications.</w:t>
      </w:r>
      <w:r w:rsidR="00A31015">
        <w:t xml:space="preserve"> This decision</w:t>
      </w:r>
      <w:r w:rsidR="00612996">
        <w:t xml:space="preserve"> </w:t>
      </w:r>
      <w:r w:rsidR="000976CC">
        <w:t>adopts party proposals</w:t>
      </w:r>
      <w:r w:rsidR="00612996">
        <w:t xml:space="preserve"> </w:t>
      </w:r>
      <w:r w:rsidR="006D0D3C">
        <w:t xml:space="preserve">to </w:t>
      </w:r>
      <w:r w:rsidR="00F776A4">
        <w:t>establish a policy for</w:t>
      </w:r>
      <w:r w:rsidR="006D0D3C">
        <w:t xml:space="preserve"> disposition of the year-end balance in the ERRA account</w:t>
      </w:r>
      <w:r w:rsidR="004D3606">
        <w:t xml:space="preserve"> and </w:t>
      </w:r>
      <w:r w:rsidR="00F776A4">
        <w:t>to modify the</w:t>
      </w:r>
      <w:r w:rsidR="004D3606">
        <w:t xml:space="preserve"> calculation of the ERRA trigger </w:t>
      </w:r>
      <w:r w:rsidR="00933E72">
        <w:t>point and threshold</w:t>
      </w:r>
      <w:r w:rsidR="004D3606">
        <w:t xml:space="preserve">. </w:t>
      </w:r>
      <w:r w:rsidR="000E4F19">
        <w:t xml:space="preserve"> </w:t>
      </w:r>
      <w:r w:rsidR="004D3606">
        <w:t xml:space="preserve">This decision also adopts </w:t>
      </w:r>
      <w:r w:rsidR="000976CC">
        <w:t>party proposals</w:t>
      </w:r>
      <w:r w:rsidR="008A1E99">
        <w:t xml:space="preserve"> </w:t>
      </w:r>
      <w:r w:rsidR="00777A5E">
        <w:t xml:space="preserve">to </w:t>
      </w:r>
      <w:r w:rsidR="008A1E99">
        <w:t>support efficient party access to ERRA forecast proceeding data.</w:t>
      </w:r>
    </w:p>
    <w:p w:rsidR="00956E81" w:rsidP="000E4F19" w:rsidRDefault="006A32DA" w14:paraId="2932C9BD" w14:textId="4240E482">
      <w:pPr>
        <w:pStyle w:val="Standard"/>
      </w:pPr>
      <w:r>
        <w:t xml:space="preserve">This </w:t>
      </w:r>
      <w:r w:rsidRPr="000E4F19">
        <w:t>proceeding</w:t>
      </w:r>
      <w:r>
        <w:t xml:space="preserve"> remains open to consider additional Phase 2 issues</w:t>
      </w:r>
      <w:r w:rsidR="00FA669D">
        <w:t>, including</w:t>
      </w:r>
      <w:r w:rsidR="00956E81">
        <w:t>:</w:t>
      </w:r>
      <w:r w:rsidR="00FA669D">
        <w:t xml:space="preserve"> (</w:t>
      </w:r>
      <w:r w:rsidR="00E53030">
        <w:t>a</w:t>
      </w:r>
      <w:r w:rsidR="00FA669D">
        <w:t xml:space="preserve">) </w:t>
      </w:r>
      <w:r w:rsidR="0073046C">
        <w:t>whether greenhouse gas-free resources are under-valued in the PCIA, and if so, whether to adopt an adder or allocation mechanism, (</w:t>
      </w:r>
      <w:r w:rsidR="00E53030">
        <w:t>b</w:t>
      </w:r>
      <w:r w:rsidR="0073046C">
        <w:t>) whether to adopt a new method to include long-term fixed-price transactions in calculating the Renewables Portfolio Standard adder, (</w:t>
      </w:r>
      <w:r w:rsidR="00E53030">
        <w:t>c</w:t>
      </w:r>
      <w:r w:rsidR="0073046C">
        <w:t>)</w:t>
      </w:r>
      <w:r w:rsidR="007E59CC">
        <w:t xml:space="preserve"> </w:t>
      </w:r>
      <w:r w:rsidR="00ED3CD8">
        <w:t>whether to modify the calculation of the PCIA energy index market price benchmark</w:t>
      </w:r>
      <w:r w:rsidR="00057C4B">
        <w:t xml:space="preserve">, </w:t>
      </w:r>
      <w:r w:rsidR="007E59CC">
        <w:t>and (</w:t>
      </w:r>
      <w:r w:rsidR="00E53030">
        <w:t>d</w:t>
      </w:r>
      <w:r w:rsidR="007E59CC">
        <w:t>)</w:t>
      </w:r>
      <w:r w:rsidR="0073046C">
        <w:t xml:space="preserve"> whether to </w:t>
      </w:r>
      <w:r w:rsidR="00956E81">
        <w:t xml:space="preserve">provide </w:t>
      </w:r>
      <w:r w:rsidR="00785B6F">
        <w:t xml:space="preserve">community choice aggregators </w:t>
      </w:r>
      <w:r w:rsidR="007E59CC">
        <w:t xml:space="preserve">with </w:t>
      </w:r>
      <w:r w:rsidR="00DC574D">
        <w:t xml:space="preserve">access to confidential, market sensitive ERRA monthly reports </w:t>
      </w:r>
      <w:r w:rsidR="00785B6F">
        <w:t>information for the non-proceeding purpose of creating PCIA rate forecasts</w:t>
      </w:r>
      <w:r w:rsidR="007E59CC">
        <w:t>.</w:t>
      </w:r>
    </w:p>
    <w:p w:rsidRPr="00121089" w:rsidR="005A148C" w:rsidP="007E61D9" w:rsidRDefault="002C7FE9" w14:paraId="27942028" w14:textId="05FE436D">
      <w:pPr>
        <w:pStyle w:val="Heading1"/>
        <w:numPr>
          <w:ilvl w:val="0"/>
          <w:numId w:val="19"/>
        </w:numPr>
      </w:pPr>
      <w:bookmarkStart w:name="_Toc8123715" w:id="3"/>
      <w:bookmarkStart w:name="_Toc93918133" w:id="4"/>
      <w:r w:rsidRPr="00DF0347">
        <w:t>Background</w:t>
      </w:r>
      <w:bookmarkEnd w:id="3"/>
      <w:bookmarkEnd w:id="4"/>
    </w:p>
    <w:p w:rsidR="00003F9E" w:rsidP="00DF0347" w:rsidRDefault="00003F9E" w14:paraId="423F8777" w14:textId="679D7404">
      <w:pPr>
        <w:pStyle w:val="Standard"/>
      </w:pPr>
      <w:r>
        <w:t xml:space="preserve">The </w:t>
      </w:r>
      <w:r w:rsidRPr="00DF0347">
        <w:t>California</w:t>
      </w:r>
      <w:r>
        <w:t xml:space="preserve"> Public Utilities Commission (Commission) opened Rulemaking (R.) 17-06-026 on June 26, </w:t>
      </w:r>
      <w:proofErr w:type="gramStart"/>
      <w:r>
        <w:t>2017</w:t>
      </w:r>
      <w:proofErr w:type="gramEnd"/>
      <w:r>
        <w:t xml:space="preserve"> to review, revise and consider alternatives to the Power Charge Indifference Adjustment (PCIA).  The Commission adopted the PCIA to ensure that when electric customers of an </w:t>
      </w:r>
      <w:r>
        <w:lastRenderedPageBreak/>
        <w:t>investor-owned utility (</w:t>
      </w:r>
      <w:r w:rsidR="00D87D64">
        <w:t>IOU or utility</w:t>
      </w:r>
      <w:r>
        <w:t xml:space="preserve">) depart from IOU service and receive their electricity from a non-IOU provider, those customers remain responsible for costs previously incurred on their behalf by the IOUs.  </w:t>
      </w:r>
    </w:p>
    <w:p w:rsidR="00003F9E" w:rsidP="00003F9E" w:rsidRDefault="00003F9E" w14:paraId="1A3CC370" w14:textId="299746E9">
      <w:pPr>
        <w:pStyle w:val="Standard"/>
      </w:pPr>
      <w:r>
        <w:t>In Phase 1 of this proceeding,</w:t>
      </w:r>
      <w:r w:rsidR="006922A7">
        <w:t xml:space="preserve"> the Commission</w:t>
      </w:r>
      <w:r>
        <w:t xml:space="preserve"> considered issues regarding exemptions from the PCIA for customers who participate in the California Alternate Rates for Energy program or are served by Medical Baseline rates.  The Commission resolved these issues in Decision (D.) 18-07-009 and D.18-09-013.  The Commission also examined the PCIA methodology and considered alternatives to that mechanism in Phase 1.  In D.18-10-019, the Commission resolved those issues, implemented an annual 0.5 cent/Kilowatt-hour (kWh) cap on PCIA rate increases (PCIA Cap), and opened a second phase of this proceeding.</w:t>
      </w:r>
    </w:p>
    <w:p w:rsidR="00003F9E" w:rsidP="00003F9E" w:rsidRDefault="00003F9E" w14:paraId="0B036D27" w14:textId="77777777">
      <w:pPr>
        <w:pStyle w:val="Standard"/>
      </w:pPr>
      <w:r>
        <w:t xml:space="preserve">On December 19, 2018, the Commission held a prehearing conference to discuss the scope and schedule of Phase 2.  On February 1, 2019, the assigned Commissioner issued a Scoping Memo and Ruling (2019 Scoping Memo), which established a working group process, </w:t>
      </w:r>
      <w:proofErr w:type="gramStart"/>
      <w:r>
        <w:t>scope</w:t>
      </w:r>
      <w:proofErr w:type="gramEnd"/>
      <w:r>
        <w:t xml:space="preserve"> and schedule for the proceeding. </w:t>
      </w:r>
    </w:p>
    <w:p w:rsidR="00003F9E" w:rsidP="00003F9E" w:rsidRDefault="00003F9E" w14:paraId="1D7F258C" w14:textId="77777777">
      <w:pPr>
        <w:pStyle w:val="Standard"/>
      </w:pPr>
      <w:r>
        <w:t>The 2019 Scoping Memo organized Phase 2 issues into three working group processes and schedules:</w:t>
      </w:r>
    </w:p>
    <w:p w:rsidRPr="000A473F" w:rsidR="00003F9E" w:rsidP="00F52D40" w:rsidRDefault="00003F9E" w14:paraId="31D01E10" w14:textId="77777777">
      <w:pPr>
        <w:pStyle w:val="Standard"/>
        <w:numPr>
          <w:ilvl w:val="0"/>
          <w:numId w:val="9"/>
        </w:numPr>
        <w:tabs>
          <w:tab w:val="clear" w:pos="720"/>
        </w:tabs>
        <w:spacing w:after="120" w:line="240" w:lineRule="auto"/>
        <w:ind w:left="1080" w:right="1440"/>
      </w:pPr>
      <w:r w:rsidRPr="000A473F">
        <w:t>Benchma</w:t>
      </w:r>
      <w:r>
        <w:t xml:space="preserve">rking </w:t>
      </w:r>
      <w:proofErr w:type="gramStart"/>
      <w:r>
        <w:t>issues</w:t>
      </w:r>
      <w:r w:rsidRPr="000A473F">
        <w:t>;</w:t>
      </w:r>
      <w:proofErr w:type="gramEnd"/>
      <w:r w:rsidRPr="000A473F">
        <w:t xml:space="preserve"> </w:t>
      </w:r>
    </w:p>
    <w:p w:rsidRPr="000A473F" w:rsidR="00003F9E" w:rsidP="00F52D40" w:rsidRDefault="00003F9E" w14:paraId="181E1A1E" w14:textId="77777777">
      <w:pPr>
        <w:pStyle w:val="Standard"/>
        <w:numPr>
          <w:ilvl w:val="0"/>
          <w:numId w:val="9"/>
        </w:numPr>
        <w:tabs>
          <w:tab w:val="clear" w:pos="720"/>
        </w:tabs>
        <w:spacing w:after="120" w:line="240" w:lineRule="auto"/>
        <w:ind w:left="1080" w:right="1440"/>
      </w:pPr>
      <w:r w:rsidRPr="000A473F">
        <w:t>Prepayment;</w:t>
      </w:r>
      <w:r>
        <w:t xml:space="preserve"> </w:t>
      </w:r>
      <w:r w:rsidRPr="000A473F">
        <w:t xml:space="preserve">and </w:t>
      </w:r>
    </w:p>
    <w:p w:rsidRPr="000A473F" w:rsidR="00003F9E" w:rsidP="00F52D40" w:rsidRDefault="00003F9E" w14:paraId="55DC9D41" w14:textId="77777777">
      <w:pPr>
        <w:pStyle w:val="Standard"/>
        <w:numPr>
          <w:ilvl w:val="0"/>
          <w:numId w:val="9"/>
        </w:numPr>
        <w:tabs>
          <w:tab w:val="clear" w:pos="720"/>
        </w:tabs>
        <w:spacing w:after="120" w:line="240" w:lineRule="auto"/>
        <w:ind w:left="1080" w:right="1440"/>
      </w:pPr>
      <w:r w:rsidRPr="000A473F">
        <w:t>Portfolio</w:t>
      </w:r>
      <w:r>
        <w:t xml:space="preserve"> o</w:t>
      </w:r>
      <w:r w:rsidRPr="000A473F">
        <w:t xml:space="preserve">ptimization. </w:t>
      </w:r>
    </w:p>
    <w:p w:rsidR="00003F9E" w:rsidP="00DF0347" w:rsidRDefault="00003F9E" w14:paraId="0B89B4D6" w14:textId="62F6DFDA">
      <w:pPr>
        <w:pStyle w:val="Standard"/>
      </w:pPr>
      <w:r>
        <w:t>The Commission resolved these three issues in D.19-10-001, D.20</w:t>
      </w:r>
      <w:r w:rsidR="214D23B2">
        <w:t>-</w:t>
      </w:r>
      <w:r>
        <w:t>03</w:t>
      </w:r>
      <w:r w:rsidR="218F3BF8">
        <w:t>-</w:t>
      </w:r>
      <w:r>
        <w:t>019, D.20-08-004 and D.</w:t>
      </w:r>
      <w:r w:rsidRPr="00003F9E">
        <w:t>21</w:t>
      </w:r>
      <w:r>
        <w:t>-</w:t>
      </w:r>
      <w:r w:rsidRPr="00003F9E">
        <w:t>05</w:t>
      </w:r>
      <w:r>
        <w:t>-</w:t>
      </w:r>
      <w:r w:rsidRPr="00003F9E">
        <w:t>030</w:t>
      </w:r>
      <w:r>
        <w:t>.</w:t>
      </w:r>
      <w:r w:rsidR="00715C38">
        <w:t xml:space="preserve"> In D.19-10-001, the Commission directed the Commission’s staff to propose a </w:t>
      </w:r>
      <w:r w:rsidRPr="00715C38" w:rsidR="00715C38">
        <w:t>new method to include long-term fixed-price transactions in calculating the RPS Adder</w:t>
      </w:r>
      <w:r w:rsidR="00715C38">
        <w:t xml:space="preserve"> for consideration in this proceeding.</w:t>
      </w:r>
    </w:p>
    <w:p w:rsidR="007B7387" w:rsidP="007B7387" w:rsidRDefault="007B7387" w14:paraId="569622B1" w14:textId="20648C62">
      <w:pPr>
        <w:pStyle w:val="Standard"/>
      </w:pPr>
      <w:r>
        <w:lastRenderedPageBreak/>
        <w:t>In D.</w:t>
      </w:r>
      <w:r w:rsidRPr="00003F9E">
        <w:t>21</w:t>
      </w:r>
      <w:r>
        <w:t>-</w:t>
      </w:r>
      <w:r w:rsidRPr="00003F9E">
        <w:t>05</w:t>
      </w:r>
      <w:r>
        <w:t>-</w:t>
      </w:r>
      <w:r w:rsidRPr="00003F9E">
        <w:t>03</w:t>
      </w:r>
      <w:r>
        <w:t>0, the Commission also resolved one issue from the 2020 Scoping Memo (whether to modify or remove the PCIA cap) and added a new issue to Phase 2 (whether greenhouse gas (</w:t>
      </w:r>
      <w:r w:rsidRPr="00003F9E">
        <w:t>GHG</w:t>
      </w:r>
      <w:r>
        <w:t xml:space="preserve">) </w:t>
      </w:r>
      <w:r w:rsidRPr="00003F9E">
        <w:t>-</w:t>
      </w:r>
      <w:r>
        <w:t>f</w:t>
      </w:r>
      <w:r w:rsidRPr="00003F9E">
        <w:t xml:space="preserve">ree resources </w:t>
      </w:r>
      <w:r>
        <w:t xml:space="preserve">are </w:t>
      </w:r>
      <w:r w:rsidR="00DF0347">
        <w:br/>
      </w:r>
      <w:r w:rsidRPr="00003F9E">
        <w:t>under-valued in</w:t>
      </w:r>
      <w:r>
        <w:t xml:space="preserve"> the</w:t>
      </w:r>
      <w:r w:rsidRPr="00003F9E">
        <w:t xml:space="preserve"> PCIA and</w:t>
      </w:r>
      <w:r>
        <w:t xml:space="preserve"> if so, whether to </w:t>
      </w:r>
      <w:r w:rsidRPr="00003F9E">
        <w:t>adopt a GHG-free adder or allocation mechanism</w:t>
      </w:r>
      <w:r>
        <w:t>).</w:t>
      </w:r>
    </w:p>
    <w:p w:rsidR="007B7387" w:rsidP="007B7387" w:rsidRDefault="00715C38" w14:paraId="218E9454" w14:textId="4D7F5A00">
      <w:pPr>
        <w:pStyle w:val="Standard"/>
      </w:pPr>
      <w:r>
        <w:t xml:space="preserve">On December 16, 2020, the </w:t>
      </w:r>
      <w:r w:rsidRPr="00443B94">
        <w:t xml:space="preserve">assigned Commissioner issued an Amended Scoping Memo and Ruling (2020 Scoping Memo) to add issues to the scope of Phase 2 of this proceeding. </w:t>
      </w:r>
      <w:r w:rsidRPr="00443B94" w:rsidR="00764C24">
        <w:t>California Community Choice Association (</w:t>
      </w:r>
      <w:proofErr w:type="spellStart"/>
      <w:r w:rsidRPr="00443B94">
        <w:t>CalCCA</w:t>
      </w:r>
      <w:proofErr w:type="spellEnd"/>
      <w:r w:rsidRPr="00443B94" w:rsidR="00764C24">
        <w:t>)</w:t>
      </w:r>
      <w:r w:rsidRPr="00443B94">
        <w:t xml:space="preserve">, </w:t>
      </w:r>
      <w:r w:rsidRPr="00443B94" w:rsidR="00443B94">
        <w:t>the Public Advocates Office of the Commission (</w:t>
      </w:r>
      <w:r w:rsidRPr="00443B94">
        <w:t>Cal Advocates</w:t>
      </w:r>
      <w:r w:rsidRPr="00443B94" w:rsidR="00443B94">
        <w:t>)</w:t>
      </w:r>
      <w:r w:rsidRPr="00443B94">
        <w:t xml:space="preserve">, </w:t>
      </w:r>
      <w:r w:rsidRPr="00443B94" w:rsidR="00443B94">
        <w:t>The Utility Reform Network (</w:t>
      </w:r>
      <w:r w:rsidRPr="00443B94">
        <w:t>TURN</w:t>
      </w:r>
      <w:r w:rsidRPr="00443B94" w:rsidR="00443B94">
        <w:t>)</w:t>
      </w:r>
      <w:r w:rsidRPr="00443B94">
        <w:t>,</w:t>
      </w:r>
      <w:r w:rsidRPr="00443B94" w:rsidR="00443B94">
        <w:t xml:space="preserve"> Southern California Edison Company (</w:t>
      </w:r>
      <w:r w:rsidRPr="00443B94">
        <w:t>SCE</w:t>
      </w:r>
      <w:r w:rsidRPr="00443B94" w:rsidR="00443B94">
        <w:t>)</w:t>
      </w:r>
      <w:r w:rsidRPr="00443B94">
        <w:t>,</w:t>
      </w:r>
      <w:r w:rsidRPr="00443B94" w:rsidR="00443B94">
        <w:t xml:space="preserve"> Pacific Gas and Electric Company</w:t>
      </w:r>
      <w:r w:rsidRPr="00443B94">
        <w:t xml:space="preserve"> </w:t>
      </w:r>
      <w:r w:rsidRPr="00443B94" w:rsidR="00443B94">
        <w:t>(</w:t>
      </w:r>
      <w:r w:rsidRPr="00443B94">
        <w:t>PG&amp;E</w:t>
      </w:r>
      <w:r w:rsidRPr="00443B94" w:rsidR="00443B94">
        <w:t>)</w:t>
      </w:r>
      <w:r w:rsidRPr="00443B94">
        <w:t>,</w:t>
      </w:r>
      <w:r w:rsidRPr="00443B94" w:rsidR="00443B94">
        <w:t xml:space="preserve"> San Diego Gas &amp; Electric Company</w:t>
      </w:r>
      <w:r w:rsidRPr="00443B94">
        <w:t xml:space="preserve"> </w:t>
      </w:r>
      <w:r w:rsidRPr="00443B94" w:rsidR="00443B94">
        <w:t>(</w:t>
      </w:r>
      <w:r w:rsidRPr="00443B94">
        <w:t>SDG&amp;E</w:t>
      </w:r>
      <w:r w:rsidRPr="00443B94" w:rsidR="00443B94">
        <w:t>)</w:t>
      </w:r>
      <w:r w:rsidRPr="00443B94">
        <w:t xml:space="preserve">, </w:t>
      </w:r>
      <w:r w:rsidRPr="00443B94" w:rsidR="00443B94">
        <w:t>Coalition of California Utility Employees (</w:t>
      </w:r>
      <w:r w:rsidRPr="00443B94">
        <w:t>CUE</w:t>
      </w:r>
      <w:r w:rsidRPr="00443B94" w:rsidR="00443B94">
        <w:t>)</w:t>
      </w:r>
      <w:r w:rsidRPr="00443B94">
        <w:t xml:space="preserve">, and </w:t>
      </w:r>
      <w:r w:rsidRPr="00443B94" w:rsidR="00443B94">
        <w:t xml:space="preserve">Alliance </w:t>
      </w:r>
      <w:r w:rsidR="00443B94">
        <w:t>f</w:t>
      </w:r>
      <w:r w:rsidRPr="00443B94" w:rsidR="00443B94">
        <w:t>or Retail Energy Markets (</w:t>
      </w:r>
      <w:proofErr w:type="spellStart"/>
      <w:r w:rsidRPr="00443B94">
        <w:t>AReM</w:t>
      </w:r>
      <w:proofErr w:type="spellEnd"/>
      <w:r w:rsidRPr="00443B94" w:rsidR="00443B94">
        <w:t>)</w:t>
      </w:r>
      <w:r w:rsidRPr="00443B94">
        <w:t>/</w:t>
      </w:r>
      <w:r w:rsidRPr="00443B94" w:rsidR="00443B94">
        <w:t>Direct Access Customer Coalition (</w:t>
      </w:r>
      <w:r w:rsidRPr="00443B94">
        <w:t>DACC</w:t>
      </w:r>
      <w:r w:rsidRPr="00443B94" w:rsidR="00443B94">
        <w:t>)</w:t>
      </w:r>
      <w:r w:rsidRPr="00443B94">
        <w:t xml:space="preserve"> filed opening comments on </w:t>
      </w:r>
      <w:r w:rsidRPr="00443B94" w:rsidR="007B7387">
        <w:t>the 2020 Scoping Memo</w:t>
      </w:r>
      <w:r w:rsidRPr="00443B94">
        <w:t xml:space="preserve"> on January 22, 2021. </w:t>
      </w:r>
      <w:proofErr w:type="spellStart"/>
      <w:r w:rsidRPr="00443B94">
        <w:t>CalCCA</w:t>
      </w:r>
      <w:proofErr w:type="spellEnd"/>
      <w:r w:rsidRPr="00443B94">
        <w:t xml:space="preserve">, </w:t>
      </w:r>
      <w:proofErr w:type="spellStart"/>
      <w:r w:rsidRPr="00443B94">
        <w:t>AReM</w:t>
      </w:r>
      <w:proofErr w:type="spellEnd"/>
      <w:r w:rsidRPr="00443B94">
        <w:t xml:space="preserve">/DACC, SDG&amp;E, SCE, PG&amp;E, and </w:t>
      </w:r>
      <w:proofErr w:type="spellStart"/>
      <w:r w:rsidRPr="00443B94">
        <w:t>CalCCA</w:t>
      </w:r>
      <w:proofErr w:type="spellEnd"/>
      <w:r w:rsidRPr="00443B94">
        <w:t xml:space="preserve"> filed reply comments</w:t>
      </w:r>
      <w:r>
        <w:t xml:space="preserve"> on February 9, 2021. </w:t>
      </w:r>
      <w:r w:rsidR="00764C24">
        <w:t>Parties</w:t>
      </w:r>
      <w:r w:rsidR="007B7387">
        <w:t xml:space="preserve"> also filed comments in response to Phase 2 rulings issued by the assigned Administrative Law Judge (ALJ) on May 20, </w:t>
      </w:r>
      <w:proofErr w:type="gramStart"/>
      <w:r w:rsidR="007B7387">
        <w:t>2021</w:t>
      </w:r>
      <w:proofErr w:type="gramEnd"/>
      <w:r w:rsidR="007B7387">
        <w:t xml:space="preserve"> and August 25, 2021.</w:t>
      </w:r>
    </w:p>
    <w:p w:rsidR="00715C38" w:rsidP="00F52D40" w:rsidRDefault="005939A5" w14:paraId="2F4F24E8" w14:textId="2AF11CB4">
      <w:pPr>
        <w:pStyle w:val="Heading1"/>
        <w:numPr>
          <w:ilvl w:val="0"/>
          <w:numId w:val="19"/>
        </w:numPr>
      </w:pPr>
      <w:bookmarkStart w:name="_Toc8123719" w:id="5"/>
      <w:bookmarkStart w:name="_Toc93918134" w:id="6"/>
      <w:r w:rsidRPr="00F52D40">
        <w:t>Issues</w:t>
      </w:r>
      <w:r>
        <w:t xml:space="preserve"> Before the Commission</w:t>
      </w:r>
      <w:bookmarkEnd w:id="5"/>
      <w:bookmarkEnd w:id="6"/>
    </w:p>
    <w:p w:rsidR="005939A5" w:rsidP="00A44E8D" w:rsidRDefault="006922A7" w14:paraId="227845D9" w14:textId="19927C8E">
      <w:pPr>
        <w:pStyle w:val="Standard"/>
      </w:pPr>
      <w:r>
        <w:t>The Commission</w:t>
      </w:r>
      <w:r w:rsidR="00715C38">
        <w:t xml:space="preserve"> now consider</w:t>
      </w:r>
      <w:r>
        <w:t>s</w:t>
      </w:r>
      <w:r w:rsidR="00715C38">
        <w:t xml:space="preserve"> </w:t>
      </w:r>
      <w:r w:rsidR="00D35C6A">
        <w:t>these</w:t>
      </w:r>
      <w:r w:rsidR="00715C38">
        <w:t xml:space="preserve"> Phase 2</w:t>
      </w:r>
      <w:r w:rsidR="00F035C5">
        <w:t xml:space="preserve"> issues from the 2020 Scoping Memo:</w:t>
      </w:r>
    </w:p>
    <w:p w:rsidR="00F035C5" w:rsidP="00F52D40" w:rsidRDefault="00F035C5" w14:paraId="55386056" w14:textId="44749910">
      <w:pPr>
        <w:pStyle w:val="ListNum"/>
        <w:numPr>
          <w:ilvl w:val="7"/>
          <w:numId w:val="1"/>
        </w:numPr>
        <w:ind w:right="1440"/>
      </w:pPr>
      <w:r>
        <w:t xml:space="preserve">Should the Commission modify deadlines or requirements of Energy Resource Recovery Account (ERRA) and PCIA related submittals and reports </w:t>
      </w:r>
      <w:proofErr w:type="gramStart"/>
      <w:r>
        <w:t>in order to</w:t>
      </w:r>
      <w:proofErr w:type="gramEnd"/>
      <w:r>
        <w:t xml:space="preserve"> increase time for parties to review PCIA data and to facilitate timely implementation of decisions in the ERRA proceedings?</w:t>
      </w:r>
    </w:p>
    <w:p w:rsidR="00F035C5" w:rsidP="00F52D40" w:rsidRDefault="00F035C5" w14:paraId="0B3A4D31" w14:textId="5A262FF8">
      <w:pPr>
        <w:pStyle w:val="ListNum"/>
        <w:numPr>
          <w:ilvl w:val="7"/>
          <w:numId w:val="1"/>
        </w:numPr>
        <w:ind w:right="1440"/>
      </w:pPr>
      <w:r>
        <w:t xml:space="preserve">Should the Commission adopt a methodology for crediting or charging customers who depart from the utility service </w:t>
      </w:r>
      <w:r>
        <w:lastRenderedPageBreak/>
        <w:t xml:space="preserve">during an amortization period and who are responsible for a balance in the PCIA </w:t>
      </w:r>
      <w:proofErr w:type="spellStart"/>
      <w:r>
        <w:t>Undercollection</w:t>
      </w:r>
      <w:proofErr w:type="spellEnd"/>
      <w:r>
        <w:t xml:space="preserve"> Balancing Account, the Energy Resource Recovery Account, or any other bundled generation account? </w:t>
      </w:r>
    </w:p>
    <w:p w:rsidR="00F035C5" w:rsidP="00F52D40" w:rsidRDefault="00F035C5" w14:paraId="47987164" w14:textId="660ACCF2">
      <w:pPr>
        <w:pStyle w:val="ListNum"/>
        <w:numPr>
          <w:ilvl w:val="7"/>
          <w:numId w:val="1"/>
        </w:numPr>
        <w:ind w:right="1440"/>
      </w:pPr>
      <w:r>
        <w:t>Should the Commission consider any other changes necessary to ensure efficient implementation of PCIA issues within ERRA proceedings?</w:t>
      </w:r>
    </w:p>
    <w:p w:rsidR="00F035C5" w:rsidP="00F52D40" w:rsidRDefault="006922A7" w14:paraId="3A3F4356" w14:textId="06501D0B">
      <w:pPr>
        <w:pStyle w:val="Standard"/>
        <w:spacing w:after="120" w:line="240" w:lineRule="auto"/>
        <w:ind w:right="1440"/>
      </w:pPr>
      <w:r>
        <w:t>The Commission</w:t>
      </w:r>
      <w:r w:rsidR="00003F9E">
        <w:t xml:space="preserve"> will address the</w:t>
      </w:r>
      <w:r w:rsidR="00D35C6A">
        <w:t>se</w:t>
      </w:r>
      <w:r w:rsidR="00003F9E">
        <w:t xml:space="preserve"> remaining Phase 2 issues in a subsequent decision:</w:t>
      </w:r>
    </w:p>
    <w:p w:rsidR="00003F9E" w:rsidP="00F52D40" w:rsidRDefault="00003F9E" w14:paraId="64C94264" w14:textId="25F9BF19">
      <w:pPr>
        <w:pStyle w:val="ListNum"/>
        <w:numPr>
          <w:ilvl w:val="7"/>
          <w:numId w:val="1"/>
        </w:numPr>
        <w:ind w:right="1440"/>
      </w:pPr>
      <w:r>
        <w:t>A</w:t>
      </w:r>
      <w:r w:rsidRPr="00003F9E">
        <w:t>r</w:t>
      </w:r>
      <w:r>
        <w:t>e</w:t>
      </w:r>
      <w:r w:rsidRPr="00003F9E">
        <w:t xml:space="preserve"> GHG-</w:t>
      </w:r>
      <w:r>
        <w:t>f</w:t>
      </w:r>
      <w:r w:rsidRPr="00003F9E">
        <w:t>ree resources under-valued in</w:t>
      </w:r>
      <w:r>
        <w:t xml:space="preserve"> the</w:t>
      </w:r>
      <w:r w:rsidRPr="00003F9E">
        <w:t xml:space="preserve"> PCIA</w:t>
      </w:r>
      <w:r w:rsidR="0073046C">
        <w:t>,</w:t>
      </w:r>
      <w:r w:rsidRPr="00003F9E">
        <w:t xml:space="preserve"> and</w:t>
      </w:r>
      <w:r>
        <w:t xml:space="preserve"> if so, should the Commission</w:t>
      </w:r>
      <w:r w:rsidRPr="00003F9E">
        <w:t xml:space="preserve"> adopt a GHG-free adder or allocation mechanism</w:t>
      </w:r>
      <w:r>
        <w:t xml:space="preserve">? </w:t>
      </w:r>
    </w:p>
    <w:p w:rsidR="007B7387" w:rsidP="00F52D40" w:rsidRDefault="00003F9E" w14:paraId="7AAFD6C5" w14:textId="3BE8C6DE">
      <w:pPr>
        <w:pStyle w:val="ListNum"/>
        <w:numPr>
          <w:ilvl w:val="7"/>
          <w:numId w:val="1"/>
        </w:numPr>
        <w:ind w:right="1440"/>
      </w:pPr>
      <w:r>
        <w:t>Should the Commission adopt a new method (to be proposed by the Commission’s staff</w:t>
      </w:r>
      <w:r w:rsidR="00783470">
        <w:t xml:space="preserve"> as required by </w:t>
      </w:r>
      <w:r w:rsidR="00C252A1">
        <w:br/>
      </w:r>
      <w:r w:rsidR="00783470">
        <w:t>D.19-10-001</w:t>
      </w:r>
      <w:r>
        <w:t xml:space="preserve">) to include </w:t>
      </w:r>
      <w:r w:rsidRPr="00003F9E">
        <w:t>long-term fixed-price transactions in calculating the RPS Adder</w:t>
      </w:r>
      <w:r>
        <w:t xml:space="preserve">? </w:t>
      </w:r>
    </w:p>
    <w:p w:rsidR="005939A5" w:rsidP="00F52D40" w:rsidRDefault="007B7387" w14:paraId="7B1C69C0" w14:textId="566DB023">
      <w:pPr>
        <w:pStyle w:val="Heading1"/>
        <w:numPr>
          <w:ilvl w:val="0"/>
          <w:numId w:val="19"/>
        </w:numPr>
      </w:pPr>
      <w:bookmarkStart w:name="_Toc93918135" w:id="7"/>
      <w:r w:rsidRPr="00F52D40">
        <w:t>Whether</w:t>
      </w:r>
      <w:r>
        <w:t xml:space="preserve"> to Modify ERRA Deadlines or Requirements</w:t>
      </w:r>
      <w:bookmarkEnd w:id="7"/>
    </w:p>
    <w:p w:rsidRPr="00BC305E" w:rsidR="00BC305E" w:rsidP="00F52D40" w:rsidRDefault="00BC305E" w14:paraId="302D6241" w14:textId="32E924C3">
      <w:pPr>
        <w:pStyle w:val="Heading2"/>
        <w:numPr>
          <w:ilvl w:val="1"/>
          <w:numId w:val="19"/>
        </w:numPr>
      </w:pPr>
      <w:bookmarkStart w:name="_Toc93918136" w:id="8"/>
      <w:r>
        <w:t xml:space="preserve">PCIA Market Price Benchmark Calculation </w:t>
      </w:r>
      <w:r w:rsidR="00B03F4A">
        <w:t>Release Date</w:t>
      </w:r>
      <w:bookmarkEnd w:id="8"/>
    </w:p>
    <w:p w:rsidR="00373831" w:rsidP="00B03F4A" w:rsidRDefault="00B03F4A" w14:paraId="281F477E" w14:textId="36E6B46D">
      <w:pPr>
        <w:pStyle w:val="Standard"/>
      </w:pPr>
      <w:bookmarkStart w:name="_Hlk48806555" w:id="9"/>
      <w:r w:rsidRPr="002B63D8">
        <w:t xml:space="preserve">In D.02-10-062, the Commission established the </w:t>
      </w:r>
      <w:r>
        <w:t>ERRA</w:t>
      </w:r>
      <w:r w:rsidRPr="002B63D8">
        <w:t xml:space="preserve">, the </w:t>
      </w:r>
      <w:r>
        <w:t xml:space="preserve">energy </w:t>
      </w:r>
      <w:r w:rsidRPr="002B63D8">
        <w:t>procurement balancing account</w:t>
      </w:r>
      <w:r>
        <w:t xml:space="preserve"> </w:t>
      </w:r>
      <w:r w:rsidRPr="002B63D8">
        <w:t xml:space="preserve">required by Pub. Util. Code </w:t>
      </w:r>
      <w:r>
        <w:t>Section </w:t>
      </w:r>
      <w:r w:rsidRPr="002B63D8">
        <w:t xml:space="preserve">454.5(d)(3).  </w:t>
      </w:r>
      <w:bookmarkEnd w:id="9"/>
      <w:r w:rsidR="00373831">
        <w:t>Each year, the Commission considers whether to adopt the proposed</w:t>
      </w:r>
      <w:r w:rsidRPr="002B63D8" w:rsidR="00373831">
        <w:t xml:space="preserve"> forecast of </w:t>
      </w:r>
      <w:r w:rsidR="00373831">
        <w:t>each IOU’s</w:t>
      </w:r>
      <w:r w:rsidRPr="002B63D8" w:rsidR="00373831">
        <w:t xml:space="preserve"> electric procurement cost revenue requirement and electricity sales for the upcoming year</w:t>
      </w:r>
      <w:r w:rsidR="00373831">
        <w:t xml:space="preserve"> in ERRA forecast proceedings.</w:t>
      </w:r>
    </w:p>
    <w:p w:rsidR="00373831" w:rsidP="00373831" w:rsidRDefault="00373831" w14:paraId="14C2F07F" w14:textId="1B58D622">
      <w:pPr>
        <w:pStyle w:val="Standard"/>
      </w:pPr>
      <w:r>
        <w:t>D.04-01-050 adopted an ERRA forecast proceeding schedule to enable the Commission to issue ERRA forecast decision</w:t>
      </w:r>
      <w:r w:rsidR="000D7557">
        <w:t>s</w:t>
      </w:r>
      <w:r>
        <w:t xml:space="preserve"> by the end of</w:t>
      </w:r>
      <w:r w:rsidR="000D7557">
        <w:t xml:space="preserve"> each</w:t>
      </w:r>
      <w:r>
        <w:t xml:space="preserve"> year.</w:t>
      </w:r>
      <w:r w:rsidR="000D7557">
        <w:rPr>
          <w:rStyle w:val="FootnoteReference"/>
        </w:rPr>
        <w:footnoteReference w:id="2"/>
      </w:r>
      <w:r>
        <w:t xml:space="preserve">  When approval of </w:t>
      </w:r>
      <w:r w:rsidR="000D7557">
        <w:t>an ERRA</w:t>
      </w:r>
      <w:r>
        <w:t xml:space="preserve"> forecast application is delayed, the forecasted procurement costs beginning on January 1 are recovered under rates set using the prior year’s </w:t>
      </w:r>
      <w:r>
        <w:lastRenderedPageBreak/>
        <w:t>approved revenue requirement</w:t>
      </w:r>
      <w:r w:rsidR="000D7557">
        <w:t>,</w:t>
      </w:r>
      <w:r>
        <w:t xml:space="preserve"> rather than rates that are intended to recover the procurement costs that are incurred beginning on January 1. </w:t>
      </w:r>
      <w:r w:rsidR="00F52D40">
        <w:t xml:space="preserve"> </w:t>
      </w:r>
      <w:r>
        <w:t>When ERRA forecast decisions are delayed on a regular basis, there is a “systemic mismatch” in timing between the forecast period and the time at which the costs are recovered in rates as well as a mismatch between the procurement-related revenues and expenses.</w:t>
      </w:r>
      <w:r>
        <w:rPr>
          <w:rStyle w:val="FootnoteReference"/>
        </w:rPr>
        <w:footnoteReference w:id="3"/>
      </w:r>
    </w:p>
    <w:p w:rsidR="00824BEE" w:rsidP="007B7387" w:rsidRDefault="00824BEE" w14:paraId="31462183" w14:textId="6138E29A">
      <w:pPr>
        <w:pStyle w:val="Standard"/>
      </w:pPr>
      <w:r w:rsidRPr="00B7291D">
        <w:t>In D.19-10-001, the Commission adopted a revised methodology for Market Price Benchmarks (MPB) used to calculate the PCIA.</w:t>
      </w:r>
      <w:r w:rsidR="00F52D40">
        <w:t xml:space="preserve"> </w:t>
      </w:r>
      <w:r w:rsidRPr="00B7291D">
        <w:t xml:space="preserve"> In D.18-10-019, the Commission ordered its Energy Division</w:t>
      </w:r>
      <w:r>
        <w:t xml:space="preserve"> staff to calculate MPB components: </w:t>
      </w:r>
      <w:r w:rsidR="00F52D40">
        <w:br/>
      </w:r>
      <w:r>
        <w:t xml:space="preserve">(1) the Brown Power Index (also called the Energy Index); (2) the renewable procurement standard adders; and (3) the resource adequacy adders. </w:t>
      </w:r>
      <w:r w:rsidR="00F52D40">
        <w:t xml:space="preserve"> </w:t>
      </w:r>
      <w:r>
        <w:t>The MPB calculations are served upon</w:t>
      </w:r>
      <w:r w:rsidR="003D1BB7">
        <w:t xml:space="preserve"> each</w:t>
      </w:r>
      <w:r>
        <w:t xml:space="preserve"> ERRA forecast proceeding service list at the beginning of November each year. </w:t>
      </w:r>
      <w:r w:rsidR="00F52D40">
        <w:t xml:space="preserve"> </w:t>
      </w:r>
      <w:r w:rsidR="003D1BB7">
        <w:t>Each</w:t>
      </w:r>
      <w:r>
        <w:t xml:space="preserve"> utility then serves updated prepared testimony with updated PCIA rates based on the MPB calculations in </w:t>
      </w:r>
      <w:r w:rsidR="003D1BB7">
        <w:t>its</w:t>
      </w:r>
      <w:r>
        <w:t xml:space="preserve"> ERRA forecast proceeding. This updated testimony is generally referred to as the “November Update.”</w:t>
      </w:r>
    </w:p>
    <w:p w:rsidR="00B0380F" w:rsidP="00874037" w:rsidRDefault="00824BEE" w14:paraId="0F9FB99C" w14:textId="5E5A1053">
      <w:pPr>
        <w:pStyle w:val="Standard"/>
      </w:pPr>
      <w:r>
        <w:t xml:space="preserve">On May 20, 2021, </w:t>
      </w:r>
      <w:r w:rsidR="00951185">
        <w:t>ALJ Wang</w:t>
      </w:r>
      <w:r>
        <w:t xml:space="preserve"> issued a ruling</w:t>
      </w:r>
      <w:r w:rsidR="001A7413">
        <w:t xml:space="preserve"> (May 2021 Ruling)</w:t>
      </w:r>
      <w:r>
        <w:t xml:space="preserve"> to request comments on a staff proposal to modify the schedule adopted in D.19-10-001 for issuing the MPB calculations (Staff</w:t>
      </w:r>
      <w:r w:rsidR="00891777">
        <w:t xml:space="preserve"> </w:t>
      </w:r>
      <w:r>
        <w:t xml:space="preserve">Proposal). </w:t>
      </w:r>
      <w:r w:rsidR="00F52D40">
        <w:t xml:space="preserve"> </w:t>
      </w:r>
      <w:r>
        <w:t xml:space="preserve">The Commission’s staff proposed to move the MPB </w:t>
      </w:r>
      <w:r w:rsidR="00FD482A">
        <w:t>release</w:t>
      </w:r>
      <w:r>
        <w:t xml:space="preserve"> date from November 1 to October 1 each year to enable the Commission to direct utilities in the ERRA forecast proceedings to provide updated prepared testimony in October (an October Update) rather than in November.</w:t>
      </w:r>
      <w:r w:rsidR="00874037">
        <w:t xml:space="preserve"> </w:t>
      </w:r>
    </w:p>
    <w:p w:rsidR="00951185" w:rsidP="00824BEE" w:rsidRDefault="00824BEE" w14:paraId="4F92B5E2" w14:textId="40312CF3">
      <w:pPr>
        <w:pStyle w:val="Standard"/>
      </w:pPr>
      <w:r>
        <w:lastRenderedPageBreak/>
        <w:t xml:space="preserve">The Staff Proposal explains that the current annual ERRA forecast proceeding schedule does not provide enough time for intervenors to review and comment on the November Update or for the Commission to review the November Update and issue a proposed decision in November for a vote by mid-December to meet the mandated January 1 rate implementation deadline. </w:t>
      </w:r>
      <w:r w:rsidR="00C9136F">
        <w:t>The Commission adopted many ERRA forecast decisions after January 1</w:t>
      </w:r>
      <w:r w:rsidRPr="00C9136F" w:rsidR="00C9136F">
        <w:rPr>
          <w:vertAlign w:val="superscript"/>
        </w:rPr>
        <w:t>st</w:t>
      </w:r>
      <w:r w:rsidR="00C9136F">
        <w:t xml:space="preserve"> during the last few years.</w:t>
      </w:r>
      <w:r w:rsidR="00C9136F">
        <w:rPr>
          <w:rStyle w:val="FootnoteReference"/>
        </w:rPr>
        <w:footnoteReference w:id="4"/>
      </w:r>
      <w:r w:rsidR="00C9136F">
        <w:t xml:space="preserve"> </w:t>
      </w:r>
      <w:r w:rsidR="00F52D40">
        <w:t xml:space="preserve"> </w:t>
      </w:r>
      <w:r w:rsidR="000D7557">
        <w:t>Delays in ERRA forecast decisions result in delays</w:t>
      </w:r>
      <w:r>
        <w:t xml:space="preserve"> in utility rate changes, which can result in under-collections.</w:t>
      </w:r>
      <w:r w:rsidR="00951185">
        <w:t xml:space="preserve"> </w:t>
      </w:r>
    </w:p>
    <w:p w:rsidR="00934783" w:rsidP="00934783" w:rsidRDefault="001A7413" w14:paraId="7A613566" w14:textId="3A35B03D">
      <w:pPr>
        <w:pStyle w:val="Standard"/>
      </w:pPr>
      <w:proofErr w:type="spellStart"/>
      <w:r w:rsidRPr="00FE2124">
        <w:t>CalCCA</w:t>
      </w:r>
      <w:proofErr w:type="spellEnd"/>
      <w:r w:rsidRPr="00FE2124">
        <w:t xml:space="preserve">, PG&amp;E, SCE, and SDG&amp;E provided comments </w:t>
      </w:r>
      <w:r w:rsidR="00874037">
        <w:t>in response to</w:t>
      </w:r>
      <w:r w:rsidRPr="00FE2124">
        <w:t xml:space="preserve"> the May 2021 Ruling.</w:t>
      </w:r>
      <w:r w:rsidR="00874037">
        <w:t xml:space="preserve"> </w:t>
      </w:r>
      <w:r w:rsidR="00F52D40">
        <w:t xml:space="preserve"> </w:t>
      </w:r>
      <w:r w:rsidR="00934783">
        <w:t xml:space="preserve">In comments on June 15, 2021, </w:t>
      </w:r>
      <w:proofErr w:type="spellStart"/>
      <w:r w:rsidR="00874037">
        <w:t>CalCCA</w:t>
      </w:r>
      <w:proofErr w:type="spellEnd"/>
      <w:r w:rsidR="00874037">
        <w:t xml:space="preserve"> </w:t>
      </w:r>
      <w:r w:rsidR="00934783">
        <w:t>asserted that</w:t>
      </w:r>
      <w:r w:rsidR="00874037">
        <w:t xml:space="preserve"> the underlying problem for CCAs is that ERRA proceeding schedules do not provide enough time for CCAs to fully vet each part of the ERRA cases. </w:t>
      </w:r>
      <w:r w:rsidR="00823AC8">
        <w:t xml:space="preserve"> </w:t>
      </w:r>
      <w:proofErr w:type="spellStart"/>
      <w:r w:rsidR="00874037">
        <w:t>CalCCA</w:t>
      </w:r>
      <w:proofErr w:type="spellEnd"/>
      <w:r w:rsidR="00874037">
        <w:t xml:space="preserve"> supported the Staff Proposal as a solution for this problem, with the caveat that it would be necessary to require the utilities to file their ERRA forecast applications by mid-May at the latest each year</w:t>
      </w:r>
      <w:r w:rsidR="00934783">
        <w:t xml:space="preserve"> to prevent shifting the problem from not having enough time to review the November Update to not having enough time in October to concurrently work on testimony and hearings while reviewing the October Update.</w:t>
      </w:r>
    </w:p>
    <w:p w:rsidR="00934783" w:rsidP="00934783" w:rsidRDefault="00934783" w14:paraId="58A4338B" w14:textId="501C37F1">
      <w:pPr>
        <w:pStyle w:val="Standard"/>
      </w:pPr>
      <w:r>
        <w:t xml:space="preserve">PG&amp;E, SCE and SDG&amp;E (together, the Joint IOUs) similarly commented on June 15, </w:t>
      </w:r>
      <w:proofErr w:type="gramStart"/>
      <w:r>
        <w:t>2021</w:t>
      </w:r>
      <w:proofErr w:type="gramEnd"/>
      <w:r>
        <w:t xml:space="preserve"> that they support consideration of all aspects of the ERRA forecast proceeding schedules with the goal of improving the process for all parties rather than trading one set of challenges for others.  The Joint IOUs commented that changing the MPB </w:t>
      </w:r>
      <w:r w:rsidR="00381C41">
        <w:t>release</w:t>
      </w:r>
      <w:r>
        <w:t xml:space="preserve"> date to facilitate an October Update was unlikely to provide parties additional relief.  They noted that </w:t>
      </w:r>
      <w:r w:rsidR="00170AC7">
        <w:t xml:space="preserve">during the month of October, </w:t>
      </w:r>
      <w:r w:rsidR="00170AC7">
        <w:lastRenderedPageBreak/>
        <w:t xml:space="preserve">PG&amp;E’s ERRA forecast team would be hard pressed to work on an October Update since they would simultaneously have to prepare for evidentiary hearings, rebuttal testimony, and opening briefs. </w:t>
      </w:r>
    </w:p>
    <w:p w:rsidR="00DE5749" w:rsidP="00DE5749" w:rsidRDefault="00170AC7" w14:paraId="572C0D88" w14:textId="2F3BE611">
      <w:pPr>
        <w:pStyle w:val="Standard"/>
      </w:pPr>
      <w:r>
        <w:t>SDG&amp;E recommended that the Commission’s staff</w:t>
      </w:r>
      <w:r w:rsidR="00DE5749">
        <w:t xml:space="preserve"> provide an analysis of the probable range of impacts to benchmarks that could result from the Staff Proposal.</w:t>
      </w:r>
      <w:r w:rsidR="00DE5749">
        <w:rPr>
          <w:rStyle w:val="FootnoteReference"/>
        </w:rPr>
        <w:footnoteReference w:id="5"/>
      </w:r>
      <w:r w:rsidR="00DE5749">
        <w:t xml:space="preserve"> In reply comments, the Joint IOUs and </w:t>
      </w:r>
      <w:proofErr w:type="spellStart"/>
      <w:r w:rsidR="00DE5749">
        <w:t>AReM</w:t>
      </w:r>
      <w:proofErr w:type="spellEnd"/>
      <w:r w:rsidR="00DE5749">
        <w:t>/DACC agreed with this recommendation.</w:t>
      </w:r>
    </w:p>
    <w:p w:rsidR="00FD482A" w:rsidP="00B0380F" w:rsidRDefault="00B0380F" w14:paraId="3B598645" w14:textId="6489C90B">
      <w:pPr>
        <w:pStyle w:val="Standard"/>
      </w:pPr>
      <w:r>
        <w:t xml:space="preserve">On June 4, 2021, the Commission’s staff held a workshop to discuss the MPB Staff Proposal.  </w:t>
      </w:r>
      <w:r w:rsidR="00D87D64">
        <w:t xml:space="preserve">On August 25, 2021, </w:t>
      </w:r>
      <w:r w:rsidR="00951185">
        <w:t>ALJ Wang</w:t>
      </w:r>
      <w:r w:rsidR="00D87D64">
        <w:t xml:space="preserve"> issued a ruling </w:t>
      </w:r>
      <w:r w:rsidR="00B74F3F">
        <w:t xml:space="preserve">(August 2021 Ruling) </w:t>
      </w:r>
      <w:r w:rsidR="00FD482A">
        <w:t xml:space="preserve">requesting comments on </w:t>
      </w:r>
      <w:r w:rsidR="00D87D64">
        <w:t xml:space="preserve">highlights from the June 2021 workshop (Workshop Highlights) and </w:t>
      </w:r>
      <w:r w:rsidR="00FD482A">
        <w:t xml:space="preserve">a </w:t>
      </w:r>
      <w:r w:rsidR="00D87D64">
        <w:t xml:space="preserve">staff analysis of changes to MPB calculations (MPB Staff Analysis) that would result from implementation of the Staff Proposal. </w:t>
      </w:r>
    </w:p>
    <w:p w:rsidR="00FD482A" w:rsidP="00FD482A" w:rsidRDefault="00D87D64" w14:paraId="329BD683" w14:textId="3F787DFB">
      <w:pPr>
        <w:pStyle w:val="Standard"/>
      </w:pPr>
      <w:r>
        <w:t xml:space="preserve">The Workshop Highlights </w:t>
      </w:r>
      <w:r w:rsidR="00FD482A">
        <w:t xml:space="preserve">include staff’s explanation of the problems with the current process. </w:t>
      </w:r>
      <w:r w:rsidR="00A95063">
        <w:t xml:space="preserve"> </w:t>
      </w:r>
      <w:r w:rsidR="00FD482A">
        <w:t>The current MPB release date of November 1 was conceived when ERRA proceedings were much less complex</w:t>
      </w:r>
      <w:r w:rsidR="000A5011">
        <w:t>.</w:t>
      </w:r>
      <w:r w:rsidR="00FD482A">
        <w:t xml:space="preserve"> </w:t>
      </w:r>
      <w:r w:rsidR="008C44C7">
        <w:t xml:space="preserve"> </w:t>
      </w:r>
      <w:r w:rsidR="000A5011">
        <w:t>I</w:t>
      </w:r>
      <w:r w:rsidR="00FD482A">
        <w:t>t is increasingly difficult for the Commission to issue ERRA forecast decisions in time to meet the January 1</w:t>
      </w:r>
      <w:r w:rsidRPr="00FD482A" w:rsidR="00FD482A">
        <w:rPr>
          <w:vertAlign w:val="superscript"/>
        </w:rPr>
        <w:t>st</w:t>
      </w:r>
      <w:r w:rsidR="00FD482A">
        <w:t xml:space="preserve"> rate implementation deadline. Failing to meet the January 1</w:t>
      </w:r>
      <w:r w:rsidRPr="00FD482A" w:rsidR="00FD482A">
        <w:rPr>
          <w:vertAlign w:val="superscript"/>
        </w:rPr>
        <w:t>st</w:t>
      </w:r>
      <w:r w:rsidR="00FD482A">
        <w:t xml:space="preserve"> deadline causes rate volatility and growing balance account surpluses or deficits.</w:t>
      </w:r>
    </w:p>
    <w:p w:rsidR="000D7557" w:rsidP="000A5011" w:rsidRDefault="00FD482A" w14:paraId="1C3C27E5" w14:textId="736311F6">
      <w:pPr>
        <w:pStyle w:val="Standard"/>
      </w:pPr>
      <w:r>
        <w:t xml:space="preserve">The Workshop Highlights also address an alternate proposal raised </w:t>
      </w:r>
      <w:r w:rsidR="00A3236E">
        <w:t>at the workshop</w:t>
      </w:r>
      <w:r>
        <w:t>.</w:t>
      </w:r>
      <w:r w:rsidR="008C44C7">
        <w:t xml:space="preserve"> </w:t>
      </w:r>
      <w:r>
        <w:t xml:space="preserve"> Some parties proposed to leave the MPB release date on November 1 and instead move the </w:t>
      </w:r>
      <w:r w:rsidR="000A5011">
        <w:t>ERRA rate</w:t>
      </w:r>
      <w:r>
        <w:t xml:space="preserve"> implementation date to later in the first quarter of the next year (Alternate Proposal).</w:t>
      </w:r>
      <w:r w:rsidR="00B74F3F">
        <w:t xml:space="preserve"> </w:t>
      </w:r>
    </w:p>
    <w:p w:rsidR="000A5011" w:rsidP="000A5011" w:rsidRDefault="00BC305E" w14:paraId="75096DC1" w14:textId="3AB4EED9">
      <w:pPr>
        <w:pStyle w:val="Standard"/>
      </w:pPr>
      <w:r>
        <w:t xml:space="preserve">At the workshop, staff expressed its opinion that the Alternate Proposal would </w:t>
      </w:r>
      <w:r w:rsidR="00925C5F">
        <w:t xml:space="preserve">cause rate </w:t>
      </w:r>
      <w:r w:rsidR="006035DA">
        <w:t xml:space="preserve">instability and </w:t>
      </w:r>
      <w:r w:rsidR="00036E24">
        <w:t xml:space="preserve">impact stakeholders who do not participate in </w:t>
      </w:r>
      <w:r w:rsidR="00036E24">
        <w:lastRenderedPageBreak/>
        <w:t>this proceeding</w:t>
      </w:r>
      <w:r>
        <w:t>.</w:t>
      </w:r>
      <w:r w:rsidR="008C44C7">
        <w:t xml:space="preserve"> </w:t>
      </w:r>
      <w:r w:rsidR="00DE1273">
        <w:t xml:space="preserve"> </w:t>
      </w:r>
      <w:r w:rsidR="000A5011">
        <w:t>Rate changes from transmission rates</w:t>
      </w:r>
      <w:r w:rsidR="00AD2A72">
        <w:rPr>
          <w:rStyle w:val="FootnoteReference"/>
        </w:rPr>
        <w:footnoteReference w:id="6"/>
      </w:r>
      <w:r w:rsidR="000A5011">
        <w:t xml:space="preserve"> </w:t>
      </w:r>
      <w:r w:rsidR="006D55B5">
        <w:t xml:space="preserve">and </w:t>
      </w:r>
      <w:r w:rsidR="00BA1F33">
        <w:t>General Rate Case</w:t>
      </w:r>
      <w:r w:rsidR="001F420E">
        <w:t xml:space="preserve"> decisions</w:t>
      </w:r>
      <w:r w:rsidR="00BA1F33">
        <w:t xml:space="preserve"> </w:t>
      </w:r>
      <w:r w:rsidR="00E41B62">
        <w:t>are effective</w:t>
      </w:r>
      <w:r w:rsidR="00060B2E">
        <w:t xml:space="preserve"> on</w:t>
      </w:r>
      <w:r w:rsidR="000A5011">
        <w:t xml:space="preserve"> January 1</w:t>
      </w:r>
      <w:r w:rsidRPr="000A5011" w:rsidR="000A5011">
        <w:rPr>
          <w:vertAlign w:val="superscript"/>
        </w:rPr>
        <w:t>st</w:t>
      </w:r>
      <w:r w:rsidR="000A5011">
        <w:t xml:space="preserve"> each year.</w:t>
      </w:r>
      <w:r w:rsidR="000357E0">
        <w:rPr>
          <w:rStyle w:val="FootnoteReference"/>
        </w:rPr>
        <w:footnoteReference w:id="7"/>
      </w:r>
      <w:r w:rsidR="000A5011">
        <w:t xml:space="preserve">  </w:t>
      </w:r>
      <w:r>
        <w:t>Implementing</w:t>
      </w:r>
      <w:r w:rsidR="000D7557">
        <w:t xml:space="preserve"> ERRA</w:t>
      </w:r>
      <w:r>
        <w:t xml:space="preserve"> rate changes on different dates </w:t>
      </w:r>
      <w:r w:rsidR="000D7557">
        <w:t xml:space="preserve">than other rate changes would </w:t>
      </w:r>
      <w:r>
        <w:t>cause</w:t>
      </w:r>
      <w:r w:rsidR="00DE1273">
        <w:t xml:space="preserve"> rate instability and </w:t>
      </w:r>
      <w:r>
        <w:t xml:space="preserve">accrual of </w:t>
      </w:r>
      <w:r w:rsidR="00DE1273">
        <w:t>balancing account balances.</w:t>
      </w:r>
      <w:r w:rsidR="000A5011">
        <w:t xml:space="preserve"> </w:t>
      </w:r>
    </w:p>
    <w:p w:rsidR="00BC305E" w:rsidP="000A5011" w:rsidRDefault="00BC305E" w14:paraId="407B30FA" w14:textId="4A3BC4A3">
      <w:pPr>
        <w:pStyle w:val="Standard"/>
      </w:pPr>
      <w:r>
        <w:t>We agree that adjusting the January 1</w:t>
      </w:r>
      <w:r w:rsidRPr="00BC305E">
        <w:rPr>
          <w:vertAlign w:val="superscript"/>
        </w:rPr>
        <w:t>st</w:t>
      </w:r>
      <w:r>
        <w:t xml:space="preserve"> deadline for ERRA forecast-related rate changes </w:t>
      </w:r>
      <w:r w:rsidR="000A5011">
        <w:t xml:space="preserve">would have broad implications that are </w:t>
      </w:r>
      <w:r>
        <w:t>outside of the scope of this PCIA-focused proceeding.</w:t>
      </w:r>
      <w:r w:rsidR="008C44C7">
        <w:t xml:space="preserve"> </w:t>
      </w:r>
      <w:r>
        <w:t xml:space="preserve"> </w:t>
      </w:r>
      <w:r w:rsidR="000A5011">
        <w:t xml:space="preserve">Accordingly, </w:t>
      </w:r>
      <w:r w:rsidR="006922A7">
        <w:t>the Commission</w:t>
      </w:r>
      <w:r w:rsidR="000A5011">
        <w:t xml:space="preserve"> decline</w:t>
      </w:r>
      <w:r w:rsidR="006922A7">
        <w:t>s</w:t>
      </w:r>
      <w:r w:rsidR="000A5011">
        <w:t xml:space="preserve"> to adopt the alternate proposal in this decision.</w:t>
      </w:r>
    </w:p>
    <w:p w:rsidR="00DF48CA" w:rsidP="00DF48CA" w:rsidRDefault="003641AF" w14:paraId="34BF6AA7" w14:textId="2448FF52">
      <w:pPr>
        <w:pStyle w:val="Standard"/>
      </w:pPr>
      <w:r>
        <w:t xml:space="preserve">The MPB Staff Analysis </w:t>
      </w:r>
      <w:r w:rsidR="00DF48CA">
        <w:t xml:space="preserve">assessed the potential impact on PCIA rates if the MPB was </w:t>
      </w:r>
      <w:r w:rsidR="000A5011">
        <w:t xml:space="preserve">calculated one month earlier </w:t>
      </w:r>
      <w:r w:rsidR="00DF48CA">
        <w:t>per the Staff Proposal</w:t>
      </w:r>
      <w:r w:rsidR="000A5011">
        <w:t>.</w:t>
      </w:r>
      <w:r w:rsidR="008C44C7">
        <w:t xml:space="preserve"> </w:t>
      </w:r>
      <w:r w:rsidR="000A5011">
        <w:t xml:space="preserve"> </w:t>
      </w:r>
      <w:r w:rsidR="00DF48CA">
        <w:t xml:space="preserve">The MPB Staff Analysis found that the </w:t>
      </w:r>
      <w:r w:rsidR="000A5011">
        <w:t>effects</w:t>
      </w:r>
      <w:r w:rsidR="00DF48CA">
        <w:t xml:space="preserve"> </w:t>
      </w:r>
      <w:r w:rsidR="000A5011">
        <w:t>of changes in the forecast RPS and RA adders on PCIA rates are relatively small</w:t>
      </w:r>
      <w:r w:rsidR="00DF48CA">
        <w:t>, and the</w:t>
      </w:r>
      <w:r w:rsidR="000A5011">
        <w:t xml:space="preserve"> largest driver of changes to PCIA rates would be the energy index</w:t>
      </w:r>
      <w:r w:rsidR="00DF48CA">
        <w:t xml:space="preserve">. </w:t>
      </w:r>
      <w:r w:rsidR="008C44C7">
        <w:t xml:space="preserve"> </w:t>
      </w:r>
      <w:r w:rsidR="00DF48CA">
        <w:t xml:space="preserve">The MPB Staff Analysis concluded that the Staff Proposal will likely have a minor impact on forecasted and final MPB values and PCIA values and should not </w:t>
      </w:r>
      <w:r w:rsidRPr="00DF48CA" w:rsidR="00DF48CA">
        <w:t>result in PCIA rate instability</w:t>
      </w:r>
      <w:r w:rsidR="00DF48CA">
        <w:t>.</w:t>
      </w:r>
    </w:p>
    <w:p w:rsidR="001A7413" w:rsidP="009156FD" w:rsidRDefault="001A7413" w14:paraId="713F19A2" w14:textId="67E73C1B">
      <w:pPr>
        <w:pStyle w:val="Standard"/>
      </w:pPr>
      <w:proofErr w:type="spellStart"/>
      <w:r w:rsidRPr="00FE2124">
        <w:t>AReM</w:t>
      </w:r>
      <w:proofErr w:type="spellEnd"/>
      <w:r w:rsidRPr="00FE2124">
        <w:t xml:space="preserve">, Cal Advocates, </w:t>
      </w:r>
      <w:proofErr w:type="spellStart"/>
      <w:r w:rsidRPr="00FE2124">
        <w:t>CalCCA</w:t>
      </w:r>
      <w:proofErr w:type="spellEnd"/>
      <w:r w:rsidRPr="00FE2124">
        <w:t xml:space="preserve">, PG&amp;E, SCE, </w:t>
      </w:r>
      <w:r w:rsidR="009156FD">
        <w:t xml:space="preserve">and </w:t>
      </w:r>
      <w:r w:rsidRPr="00FE2124">
        <w:t>SDG&amp;E provided</w:t>
      </w:r>
      <w:r>
        <w:t xml:space="preserve"> comments on the August 2021 Ruling</w:t>
      </w:r>
      <w:r w:rsidR="00FE2124">
        <w:t>.</w:t>
      </w:r>
    </w:p>
    <w:p w:rsidR="009156FD" w:rsidP="00BE6F90" w:rsidRDefault="009156FD" w14:paraId="7F0A4B52" w14:textId="1F77B7A5">
      <w:pPr>
        <w:pStyle w:val="Standard"/>
      </w:pPr>
      <w:proofErr w:type="spellStart"/>
      <w:r>
        <w:t>AReM</w:t>
      </w:r>
      <w:proofErr w:type="spellEnd"/>
      <w:r>
        <w:t xml:space="preserve">, Cal Advocates, PG&amp;E, and </w:t>
      </w:r>
      <w:proofErr w:type="spellStart"/>
      <w:r>
        <w:t>CalCCA</w:t>
      </w:r>
      <w:proofErr w:type="spellEnd"/>
      <w:r>
        <w:t xml:space="preserve"> agreed with the conclusion of the MPB Staff Analysis but urged the Commission to take additional steps to </w:t>
      </w:r>
      <w:r w:rsidR="00BE6F90">
        <w:t>address the potential for rate volatility</w:t>
      </w:r>
      <w:r w:rsidR="00FC0E70">
        <w:t xml:space="preserve"> in </w:t>
      </w:r>
      <w:r w:rsidR="0024449A">
        <w:t xml:space="preserve">their September 2021 </w:t>
      </w:r>
      <w:r w:rsidR="00FC0E70">
        <w:t>comments</w:t>
      </w:r>
      <w:r w:rsidR="00BE6F90">
        <w:t xml:space="preserve">.  </w:t>
      </w:r>
      <w:proofErr w:type="spellStart"/>
      <w:r w:rsidR="00BE6F90">
        <w:t>AReM</w:t>
      </w:r>
      <w:proofErr w:type="spellEnd"/>
      <w:r w:rsidR="00BE6F90">
        <w:t xml:space="preserve"> and Cal Advocates each recommended that staff perform additional analyses.  </w:t>
      </w:r>
      <w:proofErr w:type="spellStart"/>
      <w:r w:rsidR="00BE6F90">
        <w:t>AReM</w:t>
      </w:r>
      <w:proofErr w:type="spellEnd"/>
      <w:r w:rsidR="00BE6F90">
        <w:t xml:space="preserve"> expressed interest in whether there are systemic differences between September and October forward prices, which SCE supported in reply </w:t>
      </w:r>
      <w:r w:rsidR="00BE6F90">
        <w:lastRenderedPageBreak/>
        <w:t xml:space="preserve">comments. </w:t>
      </w:r>
      <w:r w:rsidR="008C44C7">
        <w:t xml:space="preserve"> </w:t>
      </w:r>
      <w:r w:rsidR="00BE6F90">
        <w:t xml:space="preserve">Cal Advocates recommended that staff analyze changes to the Energy Index based on Platts data rather than based on a sensitivity </w:t>
      </w:r>
      <w:r w:rsidR="2BB4CA10">
        <w:t>a</w:t>
      </w:r>
      <w:r w:rsidR="00BE6F90">
        <w:t>nalysis, which PG&amp;E and SDG&amp;E supported in reply comments.</w:t>
      </w:r>
    </w:p>
    <w:p w:rsidR="00EB7816" w:rsidP="00CC61F4" w:rsidRDefault="00BE6F90" w14:paraId="0BF719EA" w14:textId="74CC1522">
      <w:pPr>
        <w:pStyle w:val="Standard"/>
      </w:pPr>
      <w:r w:rsidRPr="00BE6F90">
        <w:t xml:space="preserve">PG&amp;E </w:t>
      </w:r>
      <w:r>
        <w:t xml:space="preserve">agreed that limited changes to the Energy Index would occur from moving to September forward prices per the Staff Proposal, </w:t>
      </w:r>
      <w:proofErr w:type="gramStart"/>
      <w:r>
        <w:t>and also</w:t>
      </w:r>
      <w:proofErr w:type="gramEnd"/>
      <w:r>
        <w:t xml:space="preserve"> recommended modernizing the Energy Index calculation to offset or minimize inaccuracies introduced by the use of September data. </w:t>
      </w:r>
      <w:r w:rsidR="00507B4B">
        <w:t xml:space="preserve"> </w:t>
      </w:r>
      <w:r w:rsidR="00EB7816">
        <w:t>SCE</w:t>
      </w:r>
      <w:r w:rsidR="00D34FB6">
        <w:t xml:space="preserve"> made a similar recommendation</w:t>
      </w:r>
      <w:r w:rsidR="009D3119">
        <w:t xml:space="preserve"> to modify the Energy Index calculation,</w:t>
      </w:r>
      <w:r w:rsidR="00EB7816">
        <w:t xml:space="preserve"> and SDG&amp;E agreed with th</w:t>
      </w:r>
      <w:r w:rsidR="009D3119">
        <w:t>e</w:t>
      </w:r>
      <w:r w:rsidR="00EB7816">
        <w:t>s</w:t>
      </w:r>
      <w:r w:rsidR="009D3119">
        <w:t>e</w:t>
      </w:r>
      <w:r w:rsidR="00EB7816">
        <w:t xml:space="preserve"> recommendation</w:t>
      </w:r>
      <w:r w:rsidR="009D3119">
        <w:t>s</w:t>
      </w:r>
      <w:r w:rsidR="00EB7816">
        <w:t xml:space="preserve">. </w:t>
      </w:r>
      <w:r w:rsidR="00507B4B">
        <w:t xml:space="preserve"> </w:t>
      </w:r>
      <w:proofErr w:type="spellStart"/>
      <w:r w:rsidR="00EB7816">
        <w:t>CalCCA</w:t>
      </w:r>
      <w:proofErr w:type="spellEnd"/>
      <w:r w:rsidR="00EB7816">
        <w:t xml:space="preserve"> countered that the IOUs have not demonstrated that PG&amp;E’s Energy Index proposal would mitigate decreases in accuracy that may result from the Staff Proposal. </w:t>
      </w:r>
      <w:r w:rsidR="008C44C7">
        <w:t xml:space="preserve"> </w:t>
      </w:r>
      <w:proofErr w:type="spellStart"/>
      <w:r w:rsidR="00EB7816">
        <w:t>CalCCA</w:t>
      </w:r>
      <w:proofErr w:type="spellEnd"/>
      <w:r w:rsidR="00EB7816">
        <w:t xml:space="preserve"> argued that more analysis of the PG&amp;E proposal is needed, and the issue belongs in a later phase of the proceeding.</w:t>
      </w:r>
      <w:r w:rsidRPr="00CC61F4" w:rsidR="00CC61F4">
        <w:rPr>
          <w:highlight w:val="lightGray"/>
        </w:rPr>
        <w:t xml:space="preserve"> </w:t>
      </w:r>
    </w:p>
    <w:p w:rsidR="00BE6F90" w:rsidP="00FC0E70" w:rsidRDefault="00BE6F90" w14:paraId="3CD2C0F1" w14:textId="47A6CEC4">
      <w:pPr>
        <w:pStyle w:val="Standard"/>
      </w:pPr>
      <w:proofErr w:type="spellStart"/>
      <w:r>
        <w:t>CalCCA</w:t>
      </w:r>
      <w:proofErr w:type="spellEnd"/>
      <w:r>
        <w:t xml:space="preserve"> agreed that the impact of the Staff Proposal is likely to be minor and will be addressed in the true-up. </w:t>
      </w:r>
      <w:r w:rsidR="008C44C7">
        <w:t xml:space="preserve"> </w:t>
      </w:r>
      <w:proofErr w:type="spellStart"/>
      <w:r>
        <w:t>CalCCA</w:t>
      </w:r>
      <w:proofErr w:type="spellEnd"/>
      <w:r>
        <w:t xml:space="preserve"> also asserted that the potential for reduced accuracy of MPBs does not override the benefits of moving up the benchmark calculation. </w:t>
      </w:r>
      <w:r w:rsidR="008C44C7">
        <w:t xml:space="preserve"> </w:t>
      </w:r>
      <w:proofErr w:type="spellStart"/>
      <w:r>
        <w:t>CalCCA</w:t>
      </w:r>
      <w:proofErr w:type="spellEnd"/>
      <w:r>
        <w:t xml:space="preserve"> recommended that staff collect data over the next few </w:t>
      </w:r>
      <w:r w:rsidR="00FC0E70">
        <w:t xml:space="preserve">ERRA cycles to conduct a review of the new policy’s impacts after enactment. SDG&amp;E and PG&amp;E agreed with this recommendation. </w:t>
      </w:r>
      <w:r w:rsidR="008C44C7">
        <w:t xml:space="preserve"> </w:t>
      </w:r>
      <w:r w:rsidR="00FC0E70">
        <w:t xml:space="preserve">SDG&amp;E agreed with </w:t>
      </w:r>
      <w:proofErr w:type="spellStart"/>
      <w:r w:rsidR="00FC0E70">
        <w:t>CalCCA’s</w:t>
      </w:r>
      <w:proofErr w:type="spellEnd"/>
      <w:r w:rsidR="00FC0E70">
        <w:t xml:space="preserve"> point that “the </w:t>
      </w:r>
      <w:r w:rsidRPr="00FC0E70" w:rsidR="00FC0E70">
        <w:t>only analysis that can bring certainty to the question of Staff’s policy is a post hoc analysis conducted over the course of the next few years.”</w:t>
      </w:r>
      <w:r w:rsidRPr="00FC0E70" w:rsidR="00FC0E70">
        <w:rPr>
          <w:rFonts w:ascii="Times New Roman" w:hAnsi="Times New Roman" w:eastAsia="Times New Roman" w:cs="Times New Roman"/>
          <w:sz w:val="24"/>
          <w:szCs w:val="24"/>
        </w:rPr>
        <w:t xml:space="preserve"> </w:t>
      </w:r>
    </w:p>
    <w:p w:rsidR="000D0A72" w:rsidP="000D0A72" w:rsidRDefault="00FC0E70" w14:paraId="3C680706" w14:textId="65571F13">
      <w:pPr>
        <w:pStyle w:val="Standard"/>
      </w:pPr>
      <w:r>
        <w:t xml:space="preserve">SDG&amp;E and SCE disagreed with the conclusion of the MPB Staff Analysis </w:t>
      </w:r>
      <w:r w:rsidR="00EB7816">
        <w:t xml:space="preserve">and opposed adoption of the Staff Proposal </w:t>
      </w:r>
      <w:r>
        <w:t xml:space="preserve">in comments in September 2021. </w:t>
      </w:r>
      <w:r w:rsidR="000D0A72">
        <w:t>Both utilities</w:t>
      </w:r>
      <w:r>
        <w:t xml:space="preserve"> argued that the staff analysis was insufficient to </w:t>
      </w:r>
      <w:r w:rsidR="00EB7816">
        <w:t>s</w:t>
      </w:r>
      <w:r w:rsidRPr="00EB7816" w:rsidR="00EB7816">
        <w:t>upport the conclusion that the impact would be mino</w:t>
      </w:r>
      <w:r w:rsidR="000D0A72">
        <w:t>r</w:t>
      </w:r>
      <w:r w:rsidRPr="00EB7816" w:rsidR="00EB7816">
        <w:t>.</w:t>
      </w:r>
      <w:r w:rsidR="008C44C7">
        <w:t xml:space="preserve"> </w:t>
      </w:r>
      <w:r w:rsidR="00EB7816">
        <w:t xml:space="preserve"> SDG&amp;E argued that removing a </w:t>
      </w:r>
      <w:r w:rsidR="00EB7816">
        <w:lastRenderedPageBreak/>
        <w:t>month of data, one of the hottest in the year for its service territory, would reduce forecast accuracy, result in under-collections, and increase rate volatility.</w:t>
      </w:r>
      <w:r w:rsidR="000D0A72">
        <w:t xml:space="preserve"> </w:t>
      </w:r>
    </w:p>
    <w:p w:rsidR="000D0A72" w:rsidP="000D0A72" w:rsidRDefault="000D0A72" w14:paraId="1EC9DDC4" w14:textId="58214FA1">
      <w:pPr>
        <w:pStyle w:val="Standard"/>
      </w:pPr>
      <w:r>
        <w:t xml:space="preserve">SCE further </w:t>
      </w:r>
      <w:r w:rsidR="00EB7816">
        <w:t xml:space="preserve">argued that </w:t>
      </w:r>
      <w:r>
        <w:t>t</w:t>
      </w:r>
      <w:r w:rsidRPr="000D0A72">
        <w:t xml:space="preserve">he </w:t>
      </w:r>
      <w:r>
        <w:t>Staff Proposal’s benefit of “convenience” is outweighed by the potential reduction in accuracy.</w:t>
      </w:r>
    </w:p>
    <w:p w:rsidR="00DF16DA" w:rsidP="00DF16DA" w:rsidRDefault="000D0A72" w14:paraId="560D0CCB" w14:textId="1BE580E2">
      <w:pPr>
        <w:pStyle w:val="Standard"/>
      </w:pPr>
      <w:r>
        <w:t>SCE’s characterization of the benefits of the Staff Proposal</w:t>
      </w:r>
      <w:r w:rsidR="006922A7">
        <w:t xml:space="preserve"> is incorrect</w:t>
      </w:r>
      <w:r>
        <w:t>.  The purpose of the Staff Proposal is to provide sufficient time for the Commission and parties to thoroughly review ERRA forecast applications and to make it feasible for the Commission to meet its obligations to issue ERRA forecast decisions in time for January 1</w:t>
      </w:r>
      <w:r w:rsidRPr="000D0A72">
        <w:rPr>
          <w:vertAlign w:val="superscript"/>
        </w:rPr>
        <w:t>st</w:t>
      </w:r>
      <w:r>
        <w:t xml:space="preserve"> rate changes each year. </w:t>
      </w:r>
      <w:r w:rsidR="002967AD">
        <w:t xml:space="preserve"> </w:t>
      </w:r>
      <w:r w:rsidR="008F622F">
        <w:t>Further</w:t>
      </w:r>
      <w:r>
        <w:t>,</w:t>
      </w:r>
      <w:r w:rsidR="008F622F">
        <w:t xml:space="preserve"> as discussed at the June 2021 workshop,</w:t>
      </w:r>
      <w:r>
        <w:t xml:space="preserve"> when the Commission does not </w:t>
      </w:r>
      <w:r w:rsidR="00DF16DA">
        <w:t>issue a decision on an ERRA forecast by the end of the year, utilities must implement rate changes later in the year, resulting in rate volatility and accrual of balancing account balances.</w:t>
      </w:r>
    </w:p>
    <w:p w:rsidR="00DF16DA" w:rsidP="00DF16DA" w:rsidRDefault="00DF16DA" w14:paraId="0B1CF5B6" w14:textId="5A500EFE">
      <w:pPr>
        <w:pStyle w:val="Standard"/>
      </w:pPr>
      <w:r>
        <w:t xml:space="preserve">Most parties agreed with the MPB Staff Analysis that the impact of the Staff Proposal is likely to be minor, but more analysis should be conducted. </w:t>
      </w:r>
      <w:proofErr w:type="spellStart"/>
      <w:r>
        <w:t>CalCCA</w:t>
      </w:r>
      <w:proofErr w:type="spellEnd"/>
      <w:r>
        <w:t xml:space="preserve"> asserted and SDG&amp;E agreed that only a post hoc analysis conducted over the next few years can bring certainty to the question of whether the Staff Proposal will have a significant impact on rates.</w:t>
      </w:r>
      <w:r w:rsidR="008C44C7">
        <w:t xml:space="preserve"> </w:t>
      </w:r>
      <w:r>
        <w:t xml:space="preserve"> </w:t>
      </w:r>
      <w:r w:rsidR="0092794A">
        <w:t>This approach is reasonable.</w:t>
      </w:r>
    </w:p>
    <w:p w:rsidR="008F622F" w:rsidP="008F622F" w:rsidRDefault="008F622F" w14:paraId="1330D8CF" w14:textId="35A58F35">
      <w:pPr>
        <w:pStyle w:val="Standard"/>
      </w:pPr>
      <w:r>
        <w:t>We conclude that the Commission should change the PCIA MPB release date from November 1 to October 1 each year</w:t>
      </w:r>
      <w:r w:rsidR="00AA468C">
        <w:t xml:space="preserve">. </w:t>
      </w:r>
      <w:r w:rsidR="008C44C7">
        <w:t xml:space="preserve"> </w:t>
      </w:r>
      <w:r w:rsidR="00AA468C">
        <w:t xml:space="preserve">By </w:t>
      </w:r>
      <w:r w:rsidR="008D54A7">
        <w:t>March 1, 20</w:t>
      </w:r>
      <w:r w:rsidR="00FF4B73">
        <w:t>24</w:t>
      </w:r>
      <w:r w:rsidR="00AA468C">
        <w:t xml:space="preserve">, the Commission’s staff will </w:t>
      </w:r>
      <w:r w:rsidR="00373210">
        <w:t xml:space="preserve">file and </w:t>
      </w:r>
      <w:r w:rsidR="00AA468C">
        <w:t>serve upon the service list of this proceeding and any successor proceeding an analysis of the impact of changing the PCIA MPB release date on forecast accuracy</w:t>
      </w:r>
      <w:r w:rsidR="00E555ED">
        <w:t>.</w:t>
      </w:r>
    </w:p>
    <w:p w:rsidR="006C3E46" w:rsidP="006C3E46" w:rsidRDefault="0092794A" w14:paraId="0098726B" w14:textId="73669790">
      <w:pPr>
        <w:pStyle w:val="Standard"/>
      </w:pPr>
      <w:r>
        <w:t>The Commission</w:t>
      </w:r>
      <w:r w:rsidR="006C3E46">
        <w:t xml:space="preserve"> will consider modifying the calculation of the PCIA energy index market price benchmark concurrently with the review of the balance of the issues remaining in this phase of the proceeding. </w:t>
      </w:r>
    </w:p>
    <w:p w:rsidR="007B7387" w:rsidP="00F52D40" w:rsidRDefault="007B7387" w14:paraId="3A883635" w14:textId="1AC5E000">
      <w:pPr>
        <w:pStyle w:val="Heading2"/>
        <w:numPr>
          <w:ilvl w:val="1"/>
          <w:numId w:val="19"/>
        </w:numPr>
      </w:pPr>
      <w:bookmarkStart w:name="_Toc93918137" w:id="10"/>
      <w:r>
        <w:lastRenderedPageBreak/>
        <w:t>ERRA Forecast Application Filing Deadlines</w:t>
      </w:r>
      <w:bookmarkEnd w:id="10"/>
    </w:p>
    <w:p w:rsidR="00A13C6B" w:rsidP="00B7291D" w:rsidRDefault="00B7291D" w14:paraId="35769D35" w14:textId="76887495">
      <w:pPr>
        <w:pStyle w:val="Standard"/>
      </w:pPr>
      <w:r>
        <w:t>Parties made various suggestions about changing ERRA forecast proceeding schedules</w:t>
      </w:r>
      <w:r w:rsidR="00A13C6B">
        <w:t xml:space="preserve"> to achieve the underlying goal of the Staff Proposal, namely providing sufficient time for the Commission and parties to thoroughly review ERRA forecast applications and issue ERRA forecast decisions in time to meet our compliance obligations.</w:t>
      </w:r>
    </w:p>
    <w:p w:rsidR="00B7291D" w:rsidP="00B7291D" w:rsidRDefault="0092794A" w14:paraId="3999441C" w14:textId="5CC90CA4">
      <w:pPr>
        <w:pStyle w:val="Standard"/>
      </w:pPr>
      <w:r>
        <w:t>The Commission</w:t>
      </w:r>
      <w:r w:rsidR="008F622F">
        <w:t xml:space="preserve"> will not </w:t>
      </w:r>
      <w:r w:rsidR="663D65A9">
        <w:t xml:space="preserve">establish </w:t>
      </w:r>
      <w:r w:rsidR="008F622F">
        <w:t xml:space="preserve">ERRA forecast proceeding schedules in this decision. </w:t>
      </w:r>
      <w:r w:rsidR="008C44C7">
        <w:t xml:space="preserve"> </w:t>
      </w:r>
      <w:r w:rsidR="00B7291D">
        <w:t xml:space="preserve">As noted in the ALJ ruling on May 20, 2021, the assigned Commissioner and assigned ALJ in each ERRA forecast proceeding are responsible for setting the schedule for the proceeding. </w:t>
      </w:r>
      <w:r w:rsidR="008C44C7">
        <w:t xml:space="preserve"> </w:t>
      </w:r>
      <w:r w:rsidR="00B7291D">
        <w:t xml:space="preserve">However, </w:t>
      </w:r>
      <w:r>
        <w:t>the Commission</w:t>
      </w:r>
      <w:r w:rsidR="00B7291D">
        <w:t xml:space="preserve"> will</w:t>
      </w:r>
      <w:r w:rsidR="008F622F">
        <w:t xml:space="preserve"> consider</w:t>
      </w:r>
      <w:r w:rsidR="00B7291D">
        <w:t xml:space="preserve"> whether to modify deadlines for filing ERRA forecast applications.</w:t>
      </w:r>
      <w:r w:rsidR="00A13C6B">
        <w:t xml:space="preserve"> </w:t>
      </w:r>
    </w:p>
    <w:p w:rsidR="00A13C6B" w:rsidP="00A13C6B" w:rsidRDefault="00A13C6B" w14:paraId="48D643FE" w14:textId="27F6E42B">
      <w:pPr>
        <w:pStyle w:val="Standard"/>
      </w:pPr>
      <w:proofErr w:type="spellStart"/>
      <w:r>
        <w:t>CalCCA</w:t>
      </w:r>
      <w:proofErr w:type="spellEnd"/>
      <w:r>
        <w:t xml:space="preserve"> </w:t>
      </w:r>
      <w:r w:rsidR="00604F4B">
        <w:t>proposes to move</w:t>
      </w:r>
      <w:r>
        <w:t xml:space="preserve"> ERRA forecast filing deadlines for utilities to May 1, or no later than mid-May each year, to allow for proceeding schedule adjustments that would </w:t>
      </w:r>
      <w:r w:rsidR="008F622F">
        <w:t xml:space="preserve">reduce the potential for an October Update to result in too much work for parties to complete in </w:t>
      </w:r>
      <w:r>
        <w:t>October each year.</w:t>
      </w:r>
      <w:r w:rsidR="00D549CC">
        <w:rPr>
          <w:rStyle w:val="FootnoteReference"/>
        </w:rPr>
        <w:footnoteReference w:id="8"/>
      </w:r>
      <w:r>
        <w:t xml:space="preserve"> </w:t>
      </w:r>
      <w:r w:rsidR="008C44C7">
        <w:t xml:space="preserve"> </w:t>
      </w:r>
      <w:proofErr w:type="spellStart"/>
      <w:r>
        <w:t>CalCCA</w:t>
      </w:r>
      <w:proofErr w:type="spellEnd"/>
      <w:r>
        <w:t xml:space="preserve"> argued that significant policy and implementation issues are addressed in ERRA proceedings, and the loss of a month of pre-update litigation would undermine parties’ ability to address those issues.</w:t>
      </w:r>
      <w:r w:rsidR="008F622F">
        <w:rPr>
          <w:rStyle w:val="FootnoteReference"/>
        </w:rPr>
        <w:footnoteReference w:id="9"/>
      </w:r>
      <w:r>
        <w:t xml:space="preserve"> </w:t>
      </w:r>
    </w:p>
    <w:p w:rsidR="00A13C6B" w:rsidP="00A13C6B" w:rsidRDefault="00A13C6B" w14:paraId="2214EC1A" w14:textId="7249ED20">
      <w:pPr>
        <w:pStyle w:val="Standard"/>
      </w:pPr>
      <w:proofErr w:type="spellStart"/>
      <w:r>
        <w:t>AReM</w:t>
      </w:r>
      <w:proofErr w:type="spellEnd"/>
      <w:r>
        <w:t xml:space="preserve"> and </w:t>
      </w:r>
      <w:proofErr w:type="spellStart"/>
      <w:r>
        <w:t>CalCCA</w:t>
      </w:r>
      <w:proofErr w:type="spellEnd"/>
      <w:r>
        <w:t xml:space="preserve"> did not see a need for moving the</w:t>
      </w:r>
      <w:r w:rsidR="00604F4B">
        <w:t xml:space="preserve"> ERRA forecast</w:t>
      </w:r>
      <w:r>
        <w:t xml:space="preserve"> filing deadlines but did not oppose </w:t>
      </w:r>
      <w:proofErr w:type="spellStart"/>
      <w:r w:rsidR="00604F4B">
        <w:t>CalCCA’s</w:t>
      </w:r>
      <w:proofErr w:type="spellEnd"/>
      <w:r w:rsidR="00604F4B">
        <w:t xml:space="preserve"> proposal</w:t>
      </w:r>
      <w:r>
        <w:t>.</w:t>
      </w:r>
      <w:r w:rsidR="008F622F">
        <w:rPr>
          <w:rStyle w:val="FootnoteReference"/>
        </w:rPr>
        <w:footnoteReference w:id="10"/>
      </w:r>
    </w:p>
    <w:p w:rsidR="00D57E9F" w:rsidP="00D57E9F" w:rsidRDefault="00A13C6B" w14:paraId="5A677FC8" w14:textId="5BB98A14">
      <w:pPr>
        <w:pStyle w:val="Standard"/>
      </w:pPr>
      <w:r>
        <w:lastRenderedPageBreak/>
        <w:t>PG&amp;E, SCE and SDG&amp;E each opposed moving up the deadlines for filing ERRA forecast applications.</w:t>
      </w:r>
      <w:r w:rsidR="00807599">
        <w:rPr>
          <w:rStyle w:val="FootnoteReference"/>
        </w:rPr>
        <w:footnoteReference w:id="11"/>
      </w:r>
      <w:r>
        <w:t xml:space="preserve"> </w:t>
      </w:r>
      <w:r w:rsidR="008C44C7">
        <w:t xml:space="preserve"> </w:t>
      </w:r>
      <w:r w:rsidR="003C6ADB">
        <w:t>E</w:t>
      </w:r>
      <w:r>
        <w:t xml:space="preserve">ach </w:t>
      </w:r>
      <w:r w:rsidR="003C6ADB">
        <w:t xml:space="preserve">utility </w:t>
      </w:r>
      <w:r>
        <w:t>argued that moving up the filing dates would reduce the accuracy of the initial forecasts.</w:t>
      </w:r>
      <w:r w:rsidR="008C44C7">
        <w:t xml:space="preserve"> </w:t>
      </w:r>
      <w:r>
        <w:t xml:space="preserve"> </w:t>
      </w:r>
      <w:r w:rsidR="00D57E9F">
        <w:t xml:space="preserve">PG&amp;E pointed out, for example, that the new VAMO allocations won’t be complete until May, with the result that the initial forecast applications would not include this information. </w:t>
      </w:r>
      <w:r>
        <w:t>However, the</w:t>
      </w:r>
      <w:r w:rsidR="00D57E9F">
        <w:t xml:space="preserve"> utilities</w:t>
      </w:r>
      <w:r>
        <w:t xml:space="preserve"> did not provide a persuasive explanation of why </w:t>
      </w:r>
      <w:r w:rsidR="003C6ADB">
        <w:t xml:space="preserve">reducing the accuracy of the initial forecasts is important </w:t>
      </w:r>
      <w:proofErr w:type="gramStart"/>
      <w:r w:rsidR="003C6ADB">
        <w:t>in light of</w:t>
      </w:r>
      <w:proofErr w:type="gramEnd"/>
      <w:r w:rsidR="003C6ADB">
        <w:t xml:space="preserve"> parties’ and the Commission’s historic reliance on the November Update rather than the initial forecasts.</w:t>
      </w:r>
      <w:r w:rsidR="00D57E9F">
        <w:t xml:space="preserve"> </w:t>
      </w:r>
      <w:r w:rsidR="008C44C7">
        <w:t xml:space="preserve"> </w:t>
      </w:r>
      <w:r w:rsidR="00D57E9F">
        <w:t>Further, the assigned Commissioner and ALJ in each ERRA forecast proceeding may direct utilities to file supplemental updates to increase the accuracy of utility forecasts prior to the October Update.</w:t>
      </w:r>
    </w:p>
    <w:p w:rsidRPr="007B7387" w:rsidR="0041536F" w:rsidP="004E52A7" w:rsidRDefault="0092794A" w14:paraId="1290590C" w14:textId="79BF777A">
      <w:pPr>
        <w:pStyle w:val="Standard"/>
      </w:pPr>
      <w:r>
        <w:t>It is</w:t>
      </w:r>
      <w:r w:rsidR="003C6ADB">
        <w:t xml:space="preserve"> reasonable to require SCE, PG&amp;E and SDG&amp;E to each file their ERRA forecast applications no later than May 15</w:t>
      </w:r>
      <w:r w:rsidRPr="003C6ADB" w:rsidR="003C6ADB">
        <w:rPr>
          <w:vertAlign w:val="superscript"/>
        </w:rPr>
        <w:t>th</w:t>
      </w:r>
      <w:r w:rsidR="003C6ADB">
        <w:t xml:space="preserve"> each year</w:t>
      </w:r>
      <w:r w:rsidR="00D57E9F">
        <w:t xml:space="preserve">. </w:t>
      </w:r>
    </w:p>
    <w:p w:rsidRPr="007B7387" w:rsidR="007B7387" w:rsidP="00F52D40" w:rsidRDefault="007B7387" w14:paraId="1FCBC28F" w14:textId="66F3BD4A">
      <w:pPr>
        <w:pStyle w:val="Standard"/>
        <w:numPr>
          <w:ilvl w:val="0"/>
          <w:numId w:val="19"/>
        </w:numPr>
      </w:pPr>
      <w:r>
        <w:rPr>
          <w:rFonts w:ascii="Arial" w:hAnsi="Arial" w:eastAsiaTheme="majorEastAsia" w:cstheme="majorBidi"/>
          <w:b/>
          <w:szCs w:val="32"/>
        </w:rPr>
        <w:t>Whether to Adopt a Method</w:t>
      </w:r>
      <w:r w:rsidRPr="007B7387">
        <w:rPr>
          <w:rFonts w:ascii="Arial" w:hAnsi="Arial" w:eastAsiaTheme="majorEastAsia" w:cstheme="majorBidi"/>
          <w:b/>
          <w:szCs w:val="32"/>
        </w:rPr>
        <w:t xml:space="preserve"> for </w:t>
      </w:r>
      <w:r>
        <w:rPr>
          <w:rFonts w:ascii="Arial" w:hAnsi="Arial" w:eastAsiaTheme="majorEastAsia" w:cstheme="majorBidi"/>
          <w:b/>
          <w:szCs w:val="32"/>
        </w:rPr>
        <w:t>C</w:t>
      </w:r>
      <w:r w:rsidRPr="007B7387">
        <w:rPr>
          <w:rFonts w:ascii="Arial" w:hAnsi="Arial" w:eastAsiaTheme="majorEastAsia" w:cstheme="majorBidi"/>
          <w:b/>
          <w:szCs w:val="32"/>
        </w:rPr>
        <w:t xml:space="preserve">rediting or </w:t>
      </w:r>
      <w:r>
        <w:rPr>
          <w:rFonts w:ascii="Arial" w:hAnsi="Arial" w:eastAsiaTheme="majorEastAsia" w:cstheme="majorBidi"/>
          <w:b/>
          <w:szCs w:val="32"/>
        </w:rPr>
        <w:t>C</w:t>
      </w:r>
      <w:r w:rsidRPr="007B7387">
        <w:rPr>
          <w:rFonts w:ascii="Arial" w:hAnsi="Arial" w:eastAsiaTheme="majorEastAsia" w:cstheme="majorBidi"/>
          <w:b/>
          <w:szCs w:val="32"/>
        </w:rPr>
        <w:t xml:space="preserve">harging </w:t>
      </w:r>
      <w:r>
        <w:rPr>
          <w:rFonts w:ascii="Arial" w:hAnsi="Arial" w:eastAsiaTheme="majorEastAsia" w:cstheme="majorBidi"/>
          <w:b/>
          <w:szCs w:val="32"/>
        </w:rPr>
        <w:t>C</w:t>
      </w:r>
      <w:r w:rsidRPr="007B7387">
        <w:rPr>
          <w:rFonts w:ascii="Arial" w:hAnsi="Arial" w:eastAsiaTheme="majorEastAsia" w:cstheme="majorBidi"/>
          <w:b/>
          <w:szCs w:val="32"/>
        </w:rPr>
        <w:t xml:space="preserve">ustomers who </w:t>
      </w:r>
      <w:r>
        <w:rPr>
          <w:rFonts w:ascii="Arial" w:hAnsi="Arial" w:eastAsiaTheme="majorEastAsia" w:cstheme="majorBidi"/>
          <w:b/>
          <w:szCs w:val="32"/>
        </w:rPr>
        <w:t>D</w:t>
      </w:r>
      <w:r w:rsidRPr="007B7387">
        <w:rPr>
          <w:rFonts w:ascii="Arial" w:hAnsi="Arial" w:eastAsiaTheme="majorEastAsia" w:cstheme="majorBidi"/>
          <w:b/>
          <w:szCs w:val="32"/>
        </w:rPr>
        <w:t xml:space="preserve">epart </w:t>
      </w:r>
      <w:r>
        <w:rPr>
          <w:rFonts w:ascii="Arial" w:hAnsi="Arial" w:eastAsiaTheme="majorEastAsia" w:cstheme="majorBidi"/>
          <w:b/>
          <w:szCs w:val="32"/>
        </w:rPr>
        <w:t>During</w:t>
      </w:r>
      <w:r w:rsidRPr="007B7387">
        <w:rPr>
          <w:rFonts w:ascii="Arial" w:hAnsi="Arial" w:eastAsiaTheme="majorEastAsia" w:cstheme="majorBidi"/>
          <w:b/>
          <w:szCs w:val="32"/>
        </w:rPr>
        <w:t xml:space="preserve"> an </w:t>
      </w:r>
      <w:r>
        <w:rPr>
          <w:rFonts w:ascii="Arial" w:hAnsi="Arial" w:eastAsiaTheme="majorEastAsia" w:cstheme="majorBidi"/>
          <w:b/>
          <w:szCs w:val="32"/>
        </w:rPr>
        <w:t>A</w:t>
      </w:r>
      <w:r w:rsidRPr="007B7387">
        <w:rPr>
          <w:rFonts w:ascii="Arial" w:hAnsi="Arial" w:eastAsiaTheme="majorEastAsia" w:cstheme="majorBidi"/>
          <w:b/>
          <w:szCs w:val="32"/>
        </w:rPr>
        <w:t xml:space="preserve">mortization </w:t>
      </w:r>
      <w:r>
        <w:rPr>
          <w:rFonts w:ascii="Arial" w:hAnsi="Arial" w:eastAsiaTheme="majorEastAsia" w:cstheme="majorBidi"/>
          <w:b/>
          <w:szCs w:val="32"/>
        </w:rPr>
        <w:t>P</w:t>
      </w:r>
      <w:r w:rsidRPr="007B7387">
        <w:rPr>
          <w:rFonts w:ascii="Arial" w:hAnsi="Arial" w:eastAsiaTheme="majorEastAsia" w:cstheme="majorBidi"/>
          <w:b/>
          <w:szCs w:val="32"/>
        </w:rPr>
        <w:t xml:space="preserve">eriod </w:t>
      </w:r>
    </w:p>
    <w:p w:rsidR="00D73ED1" w:rsidP="007B7387" w:rsidRDefault="00D73ED1" w14:paraId="29253D8B" w14:textId="77F30F8F">
      <w:pPr>
        <w:pStyle w:val="Standard"/>
      </w:pPr>
      <w:r>
        <w:t>Due to a mismatch between PCIA and ERRA vintages, customers depart</w:t>
      </w:r>
      <w:r w:rsidR="55A4D0E9">
        <w:t>ing</w:t>
      </w:r>
      <w:r>
        <w:t xml:space="preserve"> bundled service in the first half of a year are not included in that year’s PCIA vintage (which begins in July) and are not charged or credited for costs accrued in the year they departed. </w:t>
      </w:r>
      <w:r w:rsidR="008C44C7">
        <w:t xml:space="preserve"> </w:t>
      </w:r>
      <w:r>
        <w:t xml:space="preserve">Recently, ERRA forecast proceedings </w:t>
      </w:r>
      <w:r w:rsidR="00445B86">
        <w:t>determined</w:t>
      </w:r>
      <w:r>
        <w:t xml:space="preserve"> how to amortize balances from previous years on a case-by-case basis.</w:t>
      </w:r>
    </w:p>
    <w:p w:rsidR="00283B6E" w:rsidP="0012442D" w:rsidRDefault="00D73ED1" w14:paraId="2F604266" w14:textId="41BEA25B">
      <w:pPr>
        <w:pStyle w:val="Standard"/>
      </w:pPr>
      <w:r>
        <w:t xml:space="preserve">In comments on the 2020 Scoping Memo, the Joint IOUs proposed </w:t>
      </w:r>
      <w:r w:rsidR="00445B86">
        <w:t>to</w:t>
      </w:r>
      <w:r>
        <w:t xml:space="preserve"> place year-end ERRA balances in the corresponding subaccount of </w:t>
      </w:r>
      <w:r w:rsidR="0080375A">
        <w:t xml:space="preserve">the Portfolio </w:t>
      </w:r>
      <w:r w:rsidR="0080375A">
        <w:lastRenderedPageBreak/>
        <w:t>Allocation Balancing Account (</w:t>
      </w:r>
      <w:r>
        <w:t>PABA</w:t>
      </w:r>
      <w:r w:rsidR="0080375A">
        <w:t>)</w:t>
      </w:r>
      <w:r w:rsidR="0080375A">
        <w:rPr>
          <w:rStyle w:val="FootnoteReference"/>
        </w:rPr>
        <w:footnoteReference w:id="12"/>
      </w:r>
      <w:r>
        <w:t xml:space="preserve"> each year.</w:t>
      </w:r>
      <w:r w:rsidR="008C44C7">
        <w:t xml:space="preserve"> </w:t>
      </w:r>
      <w:r>
        <w:t xml:space="preserve"> </w:t>
      </w:r>
      <w:proofErr w:type="spellStart"/>
      <w:r>
        <w:t>CalCCA</w:t>
      </w:r>
      <w:proofErr w:type="spellEnd"/>
      <w:r>
        <w:t xml:space="preserve"> agreed that there should be a consistent process across all three utilities.</w:t>
      </w:r>
      <w:r w:rsidR="00D41425">
        <w:t xml:space="preserve"> </w:t>
      </w:r>
      <w:r w:rsidR="00EC58A8">
        <w:t xml:space="preserve"> In comments </w:t>
      </w:r>
      <w:r w:rsidR="00642DFB">
        <w:t xml:space="preserve">on </w:t>
      </w:r>
      <w:r w:rsidR="008C44C7">
        <w:br/>
      </w:r>
      <w:r w:rsidR="00642DFB">
        <w:t>October 1, 2021</w:t>
      </w:r>
      <w:r w:rsidR="00E55BDA">
        <w:t xml:space="preserve">, the Joint IOUs elaborated that </w:t>
      </w:r>
      <w:r w:rsidR="003016CD">
        <w:t>in most circumstances, utilities should transfer the end-of-year ERRA balance to the most-recent vintage subaccount in PABA</w:t>
      </w:r>
      <w:r w:rsidR="006169E0">
        <w:t xml:space="preserve">, allowing the year-end ERRA balance to be applied to both bundled and departing load customers that depart on or after July 1 of the preceding year. </w:t>
      </w:r>
      <w:r w:rsidR="008C44C7">
        <w:t xml:space="preserve"> </w:t>
      </w:r>
      <w:r w:rsidR="006169E0">
        <w:t>The Joint IOUs noted that in some unique cir</w:t>
      </w:r>
      <w:r w:rsidR="00F46348">
        <w:t>c</w:t>
      </w:r>
      <w:r w:rsidR="006169E0">
        <w:t xml:space="preserve">umstances, </w:t>
      </w:r>
      <w:r w:rsidR="00F46348">
        <w:t xml:space="preserve">a utility may </w:t>
      </w:r>
      <w:r w:rsidR="00FD57C5">
        <w:t>propose to</w:t>
      </w:r>
      <w:r w:rsidR="00F46348">
        <w:t xml:space="preserve"> transfer the ERRA balance to different PABA vintages</w:t>
      </w:r>
      <w:r w:rsidR="00FD57C5">
        <w:t xml:space="preserve"> in its ERRA forecast proceeding.</w:t>
      </w:r>
      <w:r w:rsidR="0012442D">
        <w:t xml:space="preserve"> </w:t>
      </w:r>
    </w:p>
    <w:p w:rsidR="00445B86" w:rsidP="002A24DA" w:rsidRDefault="00B63F3B" w14:paraId="6D0C96D7" w14:textId="7F8683AF">
      <w:pPr>
        <w:pStyle w:val="Standard"/>
      </w:pPr>
      <w:r>
        <w:t xml:space="preserve">In comments </w:t>
      </w:r>
      <w:r w:rsidR="00283B6E">
        <w:t xml:space="preserve">on </w:t>
      </w:r>
      <w:r w:rsidR="00642DFB">
        <w:t xml:space="preserve">October </w:t>
      </w:r>
      <w:r w:rsidR="00283B6E">
        <w:t xml:space="preserve">1, </w:t>
      </w:r>
      <w:r w:rsidR="00642DFB">
        <w:t>2021</w:t>
      </w:r>
      <w:r w:rsidR="007E49D8">
        <w:t xml:space="preserve">, </w:t>
      </w:r>
      <w:proofErr w:type="spellStart"/>
      <w:r w:rsidR="007E49D8">
        <w:t>CalCCA</w:t>
      </w:r>
      <w:proofErr w:type="spellEnd"/>
      <w:r w:rsidR="007E49D8">
        <w:t xml:space="preserve"> and </w:t>
      </w:r>
      <w:proofErr w:type="spellStart"/>
      <w:r w:rsidR="007E49D8">
        <w:t>AReM</w:t>
      </w:r>
      <w:proofErr w:type="spellEnd"/>
      <w:r w:rsidR="007E49D8">
        <w:t xml:space="preserve">/DACC agreed that the Commission should adopt </w:t>
      </w:r>
      <w:r w:rsidR="00F055DD">
        <w:t xml:space="preserve">the proposed policy. </w:t>
      </w:r>
      <w:proofErr w:type="spellStart"/>
      <w:r w:rsidR="00283B6E">
        <w:t>CalCCA</w:t>
      </w:r>
      <w:proofErr w:type="spellEnd"/>
      <w:r w:rsidR="00283B6E">
        <w:t xml:space="preserve"> asserted that the proposal </w:t>
      </w:r>
      <w:r w:rsidR="000D7AA6">
        <w:t xml:space="preserve">“aligns cost responsibility with cost causation given the challenges that come from the mismatch between resource vintaging and customer vintaging.” </w:t>
      </w:r>
      <w:r w:rsidR="008C44C7">
        <w:t xml:space="preserve"> </w:t>
      </w:r>
      <w:r w:rsidR="0092794A">
        <w:t>It</w:t>
      </w:r>
      <w:r w:rsidR="00822B25">
        <w:t xml:space="preserve"> is reasonable to adopt this policy.</w:t>
      </w:r>
      <w:r w:rsidR="00703C5D">
        <w:t xml:space="preserve"> </w:t>
      </w:r>
      <w:r w:rsidR="007E49D8">
        <w:t xml:space="preserve"> </w:t>
      </w:r>
      <w:r w:rsidR="00B81A67">
        <w:t xml:space="preserve">However, </w:t>
      </w:r>
      <w:proofErr w:type="spellStart"/>
      <w:r w:rsidR="00B81A67">
        <w:t>CalCCA</w:t>
      </w:r>
      <w:proofErr w:type="spellEnd"/>
      <w:r w:rsidR="00B81A67">
        <w:t xml:space="preserve"> </w:t>
      </w:r>
      <w:r w:rsidR="002A24DA">
        <w:t xml:space="preserve">further </w:t>
      </w:r>
      <w:r w:rsidR="00B81A67">
        <w:t>argued that</w:t>
      </w:r>
      <w:r w:rsidR="0012442D">
        <w:t xml:space="preserve"> </w:t>
      </w:r>
      <w:r w:rsidR="00B81A67">
        <w:t>any variances from this policy should be addressed in this proceeding or a successor proceeding rather than in the ERRA forecast proceedings.</w:t>
      </w:r>
      <w:r w:rsidR="002A24DA">
        <w:t xml:space="preserve"> </w:t>
      </w:r>
      <w:r w:rsidR="008C44C7">
        <w:t xml:space="preserve"> </w:t>
      </w:r>
      <w:r w:rsidR="00B81A67">
        <w:t xml:space="preserve">While this proceeding or a successor proceeding may consider modifying policies </w:t>
      </w:r>
      <w:r w:rsidR="0092794A">
        <w:t xml:space="preserve">the Commission </w:t>
      </w:r>
      <w:r w:rsidR="00B81A67">
        <w:t>adopt</w:t>
      </w:r>
      <w:r w:rsidR="0092794A">
        <w:t>s</w:t>
      </w:r>
      <w:r w:rsidR="00B81A67">
        <w:t xml:space="preserve"> here today, we expect that the ERRA forecast proceedings will continue to consider utility-specific and fact-specific variances from the policies</w:t>
      </w:r>
      <w:r w:rsidR="0092794A">
        <w:t xml:space="preserve"> the Commission</w:t>
      </w:r>
      <w:r w:rsidR="00B81A67">
        <w:t xml:space="preserve"> set</w:t>
      </w:r>
      <w:r w:rsidR="0092794A">
        <w:t>s</w:t>
      </w:r>
      <w:r w:rsidR="00B81A67">
        <w:t xml:space="preserve"> in this proceeding.</w:t>
      </w:r>
    </w:p>
    <w:p w:rsidR="007B7387" w:rsidP="000A231C" w:rsidRDefault="007E49D8" w14:paraId="33F10861" w14:textId="3E25F719">
      <w:pPr>
        <w:pStyle w:val="Standard"/>
      </w:pPr>
      <w:r>
        <w:t xml:space="preserve">The Joint IOUs and </w:t>
      </w:r>
      <w:proofErr w:type="spellStart"/>
      <w:r>
        <w:t>AReM</w:t>
      </w:r>
      <w:proofErr w:type="spellEnd"/>
      <w:r>
        <w:t xml:space="preserve">/DACC both commented that the Commission should implement </w:t>
      </w:r>
      <w:r w:rsidR="00853D01">
        <w:t>this proposal</w:t>
      </w:r>
      <w:r>
        <w:t xml:space="preserve"> by ordering </w:t>
      </w:r>
      <w:r w:rsidR="00853D01">
        <w:t xml:space="preserve">each </w:t>
      </w:r>
      <w:r>
        <w:t>IOU to modify</w:t>
      </w:r>
      <w:r w:rsidR="00853D01">
        <w:t xml:space="preserve"> its</w:t>
      </w:r>
      <w:r>
        <w:t xml:space="preserve"> Electric Preliminary Statements governing the ERRA and PABA</w:t>
      </w:r>
      <w:r w:rsidR="000A231C">
        <w:t xml:space="preserve"> accounts</w:t>
      </w:r>
      <w:r>
        <w:t xml:space="preserve">. </w:t>
      </w:r>
      <w:r w:rsidR="008C44C7">
        <w:t xml:space="preserve"> </w:t>
      </w:r>
      <w:r>
        <w:t>The Joint IOUs</w:t>
      </w:r>
      <w:r w:rsidR="00445B86">
        <w:t xml:space="preserve"> specified that the modifications should clarify that disposition of the year-</w:t>
      </w:r>
      <w:r w:rsidR="00445B86">
        <w:lastRenderedPageBreak/>
        <w:t xml:space="preserve">end balance in the ERRA account </w:t>
      </w:r>
      <w:r w:rsidR="003A5D48">
        <w:t>should</w:t>
      </w:r>
      <w:r w:rsidR="00445B86">
        <w:t xml:space="preserve"> be</w:t>
      </w:r>
      <w:r w:rsidR="003A5D48">
        <w:t xml:space="preserve"> made </w:t>
      </w:r>
      <w:r w:rsidR="00445B86">
        <w:t xml:space="preserve">to the PABA upon </w:t>
      </w:r>
      <w:r w:rsidR="00602985">
        <w:t xml:space="preserve">submission or </w:t>
      </w:r>
      <w:r w:rsidR="00445B86">
        <w:t>approval by the Commission of the applicable compliance advice letter addressing such balance.</w:t>
      </w:r>
      <w:r w:rsidR="008C44C7">
        <w:t xml:space="preserve"> </w:t>
      </w:r>
      <w:r w:rsidRPr="00445B86" w:rsidR="00445B86">
        <w:t xml:space="preserve"> For PG&amp;E, disposition of the balance in the account from ERRA to PABA would occur through the Annual Electric True-Up advice letter.</w:t>
      </w:r>
      <w:r w:rsidR="00F82DEF">
        <w:t xml:space="preserve"> </w:t>
      </w:r>
      <w:r w:rsidR="008C44C7">
        <w:t xml:space="preserve"> </w:t>
      </w:r>
      <w:r w:rsidRPr="00445B86" w:rsidR="00445B86">
        <w:t>For SCE and SDG&amp;E, the disposition of the balance would occur in the advice letter implementing a final decision in their respective ERRA forecast proceedings.</w:t>
      </w:r>
      <w:r w:rsidR="00F82DEF">
        <w:rPr>
          <w:rStyle w:val="FootnoteReference"/>
        </w:rPr>
        <w:footnoteReference w:id="13"/>
      </w:r>
      <w:r w:rsidR="00445B86">
        <w:t xml:space="preserve"> </w:t>
      </w:r>
      <w:r w:rsidR="0022011F">
        <w:t xml:space="preserve"> </w:t>
      </w:r>
      <w:r w:rsidR="0092794A">
        <w:t>This</w:t>
      </w:r>
      <w:r w:rsidR="00BA5FEA">
        <w:t xml:space="preserve"> approach is reasonable.</w:t>
      </w:r>
    </w:p>
    <w:p w:rsidR="007B7387" w:rsidP="00F52D40" w:rsidRDefault="007B7387" w14:paraId="64D85342" w14:textId="590043B4">
      <w:pPr>
        <w:pStyle w:val="Heading1"/>
        <w:numPr>
          <w:ilvl w:val="0"/>
          <w:numId w:val="19"/>
        </w:numPr>
      </w:pPr>
      <w:bookmarkStart w:name="_Toc93918138" w:id="11"/>
      <w:bookmarkStart w:name="_Toc8123723" w:id="12"/>
      <w:r>
        <w:t>Whether</w:t>
      </w:r>
      <w:r w:rsidRPr="007B7387">
        <w:t xml:space="preserve"> any other changes </w:t>
      </w:r>
      <w:r>
        <w:t xml:space="preserve">are </w:t>
      </w:r>
      <w:r w:rsidRPr="007B7387">
        <w:t>necessary to ensure efficient implementation of PCIA issues within ERRA proceedings</w:t>
      </w:r>
      <w:bookmarkEnd w:id="11"/>
    </w:p>
    <w:p w:rsidR="007B7387" w:rsidP="007B7387" w:rsidRDefault="007B7387" w14:paraId="7A3237DD" w14:textId="420A541C">
      <w:pPr>
        <w:pStyle w:val="Standard"/>
      </w:pPr>
      <w:r>
        <w:t xml:space="preserve">In the 2020 Scoping Memo, </w:t>
      </w:r>
      <w:r w:rsidR="0092794A">
        <w:t>the assigned Commissioner</w:t>
      </w:r>
      <w:r>
        <w:t xml:space="preserve"> asked whether the Commission should consider any other changes necessary to ensure efficient implementation of PCIA issues within ERRA proceedings.  Parties raised numerous proposals in response to this question in comments on the 2020 Scoping Memo. </w:t>
      </w:r>
      <w:r w:rsidR="0092794A">
        <w:t xml:space="preserve"> In this decision, the Commission</w:t>
      </w:r>
      <w:r>
        <w:t xml:space="preserve"> address</w:t>
      </w:r>
      <w:r w:rsidR="0092794A">
        <w:t>es</w:t>
      </w:r>
      <w:r>
        <w:t xml:space="preserve"> the proposals most likely to improve the efficiency of implementation of PCIA issues in ERRA proceedings in this decision.</w:t>
      </w:r>
      <w:r w:rsidR="000A231C">
        <w:t xml:space="preserve">  </w:t>
      </w:r>
    </w:p>
    <w:p w:rsidR="007B7387" w:rsidP="00F52D40" w:rsidRDefault="007B7387" w14:paraId="006699A4" w14:textId="4C8FB3B0">
      <w:pPr>
        <w:pStyle w:val="Heading2"/>
        <w:numPr>
          <w:ilvl w:val="1"/>
          <w:numId w:val="19"/>
        </w:numPr>
      </w:pPr>
      <w:bookmarkStart w:name="_Toc93918139" w:id="13"/>
      <w:r>
        <w:t>Data Access</w:t>
      </w:r>
      <w:bookmarkEnd w:id="13"/>
    </w:p>
    <w:p w:rsidR="000A231C" w:rsidP="000A231C" w:rsidRDefault="000A231C" w14:paraId="6D2BDB65" w14:textId="236AA1E3">
      <w:pPr>
        <w:pStyle w:val="Standard"/>
      </w:pPr>
      <w:r>
        <w:t xml:space="preserve">In comments on the 2020 Scoping Memo, </w:t>
      </w:r>
      <w:proofErr w:type="spellStart"/>
      <w:r>
        <w:t>CalCCA</w:t>
      </w:r>
      <w:proofErr w:type="spellEnd"/>
      <w:r>
        <w:t xml:space="preserve"> made </w:t>
      </w:r>
      <w:r w:rsidR="00F844C2">
        <w:t>several</w:t>
      </w:r>
      <w:r>
        <w:t xml:space="preserve"> proposals to improve</w:t>
      </w:r>
      <w:r w:rsidR="00AA58FE">
        <w:t xml:space="preserve"> community choice aggregator</w:t>
      </w:r>
      <w:r>
        <w:t xml:space="preserve"> </w:t>
      </w:r>
      <w:r w:rsidR="00AA58FE">
        <w:t>(</w:t>
      </w:r>
      <w:r>
        <w:t>CCA</w:t>
      </w:r>
      <w:r w:rsidR="00AA58FE">
        <w:t>)</w:t>
      </w:r>
      <w:r>
        <w:t xml:space="preserve"> access to confidential ERRA </w:t>
      </w:r>
      <w:r w:rsidR="00403EF2">
        <w:t>m</w:t>
      </w:r>
      <w:r>
        <w:t xml:space="preserve">onthly </w:t>
      </w:r>
      <w:r w:rsidR="00403EF2">
        <w:t>r</w:t>
      </w:r>
      <w:r>
        <w:t>eports data</w:t>
      </w:r>
      <w:r w:rsidR="00F844C2">
        <w:t>, including</w:t>
      </w:r>
      <w:r>
        <w:t>:</w:t>
      </w:r>
    </w:p>
    <w:p w:rsidR="000A231C" w:rsidP="008C44C7" w:rsidRDefault="000A231C" w14:paraId="11B11009" w14:textId="6F96EF14">
      <w:pPr>
        <w:pStyle w:val="Standard"/>
        <w:numPr>
          <w:ilvl w:val="0"/>
          <w:numId w:val="10"/>
        </w:numPr>
        <w:spacing w:after="120" w:line="240" w:lineRule="auto"/>
        <w:ind w:right="1440"/>
      </w:pPr>
      <w:r>
        <w:t xml:space="preserve">Require </w:t>
      </w:r>
      <w:r w:rsidRPr="000A231C">
        <w:t xml:space="preserve">all three IOUs to </w:t>
      </w:r>
      <w:r>
        <w:t>provide</w:t>
      </w:r>
      <w:r w:rsidRPr="000A231C">
        <w:t xml:space="preserve"> ERRA data that SCE was required to provide in D.20-12-</w:t>
      </w:r>
      <w:proofErr w:type="gramStart"/>
      <w:r w:rsidRPr="000A231C">
        <w:t>035</w:t>
      </w:r>
      <w:r>
        <w:t>;</w:t>
      </w:r>
      <w:proofErr w:type="gramEnd"/>
    </w:p>
    <w:p w:rsidR="000A231C" w:rsidP="008C44C7" w:rsidRDefault="000A231C" w14:paraId="07D8C380" w14:textId="5EA75518">
      <w:pPr>
        <w:pStyle w:val="Standard"/>
        <w:numPr>
          <w:ilvl w:val="0"/>
          <w:numId w:val="10"/>
        </w:numPr>
        <w:spacing w:after="120" w:line="240" w:lineRule="auto"/>
        <w:ind w:right="1440"/>
      </w:pPr>
      <w:r>
        <w:t xml:space="preserve">Require all three IOUs to comply with the Master Data Request process approved in </w:t>
      </w:r>
      <w:r w:rsidR="00CA21C1">
        <w:t>D.20-12-038,</w:t>
      </w:r>
      <w:r>
        <w:t xml:space="preserve"> which requires PG&amp;E to provide data in response to a standard Master Data Request within </w:t>
      </w:r>
      <w:r w:rsidR="006D4DF7">
        <w:t xml:space="preserve">5 </w:t>
      </w:r>
      <w:proofErr w:type="gramStart"/>
      <w:r w:rsidR="006D4DF7">
        <w:t>days</w:t>
      </w:r>
      <w:r>
        <w:t>;</w:t>
      </w:r>
      <w:proofErr w:type="gramEnd"/>
      <w:r w:rsidR="00F844C2">
        <w:t xml:space="preserve"> and</w:t>
      </w:r>
    </w:p>
    <w:p w:rsidR="000A231C" w:rsidP="008C44C7" w:rsidRDefault="000A231C" w14:paraId="132904FC" w14:textId="7E5B74EE">
      <w:pPr>
        <w:pStyle w:val="Standard"/>
        <w:numPr>
          <w:ilvl w:val="0"/>
          <w:numId w:val="10"/>
        </w:numPr>
        <w:spacing w:after="120" w:line="240" w:lineRule="auto"/>
        <w:ind w:right="1440"/>
      </w:pPr>
      <w:r>
        <w:lastRenderedPageBreak/>
        <w:t xml:space="preserve">Require all three IOUs to </w:t>
      </w:r>
      <w:r w:rsidR="00E133E0">
        <w:t>provide year-round access to confidential ERRA monthly reports and underlying data and workpapers for the purpose of creating PCIA rate forecasts.</w:t>
      </w:r>
    </w:p>
    <w:p w:rsidR="00F844C2" w:rsidP="008C44C7" w:rsidRDefault="00D52CF6" w14:paraId="15E772D7" w14:textId="2D2E32D3">
      <w:pPr>
        <w:pStyle w:val="Standard"/>
        <w:spacing w:after="120" w:line="240" w:lineRule="auto"/>
        <w:ind w:right="1440"/>
      </w:pPr>
      <w:r>
        <w:t>The Commission</w:t>
      </w:r>
      <w:r w:rsidR="00F844C2">
        <w:t xml:space="preserve"> address</w:t>
      </w:r>
      <w:r>
        <w:t>es</w:t>
      </w:r>
      <w:r w:rsidR="00F844C2">
        <w:t xml:space="preserve"> each proposal separately below.</w:t>
      </w:r>
    </w:p>
    <w:p w:rsidR="006D4DF7" w:rsidP="008C44C7" w:rsidRDefault="006D4DF7" w14:paraId="43CBA5C5" w14:textId="2DF21C3F">
      <w:pPr>
        <w:pStyle w:val="Heading2"/>
        <w:numPr>
          <w:ilvl w:val="1"/>
          <w:numId w:val="19"/>
        </w:numPr>
      </w:pPr>
      <w:bookmarkStart w:name="_Toc93918140" w:id="14"/>
      <w:r>
        <w:t>ERRA Data Required Under D.20-12-035</w:t>
      </w:r>
      <w:bookmarkEnd w:id="14"/>
    </w:p>
    <w:p w:rsidR="00E133E0" w:rsidP="00377C3B" w:rsidRDefault="00377C3B" w14:paraId="6775959C" w14:textId="1F7FC5E0">
      <w:pPr>
        <w:pStyle w:val="Standard"/>
      </w:pPr>
      <w:r>
        <w:t>While the</w:t>
      </w:r>
      <w:r w:rsidR="00E133E0">
        <w:t xml:space="preserve"> Commission previously addressed ERRA data access in</w:t>
      </w:r>
      <w:r w:rsidR="00F844C2">
        <w:t xml:space="preserve"> the 2021 ERRA forecast decisions,</w:t>
      </w:r>
      <w:r w:rsidR="00F844C2">
        <w:rPr>
          <w:rStyle w:val="FootnoteReference"/>
        </w:rPr>
        <w:footnoteReference w:id="14"/>
      </w:r>
      <w:r w:rsidR="00F844C2">
        <w:t xml:space="preserve"> </w:t>
      </w:r>
      <w:proofErr w:type="spellStart"/>
      <w:r w:rsidR="00AE1438">
        <w:t>CalCCA</w:t>
      </w:r>
      <w:proofErr w:type="spellEnd"/>
      <w:r w:rsidR="00AE1438">
        <w:t xml:space="preserve"> </w:t>
      </w:r>
      <w:r w:rsidR="009D232B">
        <w:t>notes</w:t>
      </w:r>
      <w:r w:rsidR="00E133E0">
        <w:t xml:space="preserve"> inconsistencies across the three decisions</w:t>
      </w:r>
      <w:r w:rsidR="00F844C2">
        <w:t xml:space="preserve"> regarding what ERRA data must be disclosed. </w:t>
      </w:r>
      <w:r w:rsidR="008C44C7">
        <w:t xml:space="preserve"> </w:t>
      </w:r>
      <w:proofErr w:type="spellStart"/>
      <w:r w:rsidR="00F844C2">
        <w:t>CalCCA</w:t>
      </w:r>
      <w:proofErr w:type="spellEnd"/>
      <w:r w:rsidR="00F844C2">
        <w:t xml:space="preserve"> proposes that the Commission require consistency with the requirements of the SCE 2021 forecast decision (</w:t>
      </w:r>
      <w:r w:rsidRPr="000A231C" w:rsidR="00F844C2">
        <w:t>D.20-12-035</w:t>
      </w:r>
      <w:r w:rsidR="00F844C2">
        <w:t>) across the three utilities.</w:t>
      </w:r>
      <w:r w:rsidR="00F844C2">
        <w:rPr>
          <w:rStyle w:val="FootnoteReference"/>
        </w:rPr>
        <w:footnoteReference w:id="15"/>
      </w:r>
      <w:r w:rsidR="00F844C2">
        <w:t xml:space="preserve"> </w:t>
      </w:r>
      <w:r w:rsidR="005D3ECA">
        <w:t xml:space="preserve"> </w:t>
      </w:r>
      <w:proofErr w:type="spellStart"/>
      <w:r w:rsidR="00937C01">
        <w:t>CalCCA</w:t>
      </w:r>
      <w:proofErr w:type="spellEnd"/>
      <w:r w:rsidR="00937C01">
        <w:t xml:space="preserve"> notes that the </w:t>
      </w:r>
      <w:r w:rsidR="00195A7D">
        <w:t>ERRA data requirements for SCE and PG&amp;E vary only by a few words, and SDG&amp;E’s requirements are substantially different.</w:t>
      </w:r>
    </w:p>
    <w:p w:rsidR="00F844C2" w:rsidP="009E1856" w:rsidRDefault="00F844C2" w14:paraId="083C9549" w14:textId="4C1D707A">
      <w:pPr>
        <w:pStyle w:val="Standard"/>
      </w:pPr>
      <w:r>
        <w:t xml:space="preserve">The Joint IOUs </w:t>
      </w:r>
      <w:r w:rsidR="0021752E">
        <w:t xml:space="preserve">do not deny that the requirements are </w:t>
      </w:r>
      <w:r w:rsidR="001C5F37">
        <w:t>inconsistent but</w:t>
      </w:r>
      <w:r w:rsidR="0021752E">
        <w:t xml:space="preserve"> </w:t>
      </w:r>
      <w:r>
        <w:t xml:space="preserve">replied that </w:t>
      </w:r>
      <w:proofErr w:type="spellStart"/>
      <w:r>
        <w:t>CalCCA</w:t>
      </w:r>
      <w:proofErr w:type="spellEnd"/>
      <w:r>
        <w:t xml:space="preserve"> has not provided justification for disregarding the orders in those recent decisions, which were based on the record of each proceeding. </w:t>
      </w:r>
      <w:r w:rsidR="001C5F37">
        <w:t xml:space="preserve"> </w:t>
      </w:r>
      <w:r>
        <w:t xml:space="preserve">The Joint IOUs </w:t>
      </w:r>
      <w:r w:rsidR="007B6161">
        <w:t>argue that the ERRA data requirements are different because each utility’s operation and accounting systems are different.</w:t>
      </w:r>
      <w:r w:rsidR="007B6161">
        <w:rPr>
          <w:rStyle w:val="FootnoteReference"/>
        </w:rPr>
        <w:footnoteReference w:id="16"/>
      </w:r>
    </w:p>
    <w:p w:rsidR="008977EE" w:rsidP="009E1856" w:rsidRDefault="00D52CF6" w14:paraId="4BF3A4C3" w14:textId="25B04D9F">
      <w:pPr>
        <w:pStyle w:val="Standard"/>
      </w:pPr>
      <w:r>
        <w:t>In this decision, the Commission</w:t>
      </w:r>
      <w:r w:rsidR="00750BA0">
        <w:t xml:space="preserve"> seek</w:t>
      </w:r>
      <w:r>
        <w:t>s</w:t>
      </w:r>
      <w:r w:rsidR="00750BA0">
        <w:t xml:space="preserve"> to balance </w:t>
      </w:r>
      <w:r>
        <w:t>the</w:t>
      </w:r>
      <w:r w:rsidR="00A3787E">
        <w:t xml:space="preserve"> desire for consistent policies across proceedings with </w:t>
      </w:r>
      <w:r w:rsidR="00627C50">
        <w:t xml:space="preserve">administrative efficiency. </w:t>
      </w:r>
      <w:r w:rsidR="00180B02">
        <w:t xml:space="preserve"> </w:t>
      </w:r>
      <w:r w:rsidR="00627C50">
        <w:t xml:space="preserve">Since </w:t>
      </w:r>
      <w:r w:rsidR="0031430A">
        <w:t xml:space="preserve">parties agree that </w:t>
      </w:r>
      <w:r w:rsidR="00627C50">
        <w:t xml:space="preserve">SCE and PG&amp;E’s ERRA data requirements are substantially the same, </w:t>
      </w:r>
      <w:r w:rsidR="00B941AA">
        <w:t>there is</w:t>
      </w:r>
      <w:r w:rsidR="00627C50">
        <w:t xml:space="preserve"> no reason to modify PG&amp;E’s ERRA data </w:t>
      </w:r>
      <w:r w:rsidR="008F3E53">
        <w:t xml:space="preserve">disclosure </w:t>
      </w:r>
      <w:r w:rsidR="00627C50">
        <w:t xml:space="preserve">requirements. </w:t>
      </w:r>
      <w:r w:rsidR="00180B02">
        <w:t xml:space="preserve"> </w:t>
      </w:r>
      <w:r w:rsidR="00B941AA">
        <w:t xml:space="preserve">The Commission </w:t>
      </w:r>
      <w:r w:rsidR="00B11609">
        <w:t>direct</w:t>
      </w:r>
      <w:r w:rsidR="00B941AA">
        <w:t>s</w:t>
      </w:r>
      <w:r w:rsidR="00B11609">
        <w:t xml:space="preserve"> SDG&amp;E to meet and confer with the parties to </w:t>
      </w:r>
      <w:r w:rsidR="008F3E53">
        <w:t>the</w:t>
      </w:r>
      <w:r w:rsidR="00B11609">
        <w:t xml:space="preserve"> 2022 ERRA forecast proceeding </w:t>
      </w:r>
      <w:r w:rsidR="008F3E53">
        <w:t xml:space="preserve">to revisit ERRA data disclosure requirements and </w:t>
      </w:r>
      <w:r w:rsidR="00002E6A">
        <w:lastRenderedPageBreak/>
        <w:t xml:space="preserve">include a proposal </w:t>
      </w:r>
      <w:r w:rsidR="00B15194">
        <w:t xml:space="preserve">in its 2023 ERRA forecast application of how to adjust </w:t>
      </w:r>
      <w:r w:rsidR="008A41D3">
        <w:t xml:space="preserve">ERRA/PABA </w:t>
      </w:r>
      <w:r w:rsidR="00A563BD">
        <w:t xml:space="preserve">data disclosure </w:t>
      </w:r>
      <w:r w:rsidR="008A41D3">
        <w:t xml:space="preserve">requirements for consistency with SCE’s and PG&amp;E’s ERRA data </w:t>
      </w:r>
      <w:r w:rsidR="0031430A">
        <w:t>disclosure requirements.</w:t>
      </w:r>
    </w:p>
    <w:p w:rsidR="006D4DF7" w:rsidP="00AB45FB" w:rsidRDefault="007B6161" w14:paraId="347FE527" w14:textId="12FD685E">
      <w:pPr>
        <w:pStyle w:val="Heading2"/>
        <w:numPr>
          <w:ilvl w:val="1"/>
          <w:numId w:val="19"/>
        </w:numPr>
      </w:pPr>
      <w:bookmarkStart w:name="_Toc93918141" w:id="15"/>
      <w:r>
        <w:t>Master Data Request</w:t>
      </w:r>
      <w:bookmarkEnd w:id="15"/>
    </w:p>
    <w:p w:rsidR="007B6161" w:rsidP="007B6161" w:rsidRDefault="007B6161" w14:paraId="3C47D9C5" w14:textId="084B8C92">
      <w:pPr>
        <w:pStyle w:val="Standard"/>
      </w:pPr>
      <w:proofErr w:type="spellStart"/>
      <w:r>
        <w:t>CalCCA</w:t>
      </w:r>
      <w:proofErr w:type="spellEnd"/>
      <w:r>
        <w:t xml:space="preserve"> asserted that the Master Data Request process for accessing PG&amp;E ERRA monthly reports data authorized under D.20-12-038 saves CCAs valuable time and should apply to the other two utilities.</w:t>
      </w:r>
      <w:r w:rsidR="000E1347">
        <w:rPr>
          <w:rStyle w:val="FootnoteReference"/>
        </w:rPr>
        <w:footnoteReference w:id="17"/>
      </w:r>
      <w:r>
        <w:t xml:space="preserve"> </w:t>
      </w:r>
      <w:r w:rsidR="00AB45FB">
        <w:t xml:space="preserve"> </w:t>
      </w:r>
      <w:r>
        <w:t>In reply comments to the August 2021 Ruling, the Joint IOUs agreed that the Commission should apply the Master Data Request</w:t>
      </w:r>
      <w:r w:rsidR="00F227D2">
        <w:t xml:space="preserve"> process</w:t>
      </w:r>
      <w:r>
        <w:t xml:space="preserve"> to the other two utilities.</w:t>
      </w:r>
      <w:r w:rsidR="00AB45FB">
        <w:t xml:space="preserve"> </w:t>
      </w:r>
      <w:r>
        <w:t xml:space="preserve"> No party disagreed. </w:t>
      </w:r>
    </w:p>
    <w:p w:rsidR="00EA682A" w:rsidP="00EA682A" w:rsidRDefault="007B6161" w14:paraId="2F2B544A" w14:textId="1B3BEB8F">
      <w:pPr>
        <w:pStyle w:val="Standard"/>
      </w:pPr>
      <w:r>
        <w:t xml:space="preserve">However, the Joint IOUs recommend allowing the utilities to provide responses to the Master Data Requests within 10 business days rather than within 5 days. </w:t>
      </w:r>
      <w:r w:rsidR="00AB45FB">
        <w:t xml:space="preserve"> </w:t>
      </w:r>
      <w:r w:rsidR="00EA682A">
        <w:t>The Joint IOUs argue that 10 business days is consistent with the standard discovery response time.</w:t>
      </w:r>
      <w:r w:rsidR="00EA682A">
        <w:rPr>
          <w:rStyle w:val="FootnoteReference"/>
        </w:rPr>
        <w:footnoteReference w:id="18"/>
      </w:r>
      <w:r w:rsidR="00871447">
        <w:t xml:space="preserve"> </w:t>
      </w:r>
      <w:r w:rsidR="00EA682A">
        <w:t xml:space="preserve"> </w:t>
      </w:r>
      <w:proofErr w:type="spellStart"/>
      <w:r w:rsidR="00EA682A">
        <w:t>CalCCA</w:t>
      </w:r>
      <w:proofErr w:type="spellEnd"/>
      <w:r w:rsidR="00EA682A">
        <w:t xml:space="preserve"> replied that </w:t>
      </w:r>
      <w:r w:rsidRPr="00EA682A" w:rsidR="00EA682A">
        <w:t xml:space="preserve">PG&amp;E </w:t>
      </w:r>
      <w:r w:rsidR="00EA682A">
        <w:t>currently</w:t>
      </w:r>
      <w:r w:rsidRPr="00EA682A" w:rsidR="00EA682A">
        <w:t xml:space="preserve"> meets the 5</w:t>
      </w:r>
      <w:r w:rsidR="00011D8B">
        <w:t>-</w:t>
      </w:r>
      <w:r w:rsidRPr="00EA682A" w:rsidR="00EA682A">
        <w:t>day deadline</w:t>
      </w:r>
      <w:r w:rsidR="00EA682A">
        <w:t>, and further it is</w:t>
      </w:r>
      <w:r w:rsidRPr="00EA682A" w:rsidR="00EA682A">
        <w:t xml:space="preserve"> not burdensome </w:t>
      </w:r>
      <w:r w:rsidR="00EA682A">
        <w:t>for utilities to provide</w:t>
      </w:r>
      <w:r w:rsidRPr="00EA682A" w:rsidR="00EA682A">
        <w:t xml:space="preserve"> underlying data and workpapers for</w:t>
      </w:r>
      <w:r w:rsidR="00EA682A">
        <w:t xml:space="preserve"> ERRA</w:t>
      </w:r>
      <w:r w:rsidRPr="00EA682A" w:rsidR="00EA682A">
        <w:t xml:space="preserve"> monthly reports.</w:t>
      </w:r>
      <w:r w:rsidR="00EA682A">
        <w:rPr>
          <w:rStyle w:val="FootnoteReference"/>
        </w:rPr>
        <w:footnoteReference w:id="19"/>
      </w:r>
    </w:p>
    <w:p w:rsidR="007F58ED" w:rsidP="007F58ED" w:rsidRDefault="007B6161" w14:paraId="4A24EF1B" w14:textId="74356A62">
      <w:pPr>
        <w:pStyle w:val="Standard"/>
      </w:pPr>
      <w:r>
        <w:t xml:space="preserve">D.20-12-038 </w:t>
      </w:r>
      <w:r w:rsidR="006F640D">
        <w:t>conclude</w:t>
      </w:r>
      <w:r w:rsidR="002E50AA">
        <w:t>d</w:t>
      </w:r>
      <w:r w:rsidR="006F640D">
        <w:t xml:space="preserve"> that PG&amp;E should</w:t>
      </w:r>
      <w:r>
        <w:t xml:space="preserve"> (a) provide non-confidential information from the Master Data Request response to all parties to the proceeding that request a copy “within 5 days of the request,” and (b) provide confidential information from the Master Data Request response to all reviewing representatives that have signed a nondisclosure agreement “within 5 days after each of PG&amp;E’s monthly ERRA/PABA/PUBA activity reports is submitted to </w:t>
      </w:r>
      <w:r>
        <w:lastRenderedPageBreak/>
        <w:t>the Commission during the pendency of the applicable ERRA forecast proceeding.”</w:t>
      </w:r>
      <w:r>
        <w:rPr>
          <w:rStyle w:val="FootnoteReference"/>
        </w:rPr>
        <w:footnoteReference w:id="20"/>
      </w:r>
    </w:p>
    <w:p w:rsidR="00F227D2" w:rsidP="007F58ED" w:rsidRDefault="00B941AA" w14:paraId="742CE73E" w14:textId="24C42A12">
      <w:pPr>
        <w:pStyle w:val="Standard"/>
      </w:pPr>
      <w:r>
        <w:t>Five</w:t>
      </w:r>
      <w:r w:rsidR="007F58ED">
        <w:t xml:space="preserve"> calendar days may be insufficient time for a utility to respond to a </w:t>
      </w:r>
      <w:r w:rsidR="0E7084D9">
        <w:t xml:space="preserve">data </w:t>
      </w:r>
      <w:r w:rsidR="007F58ED">
        <w:t xml:space="preserve">request, but </w:t>
      </w:r>
      <w:r w:rsidR="00640243">
        <w:t xml:space="preserve">we </w:t>
      </w:r>
      <w:r w:rsidR="007F58ED">
        <w:t xml:space="preserve">do not see the need to extend the response period to </w:t>
      </w:r>
      <w:r w:rsidR="006F4C83">
        <w:br/>
      </w:r>
      <w:r w:rsidR="007F58ED">
        <w:t xml:space="preserve">10 business days to provide information that the utilities should have on hand. </w:t>
      </w:r>
      <w:r w:rsidR="00AB45FB">
        <w:t xml:space="preserve"> </w:t>
      </w:r>
      <w:r>
        <w:t>E</w:t>
      </w:r>
      <w:r w:rsidR="007F58ED">
        <w:t xml:space="preserve">ach IOU should (a) provide non-confidential information from the Master Data Request response to all parties to the proceeding that request a copy within </w:t>
      </w:r>
      <w:r w:rsidR="005A642B">
        <w:br/>
      </w:r>
      <w:r w:rsidR="007F58ED">
        <w:t xml:space="preserve">5 business days of the request, and (b) provide confidential information from the Master Data Request response to all reviewing representatives that have signed a nondisclosure agreement within 5 business days after each of the utility’s monthly ERRA reports is submitted to the Commission during the pendency of the applicable ERRA forecast proceeding. </w:t>
      </w:r>
    </w:p>
    <w:p w:rsidR="007F58ED" w:rsidP="007F58ED" w:rsidRDefault="007F58ED" w14:paraId="28371454" w14:textId="442B4A85">
      <w:pPr>
        <w:pStyle w:val="Standard"/>
      </w:pPr>
      <w:r w:rsidRPr="00EE2EE1">
        <w:t>Th</w:t>
      </w:r>
      <w:r w:rsidRPr="00EE2EE1" w:rsidR="00F227D2">
        <w:t>is decision does not revise the required contents of</w:t>
      </w:r>
      <w:r w:rsidRPr="00EE2EE1">
        <w:t xml:space="preserve"> Master Data Request responses </w:t>
      </w:r>
      <w:r w:rsidRPr="00EE2EE1" w:rsidR="00F227D2">
        <w:t>for PG&amp;E</w:t>
      </w:r>
      <w:r w:rsidR="00011D8B">
        <w:t xml:space="preserve"> under D.20-12-038</w:t>
      </w:r>
      <w:r w:rsidRPr="00EE2EE1" w:rsidR="00F227D2">
        <w:t>.</w:t>
      </w:r>
      <w:r w:rsidR="00AB45FB">
        <w:t xml:space="preserve"> </w:t>
      </w:r>
      <w:r w:rsidRPr="00EE2EE1" w:rsidR="00F227D2">
        <w:t xml:space="preserve"> SCE and SDG&amp;E </w:t>
      </w:r>
      <w:r w:rsidRPr="00EE2EE1">
        <w:t>shall include</w:t>
      </w:r>
      <w:r w:rsidRPr="00EE2EE1" w:rsidR="00F227D2">
        <w:t xml:space="preserve"> in their Master Data Request responses all ERR</w:t>
      </w:r>
      <w:r w:rsidR="00403EF2">
        <w:t>A and PABA</w:t>
      </w:r>
      <w:r w:rsidRPr="00EE2EE1" w:rsidR="00F227D2">
        <w:t xml:space="preserve"> monthly report information that they are required to provide pursuant to the applicable decision.</w:t>
      </w:r>
      <w:r w:rsidRPr="00EE2EE1" w:rsidR="00F227D2">
        <w:rPr>
          <w:rStyle w:val="FootnoteReference"/>
        </w:rPr>
        <w:footnoteReference w:id="21"/>
      </w:r>
    </w:p>
    <w:p w:rsidR="00F844C2" w:rsidP="00AB45FB" w:rsidRDefault="007B6161" w14:paraId="571E02E3" w14:textId="00E6DC48">
      <w:pPr>
        <w:pStyle w:val="Heading2"/>
        <w:numPr>
          <w:ilvl w:val="1"/>
          <w:numId w:val="19"/>
        </w:numPr>
      </w:pPr>
      <w:bookmarkStart w:name="_Toc93918142" w:id="16"/>
      <w:r>
        <w:t>Data Access</w:t>
      </w:r>
      <w:r w:rsidR="00CF68AC">
        <w:t xml:space="preserve"> for PCIA Rate Forecasts</w:t>
      </w:r>
      <w:bookmarkEnd w:id="16"/>
    </w:p>
    <w:p w:rsidR="001A3648" w:rsidP="00426BDB" w:rsidRDefault="00377C3B" w14:paraId="46BB4A7B" w14:textId="339D6A3C">
      <w:pPr>
        <w:pStyle w:val="Standard"/>
      </w:pPr>
      <w:proofErr w:type="spellStart"/>
      <w:r>
        <w:t>CalCCA</w:t>
      </w:r>
      <w:proofErr w:type="spellEnd"/>
      <w:r>
        <w:t xml:space="preserve"> propos</w:t>
      </w:r>
      <w:r w:rsidR="00EA682A">
        <w:t>ed</w:t>
      </w:r>
      <w:r>
        <w:t xml:space="preserve"> </w:t>
      </w:r>
      <w:r w:rsidR="00EA682A">
        <w:t>requir</w:t>
      </w:r>
      <w:r w:rsidR="1DACD1AA">
        <w:t>ing</w:t>
      </w:r>
      <w:r w:rsidR="00EA682A">
        <w:t xml:space="preserve"> the three IOUs to provide year-round access to confidential ERRA</w:t>
      </w:r>
      <w:r w:rsidR="00163E7D">
        <w:t>/PABA</w:t>
      </w:r>
      <w:r w:rsidR="00EA682A">
        <w:t xml:space="preserve"> monthly reports (and underlying data and workpapers) for the </w:t>
      </w:r>
      <w:r w:rsidR="000D0581">
        <w:t>non-proceeding</w:t>
      </w:r>
      <w:r w:rsidR="00EA682A">
        <w:t xml:space="preserve"> purpose of creating PCIA rate forecasts</w:t>
      </w:r>
      <w:r w:rsidR="006E4DE8">
        <w:t xml:space="preserve"> </w:t>
      </w:r>
      <w:r w:rsidR="5F128890">
        <w:t xml:space="preserve">with data received </w:t>
      </w:r>
      <w:r w:rsidR="006E4DE8">
        <w:t>through nondisclosure agreements</w:t>
      </w:r>
      <w:r w:rsidR="00E9542C">
        <w:t>.</w:t>
      </w:r>
      <w:r w:rsidR="00230B2B">
        <w:t xml:space="preserve"> </w:t>
      </w:r>
      <w:r w:rsidR="00AB45FB">
        <w:t xml:space="preserve"> </w:t>
      </w:r>
      <w:r w:rsidR="00230B2B">
        <w:t xml:space="preserve">While CCA reviewing representatives currently have access to confidential ERRA/PABA monthly report data, the </w:t>
      </w:r>
      <w:r w:rsidR="006E4DE8">
        <w:t xml:space="preserve">existing </w:t>
      </w:r>
      <w:r w:rsidR="00230B2B">
        <w:t xml:space="preserve">nondisclosure agreements (i) limit use of this </w:t>
      </w:r>
      <w:r w:rsidR="00230B2B">
        <w:lastRenderedPageBreak/>
        <w:t>information to participation in ERRA forecast proceedings, and (ii) prevent reviewing representatives from disclosing confidential information to the CCAs.</w:t>
      </w:r>
    </w:p>
    <w:p w:rsidR="006922A7" w:rsidP="00426BDB" w:rsidRDefault="0045385C" w14:paraId="059A3ACA" w14:textId="31E443BE">
      <w:pPr>
        <w:pStyle w:val="Standard"/>
      </w:pPr>
      <w:r>
        <w:t>The Joint IOUs</w:t>
      </w:r>
      <w:r w:rsidR="0083517C">
        <w:t xml:space="preserve"> strongly opposed this proposal,</w:t>
      </w:r>
      <w:r>
        <w:t xml:space="preserve"> </w:t>
      </w:r>
      <w:r w:rsidR="0083517C">
        <w:t>arguing that the</w:t>
      </w:r>
      <w:r w:rsidR="00305C5A">
        <w:t xml:space="preserve"> </w:t>
      </w:r>
      <w:r w:rsidR="00B9256D">
        <w:t>Commission’s existing protections for</w:t>
      </w:r>
      <w:r w:rsidR="00305C5A">
        <w:t xml:space="preserve"> confidential, market-sensitive IOU data </w:t>
      </w:r>
      <w:r w:rsidR="00FC71C2">
        <w:t xml:space="preserve">under Pub. Util. Code Section </w:t>
      </w:r>
      <w:r w:rsidR="00305C5A">
        <w:t>454.5(g)</w:t>
      </w:r>
      <w:r w:rsidR="00FC71C2">
        <w:t xml:space="preserve">, including the </w:t>
      </w:r>
      <w:r w:rsidR="00305C5A">
        <w:t>Model NDA, expressly limit the use of th</w:t>
      </w:r>
      <w:r w:rsidR="000C7FE1">
        <w:t>is</w:t>
      </w:r>
      <w:r w:rsidR="00C95E9F">
        <w:t xml:space="preserve"> type of</w:t>
      </w:r>
      <w:r w:rsidR="00305C5A">
        <w:t xml:space="preserve"> information </w:t>
      </w:r>
      <w:r w:rsidR="000C7FE1">
        <w:t>for the purpose of</w:t>
      </w:r>
      <w:r w:rsidR="00305C5A">
        <w:t xml:space="preserve"> participating in an affected Commission proceeding.</w:t>
      </w:r>
      <w:r w:rsidR="008231F1">
        <w:t xml:space="preserve"> </w:t>
      </w:r>
      <w:r w:rsidR="00AB45FB">
        <w:t xml:space="preserve"> </w:t>
      </w:r>
      <w:proofErr w:type="spellStart"/>
      <w:r w:rsidRPr="006922A7" w:rsidR="006922A7">
        <w:t>CalCCA</w:t>
      </w:r>
      <w:proofErr w:type="spellEnd"/>
      <w:r w:rsidRPr="006922A7" w:rsidR="006922A7">
        <w:t xml:space="preserve"> argued that granting unbundled customers’ </w:t>
      </w:r>
      <w:proofErr w:type="gramStart"/>
      <w:r w:rsidRPr="006922A7" w:rsidR="00AB45FB">
        <w:t>representatives</w:t>
      </w:r>
      <w:proofErr w:type="gramEnd"/>
      <w:r w:rsidRPr="006922A7" w:rsidR="006922A7">
        <w:t xml:space="preserve"> access to data that bundled customers’ representatives have is necessary to enable CCAs to offer the same protection from rate volatility as investor-owned utilities can provide to their customers. However, as of November 2021, </w:t>
      </w:r>
      <w:proofErr w:type="spellStart"/>
      <w:r w:rsidRPr="006922A7" w:rsidR="006922A7">
        <w:t>CalCCA</w:t>
      </w:r>
      <w:proofErr w:type="spellEnd"/>
      <w:r w:rsidRPr="006922A7" w:rsidR="006922A7">
        <w:t xml:space="preserve"> did not provide sufficient information to support this point.</w:t>
      </w:r>
      <w:r w:rsidR="00AB45FB">
        <w:t xml:space="preserve"> </w:t>
      </w:r>
      <w:r w:rsidRPr="006922A7" w:rsidR="006922A7">
        <w:t xml:space="preserve"> Nor did </w:t>
      </w:r>
      <w:proofErr w:type="spellStart"/>
      <w:r w:rsidRPr="006922A7" w:rsidR="006922A7">
        <w:t>CalCCA</w:t>
      </w:r>
      <w:proofErr w:type="spellEnd"/>
      <w:r w:rsidRPr="006922A7" w:rsidR="006922A7">
        <w:t xml:space="preserve"> specify what data CCAs desire for reviewing representatives to disclose to CCAs as of November 2021. </w:t>
      </w:r>
      <w:r w:rsidR="009C3C26">
        <w:t xml:space="preserve"> </w:t>
      </w:r>
      <w:r w:rsidRPr="006922A7" w:rsidR="006922A7">
        <w:t xml:space="preserve">Without this information, </w:t>
      </w:r>
      <w:r w:rsidR="006922A7">
        <w:t>the Commission</w:t>
      </w:r>
      <w:r w:rsidRPr="006922A7" w:rsidR="006922A7">
        <w:t xml:space="preserve"> cannot assess the risks of this proposal. </w:t>
      </w:r>
    </w:p>
    <w:p w:rsidR="006922A7" w:rsidP="006922A7" w:rsidRDefault="006922A7" w14:paraId="557D15B7" w14:textId="5A9334B7">
      <w:pPr>
        <w:pStyle w:val="Standard"/>
      </w:pPr>
      <w:r>
        <w:t>The Commission</w:t>
      </w:r>
      <w:r w:rsidR="00A423E7">
        <w:t xml:space="preserve"> need</w:t>
      </w:r>
      <w:r>
        <w:t>s</w:t>
      </w:r>
      <w:r w:rsidR="00E9542C">
        <w:t xml:space="preserve"> additional information </w:t>
      </w:r>
      <w:r w:rsidR="00A423E7">
        <w:t xml:space="preserve">about how </w:t>
      </w:r>
      <w:r w:rsidR="00BF544D">
        <w:t>CCA access to this information would</w:t>
      </w:r>
      <w:r w:rsidR="00A423E7">
        <w:t xml:space="preserve"> serve a public interest and what </w:t>
      </w:r>
      <w:r w:rsidR="674F6214">
        <w:t xml:space="preserve">specific </w:t>
      </w:r>
      <w:r w:rsidR="00F27C05">
        <w:t>data</w:t>
      </w:r>
      <w:r w:rsidR="00A423E7">
        <w:t xml:space="preserve"> </w:t>
      </w:r>
      <w:r w:rsidR="00AD6B3F">
        <w:t xml:space="preserve">CCAs </w:t>
      </w:r>
      <w:r w:rsidR="00FF5DA2">
        <w:t>desire for reviewing representatives to disclose to CCAs</w:t>
      </w:r>
      <w:r w:rsidR="009E49DB">
        <w:t xml:space="preserve"> for the purpose of creating PCIA rate forecasts.  </w:t>
      </w:r>
      <w:r w:rsidRPr="006922A7">
        <w:t xml:space="preserve">The assigned ALJ issued a ruling on </w:t>
      </w:r>
      <w:r w:rsidR="002C6448">
        <w:br/>
      </w:r>
      <w:r w:rsidRPr="006922A7">
        <w:t xml:space="preserve">November 5, </w:t>
      </w:r>
      <w:proofErr w:type="gramStart"/>
      <w:r w:rsidRPr="006922A7">
        <w:t>2021</w:t>
      </w:r>
      <w:proofErr w:type="gramEnd"/>
      <w:r w:rsidRPr="006922A7">
        <w:t xml:space="preserve"> with additional questions about this issue. </w:t>
      </w:r>
      <w:r>
        <w:t>The Commission’s staff is</w:t>
      </w:r>
      <w:r w:rsidRPr="006922A7">
        <w:t xml:space="preserve"> currently reviewing and considering party comments in response to this ruling.  </w:t>
      </w:r>
    </w:p>
    <w:p w:rsidR="00B63F3B" w:rsidP="00F52D40" w:rsidRDefault="00B63F3B" w14:paraId="46B2E13F" w14:textId="5601D9AD">
      <w:pPr>
        <w:pStyle w:val="Heading2"/>
        <w:numPr>
          <w:ilvl w:val="1"/>
          <w:numId w:val="19"/>
        </w:numPr>
      </w:pPr>
      <w:bookmarkStart w:name="_Toc93918143" w:id="17"/>
      <w:r>
        <w:t>Data Confidentiality</w:t>
      </w:r>
      <w:bookmarkEnd w:id="17"/>
    </w:p>
    <w:p w:rsidR="00B63F3B" w:rsidP="00B63F3B" w:rsidRDefault="001B0789" w14:paraId="16DA7432" w14:textId="1E919B87">
      <w:pPr>
        <w:pStyle w:val="Standard"/>
      </w:pPr>
      <w:r w:rsidRPr="000A231C">
        <w:t xml:space="preserve">In comments on the December 2020 scoping memo, </w:t>
      </w:r>
      <w:proofErr w:type="spellStart"/>
      <w:r w:rsidRPr="000A231C">
        <w:t>CalCCA</w:t>
      </w:r>
      <w:proofErr w:type="spellEnd"/>
      <w:r w:rsidRPr="000A231C">
        <w:t xml:space="preserve"> proposed that the Commission require consistency across IOUs regarding what information is considered confidential.  </w:t>
      </w:r>
      <w:r>
        <w:t xml:space="preserve">The August 2021 Ruling asked proponents of this proposal to provide a chart showing which datasets or categories of data should </w:t>
      </w:r>
      <w:r>
        <w:lastRenderedPageBreak/>
        <w:t xml:space="preserve">be public and which should be confidential, with a comparison to the current public or confidential designation by each utility and the confidentiality matrices adopted in D.06-06-066, as amended.  </w:t>
      </w:r>
    </w:p>
    <w:p w:rsidR="00D95F80" w:rsidP="00364071" w:rsidRDefault="00D95F80" w14:paraId="78AE0718" w14:textId="40886ADA">
      <w:pPr>
        <w:pStyle w:val="Standard"/>
      </w:pPr>
      <w:r>
        <w:t xml:space="preserve">In </w:t>
      </w:r>
      <w:r w:rsidR="00364071">
        <w:t xml:space="preserve">opening </w:t>
      </w:r>
      <w:r>
        <w:t xml:space="preserve">comments </w:t>
      </w:r>
      <w:r w:rsidR="00364071">
        <w:t xml:space="preserve">on the </w:t>
      </w:r>
      <w:r>
        <w:t xml:space="preserve">August 2021 Ruling, </w:t>
      </w:r>
      <w:r w:rsidR="00364071">
        <w:t xml:space="preserve">the Joint IOUs argued that confidentiality of data and willingness to disclose it may vary by utility </w:t>
      </w:r>
      <w:r w:rsidRPr="00364071" w:rsidR="00364071">
        <w:t xml:space="preserve">depending on respective portfolios, the form of the data, </w:t>
      </w:r>
      <w:r w:rsidR="10846F6B">
        <w:t xml:space="preserve">and </w:t>
      </w:r>
      <w:r w:rsidRPr="00364071" w:rsidR="00364071">
        <w:t>the unique nature of the underlying data</w:t>
      </w:r>
      <w:r w:rsidR="00364071">
        <w:t xml:space="preserve">. </w:t>
      </w:r>
      <w:r w:rsidR="00AB45FB">
        <w:t xml:space="preserve"> </w:t>
      </w:r>
      <w:r w:rsidR="00364071">
        <w:t>In reply comments, the Joint IOUs also raised the concern that collaborating on making confidential data consistent among the utilities could violate antitrust rules.</w:t>
      </w:r>
      <w:r w:rsidR="00AB45FB">
        <w:t xml:space="preserve"> </w:t>
      </w:r>
      <w:r w:rsidR="00364071">
        <w:t xml:space="preserve"> However, the Joint IOUs propose holding a workshop to further explore alignment on confidentiality.</w:t>
      </w:r>
    </w:p>
    <w:p w:rsidR="00D95F80" w:rsidP="00B63F3B" w:rsidRDefault="00364071" w14:paraId="2B686607" w14:textId="4C780C5B">
      <w:pPr>
        <w:pStyle w:val="Standard"/>
      </w:pPr>
      <w:r>
        <w:t xml:space="preserve">In reply comments on the August 2021 Ruling, </w:t>
      </w:r>
      <w:proofErr w:type="spellStart"/>
      <w:r>
        <w:t>CalCCA</w:t>
      </w:r>
      <w:proofErr w:type="spellEnd"/>
      <w:r>
        <w:t xml:space="preserve"> clarified that it recommends the Commission correct the inconsistencies in the application of D.06-06-006 confidentiality requirements among the three IOUs.</w:t>
      </w:r>
      <w:r w:rsidR="00AB45FB">
        <w:t xml:space="preserve"> </w:t>
      </w:r>
      <w:r w:rsidR="00D611FC">
        <w:t xml:space="preserve"> </w:t>
      </w:r>
      <w:proofErr w:type="spellStart"/>
      <w:r>
        <w:t>AReM</w:t>
      </w:r>
      <w:proofErr w:type="spellEnd"/>
      <w:r>
        <w:t xml:space="preserve">/DACC also commented on the August 2021 Ruling to provide examples of inconsistencies </w:t>
      </w:r>
      <w:r w:rsidR="00D611FC">
        <w:t>and propose solutions</w:t>
      </w:r>
      <w:r>
        <w:t xml:space="preserve"> fo</w:t>
      </w:r>
      <w:r w:rsidR="00D611FC">
        <w:t xml:space="preserve">r </w:t>
      </w:r>
      <w:r>
        <w:t>addressing these inconsistencies.</w:t>
      </w:r>
    </w:p>
    <w:p w:rsidRPr="00B1073E" w:rsidR="00AC213F" w:rsidP="00D611FC" w:rsidRDefault="00B941AA" w14:paraId="75BCB4CF" w14:textId="629763D4">
      <w:pPr>
        <w:pStyle w:val="Standard"/>
      </w:pPr>
      <w:r>
        <w:t>I</w:t>
      </w:r>
      <w:r w:rsidR="00364071">
        <w:t xml:space="preserve">nconsistencies between IOUs’ treatment of ERRA data as confidential or public indicate that one or more utilities </w:t>
      </w:r>
      <w:r w:rsidR="000E0F6B">
        <w:t xml:space="preserve">may be </w:t>
      </w:r>
      <w:r w:rsidR="00364071">
        <w:t>misapplying the confidentiality requirements of D.06-0</w:t>
      </w:r>
      <w:r w:rsidRPr="00B1073E" w:rsidR="00364071">
        <w:t>6-066.</w:t>
      </w:r>
      <w:r w:rsidRPr="00B1073E" w:rsidR="00D611FC">
        <w:t xml:space="preserve">  </w:t>
      </w:r>
    </w:p>
    <w:p w:rsidRPr="00B1073E" w:rsidR="000F70E9" w:rsidP="00B1073E" w:rsidRDefault="000F70E9" w14:paraId="037B02B2" w14:textId="77777777">
      <w:pPr>
        <w:pStyle w:val="Standard"/>
      </w:pPr>
      <w:r w:rsidRPr="00B1073E">
        <w:t xml:space="preserve">General Order (GO) 66-D sets forth the Commission’s procedures for implementing the California Public Records Act, Gov. Code § 6250 </w:t>
      </w:r>
      <w:r w:rsidRPr="009027BE">
        <w:rPr>
          <w:i/>
          <w:iCs/>
        </w:rPr>
        <w:t>et seq</w:t>
      </w:r>
      <w:r w:rsidRPr="00B1073E">
        <w:t xml:space="preserve">., which governs treatment of all records submitted to the Commission.  GO 66-D, § 3, sets forth the requirements for submission of information to the Commission under a claim of confidentiality.  </w:t>
      </w:r>
      <w:bookmarkStart w:name="_Hlk40276769" w:id="18"/>
      <w:r w:rsidRPr="00B1073E">
        <w:t xml:space="preserve"> Section 3.2 of GO 66-D states that an entity submitting the information “bears the burden of proving the reasons why the Commission shall withhold any information, or any portion thereof, from the public.”  To </w:t>
      </w:r>
      <w:r w:rsidRPr="00B1073E">
        <w:lastRenderedPageBreak/>
        <w:t xml:space="preserve">request confidential treatment of any information submitted to the Commission, the information submitter must satisfy four requirements: </w:t>
      </w:r>
      <w:bookmarkEnd w:id="18"/>
      <w:r w:rsidRPr="00B1073E">
        <w:t xml:space="preserve"> </w:t>
      </w:r>
    </w:p>
    <w:p w:rsidRPr="00B1073E" w:rsidR="000F70E9" w:rsidP="00AB45FB" w:rsidRDefault="00B1073E" w14:paraId="212314AC" w14:textId="7510C2BA">
      <w:pPr>
        <w:pStyle w:val="Standard"/>
        <w:numPr>
          <w:ilvl w:val="1"/>
          <w:numId w:val="14"/>
        </w:numPr>
        <w:spacing w:after="120" w:line="240" w:lineRule="auto"/>
        <w:ind w:right="1440"/>
      </w:pPr>
      <w:r>
        <w:t>D</w:t>
      </w:r>
      <w:r w:rsidRPr="00B1073E" w:rsidR="000F70E9">
        <w:t xml:space="preserve">esignate what portions of a document are </w:t>
      </w:r>
      <w:proofErr w:type="gramStart"/>
      <w:r w:rsidRPr="00B1073E" w:rsidR="000F70E9">
        <w:t>confidential;</w:t>
      </w:r>
      <w:proofErr w:type="gramEnd"/>
    </w:p>
    <w:p w:rsidRPr="00B1073E" w:rsidR="000F70E9" w:rsidP="00AB45FB" w:rsidRDefault="00B1073E" w14:paraId="59DCD231" w14:textId="0DFEFB08">
      <w:pPr>
        <w:pStyle w:val="Standard"/>
        <w:numPr>
          <w:ilvl w:val="1"/>
          <w:numId w:val="14"/>
        </w:numPr>
        <w:spacing w:after="120" w:line="240" w:lineRule="auto"/>
        <w:ind w:right="1440"/>
      </w:pPr>
      <w:r>
        <w:t>S</w:t>
      </w:r>
      <w:r w:rsidRPr="00B1073E" w:rsidR="000F70E9">
        <w:t xml:space="preserve">tate a specific legal basis for the </w:t>
      </w:r>
      <w:proofErr w:type="gramStart"/>
      <w:r w:rsidRPr="00B1073E" w:rsidR="000F70E9">
        <w:t>claim;</w:t>
      </w:r>
      <w:proofErr w:type="gramEnd"/>
    </w:p>
    <w:p w:rsidRPr="00B1073E" w:rsidR="000F70E9" w:rsidP="00AB45FB" w:rsidRDefault="00B1073E" w14:paraId="07787520" w14:textId="7EFF5717">
      <w:pPr>
        <w:pStyle w:val="Standard"/>
        <w:numPr>
          <w:ilvl w:val="1"/>
          <w:numId w:val="14"/>
        </w:numPr>
        <w:spacing w:after="120" w:line="240" w:lineRule="auto"/>
        <w:ind w:right="1440"/>
      </w:pPr>
      <w:r>
        <w:t>P</w:t>
      </w:r>
      <w:r w:rsidRPr="00B1073E" w:rsidR="000F70E9">
        <w:t xml:space="preserve">rovide a declaration in support of the claim; and </w:t>
      </w:r>
    </w:p>
    <w:p w:rsidRPr="0098624A" w:rsidR="000F70E9" w:rsidP="00AB45FB" w:rsidRDefault="00B1073E" w14:paraId="3331FF81" w14:textId="7F8CA4CA">
      <w:pPr>
        <w:pStyle w:val="Standard"/>
        <w:numPr>
          <w:ilvl w:val="1"/>
          <w:numId w:val="14"/>
        </w:numPr>
        <w:spacing w:after="120" w:line="240" w:lineRule="auto"/>
        <w:ind w:right="1440"/>
      </w:pPr>
      <w:r>
        <w:t>P</w:t>
      </w:r>
      <w:r w:rsidRPr="00B1073E" w:rsidR="000F70E9">
        <w:t xml:space="preserve">rovide a name and email address of a person to contact regarding </w:t>
      </w:r>
      <w:r w:rsidRPr="0098624A" w:rsidR="000F70E9">
        <w:t>potential release of information.</w:t>
      </w:r>
      <w:r w:rsidRPr="0098624A" w:rsidR="000F70E9">
        <w:rPr>
          <w:rStyle w:val="FootnoteReference"/>
          <w:bCs/>
        </w:rPr>
        <w:footnoteReference w:id="22"/>
      </w:r>
      <w:r w:rsidRPr="0098624A" w:rsidR="000F70E9">
        <w:t xml:space="preserve">  </w:t>
      </w:r>
    </w:p>
    <w:p w:rsidRPr="00FC137D" w:rsidR="000F70E9" w:rsidP="00FC137D" w:rsidRDefault="000F70E9" w14:paraId="155C842A" w14:textId="1B599CB6">
      <w:pPr>
        <w:pStyle w:val="Standard"/>
        <w:rPr>
          <w:rFonts w:cs="Times New Roman"/>
          <w:szCs w:val="26"/>
        </w:rPr>
      </w:pPr>
      <w:r w:rsidRPr="0098624A">
        <w:t>In formal proceedings, the ALJ and Assigned Commissioner have discretion over the requirements parties must follow for confidential treatment of information submitted in the proceeding.</w:t>
      </w:r>
      <w:r w:rsidRPr="0098624A">
        <w:rPr>
          <w:rStyle w:val="FootnoteReference"/>
        </w:rPr>
        <w:footnoteReference w:id="23"/>
      </w:r>
      <w:r w:rsidRPr="0098624A">
        <w:t xml:space="preserve">  Rather than submitting a declaration, the parties would file a motion for leave to file these materials under seal under </w:t>
      </w:r>
      <w:r w:rsidR="00024545">
        <w:t>Rules 11.4 and 11.5</w:t>
      </w:r>
      <w:r w:rsidR="00B93B15">
        <w:t xml:space="preserve"> of </w:t>
      </w:r>
      <w:r w:rsidRPr="0098624A">
        <w:t>the Commission</w:t>
      </w:r>
      <w:r w:rsidR="00B93B15">
        <w:t>’s</w:t>
      </w:r>
      <w:r w:rsidRPr="0098624A">
        <w:t xml:space="preserve"> Rules of Practice and Procedure. Nevertheless, parties requesting confidential treatment in a formal proceeding must meet the same burden to demonstrate with particular facts and citation to specific laws why the Commission should not disclose the alleged confidential information.</w:t>
      </w:r>
      <w:r w:rsidRPr="0098624A">
        <w:rPr>
          <w:rStyle w:val="FootnoteReference"/>
        </w:rPr>
        <w:footnoteReference w:id="24"/>
      </w:r>
      <w:r w:rsidRPr="0098624A">
        <w:t xml:space="preserve">  </w:t>
      </w:r>
      <w:r w:rsidRPr="0098624A">
        <w:rPr>
          <w:rFonts w:cs="Times New Roman"/>
          <w:szCs w:val="26"/>
        </w:rPr>
        <w:t>Parties opposing confidentiality claims may file responses to the motion within 10 days after the motion to file under seal is made.</w:t>
      </w:r>
      <w:r w:rsidR="002A3D63">
        <w:rPr>
          <w:rStyle w:val="FootnoteReference"/>
          <w:rFonts w:cs="Times New Roman"/>
          <w:szCs w:val="26"/>
        </w:rPr>
        <w:footnoteReference w:id="25"/>
      </w:r>
      <w:r w:rsidRPr="0098624A">
        <w:rPr>
          <w:rFonts w:cs="Times New Roman"/>
          <w:szCs w:val="26"/>
        </w:rPr>
        <w:t xml:space="preserve">  </w:t>
      </w:r>
    </w:p>
    <w:p w:rsidRPr="00A163E6" w:rsidR="00C03CDA" w:rsidP="005412D7" w:rsidRDefault="000F70E9" w14:paraId="72DA7B0A" w14:textId="03AC9F56">
      <w:pPr>
        <w:pStyle w:val="Standard"/>
      </w:pPr>
      <w:r w:rsidRPr="00FC137D">
        <w:t xml:space="preserve">These issues over confidentiality designations </w:t>
      </w:r>
      <w:r w:rsidR="00322002">
        <w:t xml:space="preserve">should </w:t>
      </w:r>
      <w:r w:rsidRPr="00FC137D">
        <w:t>be addressed in the proceeding in which the request for confidential treatment is or was made. </w:t>
      </w:r>
      <w:r w:rsidR="005412D7">
        <w:t xml:space="preserve"> </w:t>
      </w:r>
      <w:proofErr w:type="gramStart"/>
      <w:r w:rsidR="00C03CDA">
        <w:t>In light of</w:t>
      </w:r>
      <w:proofErr w:type="gramEnd"/>
      <w:r w:rsidR="00C03CDA">
        <w:t xml:space="preserve"> the concerns raised </w:t>
      </w:r>
      <w:r w:rsidR="004249C2">
        <w:t xml:space="preserve">by parties about the inconsistent designation of </w:t>
      </w:r>
      <w:r w:rsidR="005412D7">
        <w:t xml:space="preserve">ERRA proceeding </w:t>
      </w:r>
      <w:r w:rsidR="004249C2">
        <w:t xml:space="preserve">data as confidential among the utilities, </w:t>
      </w:r>
      <w:r w:rsidR="00B941AA">
        <w:t>the Commission will</w:t>
      </w:r>
      <w:r w:rsidR="004249C2">
        <w:t xml:space="preserve"> </w:t>
      </w:r>
      <w:r w:rsidR="005412D7">
        <w:t>thoroughly and efficiently revie</w:t>
      </w:r>
      <w:r w:rsidR="00383324">
        <w:t>w</w:t>
      </w:r>
      <w:r w:rsidR="005412D7">
        <w:t xml:space="preserve"> utility requests for</w:t>
      </w:r>
      <w:r w:rsidR="00383324">
        <w:t xml:space="preserve"> </w:t>
      </w:r>
      <w:r w:rsidR="005412D7">
        <w:t>confidential designations of data in the 2022 ERRA forecast proceedings</w:t>
      </w:r>
      <w:r w:rsidR="0011371A">
        <w:t>.</w:t>
      </w:r>
    </w:p>
    <w:p w:rsidR="00063C9B" w:rsidP="00933D65" w:rsidRDefault="00B941AA" w14:paraId="4B4DAE23" w14:textId="14EE68A5">
      <w:pPr>
        <w:pStyle w:val="Standard"/>
      </w:pPr>
      <w:r>
        <w:lastRenderedPageBreak/>
        <w:t>Each</w:t>
      </w:r>
      <w:r w:rsidR="00933D65">
        <w:t xml:space="preserve"> utility</w:t>
      </w:r>
      <w:r w:rsidR="00063C9B">
        <w:t xml:space="preserve"> </w:t>
      </w:r>
      <w:r>
        <w:t>shall</w:t>
      </w:r>
      <w:r w:rsidR="00063C9B">
        <w:t xml:space="preserve"> </w:t>
      </w:r>
      <w:r w:rsidR="00933D65">
        <w:t xml:space="preserve">(a) </w:t>
      </w:r>
      <w:r w:rsidR="00063C9B">
        <w:t xml:space="preserve">meet and confer with </w:t>
      </w:r>
      <w:r w:rsidR="0008724F">
        <w:t xml:space="preserve">parties to its 2022 ERRA forecast proceeding </w:t>
      </w:r>
      <w:r w:rsidR="00063C9B">
        <w:t xml:space="preserve">to discuss the application of D.06-06-066 </w:t>
      </w:r>
      <w:r w:rsidR="00452400">
        <w:t xml:space="preserve">and other Commission decisions </w:t>
      </w:r>
      <w:r w:rsidR="00063C9B">
        <w:t>to the designations of ERRA</w:t>
      </w:r>
      <w:r w:rsidR="00271FC8">
        <w:t xml:space="preserve"> and PABA</w:t>
      </w:r>
      <w:r w:rsidR="00063C9B">
        <w:t xml:space="preserve"> data as public or confidential</w:t>
      </w:r>
      <w:r w:rsidR="00933D65">
        <w:t xml:space="preserve"> </w:t>
      </w:r>
      <w:r w:rsidR="0060464F">
        <w:t xml:space="preserve">prior to </w:t>
      </w:r>
      <w:r w:rsidR="002442F6">
        <w:t xml:space="preserve">making a motion in its </w:t>
      </w:r>
      <w:r w:rsidR="005D5EE7">
        <w:t>2023</w:t>
      </w:r>
      <w:r w:rsidR="002442F6">
        <w:t xml:space="preserve"> ERRA forecast proceeding for confidential treatment of data</w:t>
      </w:r>
      <w:r w:rsidR="00933D65">
        <w:t>, and (b)</w:t>
      </w:r>
      <w:r w:rsidR="00E46CFA">
        <w:t xml:space="preserve"> report on the outcomes of the </w:t>
      </w:r>
      <w:r w:rsidR="00BC14D6">
        <w:t xml:space="preserve">meet-and-confer process in its first motion in its </w:t>
      </w:r>
      <w:r w:rsidR="005D5EE7">
        <w:t>2023</w:t>
      </w:r>
      <w:r w:rsidR="00BC14D6">
        <w:t xml:space="preserve"> ERRA forecast proceeding for confidential treatment of data.</w:t>
      </w:r>
      <w:r w:rsidR="004F0F71">
        <w:t xml:space="preserve"> </w:t>
      </w:r>
    </w:p>
    <w:p w:rsidR="007B7387" w:rsidP="00F52D40" w:rsidRDefault="007B7387" w14:paraId="3AC2698A" w14:textId="0E7557B8">
      <w:pPr>
        <w:pStyle w:val="Heading2"/>
        <w:numPr>
          <w:ilvl w:val="1"/>
          <w:numId w:val="19"/>
        </w:numPr>
      </w:pPr>
      <w:bookmarkStart w:name="_Toc93918144" w:id="19"/>
      <w:r>
        <w:t>ERRA Trigger Mechanism</w:t>
      </w:r>
      <w:bookmarkEnd w:id="19"/>
    </w:p>
    <w:p w:rsidR="00AD7F08" w:rsidP="00AD7F08" w:rsidRDefault="00AD7F08" w14:paraId="6BAB9C67" w14:textId="70042B27">
      <w:pPr>
        <w:pStyle w:val="Standard"/>
      </w:pPr>
      <w:r>
        <w:t xml:space="preserve">In D.02-10-062, the Commission ordered the creation of ERRA accounts and created a “trigger mechanism” to alert the Commission to over-collections or under-collections in the ERRA account above </w:t>
      </w:r>
      <w:r w:rsidR="46918927">
        <w:t xml:space="preserve">or below </w:t>
      </w:r>
      <w:r>
        <w:t xml:space="preserve">the four percent </w:t>
      </w:r>
      <w:r w:rsidR="658A14D7">
        <w:t xml:space="preserve">trigger point and </w:t>
      </w:r>
      <w:r w:rsidR="003712EB">
        <w:t xml:space="preserve">the </w:t>
      </w:r>
      <w:r w:rsidR="658A14D7">
        <w:t>A</w:t>
      </w:r>
      <w:r w:rsidR="009B6A3E">
        <w:t xml:space="preserve">ssembly </w:t>
      </w:r>
      <w:r w:rsidR="658A14D7">
        <w:t>B</w:t>
      </w:r>
      <w:r w:rsidR="009B6A3E">
        <w:t>ill</w:t>
      </w:r>
      <w:r w:rsidR="658A14D7">
        <w:t xml:space="preserve"> 57 </w:t>
      </w:r>
      <w:r w:rsidR="003712EB">
        <w:t xml:space="preserve">five percent </w:t>
      </w:r>
      <w:r w:rsidR="658A14D7">
        <w:t>threshold</w:t>
      </w:r>
      <w:r w:rsidR="00D07D02">
        <w:rPr>
          <w:rStyle w:val="FootnoteReference"/>
        </w:rPr>
        <w:footnoteReference w:id="26"/>
      </w:r>
      <w:r w:rsidR="658A14D7">
        <w:t xml:space="preserve"> </w:t>
      </w:r>
      <w:r>
        <w:t>of the utility’s authorized fuel and power purchase revenue requirement approved in the previous year.</w:t>
      </w:r>
      <w:r w:rsidR="001F0345">
        <w:t xml:space="preserve"> </w:t>
      </w:r>
      <w:r w:rsidR="009027BE">
        <w:t xml:space="preserve"> </w:t>
      </w:r>
      <w:r>
        <w:t xml:space="preserve">If the </w:t>
      </w:r>
      <w:r w:rsidR="05366E59">
        <w:t>four percent trigger point is exceeded and</w:t>
      </w:r>
      <w:r w:rsidR="7B2CB2B0">
        <w:t xml:space="preserve"> </w:t>
      </w:r>
      <w:r w:rsidR="54AE7893">
        <w:t>the balance</w:t>
      </w:r>
      <w:r w:rsidR="05366E59">
        <w:t xml:space="preserve"> is forecast to exceed the five percent threshold, the utility must</w:t>
      </w:r>
      <w:r>
        <w:t xml:space="preserve"> </w:t>
      </w:r>
      <w:r w:rsidR="568AE494">
        <w:t>either file an advice letter notification that the trigger point has been exceeded but no rate change is necessary since the balance is expected to self-correct within 120 days, or</w:t>
      </w:r>
      <w:r w:rsidR="61D2AB54">
        <w:t>, if the exceedance will not self-correct within 120 days,</w:t>
      </w:r>
      <w:r w:rsidR="568AE494">
        <w:t xml:space="preserve"> </w:t>
      </w:r>
      <w:r>
        <w:t>file an expedited application to consider the appropriate way to adjust customer rates over a 90-day period to account for the over-collection or under-collection.</w:t>
      </w:r>
      <w:r w:rsidR="003712EB">
        <w:rPr>
          <w:rStyle w:val="FootnoteReference"/>
        </w:rPr>
        <w:footnoteReference w:id="27"/>
      </w:r>
    </w:p>
    <w:p w:rsidR="00A4532E" w:rsidP="00A4532E" w:rsidRDefault="003F5229" w14:paraId="18BE6408" w14:textId="6F2352FF">
      <w:pPr>
        <w:pStyle w:val="Standard"/>
      </w:pPr>
      <w:r w:rsidRPr="003F5229">
        <w:t xml:space="preserve">In </w:t>
      </w:r>
      <w:r>
        <w:t xml:space="preserve">comments on the 2020 Scoping Memo, the Joint IOUs </w:t>
      </w:r>
      <w:r w:rsidRPr="003F5229">
        <w:t xml:space="preserve">recommended that the Commission adjust the ERRA trigger mechanisms to consider </w:t>
      </w:r>
      <w:r w:rsidRPr="3084ABD8" w:rsidR="00AD7F08">
        <w:t>Portfolio Allocation Balancing Account</w:t>
      </w:r>
      <w:r w:rsidR="00F64600">
        <w:t xml:space="preserve"> </w:t>
      </w:r>
      <w:r w:rsidRPr="003F5229">
        <w:t>balances</w:t>
      </w:r>
      <w:r w:rsidR="00A4532E">
        <w:t xml:space="preserve"> or any other generation balancing accounts</w:t>
      </w:r>
      <w:r w:rsidRPr="003F5229">
        <w:t>, which may “cancel out” under</w:t>
      </w:r>
      <w:r>
        <w:t>-</w:t>
      </w:r>
      <w:r w:rsidRPr="003F5229">
        <w:t xml:space="preserve">collections in ERRA and reduce the </w:t>
      </w:r>
      <w:r w:rsidRPr="003F5229">
        <w:lastRenderedPageBreak/>
        <w:t>frequency of expedited ERRA trigger applications.</w:t>
      </w:r>
      <w:r w:rsidR="00AD7F08">
        <w:t xml:space="preserve"> </w:t>
      </w:r>
      <w:r w:rsidR="003915A9">
        <w:t xml:space="preserve"> </w:t>
      </w:r>
      <w:r w:rsidR="00A4532E">
        <w:t xml:space="preserve">The Joint IOUs urged the Commission to consider “net balances” associated with bundled customers’ generation costs and customer revenues, rather than considering the ERRA account on its own. </w:t>
      </w:r>
      <w:r w:rsidR="003915A9">
        <w:t xml:space="preserve"> </w:t>
      </w:r>
      <w:r w:rsidR="00A4532E">
        <w:t xml:space="preserve">The Joint IOUs asserted that the purpose of this proposal is </w:t>
      </w:r>
      <w:r w:rsidR="5BC61631">
        <w:t xml:space="preserve">to </w:t>
      </w:r>
      <w:r w:rsidR="00A4532E">
        <w:t xml:space="preserve">save valuable party and Commission resources. </w:t>
      </w:r>
    </w:p>
    <w:p w:rsidR="004C6412" w:rsidP="00A4532E" w:rsidRDefault="00A4532E" w14:paraId="2E44620A" w14:textId="3933FFDE">
      <w:pPr>
        <w:pStyle w:val="Standard"/>
      </w:pPr>
      <w:r>
        <w:t>The Joint IOUs noted that in</w:t>
      </w:r>
      <w:r w:rsidRPr="00A4532E">
        <w:t xml:space="preserve"> 2019 and 2020, PG&amp;E’s ERRA account was over-collected and was not forecast to self-correct, causing PG&amp;E to file expedited trigger applications. </w:t>
      </w:r>
      <w:r w:rsidR="003915A9">
        <w:t xml:space="preserve"> </w:t>
      </w:r>
      <w:r>
        <w:t>However, i</w:t>
      </w:r>
      <w:r w:rsidRPr="00A4532E">
        <w:t>n both instances, PG&amp;E’s PABA account was significantly under-collected, and therefore PG&amp;E did not pursue rate adjustments.</w:t>
      </w:r>
      <w:r w:rsidR="00082F25">
        <w:rPr>
          <w:rStyle w:val="FootnoteReference"/>
        </w:rPr>
        <w:footnoteReference w:id="28"/>
      </w:r>
      <w:r>
        <w:t xml:space="preserve"> </w:t>
      </w:r>
    </w:p>
    <w:p w:rsidR="00B63F3B" w:rsidP="00072FDC" w:rsidRDefault="003F5229" w14:paraId="663A833B" w14:textId="1AEBAB9C">
      <w:pPr>
        <w:pStyle w:val="Standard"/>
      </w:pPr>
      <w:r>
        <w:t xml:space="preserve">In comments </w:t>
      </w:r>
      <w:r w:rsidR="00154003">
        <w:t>on October 1, 2021</w:t>
      </w:r>
      <w:r>
        <w:t xml:space="preserve">, </w:t>
      </w:r>
      <w:proofErr w:type="spellStart"/>
      <w:r w:rsidRPr="006C5B34">
        <w:t>CalCCA</w:t>
      </w:r>
      <w:proofErr w:type="spellEnd"/>
      <w:r w:rsidRPr="006C5B34">
        <w:t xml:space="preserve"> </w:t>
      </w:r>
      <w:r w:rsidRPr="006C5B34" w:rsidR="006C5B34">
        <w:t xml:space="preserve">supported </w:t>
      </w:r>
      <w:r w:rsidRPr="006C5B34">
        <w:t>adoption of the</w:t>
      </w:r>
      <w:r>
        <w:t xml:space="preserve"> proposal, with the caveat that</w:t>
      </w:r>
      <w:r w:rsidR="006C5B34">
        <w:t xml:space="preserve"> </w:t>
      </w:r>
      <w:r w:rsidR="008C42E9">
        <w:t>the Joint</w:t>
      </w:r>
      <w:r w:rsidRPr="003F5229" w:rsidR="008C42E9">
        <w:t xml:space="preserve"> IOU proposal requires an ongoing calculation of bundled customers’ share of the PABA balance which will be used as an offset to the ERRA in the calculation of the ERRA trigger.</w:t>
      </w:r>
      <w:r w:rsidR="00072FDC">
        <w:t xml:space="preserve">  </w:t>
      </w:r>
      <w:proofErr w:type="spellStart"/>
      <w:r w:rsidR="006C5B34">
        <w:t>CalCCA</w:t>
      </w:r>
      <w:proofErr w:type="spellEnd"/>
      <w:r w:rsidR="006C5B34">
        <w:t xml:space="preserve"> recommended </w:t>
      </w:r>
      <w:r>
        <w:t>requir</w:t>
      </w:r>
      <w:r w:rsidR="006C5B34">
        <w:t>ing</w:t>
      </w:r>
      <w:r>
        <w:t xml:space="preserve"> each IOU to </w:t>
      </w:r>
      <w:r w:rsidRPr="003F5229">
        <w:t xml:space="preserve">include in its </w:t>
      </w:r>
      <w:r w:rsidR="00E816CC">
        <w:t>m</w:t>
      </w:r>
      <w:r w:rsidRPr="003F5229">
        <w:t xml:space="preserve">onthly </w:t>
      </w:r>
      <w:r w:rsidR="00E816CC">
        <w:t>r</w:t>
      </w:r>
      <w:r w:rsidRPr="003F5229">
        <w:t>eports the details supporting the PABA attribution to bundled customers and the determination of whether the combined ERRA and PABA balance reached or exceeded the ERRA trigger in that month.</w:t>
      </w:r>
      <w:r w:rsidR="00E2723A">
        <w:t xml:space="preserve"> </w:t>
      </w:r>
      <w:r w:rsidR="003915A9">
        <w:t xml:space="preserve"> </w:t>
      </w:r>
      <w:r w:rsidR="00E2723A">
        <w:t xml:space="preserve">No party opposed this </w:t>
      </w:r>
      <w:r w:rsidR="008C42E9">
        <w:t>recommendation.</w:t>
      </w:r>
    </w:p>
    <w:p w:rsidR="00455C51" w:rsidP="008077B8" w:rsidRDefault="00B941AA" w14:paraId="490E82B9" w14:textId="5E234FD8">
      <w:pPr>
        <w:pStyle w:val="Standard"/>
      </w:pPr>
      <w:r>
        <w:t>The</w:t>
      </w:r>
      <w:r w:rsidR="00E2723A">
        <w:t xml:space="preserve"> ERRA trigger mechanism should be modified to consider ERRA account balances net of PABA balances when calculating whether </w:t>
      </w:r>
      <w:r w:rsidR="003915A9">
        <w:br/>
      </w:r>
      <w:r w:rsidR="00E2723A">
        <w:t xml:space="preserve">over-collections or under-collections are above the four percent </w:t>
      </w:r>
      <w:r w:rsidR="38A9A270">
        <w:t xml:space="preserve">trigger point </w:t>
      </w:r>
      <w:r w:rsidR="68721225">
        <w:t xml:space="preserve">and five percent AB 57 threshold </w:t>
      </w:r>
      <w:r w:rsidR="00E2723A">
        <w:t xml:space="preserve">of the utility’s authorized fuel and power purchase revenue requirement approved in the previous year.  </w:t>
      </w:r>
      <w:r>
        <w:t>Each utility shall</w:t>
      </w:r>
      <w:r w:rsidR="00E816CC">
        <w:t xml:space="preserve"> include in its</w:t>
      </w:r>
      <w:r w:rsidR="009F4343">
        <w:t xml:space="preserve"> ERRA</w:t>
      </w:r>
      <w:r w:rsidR="00E816CC">
        <w:t xml:space="preserve"> and </w:t>
      </w:r>
      <w:r w:rsidR="009F4343">
        <w:t xml:space="preserve">PABA </w:t>
      </w:r>
      <w:r w:rsidR="00E816CC">
        <w:t>monthly r</w:t>
      </w:r>
      <w:r w:rsidR="009F4343">
        <w:t>eports</w:t>
      </w:r>
      <w:r w:rsidR="004D6DFA">
        <w:t>:</w:t>
      </w:r>
      <w:r w:rsidR="009F4343">
        <w:t xml:space="preserve"> </w:t>
      </w:r>
      <w:r w:rsidR="001D47A6">
        <w:t>(</w:t>
      </w:r>
      <w:r w:rsidR="00497FEF">
        <w:t>a</w:t>
      </w:r>
      <w:r w:rsidR="001D47A6">
        <w:t xml:space="preserve">) </w:t>
      </w:r>
      <w:r w:rsidR="005E1CB3">
        <w:t xml:space="preserve">a description of the attribution of PABA </w:t>
      </w:r>
      <w:r w:rsidR="005E1CB3">
        <w:lastRenderedPageBreak/>
        <w:t>balances to bundled customers</w:t>
      </w:r>
      <w:r w:rsidR="001D47A6">
        <w:t>,</w:t>
      </w:r>
      <w:r w:rsidR="005E1CB3">
        <w:t xml:space="preserve"> </w:t>
      </w:r>
      <w:r w:rsidR="008077B8">
        <w:t>and (</w:t>
      </w:r>
      <w:r w:rsidR="72A35298">
        <w:t>b</w:t>
      </w:r>
      <w:r w:rsidR="008077B8">
        <w:t>) a description of</w:t>
      </w:r>
      <w:r w:rsidR="005E1CB3">
        <w:t xml:space="preserve"> whether the combined PABA and ERRA balance reached or exceeded the trigger.</w:t>
      </w:r>
    </w:p>
    <w:p w:rsidR="005939A5" w:rsidP="00F52D40" w:rsidRDefault="005939A5" w14:paraId="4C79F720" w14:textId="3D77A878">
      <w:pPr>
        <w:pStyle w:val="Heading1"/>
        <w:numPr>
          <w:ilvl w:val="0"/>
          <w:numId w:val="19"/>
        </w:numPr>
      </w:pPr>
      <w:bookmarkStart w:name="_Toc93918145" w:id="20"/>
      <w:r>
        <w:t>Comments on Proposed Decision</w:t>
      </w:r>
      <w:bookmarkEnd w:id="12"/>
      <w:bookmarkEnd w:id="20"/>
    </w:p>
    <w:p w:rsidRPr="003F5229" w:rsidR="005939A5" w:rsidP="003F5229" w:rsidRDefault="005C58FA" w14:paraId="6E4BF099" w14:textId="3FD2DCE3">
      <w:pPr>
        <w:pStyle w:val="Standard"/>
        <w:rPr>
          <w:highlight w:val="yellow"/>
        </w:rPr>
      </w:pPr>
      <w:r w:rsidRPr="003F5229">
        <w:t xml:space="preserve">The proposed decision of ALJ </w:t>
      </w:r>
      <w:r w:rsidRPr="003F5229" w:rsidR="003F5229">
        <w:t xml:space="preserve">Stephanie S. Wang </w:t>
      </w:r>
      <w:r w:rsidRPr="003F5229">
        <w:t>in this matter was mailed to the parties in accordance with Section 311</w:t>
      </w:r>
      <w:r>
        <w:t xml:space="preserve"> of the Public Utilities Code and comments were allowed under Rule 14.3 of the Commission’s Rules of Practice and Procedure.  Comments were filed on </w:t>
      </w:r>
      <w:r w:rsidR="00BA16A8">
        <w:t xml:space="preserve">January 6, </w:t>
      </w:r>
      <w:proofErr w:type="gramStart"/>
      <w:r w:rsidR="00BA16A8">
        <w:t>2022</w:t>
      </w:r>
      <w:proofErr w:type="gramEnd"/>
      <w:r w:rsidR="00BA16A8">
        <w:t xml:space="preserve"> by </w:t>
      </w:r>
      <w:proofErr w:type="spellStart"/>
      <w:r w:rsidR="00BA16A8">
        <w:t>AReM</w:t>
      </w:r>
      <w:proofErr w:type="spellEnd"/>
      <w:r w:rsidR="00BA16A8">
        <w:t xml:space="preserve">/DACC, </w:t>
      </w:r>
      <w:proofErr w:type="spellStart"/>
      <w:r w:rsidR="00BA16A8">
        <w:t>CalCCA</w:t>
      </w:r>
      <w:proofErr w:type="spellEnd"/>
      <w:r w:rsidR="00BA16A8">
        <w:t xml:space="preserve"> and the Joint IOUs, </w:t>
      </w:r>
      <w:r>
        <w:t xml:space="preserve">and reply comments were filed on </w:t>
      </w:r>
      <w:r w:rsidR="00BA16A8">
        <w:t xml:space="preserve">January </w:t>
      </w:r>
      <w:r w:rsidR="00D771A0">
        <w:t>11</w:t>
      </w:r>
      <w:r w:rsidR="00BA16A8">
        <w:t xml:space="preserve">, 2022 </w:t>
      </w:r>
      <w:r>
        <w:t xml:space="preserve">by </w:t>
      </w:r>
      <w:r w:rsidR="00D771A0">
        <w:t xml:space="preserve">Cal Advocates, </w:t>
      </w:r>
      <w:proofErr w:type="spellStart"/>
      <w:r w:rsidR="00D771A0">
        <w:t>CalCCA</w:t>
      </w:r>
      <w:proofErr w:type="spellEnd"/>
      <w:r w:rsidR="00D771A0">
        <w:t xml:space="preserve"> and the Joint IOUs.</w:t>
      </w:r>
      <w:r w:rsidRPr="00C878D5" w:rsidR="00D771A0">
        <w:t xml:space="preserve"> </w:t>
      </w:r>
    </w:p>
    <w:p w:rsidR="005939A5" w:rsidP="00F52D40" w:rsidRDefault="005939A5" w14:paraId="725A1F94" w14:textId="77777777">
      <w:pPr>
        <w:pStyle w:val="Heading1"/>
        <w:numPr>
          <w:ilvl w:val="0"/>
          <w:numId w:val="19"/>
        </w:numPr>
      </w:pPr>
      <w:bookmarkStart w:name="_Toc8123724" w:id="21"/>
      <w:bookmarkStart w:name="_Toc93918146" w:id="22"/>
      <w:r>
        <w:t>Assignment of Proceeding</w:t>
      </w:r>
      <w:bookmarkEnd w:id="21"/>
      <w:bookmarkEnd w:id="22"/>
    </w:p>
    <w:p w:rsidRPr="00B9716C" w:rsidR="005939A5" w:rsidP="006E6574" w:rsidRDefault="00E15F2D" w14:paraId="067A76AB" w14:textId="1770CEA7">
      <w:pPr>
        <w:pStyle w:val="Standard"/>
      </w:pPr>
      <w:r>
        <w:t>Alice Reynolds</w:t>
      </w:r>
      <w:r w:rsidR="000522BD">
        <w:t xml:space="preserve"> </w:t>
      </w:r>
      <w:r w:rsidR="005939A5">
        <w:t xml:space="preserve">is the assigned Commissioner and </w:t>
      </w:r>
      <w:r w:rsidR="003F5229">
        <w:t>Stephanie S. Wang</w:t>
      </w:r>
      <w:r w:rsidR="005939A5">
        <w:t xml:space="preserve"> is the assigned </w:t>
      </w:r>
      <w:r w:rsidRPr="00B9716C" w:rsidR="005939A5">
        <w:t>Administrative Law Judge in this proceeding.</w:t>
      </w:r>
    </w:p>
    <w:p w:rsidRPr="00B9716C" w:rsidR="005939A5" w:rsidP="005939A5" w:rsidRDefault="005939A5" w14:paraId="23272204" w14:textId="77777777">
      <w:pPr>
        <w:pStyle w:val="Dummy"/>
      </w:pPr>
      <w:bookmarkStart w:name="_Toc8123725" w:id="23"/>
      <w:bookmarkStart w:name="_Toc93918147" w:id="24"/>
      <w:r w:rsidRPr="00B9716C">
        <w:t>Findings of Fact</w:t>
      </w:r>
      <w:bookmarkEnd w:id="23"/>
      <w:bookmarkEnd w:id="24"/>
    </w:p>
    <w:p w:rsidRPr="003915A9" w:rsidR="0018609C" w:rsidP="003915A9" w:rsidRDefault="0018609C" w14:paraId="39C7D727" w14:textId="3F47321F">
      <w:pPr>
        <w:pStyle w:val="FoF"/>
      </w:pPr>
      <w:bookmarkStart w:name="_Toc8123726" w:id="25"/>
      <w:r w:rsidRPr="003915A9">
        <w:t>The current annual ERRA forecast proceeding schedule results in delays in ERRA forecast decisions</w:t>
      </w:r>
      <w:r w:rsidRPr="003915A9" w:rsidR="009474FA">
        <w:t>.</w:t>
      </w:r>
    </w:p>
    <w:p w:rsidRPr="003915A9" w:rsidR="0018609C" w:rsidP="003915A9" w:rsidRDefault="0018609C" w14:paraId="4295D3FA" w14:textId="4CD10379">
      <w:pPr>
        <w:pStyle w:val="FoF"/>
      </w:pPr>
      <w:r w:rsidRPr="003915A9">
        <w:t>Delays in ERRA forecast decisions cause delays in utility rate change</w:t>
      </w:r>
      <w:r w:rsidRPr="003915A9" w:rsidR="00B06B23">
        <w:t>s</w:t>
      </w:r>
      <w:r w:rsidRPr="003915A9">
        <w:t xml:space="preserve">, which result in rate volatility and growing </w:t>
      </w:r>
      <w:r w:rsidRPr="003915A9" w:rsidR="00985BED">
        <w:t>balanc</w:t>
      </w:r>
      <w:r w:rsidR="00985BED">
        <w:t>ing</w:t>
      </w:r>
      <w:r w:rsidRPr="003915A9" w:rsidR="00985BED">
        <w:t xml:space="preserve"> </w:t>
      </w:r>
      <w:r w:rsidRPr="003915A9">
        <w:t>account surpluses or deficits.</w:t>
      </w:r>
    </w:p>
    <w:p w:rsidRPr="003915A9" w:rsidR="0018609C" w:rsidP="003915A9" w:rsidRDefault="0018609C" w14:paraId="08F1EB60" w14:textId="77777777">
      <w:pPr>
        <w:pStyle w:val="FoF"/>
      </w:pPr>
      <w:r w:rsidRPr="003915A9">
        <w:t xml:space="preserve">The Staff Proposal recommended moving the MPB release date from November 1 to October 1 each year to enable the assigned Commissioner or assigned ALJ to direct utilities in the ERRA forecast proceedings to provide an October Update rather than a November Update. </w:t>
      </w:r>
    </w:p>
    <w:p w:rsidRPr="003915A9" w:rsidR="0018609C" w:rsidP="003915A9" w:rsidRDefault="0018609C" w14:paraId="43DF7547" w14:textId="77777777">
      <w:pPr>
        <w:pStyle w:val="FoF"/>
      </w:pPr>
      <w:r w:rsidRPr="003915A9">
        <w:t>Moving the deadlines for utilities’ ERRA forecast updates would provide more time for parties and the Commission to review the updates and for the Commission to timely issue decisions on the ERRA forecast applications.</w:t>
      </w:r>
    </w:p>
    <w:p w:rsidRPr="003915A9" w:rsidR="0018609C" w:rsidP="003915A9" w:rsidRDefault="0018609C" w14:paraId="6EA2EF7E" w14:textId="77777777">
      <w:pPr>
        <w:pStyle w:val="FoF"/>
      </w:pPr>
      <w:r w:rsidRPr="003915A9">
        <w:lastRenderedPageBreak/>
        <w:t>The Staff Proposal will likely have a minor impact on forecasted and final MPB values and PCIA values and should not result in PCIA rate instability.</w:t>
      </w:r>
    </w:p>
    <w:p w:rsidRPr="003915A9" w:rsidR="00CF45F6" w:rsidP="003915A9" w:rsidRDefault="0018609C" w14:paraId="2B58D0D5" w14:textId="77777777">
      <w:pPr>
        <w:pStyle w:val="FoF"/>
      </w:pPr>
      <w:r w:rsidRPr="003915A9">
        <w:t>Moving the MPB release date without changing the deadlines for filing ERRA forecast applications could prevent the realization of the benefits of the Staff Proposal for some parties.</w:t>
      </w:r>
    </w:p>
    <w:p w:rsidRPr="003915A9" w:rsidR="0018609C" w:rsidP="003915A9" w:rsidRDefault="0018609C" w14:paraId="2B1A8628" w14:textId="10F53E04">
      <w:pPr>
        <w:pStyle w:val="FoF"/>
      </w:pPr>
      <w:r w:rsidRPr="003915A9">
        <w:t>Due to a mismatch between PCIA and ERRA vintages, customers depart</w:t>
      </w:r>
      <w:r w:rsidRPr="003915A9" w:rsidR="1A5A1A79">
        <w:t>ing</w:t>
      </w:r>
      <w:r w:rsidRPr="003915A9">
        <w:t xml:space="preserve"> bundled service in the first half of a year are not included in that year’s PCIA vintage and are not charged or credited for costs accrued in the year they departed.</w:t>
      </w:r>
    </w:p>
    <w:p w:rsidRPr="003915A9" w:rsidR="00E454C8" w:rsidP="003915A9" w:rsidRDefault="003367C2" w14:paraId="5F1DB302" w14:textId="6E9BFBD0">
      <w:pPr>
        <w:pStyle w:val="FoF"/>
      </w:pPr>
      <w:r w:rsidRPr="003915A9">
        <w:t>The Master Data Request process improves the efficiency of party access to ERRA forecast proceeding data.</w:t>
      </w:r>
    </w:p>
    <w:p w:rsidRPr="003915A9" w:rsidR="00CF45F6" w:rsidP="003915A9" w:rsidRDefault="0018609C" w14:paraId="09FBFC49" w14:textId="77777777">
      <w:pPr>
        <w:pStyle w:val="FoF"/>
      </w:pPr>
      <w:r w:rsidRPr="003915A9">
        <w:t xml:space="preserve">The inconsistencies between IOUs’ treatment of ERRA data as confidential or public indicate that one or more utilities may be misapplying the confidentiality requirements of D.06-06-066.  </w:t>
      </w:r>
    </w:p>
    <w:p w:rsidRPr="0017659D" w:rsidR="00593942" w:rsidP="003915A9" w:rsidRDefault="00593942" w14:paraId="52229378" w14:textId="6A6A4593">
      <w:pPr>
        <w:pStyle w:val="FoF"/>
      </w:pPr>
      <w:r w:rsidRPr="003915A9">
        <w:t>Considering “net balances” associated with bundled customers’ generation costs and customer revenues</w:t>
      </w:r>
      <w:r w:rsidRPr="003915A9" w:rsidR="006A7751">
        <w:t xml:space="preserve"> when calculating</w:t>
      </w:r>
      <w:r w:rsidRPr="003915A9" w:rsidR="00DB37B2">
        <w:t xml:space="preserve"> an</w:t>
      </w:r>
      <w:r w:rsidRPr="003915A9" w:rsidR="006A7751">
        <w:t xml:space="preserve"> ERRA trigger</w:t>
      </w:r>
      <w:r w:rsidRPr="003915A9" w:rsidR="00DB37B2">
        <w:t xml:space="preserve"> </w:t>
      </w:r>
      <w:r w:rsidRPr="003915A9" w:rsidR="34E32C03">
        <w:t xml:space="preserve">point and </w:t>
      </w:r>
      <w:r w:rsidRPr="003915A9" w:rsidR="00DB37B2">
        <w:t>threshold</w:t>
      </w:r>
      <w:r w:rsidRPr="003915A9">
        <w:t>, rather than considering the ERRA account on its own, will save party and Commission resources.</w:t>
      </w:r>
    </w:p>
    <w:p w:rsidRPr="004D240A" w:rsidR="005939A5" w:rsidP="005939A5" w:rsidRDefault="005939A5" w14:paraId="0D395EDC" w14:textId="77777777">
      <w:pPr>
        <w:pStyle w:val="Dummy"/>
      </w:pPr>
      <w:bookmarkStart w:name="_Toc93918148" w:id="26"/>
      <w:r w:rsidRPr="004D240A">
        <w:t>Conclusions of Law</w:t>
      </w:r>
      <w:bookmarkEnd w:id="25"/>
      <w:bookmarkEnd w:id="26"/>
    </w:p>
    <w:p w:rsidR="0018609C" w:rsidP="003C60DC" w:rsidRDefault="0018609C" w14:paraId="04BB4F0C" w14:textId="7E08BB73">
      <w:pPr>
        <w:pStyle w:val="FoF"/>
        <w:numPr>
          <w:ilvl w:val="0"/>
          <w:numId w:val="16"/>
        </w:numPr>
      </w:pPr>
      <w:r>
        <w:t xml:space="preserve">The Commission should change the PCIA MPB release date from November 1 to October 1 each year. </w:t>
      </w:r>
    </w:p>
    <w:p w:rsidR="00D55E37" w:rsidP="003C60DC" w:rsidRDefault="00D55E37" w14:paraId="63D635D3" w14:textId="048C4ACB">
      <w:pPr>
        <w:pStyle w:val="FoF"/>
      </w:pPr>
      <w:r>
        <w:t>By</w:t>
      </w:r>
      <w:r w:rsidR="00D12A95">
        <w:t xml:space="preserve"> March 1, 2024</w:t>
      </w:r>
      <w:r>
        <w:t xml:space="preserve">, the Commission’s staff should </w:t>
      </w:r>
      <w:r w:rsidR="00373210">
        <w:t xml:space="preserve">file and </w:t>
      </w:r>
      <w:r>
        <w:t>serve upon the service list of this proceeding and any successor proceeding an analysis of the impact of changing the PCIA MPB release date on forecast accuracy</w:t>
      </w:r>
      <w:r w:rsidR="004D240A">
        <w:t>.</w:t>
      </w:r>
    </w:p>
    <w:p w:rsidR="00D55E37" w:rsidP="003C60DC" w:rsidRDefault="00D55E37" w14:paraId="300C2583" w14:textId="50EF1783">
      <w:pPr>
        <w:pStyle w:val="FoF"/>
      </w:pPr>
      <w:r>
        <w:t xml:space="preserve">The Commission should consider modifying the calculation of the PCIA energy index market price benchmark in Phase 2 of this proceeding. </w:t>
      </w:r>
    </w:p>
    <w:p w:rsidR="0018609C" w:rsidP="003C60DC" w:rsidRDefault="0018609C" w14:paraId="20D43FA6" w14:textId="57E47BAB">
      <w:pPr>
        <w:pStyle w:val="FoF"/>
      </w:pPr>
      <w:r>
        <w:lastRenderedPageBreak/>
        <w:t xml:space="preserve">It is reasonable to require SCE, PG&amp;E and SDG&amp;E to each file </w:t>
      </w:r>
      <w:r w:rsidR="00B3586D">
        <w:t>its</w:t>
      </w:r>
      <w:r>
        <w:t xml:space="preserve"> ERRA forecast application no later than May 15</w:t>
      </w:r>
      <w:r w:rsidRPr="00C35062">
        <w:rPr>
          <w:vertAlign w:val="superscript"/>
        </w:rPr>
        <w:t>th</w:t>
      </w:r>
      <w:r>
        <w:t xml:space="preserve"> each year. </w:t>
      </w:r>
    </w:p>
    <w:p w:rsidR="00A73CB0" w:rsidP="00602985" w:rsidRDefault="00BA5FEA" w14:paraId="612EA537" w14:textId="19D85178">
      <w:pPr>
        <w:pStyle w:val="FoF"/>
      </w:pPr>
      <w:r>
        <w:t xml:space="preserve">Each utility should modify its respective Electric Preliminary Statements governing the ERRA and PABA accounts to place year-end ERRA balances in the </w:t>
      </w:r>
      <w:r w:rsidR="00920FA6">
        <w:t xml:space="preserve">most-recent vintage </w:t>
      </w:r>
      <w:r>
        <w:t xml:space="preserve">subaccount of PABA each year. </w:t>
      </w:r>
      <w:r w:rsidR="009027BE">
        <w:t xml:space="preserve"> </w:t>
      </w:r>
      <w:r>
        <w:t>The modifications should clarify that disposition of the year-end balance in the ERRA account shall be to the PABA upon</w:t>
      </w:r>
      <w:r w:rsidR="00602985">
        <w:t xml:space="preserve"> submission (where a Tier 1 advice letter is currently required) or approval (where a Tier 2 advice letter is</w:t>
      </w:r>
      <w:r w:rsidR="009027BE">
        <w:t xml:space="preserve"> </w:t>
      </w:r>
      <w:r w:rsidR="00602985">
        <w:t xml:space="preserve">currently required) </w:t>
      </w:r>
      <w:r>
        <w:t>by the Commission of the applicable compliance advice letter addressing such balance.</w:t>
      </w:r>
      <w:r w:rsidRPr="00445B86">
        <w:t xml:space="preserve"> </w:t>
      </w:r>
    </w:p>
    <w:p w:rsidR="00BF2050" w:rsidP="003C60DC" w:rsidRDefault="00BF2050" w14:paraId="4B0FD7B8" w14:textId="1378CD8C">
      <w:pPr>
        <w:pStyle w:val="FoF"/>
      </w:pPr>
      <w:r>
        <w:t xml:space="preserve">SDG&amp;E should meet and confer with the parties to the 2022 ERRA forecast proceeding to revisit ERRA </w:t>
      </w:r>
      <w:r w:rsidR="0068649F">
        <w:t xml:space="preserve">and PABA </w:t>
      </w:r>
      <w:r>
        <w:t xml:space="preserve">data disclosure requirements and </w:t>
      </w:r>
      <w:r w:rsidR="311F592D">
        <w:t xml:space="preserve">include </w:t>
      </w:r>
      <w:r w:rsidR="00EA527B">
        <w:t>a proposal</w:t>
      </w:r>
      <w:r>
        <w:t xml:space="preserve"> in its 2023 ERRA forecast application </w:t>
      </w:r>
      <w:r w:rsidR="00EA527B">
        <w:t xml:space="preserve">on </w:t>
      </w:r>
      <w:r>
        <w:t>how to adjust ERRA</w:t>
      </w:r>
      <w:r w:rsidR="0068649F">
        <w:t xml:space="preserve"> and </w:t>
      </w:r>
      <w:r>
        <w:t>PABA data disclosure requirements for consistency with SCE’s and PG&amp;E’s ERRA</w:t>
      </w:r>
      <w:r w:rsidR="0068649F">
        <w:t xml:space="preserve"> and PABA</w:t>
      </w:r>
      <w:r>
        <w:t xml:space="preserve"> data disclosure requirements.</w:t>
      </w:r>
    </w:p>
    <w:p w:rsidRPr="00983BCE" w:rsidR="00973C49" w:rsidP="003C60DC" w:rsidRDefault="0018609C" w14:paraId="784BB69F" w14:textId="77777777">
      <w:pPr>
        <w:pStyle w:val="FoF"/>
      </w:pPr>
      <w:r w:rsidRPr="0024249A">
        <w:t xml:space="preserve">Each IOU should (a) provide non-confidential information from the Master </w:t>
      </w:r>
      <w:r w:rsidRPr="007F58ED">
        <w:t xml:space="preserve">Data Request response to all parties to the proceeding that request a copy within 5 </w:t>
      </w:r>
      <w:r w:rsidRPr="007F58ED" w:rsidR="007F58ED">
        <w:t xml:space="preserve">business </w:t>
      </w:r>
      <w:r w:rsidRPr="007F58ED">
        <w:t xml:space="preserve">days of the request, and (b) provide confidential information from the Master Data Request response to all reviewing representatives that have signed a nondisclosure agreement within 5 </w:t>
      </w:r>
      <w:r w:rsidRPr="007F58ED" w:rsidR="007F58ED">
        <w:t xml:space="preserve">business </w:t>
      </w:r>
      <w:r w:rsidRPr="007F58ED">
        <w:t xml:space="preserve">days after each of the </w:t>
      </w:r>
      <w:r w:rsidRPr="007F58ED" w:rsidR="007F58ED">
        <w:t>utility’s monthly ERRA reports is submitted to the Commission</w:t>
      </w:r>
      <w:r w:rsidRPr="0024249A" w:rsidR="007F58ED">
        <w:t xml:space="preserve"> during the pendency of the applicable ERRA </w:t>
      </w:r>
      <w:r w:rsidRPr="00983BCE" w:rsidR="007F58ED">
        <w:t>forecast proceeding.</w:t>
      </w:r>
    </w:p>
    <w:p w:rsidRPr="00983BCE" w:rsidR="005A004F" w:rsidP="003C60DC" w:rsidRDefault="005A004F" w14:paraId="19C513FB" w14:textId="7DA823F9">
      <w:pPr>
        <w:pStyle w:val="FoF"/>
      </w:pPr>
      <w:r w:rsidRPr="00983BCE">
        <w:t>This decision does not revise the required contents of Master Data Request responses for PG&amp;E. SCE and SDG&amp;E sh</w:t>
      </w:r>
      <w:r w:rsidR="00983BCE">
        <w:t>ould</w:t>
      </w:r>
      <w:r w:rsidRPr="00983BCE">
        <w:t xml:space="preserve"> include in their Master Data Request responses all ERRA</w:t>
      </w:r>
      <w:r w:rsidR="00020329">
        <w:t xml:space="preserve"> and </w:t>
      </w:r>
      <w:r w:rsidRPr="00983BCE">
        <w:t>PABA monthly report information that they are required to provide pursuant to the applicable decision</w:t>
      </w:r>
      <w:r w:rsidRPr="00983BCE" w:rsidR="00973C49">
        <w:t>.</w:t>
      </w:r>
    </w:p>
    <w:p w:rsidR="006F1A77" w:rsidP="003C60DC" w:rsidRDefault="00933D65" w14:paraId="123EDA6D" w14:textId="1B8D6F88">
      <w:pPr>
        <w:pStyle w:val="FoF"/>
      </w:pPr>
      <w:r>
        <w:lastRenderedPageBreak/>
        <w:t xml:space="preserve">It is reasonable to direct each utility to </w:t>
      </w:r>
      <w:r w:rsidR="006F1A77">
        <w:t xml:space="preserve">(a) meet and confer with parties to its 2022 ERRA forecast proceeding to discuss the application of D.06-06-066 and other Commission decisions to the designations of ERRA and PABA data as public or confidential prior to making a motion in its </w:t>
      </w:r>
      <w:r w:rsidR="00442ACE">
        <w:t>2023</w:t>
      </w:r>
      <w:r w:rsidR="006F1A77">
        <w:t xml:space="preserve"> ERRA forecast proceeding for confidential treatment of data, and (b) report on the outcomes of the meet-and-confer process in its first motion in its </w:t>
      </w:r>
      <w:r w:rsidR="00442ACE">
        <w:t>2023</w:t>
      </w:r>
      <w:r w:rsidR="006F1A77">
        <w:t xml:space="preserve"> ERRA forecast proceeding for confidential treatment of data. </w:t>
      </w:r>
    </w:p>
    <w:p w:rsidRPr="00AB597E" w:rsidR="0018609C" w:rsidP="003C60DC" w:rsidRDefault="0018609C" w14:paraId="1D70AC56" w14:textId="4801F462">
      <w:pPr>
        <w:pStyle w:val="FoF"/>
      </w:pPr>
      <w:r>
        <w:t xml:space="preserve">The ERRA trigger mechanism should be modified to consider ERRA account balances net of PABA balances when calculating whether </w:t>
      </w:r>
      <w:r w:rsidR="00EA2B10">
        <w:br/>
      </w:r>
      <w:r>
        <w:t xml:space="preserve">over-collections or under-collections are above the </w:t>
      </w:r>
      <w:r w:rsidRPr="001629DC">
        <w:t xml:space="preserve">four percent </w:t>
      </w:r>
      <w:r w:rsidR="07ECA3F6">
        <w:t xml:space="preserve">trigger point and </w:t>
      </w:r>
      <w:r w:rsidR="00A73CB0">
        <w:t>five percent</w:t>
      </w:r>
      <w:r w:rsidR="00F25C24">
        <w:t xml:space="preserve"> </w:t>
      </w:r>
      <w:r w:rsidR="07ECA3F6">
        <w:t xml:space="preserve">threshold </w:t>
      </w:r>
      <w:r w:rsidRPr="001629DC">
        <w:t xml:space="preserve">of </w:t>
      </w:r>
      <w:r>
        <w:t xml:space="preserve">the utility’s </w:t>
      </w:r>
      <w:r w:rsidRPr="001629DC">
        <w:t xml:space="preserve">authorized fuel and power purchase revenue requirement approved in the previous year.  </w:t>
      </w:r>
    </w:p>
    <w:p w:rsidRPr="00AF0F8F" w:rsidR="0018609C" w:rsidP="00521854" w:rsidRDefault="00AF0F8F" w14:paraId="069024B4" w14:textId="28AD1E4A">
      <w:pPr>
        <w:pStyle w:val="FoF"/>
      </w:pPr>
      <w:r>
        <w:t>Each IOU should</w:t>
      </w:r>
      <w:r w:rsidRPr="00AF0F8F">
        <w:t xml:space="preserve"> include in </w:t>
      </w:r>
      <w:r>
        <w:t>its</w:t>
      </w:r>
      <w:r w:rsidR="00E816CC">
        <w:t xml:space="preserve"> </w:t>
      </w:r>
      <w:r w:rsidRPr="00AF0F8F">
        <w:t>ERRA</w:t>
      </w:r>
      <w:r w:rsidR="00E816CC">
        <w:t xml:space="preserve"> and </w:t>
      </w:r>
      <w:r w:rsidRPr="00AF0F8F">
        <w:t xml:space="preserve">PABA </w:t>
      </w:r>
      <w:r w:rsidR="00E816CC">
        <w:t xml:space="preserve">monthly </w:t>
      </w:r>
      <w:r w:rsidR="0085512C">
        <w:t>r</w:t>
      </w:r>
      <w:r w:rsidRPr="00AF0F8F">
        <w:t xml:space="preserve">eports: </w:t>
      </w:r>
      <w:r w:rsidR="00886832">
        <w:t>(a) a description of the attribution of PABA balances to bundled customers, and (b) a description of whether the combined PABA and ERRA balance reached or exceeded the trigger.</w:t>
      </w:r>
    </w:p>
    <w:p w:rsidR="00BB0243" w:rsidP="00521854" w:rsidRDefault="005939A5" w14:paraId="15433792" w14:textId="77777777">
      <w:pPr>
        <w:pStyle w:val="Mainex"/>
      </w:pPr>
      <w:bookmarkStart w:name="_Toc93918149" w:id="27"/>
      <w:r w:rsidRPr="00521854">
        <w:t>O</w:t>
      </w:r>
      <w:r w:rsidRPr="00521854" w:rsidR="00722850">
        <w:t>RDER</w:t>
      </w:r>
      <w:bookmarkEnd w:id="27"/>
    </w:p>
    <w:p w:rsidRPr="00521854" w:rsidR="00932865" w:rsidP="00521854" w:rsidRDefault="00BB0243" w14:paraId="7736DC83" w14:textId="20F27F0E">
      <w:pPr>
        <w:spacing w:line="360" w:lineRule="auto"/>
        <w:ind w:firstLine="720"/>
        <w:rPr>
          <w:rFonts w:ascii="Book Antiqua" w:hAnsi="Book Antiqua"/>
          <w:sz w:val="26"/>
          <w:szCs w:val="26"/>
        </w:rPr>
      </w:pPr>
      <w:r w:rsidRPr="00521854">
        <w:rPr>
          <w:rFonts w:ascii="Book Antiqua" w:hAnsi="Book Antiqua"/>
          <w:b/>
          <w:bCs/>
          <w:sz w:val="26"/>
          <w:szCs w:val="26"/>
        </w:rPr>
        <w:t>IT IS ORDERED</w:t>
      </w:r>
      <w:r w:rsidRPr="00521854">
        <w:rPr>
          <w:rFonts w:ascii="Book Antiqua" w:hAnsi="Book Antiqua"/>
          <w:sz w:val="26"/>
          <w:szCs w:val="26"/>
        </w:rPr>
        <w:t xml:space="preserve"> that:</w:t>
      </w:r>
    </w:p>
    <w:p w:rsidRPr="00DA7B56" w:rsidR="0008266D" w:rsidP="00DA7B56" w:rsidRDefault="0008266D" w14:paraId="45EFBD97" w14:textId="4F273599">
      <w:pPr>
        <w:pStyle w:val="OP"/>
      </w:pPr>
      <w:r w:rsidRPr="00DA7B56">
        <w:t xml:space="preserve">The </w:t>
      </w:r>
      <w:r w:rsidRPr="00DA7B56" w:rsidR="004006B5">
        <w:t>California Public Utilities Commission</w:t>
      </w:r>
      <w:r w:rsidRPr="00DA7B56">
        <w:t xml:space="preserve"> </w:t>
      </w:r>
      <w:r w:rsidRPr="00DA7B56" w:rsidR="000D775F">
        <w:t>will</w:t>
      </w:r>
      <w:r w:rsidRPr="00DA7B56">
        <w:t xml:space="preserve"> release the</w:t>
      </w:r>
      <w:r w:rsidRPr="00DA7B56" w:rsidR="00F07822">
        <w:t xml:space="preserve"> Market Price Benchmarks</w:t>
      </w:r>
      <w:r w:rsidRPr="00DA7B56">
        <w:t xml:space="preserve"> </w:t>
      </w:r>
      <w:r w:rsidRPr="00DA7B56" w:rsidR="00F07822">
        <w:t xml:space="preserve">for the Power Charge Indifference Adjustment </w:t>
      </w:r>
      <w:r w:rsidRPr="00DA7B56">
        <w:t>by October 1st each year</w:t>
      </w:r>
      <w:r w:rsidRPr="00DA7B56" w:rsidR="00F3767A">
        <w:t xml:space="preserve"> or the first business day thereafter if October 1st is on a Saturday or Sunday</w:t>
      </w:r>
      <w:r w:rsidRPr="00DA7B56">
        <w:t xml:space="preserve">. </w:t>
      </w:r>
    </w:p>
    <w:p w:rsidRPr="00521854" w:rsidR="00D55E37" w:rsidP="00DA7B56" w:rsidRDefault="001F3509" w14:paraId="75FE9DB3" w14:textId="161F589F">
      <w:pPr>
        <w:pStyle w:val="OP"/>
      </w:pPr>
      <w:r w:rsidRPr="00DA7B56">
        <w:t xml:space="preserve">By </w:t>
      </w:r>
      <w:r w:rsidRPr="00DA7B56" w:rsidR="00D12A95">
        <w:t>March 1, 2024</w:t>
      </w:r>
      <w:r w:rsidRPr="00DA7B56">
        <w:t xml:space="preserve">, the staff of the California Public Utilities Commission </w:t>
      </w:r>
      <w:r w:rsidRPr="00DA7B56" w:rsidR="00FE4DAD">
        <w:t xml:space="preserve">is authorized to </w:t>
      </w:r>
      <w:r w:rsidRPr="00DA7B56" w:rsidR="00373210">
        <w:t>file and</w:t>
      </w:r>
      <w:r w:rsidRPr="00DA7B56">
        <w:t xml:space="preserve"> serve upon the service list of this proceeding and any successor proceeding an analysis of the impact of changing the</w:t>
      </w:r>
      <w:r w:rsidRPr="00DA7B56" w:rsidR="00751050">
        <w:t xml:space="preserve"> Power Charge Indifference</w:t>
      </w:r>
      <w:r w:rsidRPr="00521854" w:rsidR="00751050">
        <w:t xml:space="preserve"> Adjustment Market Price Benchmarks</w:t>
      </w:r>
      <w:r w:rsidRPr="00521854">
        <w:t xml:space="preserve"> release date on forecast accuracy.</w:t>
      </w:r>
    </w:p>
    <w:p w:rsidRPr="00521854" w:rsidR="002F6261" w:rsidP="00521854" w:rsidRDefault="00F07822" w14:paraId="76117245" w14:textId="07118323">
      <w:pPr>
        <w:pStyle w:val="OP"/>
      </w:pPr>
      <w:r w:rsidRPr="00521854">
        <w:lastRenderedPageBreak/>
        <w:t xml:space="preserve">Southern California Edison Company, Pacific Gas and Electric Company, and San Diego Gas &amp; Electric Company </w:t>
      </w:r>
      <w:r w:rsidRPr="00521854" w:rsidR="00B3586D">
        <w:t>shall</w:t>
      </w:r>
      <w:r w:rsidRPr="00521854" w:rsidR="0008266D">
        <w:t xml:space="preserve"> each file </w:t>
      </w:r>
      <w:r w:rsidRPr="00521854" w:rsidR="00B3586D">
        <w:t xml:space="preserve">its </w:t>
      </w:r>
      <w:r w:rsidRPr="00521854" w:rsidR="00BA5FEA">
        <w:t>Energy Resource Recovery Account</w:t>
      </w:r>
      <w:r w:rsidRPr="00521854" w:rsidR="0008266D">
        <w:t xml:space="preserve"> forecast application no later than May 15th each year. </w:t>
      </w:r>
    </w:p>
    <w:p w:rsidRPr="00521854" w:rsidR="0008266D" w:rsidP="00521854" w:rsidRDefault="00BA5FEA" w14:paraId="773368BE" w14:textId="7235404D">
      <w:pPr>
        <w:pStyle w:val="OP"/>
      </w:pPr>
      <w:r w:rsidRPr="00521854">
        <w:t xml:space="preserve">Southern California Edison Company, Pacific Gas and Electric Company, and San Diego Gas &amp; Electric Company shall each modify its respective Electric Preliminary Statements governing the Energy Resource Recovery Account (ERRA) and </w:t>
      </w:r>
      <w:r w:rsidRPr="00521854" w:rsidR="007779A3">
        <w:t>Portfolio Allocation Balancing Account</w:t>
      </w:r>
      <w:r w:rsidRPr="00521854">
        <w:t xml:space="preserve"> (PABA) accounts to place year-end ERRA balances in the</w:t>
      </w:r>
      <w:r w:rsidRPr="00521854" w:rsidR="00BE19D5">
        <w:t xml:space="preserve"> most-recent vintage </w:t>
      </w:r>
      <w:r w:rsidRPr="00521854">
        <w:t xml:space="preserve">subaccount of PABA each year. </w:t>
      </w:r>
      <w:r w:rsidRPr="00521854" w:rsidR="009027BE">
        <w:t xml:space="preserve"> </w:t>
      </w:r>
      <w:r w:rsidRPr="00521854">
        <w:t>The modifications shall clarify that disposition of the year-end balance in the ERRA account shall be to the PABA upon</w:t>
      </w:r>
      <w:r w:rsidRPr="00521854" w:rsidR="00E15F2D">
        <w:t xml:space="preserve"> submission (where a Tier 1 advice letter is currently required) or approval (where a Tier 2 advice letter is</w:t>
      </w:r>
      <w:r w:rsidRPr="00521854" w:rsidR="009027BE">
        <w:t xml:space="preserve"> </w:t>
      </w:r>
      <w:r w:rsidRPr="00521854" w:rsidR="00E15F2D">
        <w:t>currently required)</w:t>
      </w:r>
      <w:r w:rsidRPr="00521854">
        <w:t xml:space="preserve"> by the Commission of the applicable compliance advice letter addressing such balance. </w:t>
      </w:r>
    </w:p>
    <w:p w:rsidRPr="00521854" w:rsidR="0008266D" w:rsidP="00521854" w:rsidRDefault="007F58ED" w14:paraId="45D66D82" w14:textId="36F26FF6">
      <w:pPr>
        <w:pStyle w:val="OP"/>
      </w:pPr>
      <w:r w:rsidRPr="00521854">
        <w:t xml:space="preserve">Southern California Edison Company, Pacific Gas and Electric Company, and San Diego Gas &amp; Electric Company </w:t>
      </w:r>
      <w:r w:rsidRPr="00521854" w:rsidR="0008266D">
        <w:t>sh</w:t>
      </w:r>
      <w:r w:rsidRPr="00521854">
        <w:t>all each</w:t>
      </w:r>
      <w:r w:rsidRPr="00521854" w:rsidR="0008266D">
        <w:t xml:space="preserve"> (a) provide non-confidential information from the Master Data Request response to all parties to the proceeding that request a copy within 5 </w:t>
      </w:r>
      <w:r w:rsidRPr="00521854">
        <w:t xml:space="preserve">business </w:t>
      </w:r>
      <w:r w:rsidRPr="00521854" w:rsidR="0008266D">
        <w:t xml:space="preserve">days of the request, and </w:t>
      </w:r>
      <w:r w:rsidR="007A7CB0">
        <w:br/>
      </w:r>
      <w:r w:rsidRPr="00521854" w:rsidR="0008266D">
        <w:t xml:space="preserve">(b) provide confidential information from the Master Data Request response to all reviewing representatives that have signed a nondisclosure agreement within </w:t>
      </w:r>
      <w:r w:rsidRPr="00521854" w:rsidR="004354E0">
        <w:br/>
      </w:r>
      <w:r w:rsidRPr="00521854" w:rsidR="0008266D">
        <w:t xml:space="preserve">5 </w:t>
      </w:r>
      <w:r w:rsidRPr="00521854">
        <w:t xml:space="preserve">business </w:t>
      </w:r>
      <w:r w:rsidRPr="00521854" w:rsidR="0008266D">
        <w:t xml:space="preserve">days after each of the utility’s monthly </w:t>
      </w:r>
      <w:r w:rsidRPr="00521854">
        <w:t>Energy Resource Recovery Account</w:t>
      </w:r>
      <w:r w:rsidRPr="00521854" w:rsidR="0008266D">
        <w:t xml:space="preserve"> reports is submitted to the </w:t>
      </w:r>
      <w:r w:rsidRPr="00521854">
        <w:t xml:space="preserve">California Public Utilities </w:t>
      </w:r>
      <w:r w:rsidRPr="00521854" w:rsidR="0008266D">
        <w:t xml:space="preserve">Commission during the pendency of the applicable </w:t>
      </w:r>
      <w:r w:rsidRPr="00521854">
        <w:t xml:space="preserve">Energy Resource Recovery Account </w:t>
      </w:r>
      <w:r w:rsidRPr="00521854" w:rsidR="0008266D">
        <w:t>forecast proceeding.</w:t>
      </w:r>
    </w:p>
    <w:p w:rsidRPr="00521854" w:rsidR="00B9716C" w:rsidP="00521854" w:rsidRDefault="00405014" w14:paraId="1A99C255" w14:textId="4C359C45">
      <w:pPr>
        <w:pStyle w:val="OP"/>
      </w:pPr>
      <w:r w:rsidRPr="00521854">
        <w:t xml:space="preserve">San Diego Gas &amp; Electric Company </w:t>
      </w:r>
      <w:r w:rsidRPr="00521854" w:rsidR="00B9716C">
        <w:t xml:space="preserve">shall meet and confer with the parties to </w:t>
      </w:r>
      <w:r w:rsidRPr="00521854" w:rsidR="007B414D">
        <w:t>its</w:t>
      </w:r>
      <w:r w:rsidRPr="00521854" w:rsidR="00B9716C">
        <w:t xml:space="preserve"> 2022 </w:t>
      </w:r>
      <w:r w:rsidRPr="00521854">
        <w:t>Energy Resource Recovery Account</w:t>
      </w:r>
      <w:r w:rsidRPr="00521854" w:rsidR="00C70428">
        <w:t xml:space="preserve"> (ERRA)</w:t>
      </w:r>
      <w:r w:rsidRPr="00521854" w:rsidR="00B9716C">
        <w:t xml:space="preserve"> forecast proceeding to revisit </w:t>
      </w:r>
      <w:r w:rsidRPr="00521854" w:rsidR="00C70428">
        <w:t>ERRA</w:t>
      </w:r>
      <w:r w:rsidRPr="00521854">
        <w:t xml:space="preserve"> proceeding</w:t>
      </w:r>
      <w:r w:rsidRPr="00521854" w:rsidR="00B9716C">
        <w:t xml:space="preserve"> data disclosure requirements and include a </w:t>
      </w:r>
      <w:r w:rsidRPr="00521854" w:rsidR="00EA527B">
        <w:t>proposal</w:t>
      </w:r>
      <w:r w:rsidRPr="00521854" w:rsidR="00B9716C">
        <w:t xml:space="preserve"> in </w:t>
      </w:r>
      <w:r w:rsidRPr="00521854" w:rsidR="00B9716C">
        <w:lastRenderedPageBreak/>
        <w:t xml:space="preserve">its 2023 ERRA forecast application </w:t>
      </w:r>
      <w:r w:rsidRPr="00521854" w:rsidR="00EA49F7">
        <w:t>on how to</w:t>
      </w:r>
      <w:r w:rsidRPr="00521854" w:rsidR="00B9716C">
        <w:t xml:space="preserve"> adjust ERRA</w:t>
      </w:r>
      <w:r w:rsidRPr="00521854" w:rsidR="00113C7C">
        <w:t xml:space="preserve"> proceeding</w:t>
      </w:r>
      <w:r w:rsidRPr="00521854" w:rsidR="00B9716C">
        <w:t xml:space="preserve"> data disclosure requirements for consistency with </w:t>
      </w:r>
      <w:r w:rsidRPr="00521854" w:rsidR="006C4A17">
        <w:t>Southern California Edison Company’s</w:t>
      </w:r>
      <w:r w:rsidRPr="00521854" w:rsidR="00B9716C">
        <w:t xml:space="preserve"> and </w:t>
      </w:r>
      <w:r w:rsidRPr="00521854" w:rsidR="006C4A17">
        <w:t>Pacific Gas and Electric Company</w:t>
      </w:r>
      <w:r w:rsidRPr="00521854" w:rsidR="00207AFA">
        <w:t>’s</w:t>
      </w:r>
      <w:r w:rsidRPr="00521854" w:rsidR="006C4A17">
        <w:t xml:space="preserve"> </w:t>
      </w:r>
      <w:r w:rsidRPr="00521854" w:rsidR="00B9716C">
        <w:t xml:space="preserve">ERRA </w:t>
      </w:r>
      <w:r w:rsidRPr="00521854" w:rsidR="006C4A17">
        <w:t xml:space="preserve">proceeding </w:t>
      </w:r>
      <w:r w:rsidRPr="00521854" w:rsidR="00B9716C">
        <w:t>data disclosure requirements.</w:t>
      </w:r>
    </w:p>
    <w:p w:rsidRPr="00521854" w:rsidR="0008266D" w:rsidP="00521854" w:rsidRDefault="003367C2" w14:paraId="680BC982" w14:textId="4B9788FA">
      <w:pPr>
        <w:pStyle w:val="OP"/>
      </w:pPr>
      <w:r w:rsidRPr="00521854">
        <w:t xml:space="preserve">Southern California Edison Company, Pacific Gas and Electric Company, and San Diego Gas &amp; Electric Company shall each </w:t>
      </w:r>
      <w:r w:rsidRPr="00521854" w:rsidR="0008266D">
        <w:t xml:space="preserve">(a) meet and confer with </w:t>
      </w:r>
      <w:r w:rsidRPr="00521854" w:rsidR="00167201">
        <w:t xml:space="preserve">the parties to </w:t>
      </w:r>
      <w:r w:rsidRPr="00521854" w:rsidR="007B414D">
        <w:t>its</w:t>
      </w:r>
      <w:r w:rsidRPr="00521854" w:rsidR="00167201">
        <w:t xml:space="preserve"> 2022 Energy Resource Recovery Account (ERRA) forecast proceeding </w:t>
      </w:r>
      <w:r w:rsidRPr="00521854" w:rsidR="79E524E6">
        <w:t>to</w:t>
      </w:r>
      <w:r w:rsidRPr="00521854" w:rsidR="00167201">
        <w:t xml:space="preserve"> </w:t>
      </w:r>
      <w:r w:rsidRPr="00521854" w:rsidR="0008266D">
        <w:t>discuss the application of D</w:t>
      </w:r>
      <w:r w:rsidRPr="00521854" w:rsidR="005C43DF">
        <w:t xml:space="preserve">ecision </w:t>
      </w:r>
      <w:r w:rsidRPr="00521854" w:rsidR="0008266D">
        <w:t>06-06-066 to the designations of</w:t>
      </w:r>
      <w:r w:rsidRPr="00521854" w:rsidR="00167201">
        <w:t xml:space="preserve"> ERRA</w:t>
      </w:r>
      <w:r w:rsidRPr="00521854">
        <w:t xml:space="preserve"> </w:t>
      </w:r>
      <w:r w:rsidRPr="00521854" w:rsidR="009E20CF">
        <w:t xml:space="preserve">and Portfolio Allocation Balancing Account </w:t>
      </w:r>
      <w:r w:rsidRPr="00521854">
        <w:t>monthly report</w:t>
      </w:r>
      <w:r w:rsidRPr="00521854" w:rsidR="0008266D">
        <w:t xml:space="preserve"> data as public or confidential by May 1, 2022, and (b) propose changes to the public or confidential designations of data in </w:t>
      </w:r>
      <w:r w:rsidRPr="00521854">
        <w:t>its</w:t>
      </w:r>
      <w:r w:rsidRPr="00521854" w:rsidR="0008266D">
        <w:t xml:space="preserve"> 2023 ERRA forecast application.</w:t>
      </w:r>
    </w:p>
    <w:p w:rsidRPr="00521854" w:rsidR="007779A3" w:rsidP="00521854" w:rsidRDefault="0008266D" w14:paraId="002C39C1" w14:textId="0994A060">
      <w:pPr>
        <w:pStyle w:val="OP"/>
      </w:pPr>
      <w:r w:rsidRPr="00521854">
        <w:t>The</w:t>
      </w:r>
      <w:r w:rsidRPr="00521854" w:rsidR="007779A3">
        <w:t xml:space="preserve"> Energy Resource Recovery Account (ERRA) </w:t>
      </w:r>
      <w:r w:rsidRPr="00521854">
        <w:t xml:space="preserve">trigger mechanism </w:t>
      </w:r>
      <w:r w:rsidRPr="00521854" w:rsidR="007779A3">
        <w:t>is</w:t>
      </w:r>
      <w:r w:rsidRPr="00521854">
        <w:t xml:space="preserve"> modified to consider ERRA account balances net of </w:t>
      </w:r>
      <w:r w:rsidRPr="00521854" w:rsidR="007779A3">
        <w:t>Portfolio Allocation Balancing Account</w:t>
      </w:r>
      <w:r w:rsidRPr="00521854">
        <w:t xml:space="preserve"> balances when calculating whether over-collections or </w:t>
      </w:r>
      <w:r w:rsidRPr="00521854" w:rsidR="004354E0">
        <w:br/>
      </w:r>
      <w:r w:rsidRPr="00521854">
        <w:t xml:space="preserve">under-collections are above the four percent </w:t>
      </w:r>
      <w:r w:rsidRPr="00521854" w:rsidR="73881134">
        <w:t xml:space="preserve">trigger point and </w:t>
      </w:r>
      <w:r w:rsidRPr="00521854" w:rsidR="00172C18">
        <w:t xml:space="preserve">five percent </w:t>
      </w:r>
      <w:r w:rsidRPr="00521854" w:rsidR="73881134">
        <w:t xml:space="preserve">threshold </w:t>
      </w:r>
      <w:r w:rsidRPr="00521854">
        <w:t xml:space="preserve">of the utility’s authorized fuel and power purchase revenue requirement approved in the previous year.  </w:t>
      </w:r>
    </w:p>
    <w:p w:rsidRPr="00521854" w:rsidR="00C401D5" w:rsidP="00521854" w:rsidRDefault="00C57F6E" w14:paraId="41C1C169" w14:textId="2ED41BFE">
      <w:pPr>
        <w:pStyle w:val="OP"/>
      </w:pPr>
      <w:r w:rsidRPr="00521854">
        <w:t xml:space="preserve">Southern California Edison Company, Pacific Gas and Electric Company, and San Diego Gas &amp; Electric Company shall each include </w:t>
      </w:r>
      <w:r w:rsidRPr="00521854" w:rsidR="00F6038F">
        <w:t xml:space="preserve">in its </w:t>
      </w:r>
      <w:r w:rsidRPr="00521854" w:rsidR="00EA3CD6">
        <w:t>Energy Resource Recovery Account</w:t>
      </w:r>
      <w:r w:rsidRPr="00521854" w:rsidR="00F54218">
        <w:t xml:space="preserve"> (ERRA)</w:t>
      </w:r>
      <w:r w:rsidRPr="00521854" w:rsidR="00EA3CD6">
        <w:t xml:space="preserve"> and Portfolio Allocation Balancing Account </w:t>
      </w:r>
      <w:r w:rsidRPr="00521854" w:rsidR="00F54218">
        <w:t xml:space="preserve">(PABA) </w:t>
      </w:r>
      <w:r w:rsidRPr="00521854" w:rsidR="00EA3CD6">
        <w:t>monthly reports</w:t>
      </w:r>
      <w:r w:rsidRPr="00521854" w:rsidR="00F6038F">
        <w:t xml:space="preserve">: </w:t>
      </w:r>
      <w:r w:rsidRPr="00521854" w:rsidR="00F54218">
        <w:t>(a) a description of the attribution of PABA balances to bundled customers, and (b) a description of whether the combined PABA and ERRA balance reached or exceeded the trigger.</w:t>
      </w:r>
    </w:p>
    <w:p w:rsidRPr="00521854" w:rsidR="00F6397D" w:rsidP="00D70D6A" w:rsidRDefault="00242841" w14:paraId="0EB68ED8" w14:textId="41785E2D">
      <w:pPr>
        <w:pStyle w:val="OP"/>
        <w:keepNext/>
        <w:keepLines/>
      </w:pPr>
      <w:r w:rsidRPr="00521854">
        <w:lastRenderedPageBreak/>
        <w:t>Rulemaking 17-06-026</w:t>
      </w:r>
      <w:r w:rsidRPr="00521854" w:rsidR="00E23CBB">
        <w:t xml:space="preserve"> </w:t>
      </w:r>
      <w:r w:rsidRPr="00521854">
        <w:t>remains open.</w:t>
      </w:r>
    </w:p>
    <w:p w:rsidR="008F0116" w:rsidP="00D70D6A" w:rsidRDefault="008F0116" w14:paraId="0C92B4B0" w14:textId="77777777">
      <w:pPr>
        <w:pStyle w:val="Standard"/>
        <w:keepNext/>
        <w:keepLines/>
      </w:pPr>
      <w:r>
        <w:t xml:space="preserve">This </w:t>
      </w:r>
      <w:r w:rsidRPr="00643F14">
        <w:t>order</w:t>
      </w:r>
      <w:r>
        <w:t xml:space="preserve"> is effective today.</w:t>
      </w:r>
    </w:p>
    <w:p w:rsidR="00714CF2" w:rsidP="00D70D6A" w:rsidRDefault="008F0116" w14:paraId="732A6A99" w14:textId="3A3BF40D">
      <w:pPr>
        <w:pStyle w:val="Standard"/>
        <w:keepNext/>
        <w:keepLines/>
      </w:pPr>
      <w:r w:rsidRPr="00643F14">
        <w:t>Dated</w:t>
      </w:r>
      <w:r>
        <w:t xml:space="preserve"> </w:t>
      </w:r>
      <w:r w:rsidR="00D70D6A">
        <w:t>January 27, 2022</w:t>
      </w:r>
      <w:r>
        <w:t>, at San Francisco, California</w:t>
      </w:r>
      <w:r w:rsidR="005F3102">
        <w:t>.</w:t>
      </w:r>
    </w:p>
    <w:p w:rsidR="00D70D6A" w:rsidP="00D70D6A" w:rsidRDefault="00D70D6A" w14:paraId="290E670C" w14:textId="28940669">
      <w:pPr>
        <w:pStyle w:val="Standard"/>
        <w:keepNext/>
        <w:keepLines/>
      </w:pPr>
    </w:p>
    <w:p w:rsidRPr="00D70D6A" w:rsidR="00D70D6A" w:rsidP="00D70D6A" w:rsidRDefault="00D70D6A" w14:paraId="1C247509" w14:textId="77777777">
      <w:pPr>
        <w:keepNext/>
        <w:keepLines/>
        <w:autoSpaceDE w:val="0"/>
        <w:autoSpaceDN w:val="0"/>
        <w:adjustRightInd w:val="0"/>
        <w:ind w:left="4320"/>
        <w:jc w:val="both"/>
        <w:rPr>
          <w:rFonts w:ascii="Book Antiqua" w:hAnsi="Book Antiqua" w:cs="Palatino"/>
          <w:sz w:val="26"/>
          <w:szCs w:val="26"/>
        </w:rPr>
      </w:pPr>
      <w:bookmarkStart w:name="_Hlk17215919" w:id="28"/>
      <w:r w:rsidRPr="00D70D6A">
        <w:rPr>
          <w:rFonts w:ascii="Book Antiqua" w:hAnsi="Book Antiqua" w:cs="Courier New"/>
          <w:sz w:val="26"/>
          <w:szCs w:val="26"/>
        </w:rPr>
        <w:t>ALICE REYNOLDS</w:t>
      </w:r>
    </w:p>
    <w:p w:rsidRPr="00D70D6A" w:rsidR="00D70D6A" w:rsidP="00D70D6A" w:rsidRDefault="00D70D6A" w14:paraId="3DAAA19A" w14:textId="34689FA5">
      <w:pPr>
        <w:keepNext/>
        <w:keepLines/>
        <w:autoSpaceDE w:val="0"/>
        <w:autoSpaceDN w:val="0"/>
        <w:adjustRightInd w:val="0"/>
        <w:ind w:left="5040" w:firstLine="540"/>
        <w:jc w:val="both"/>
        <w:rPr>
          <w:rFonts w:ascii="Book Antiqua" w:hAnsi="Book Antiqua" w:cs="Palatino"/>
          <w:sz w:val="26"/>
          <w:szCs w:val="26"/>
        </w:rPr>
      </w:pPr>
      <w:r w:rsidRPr="00D70D6A">
        <w:rPr>
          <w:rFonts w:ascii="Book Antiqua" w:hAnsi="Book Antiqua" w:cs="Palatino"/>
          <w:sz w:val="26"/>
          <w:szCs w:val="26"/>
        </w:rPr>
        <w:t>President</w:t>
      </w:r>
    </w:p>
    <w:p w:rsidRPr="00D70D6A" w:rsidR="00D70D6A" w:rsidP="00D70D6A" w:rsidRDefault="00D70D6A" w14:paraId="560667C9" w14:textId="77777777">
      <w:pPr>
        <w:keepNext/>
        <w:keepLines/>
        <w:autoSpaceDE w:val="0"/>
        <w:autoSpaceDN w:val="0"/>
        <w:adjustRightInd w:val="0"/>
        <w:ind w:left="4320"/>
        <w:jc w:val="both"/>
        <w:rPr>
          <w:rFonts w:ascii="Book Antiqua" w:hAnsi="Book Antiqua"/>
          <w:sz w:val="26"/>
          <w:szCs w:val="26"/>
        </w:rPr>
      </w:pPr>
      <w:r w:rsidRPr="00D70D6A">
        <w:rPr>
          <w:rFonts w:ascii="Book Antiqua" w:hAnsi="Book Antiqua"/>
          <w:sz w:val="26"/>
          <w:szCs w:val="26"/>
        </w:rPr>
        <w:t>CLIFFORD RECHTSCHAFFEN</w:t>
      </w:r>
    </w:p>
    <w:p w:rsidRPr="00D70D6A" w:rsidR="00D70D6A" w:rsidP="00D70D6A" w:rsidRDefault="00D70D6A" w14:paraId="4EC877DD" w14:textId="77777777">
      <w:pPr>
        <w:autoSpaceDE w:val="0"/>
        <w:autoSpaceDN w:val="0"/>
        <w:adjustRightInd w:val="0"/>
        <w:ind w:left="4320"/>
        <w:jc w:val="both"/>
        <w:rPr>
          <w:rFonts w:ascii="Book Antiqua" w:hAnsi="Book Antiqua"/>
          <w:sz w:val="26"/>
          <w:szCs w:val="26"/>
        </w:rPr>
      </w:pPr>
      <w:r w:rsidRPr="00D70D6A">
        <w:rPr>
          <w:rFonts w:ascii="Book Antiqua" w:hAnsi="Book Antiqua"/>
          <w:sz w:val="26"/>
          <w:szCs w:val="26"/>
        </w:rPr>
        <w:t>GENEVIEVE SHIROMA</w:t>
      </w:r>
    </w:p>
    <w:p w:rsidRPr="00D70D6A" w:rsidR="00D70D6A" w:rsidP="00D70D6A" w:rsidRDefault="00D70D6A" w14:paraId="7BAB3E0F" w14:textId="77777777">
      <w:pPr>
        <w:autoSpaceDE w:val="0"/>
        <w:autoSpaceDN w:val="0"/>
        <w:adjustRightInd w:val="0"/>
        <w:ind w:left="4320"/>
        <w:jc w:val="both"/>
        <w:rPr>
          <w:rFonts w:ascii="Book Antiqua" w:hAnsi="Book Antiqua"/>
          <w:sz w:val="26"/>
          <w:szCs w:val="26"/>
        </w:rPr>
      </w:pPr>
      <w:r w:rsidRPr="00D70D6A">
        <w:rPr>
          <w:rFonts w:ascii="Book Antiqua" w:hAnsi="Book Antiqua"/>
          <w:sz w:val="26"/>
          <w:szCs w:val="26"/>
        </w:rPr>
        <w:t>DARCIE HOUCK</w:t>
      </w:r>
    </w:p>
    <w:p w:rsidRPr="00D70D6A" w:rsidR="00D70D6A" w:rsidP="00D70D6A" w:rsidRDefault="00D70D6A" w14:paraId="7378D16A" w14:textId="641E1698">
      <w:pPr>
        <w:autoSpaceDE w:val="0"/>
        <w:autoSpaceDN w:val="0"/>
        <w:adjustRightInd w:val="0"/>
        <w:ind w:left="4320" w:firstLine="450"/>
        <w:jc w:val="both"/>
        <w:rPr>
          <w:rFonts w:ascii="Book Antiqua" w:hAnsi="Book Antiqua" w:cs="Palatino"/>
          <w:sz w:val="26"/>
          <w:szCs w:val="26"/>
        </w:rPr>
      </w:pPr>
      <w:r w:rsidRPr="00D70D6A">
        <w:rPr>
          <w:rFonts w:ascii="Book Antiqua" w:hAnsi="Book Antiqua" w:cs="Palatino"/>
          <w:sz w:val="26"/>
          <w:szCs w:val="26"/>
        </w:rPr>
        <w:t>Commissioners</w:t>
      </w:r>
    </w:p>
    <w:bookmarkEnd w:id="28"/>
    <w:p w:rsidRPr="00714CF2" w:rsidR="00D70D6A" w:rsidP="00643F14" w:rsidRDefault="00D70D6A" w14:paraId="51C6B5D2" w14:textId="77777777">
      <w:pPr>
        <w:pStyle w:val="Standard"/>
      </w:pPr>
    </w:p>
    <w:sectPr w:rsidRPr="00714CF2" w:rsidR="00D70D6A" w:rsidSect="00AC1EE3">
      <w:headerReference w:type="default" r:id="rId15"/>
      <w:footerReference w:type="default" r:id="rId16"/>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2800" w14:textId="77777777" w:rsidR="006C07FD" w:rsidRDefault="006C07FD" w:rsidP="0098138E">
      <w:r>
        <w:separator/>
      </w:r>
    </w:p>
  </w:endnote>
  <w:endnote w:type="continuationSeparator" w:id="0">
    <w:p w14:paraId="72E00149" w14:textId="77777777" w:rsidR="006C07FD" w:rsidRDefault="006C07FD" w:rsidP="0098138E">
      <w:r>
        <w:continuationSeparator/>
      </w:r>
    </w:p>
  </w:endnote>
  <w:endnote w:type="continuationNotice" w:id="1">
    <w:p w14:paraId="5229C32D" w14:textId="77777777" w:rsidR="006C07FD" w:rsidRDefault="006C0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32F" w14:textId="313388DB" w:rsidR="001015F3" w:rsidRDefault="006C07FD" w:rsidP="007E0FEE">
    <w:pPr>
      <w:tabs>
        <w:tab w:val="center" w:pos="4680"/>
      </w:tabs>
      <w:rPr>
        <w:noProof/>
      </w:rPr>
    </w:pPr>
    <w:sdt>
      <w:sdtPr>
        <w:id w:val="1483742777"/>
        <w:docPartObj>
          <w:docPartGallery w:val="Page Numbers (Bottom of Page)"/>
          <w:docPartUnique/>
        </w:docPartObj>
      </w:sdtPr>
      <w:sdtEndPr>
        <w:rPr>
          <w:noProof/>
        </w:rPr>
      </w:sdtEndPr>
      <w:sdtContent>
        <w:r w:rsidR="008E169F" w:rsidRPr="008E169F">
          <w:rPr>
            <w:rFonts w:ascii="Book Antiqua" w:hAnsi="Book Antiqua"/>
            <w:sz w:val="16"/>
            <w:szCs w:val="16"/>
          </w:rPr>
          <w:t>447276820</w:t>
        </w:r>
        <w:r w:rsidR="001015F3">
          <w:rPr>
            <w:rFonts w:ascii="Arial" w:hAnsi="Arial" w:cs="Arial"/>
            <w:sz w:val="16"/>
            <w:szCs w:val="16"/>
          </w:rPr>
          <w:tab/>
        </w:r>
        <w:r w:rsidR="001015F3">
          <w:t xml:space="preserve">- </w:t>
        </w:r>
        <w:r w:rsidR="001015F3">
          <w:fldChar w:fldCharType="begin"/>
        </w:r>
        <w:r w:rsidR="001015F3">
          <w:instrText xml:space="preserve"> PAGE   \* MERGEFORMAT </w:instrText>
        </w:r>
        <w:r w:rsidR="001015F3">
          <w:fldChar w:fldCharType="separate"/>
        </w:r>
        <w:r w:rsidR="001015F3">
          <w:rPr>
            <w:noProof/>
          </w:rPr>
          <w:t>2</w:t>
        </w:r>
        <w:r w:rsidR="001015F3">
          <w:rPr>
            <w:noProof/>
          </w:rPr>
          <w:fldChar w:fldCharType="end"/>
        </w:r>
      </w:sdtContent>
    </w:sdt>
    <w:r w:rsidR="001015F3">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ECB" w14:textId="77777777" w:rsidR="00AA468C" w:rsidRDefault="00AA468C" w:rsidP="007E0FEE">
    <w:pPr>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D6F2" w14:textId="77777777" w:rsidR="00AA468C" w:rsidRDefault="00AA468C" w:rsidP="007E0FEE">
    <w:pPr>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FC3A" w14:textId="77777777" w:rsidR="006C07FD" w:rsidRDefault="006C07FD" w:rsidP="00DF58E7">
      <w:r>
        <w:separator/>
      </w:r>
    </w:p>
  </w:footnote>
  <w:footnote w:type="continuationSeparator" w:id="0">
    <w:p w14:paraId="2DDE91CC" w14:textId="77777777" w:rsidR="006C07FD" w:rsidRDefault="006C07FD" w:rsidP="00DF58E7">
      <w:r>
        <w:continuationSeparator/>
      </w:r>
    </w:p>
  </w:footnote>
  <w:footnote w:type="continuationNotice" w:id="1">
    <w:p w14:paraId="70104F29" w14:textId="77777777" w:rsidR="006C07FD" w:rsidRPr="00DF58E7" w:rsidRDefault="006C07FD" w:rsidP="00DF58E7">
      <w:pPr>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58B5EE7D" w14:textId="1D6BC9D8" w:rsidR="000D7557" w:rsidRDefault="000D7557">
      <w:pPr>
        <w:pStyle w:val="FootnoteText"/>
      </w:pPr>
      <w:r>
        <w:rPr>
          <w:rStyle w:val="FootnoteReference"/>
        </w:rPr>
        <w:footnoteRef/>
      </w:r>
      <w:r>
        <w:t xml:space="preserve"> D.18-10-042 at 2.</w:t>
      </w:r>
    </w:p>
  </w:footnote>
  <w:footnote w:id="3">
    <w:p w14:paraId="73360DBA" w14:textId="332A5993" w:rsidR="00AA468C" w:rsidRDefault="00AA468C">
      <w:pPr>
        <w:pStyle w:val="FootnoteText"/>
      </w:pPr>
      <w:r>
        <w:rPr>
          <w:rStyle w:val="FootnoteReference"/>
        </w:rPr>
        <w:footnoteRef/>
      </w:r>
      <w:r>
        <w:t xml:space="preserve"> D.18-10-042 at 2-3.</w:t>
      </w:r>
    </w:p>
  </w:footnote>
  <w:footnote w:id="4">
    <w:p w14:paraId="31B7124F" w14:textId="38B6E6BB" w:rsidR="00C9136F" w:rsidRDefault="00C9136F">
      <w:pPr>
        <w:pStyle w:val="FootnoteText"/>
      </w:pPr>
      <w:r>
        <w:rPr>
          <w:rStyle w:val="FootnoteReference"/>
        </w:rPr>
        <w:footnoteRef/>
      </w:r>
      <w:r>
        <w:t xml:space="preserve"> For examples, see </w:t>
      </w:r>
      <w:r w:rsidRPr="005F27CA">
        <w:t>D</w:t>
      </w:r>
      <w:r>
        <w:t>.</w:t>
      </w:r>
      <w:r w:rsidRPr="005F27CA">
        <w:t>21</w:t>
      </w:r>
      <w:r>
        <w:t>-</w:t>
      </w:r>
      <w:r w:rsidRPr="005F27CA">
        <w:t>01</w:t>
      </w:r>
      <w:r>
        <w:t>-</w:t>
      </w:r>
      <w:r w:rsidRPr="005F27CA">
        <w:t>017</w:t>
      </w:r>
      <w:r>
        <w:t>, D.</w:t>
      </w:r>
      <w:r w:rsidRPr="005F27CA">
        <w:t>20</w:t>
      </w:r>
      <w:r>
        <w:t>-</w:t>
      </w:r>
      <w:r w:rsidRPr="005F27CA">
        <w:t>01</w:t>
      </w:r>
      <w:r>
        <w:t>-</w:t>
      </w:r>
      <w:r w:rsidRPr="005F27CA">
        <w:t>022</w:t>
      </w:r>
      <w:r>
        <w:t xml:space="preserve">, </w:t>
      </w:r>
      <w:r w:rsidRPr="005F27CA">
        <w:t>D</w:t>
      </w:r>
      <w:r>
        <w:t>.</w:t>
      </w:r>
      <w:r w:rsidRPr="005F27CA">
        <w:t>20</w:t>
      </w:r>
      <w:r>
        <w:t>-</w:t>
      </w:r>
      <w:r w:rsidRPr="005F27CA">
        <w:t>02</w:t>
      </w:r>
      <w:r>
        <w:t>-</w:t>
      </w:r>
      <w:r w:rsidRPr="005F27CA">
        <w:t>047</w:t>
      </w:r>
      <w:r>
        <w:t xml:space="preserve">, </w:t>
      </w:r>
      <w:r w:rsidRPr="00C9136F">
        <w:t>D</w:t>
      </w:r>
      <w:r>
        <w:t>.</w:t>
      </w:r>
      <w:r w:rsidRPr="00C9136F">
        <w:t>20</w:t>
      </w:r>
      <w:r>
        <w:t>-</w:t>
      </w:r>
      <w:r w:rsidRPr="00C9136F">
        <w:t>01</w:t>
      </w:r>
      <w:r>
        <w:t>-</w:t>
      </w:r>
      <w:r w:rsidRPr="00C9136F">
        <w:t>005</w:t>
      </w:r>
      <w:r>
        <w:t xml:space="preserve">, </w:t>
      </w:r>
      <w:r w:rsidRPr="005F27CA">
        <w:t>D</w:t>
      </w:r>
      <w:r>
        <w:t>.</w:t>
      </w:r>
      <w:r w:rsidRPr="005F27CA">
        <w:t>19</w:t>
      </w:r>
      <w:r>
        <w:t>-</w:t>
      </w:r>
      <w:r w:rsidRPr="005F27CA">
        <w:t>02</w:t>
      </w:r>
      <w:r>
        <w:t>-</w:t>
      </w:r>
      <w:r w:rsidRPr="005F27CA">
        <w:t>024</w:t>
      </w:r>
      <w:r>
        <w:t xml:space="preserve">, and </w:t>
      </w:r>
      <w:r w:rsidR="00823AC8">
        <w:br/>
      </w:r>
      <w:r w:rsidRPr="00C9136F">
        <w:t>D</w:t>
      </w:r>
      <w:r>
        <w:t>.</w:t>
      </w:r>
      <w:r w:rsidRPr="00C9136F">
        <w:t>19</w:t>
      </w:r>
      <w:r>
        <w:t>-</w:t>
      </w:r>
      <w:r w:rsidRPr="00C9136F">
        <w:t>02</w:t>
      </w:r>
      <w:r>
        <w:t>-</w:t>
      </w:r>
      <w:r w:rsidRPr="00C9136F">
        <w:t>023</w:t>
      </w:r>
      <w:r>
        <w:t>.</w:t>
      </w:r>
    </w:p>
  </w:footnote>
  <w:footnote w:id="5">
    <w:p w14:paraId="67B3C47A" w14:textId="579E7504" w:rsidR="00AA468C" w:rsidRDefault="00AA468C">
      <w:pPr>
        <w:pStyle w:val="FootnoteText"/>
      </w:pPr>
      <w:r>
        <w:rPr>
          <w:rStyle w:val="FootnoteReference"/>
        </w:rPr>
        <w:footnoteRef/>
      </w:r>
      <w:r>
        <w:t xml:space="preserve"> SDG&amp;E comments on June 15, 2021.</w:t>
      </w:r>
    </w:p>
  </w:footnote>
  <w:footnote w:id="6">
    <w:p w14:paraId="2BA96425" w14:textId="3EEA1DC1" w:rsidR="00AD2A72" w:rsidRDefault="00AD2A72">
      <w:pPr>
        <w:pStyle w:val="FootnoteText"/>
      </w:pPr>
      <w:r>
        <w:rPr>
          <w:rStyle w:val="FootnoteReference"/>
        </w:rPr>
        <w:footnoteRef/>
      </w:r>
      <w:r w:rsidR="00121026">
        <w:t xml:space="preserve"> Transmission rate updates are effective on January 1</w:t>
      </w:r>
      <w:r w:rsidR="00121026" w:rsidRPr="00121026">
        <w:rPr>
          <w:vertAlign w:val="superscript"/>
        </w:rPr>
        <w:t>st</w:t>
      </w:r>
      <w:r w:rsidR="00121026">
        <w:t xml:space="preserve"> each year for PG&amp;E, SCE and SDG&amp;E</w:t>
      </w:r>
      <w:r w:rsidR="00F7073A">
        <w:t xml:space="preserve"> per transmission owner tariffs filed with the Federal Energy Regulatory Commission.</w:t>
      </w:r>
    </w:p>
  </w:footnote>
  <w:footnote w:id="7">
    <w:p w14:paraId="2965692D" w14:textId="799EB801" w:rsidR="000357E0" w:rsidRDefault="000357E0">
      <w:pPr>
        <w:pStyle w:val="FootnoteText"/>
      </w:pPr>
      <w:r>
        <w:rPr>
          <w:rStyle w:val="FootnoteReference"/>
        </w:rPr>
        <w:footnoteRef/>
      </w:r>
      <w:r>
        <w:t xml:space="preserve"> </w:t>
      </w:r>
      <w:r w:rsidR="00131B64">
        <w:t>D.20-01-002 at Appendix A.</w:t>
      </w:r>
    </w:p>
  </w:footnote>
  <w:footnote w:id="8">
    <w:p w14:paraId="133A6A5E" w14:textId="57CE8F31" w:rsidR="00D549CC" w:rsidRDefault="00D549CC">
      <w:pPr>
        <w:pStyle w:val="FootnoteText"/>
      </w:pPr>
      <w:r>
        <w:rPr>
          <w:rStyle w:val="FootnoteReference"/>
        </w:rPr>
        <w:footnoteRef/>
      </w:r>
      <w:r>
        <w:t xml:space="preserve"> </w:t>
      </w:r>
      <w:r w:rsidR="001228ED">
        <w:t>As of December 8, 2021,</w:t>
      </w:r>
      <w:r w:rsidR="00032889">
        <w:t xml:space="preserve"> PG&amp;E and SCE </w:t>
      </w:r>
      <w:r w:rsidR="001228ED">
        <w:t>were required to file their ERRA forecast applications by June 1</w:t>
      </w:r>
      <w:r w:rsidR="001228ED" w:rsidRPr="001228ED">
        <w:rPr>
          <w:vertAlign w:val="superscript"/>
        </w:rPr>
        <w:t>st</w:t>
      </w:r>
      <w:r w:rsidR="001228ED">
        <w:t xml:space="preserve"> each year. As of December 8, 2021, SDG&amp;E was required to file its ERRA forecast application by April 15</w:t>
      </w:r>
      <w:r w:rsidR="001228ED" w:rsidRPr="001228ED">
        <w:rPr>
          <w:vertAlign w:val="superscript"/>
        </w:rPr>
        <w:t>th</w:t>
      </w:r>
      <w:r w:rsidR="001228ED">
        <w:t xml:space="preserve"> each year but had a pending request to file its ERRA forecast application by June 15</w:t>
      </w:r>
      <w:r w:rsidR="001228ED" w:rsidRPr="001228ED">
        <w:rPr>
          <w:vertAlign w:val="superscript"/>
        </w:rPr>
        <w:t>th</w:t>
      </w:r>
      <w:r w:rsidR="001228ED">
        <w:t xml:space="preserve"> each year.</w:t>
      </w:r>
    </w:p>
  </w:footnote>
  <w:footnote w:id="9">
    <w:p w14:paraId="67E1F338" w14:textId="74B2CB05" w:rsidR="00AA468C" w:rsidRDefault="00AA468C">
      <w:pPr>
        <w:pStyle w:val="FootnoteText"/>
      </w:pPr>
      <w:r>
        <w:rPr>
          <w:rStyle w:val="FootnoteReference"/>
        </w:rPr>
        <w:footnoteRef/>
      </w:r>
      <w:r>
        <w:t xml:space="preserve"> CalCCA comments on September 13, 2021.</w:t>
      </w:r>
    </w:p>
  </w:footnote>
  <w:footnote w:id="10">
    <w:p w14:paraId="0F3FAF65" w14:textId="4163FB68" w:rsidR="00AA468C" w:rsidRDefault="00AA468C">
      <w:pPr>
        <w:pStyle w:val="FootnoteText"/>
      </w:pPr>
      <w:r>
        <w:rPr>
          <w:rStyle w:val="FootnoteReference"/>
        </w:rPr>
        <w:footnoteRef/>
      </w:r>
      <w:r>
        <w:t xml:space="preserve"> AReM/DACC comments on September 13, 2021.</w:t>
      </w:r>
    </w:p>
  </w:footnote>
  <w:footnote w:id="11">
    <w:p w14:paraId="5002627B" w14:textId="507F8ABA" w:rsidR="00AA468C" w:rsidRDefault="00AA468C">
      <w:pPr>
        <w:pStyle w:val="FootnoteText"/>
      </w:pPr>
      <w:r>
        <w:rPr>
          <w:rStyle w:val="FootnoteReference"/>
        </w:rPr>
        <w:footnoteRef/>
      </w:r>
      <w:r>
        <w:t xml:space="preserve"> Reply comments of PG&amp;E, SCE and SDG&amp;E on September 22, 2021.</w:t>
      </w:r>
    </w:p>
  </w:footnote>
  <w:footnote w:id="12">
    <w:p w14:paraId="6DABC0B6" w14:textId="5FC29149" w:rsidR="0080375A" w:rsidRDefault="0080375A">
      <w:pPr>
        <w:pStyle w:val="FootnoteText"/>
      </w:pPr>
      <w:r>
        <w:rPr>
          <w:rStyle w:val="FootnoteReference"/>
        </w:rPr>
        <w:footnoteRef/>
      </w:r>
      <w:r>
        <w:t xml:space="preserve"> </w:t>
      </w:r>
      <w:r w:rsidRPr="00A4532E">
        <w:t>PABA records the costs of long-term, fixed-price contract costs and utility-owned generation costs for bundled and departed load customers.</w:t>
      </w:r>
    </w:p>
  </w:footnote>
  <w:footnote w:id="13">
    <w:p w14:paraId="0F6B9213" w14:textId="77777777" w:rsidR="00F82DEF" w:rsidRDefault="00F82DEF" w:rsidP="00F82DEF">
      <w:pPr>
        <w:pStyle w:val="FootnoteText"/>
      </w:pPr>
      <w:r>
        <w:rPr>
          <w:rStyle w:val="FootnoteReference"/>
        </w:rPr>
        <w:footnoteRef/>
      </w:r>
      <w:r>
        <w:t xml:space="preserve"> </w:t>
      </w:r>
      <w:r w:rsidRPr="001E1382">
        <w:rPr>
          <w:i/>
          <w:iCs/>
        </w:rPr>
        <w:t>See</w:t>
      </w:r>
      <w:r>
        <w:t xml:space="preserve"> comments on October 1, 2021.</w:t>
      </w:r>
    </w:p>
  </w:footnote>
  <w:footnote w:id="14">
    <w:p w14:paraId="1561DD82" w14:textId="2ADC0013" w:rsidR="00AA468C" w:rsidRDefault="00AA468C">
      <w:pPr>
        <w:pStyle w:val="FootnoteText"/>
      </w:pPr>
      <w:r>
        <w:rPr>
          <w:rStyle w:val="FootnoteReference"/>
        </w:rPr>
        <w:footnoteRef/>
      </w:r>
      <w:r>
        <w:t xml:space="preserve"> D.20-12-035, D.20-12-038, and </w:t>
      </w:r>
      <w:r w:rsidRPr="00F844C2">
        <w:t>D.21-01-017</w:t>
      </w:r>
      <w:r>
        <w:t>.</w:t>
      </w:r>
    </w:p>
  </w:footnote>
  <w:footnote w:id="15">
    <w:p w14:paraId="21CC559B" w14:textId="1D1586C2" w:rsidR="00AA468C" w:rsidRDefault="00AA468C">
      <w:pPr>
        <w:pStyle w:val="FootnoteText"/>
      </w:pPr>
      <w:r>
        <w:rPr>
          <w:rStyle w:val="FootnoteReference"/>
        </w:rPr>
        <w:footnoteRef/>
      </w:r>
      <w:r>
        <w:t xml:space="preserve"> Comments of CalCCA and Joint IOUs on October 1, 2021.</w:t>
      </w:r>
    </w:p>
  </w:footnote>
  <w:footnote w:id="16">
    <w:p w14:paraId="415F0FB4" w14:textId="49593DA4" w:rsidR="00AA468C" w:rsidRDefault="00AA468C" w:rsidP="007B6161">
      <w:pPr>
        <w:pStyle w:val="FootnoteText"/>
      </w:pPr>
      <w:r>
        <w:rPr>
          <w:rStyle w:val="FootnoteReference"/>
        </w:rPr>
        <w:footnoteRef/>
      </w:r>
      <w:r>
        <w:t xml:space="preserve"> Reply comments </w:t>
      </w:r>
      <w:r w:rsidR="173980D3">
        <w:t>of</w:t>
      </w:r>
      <w:r>
        <w:t xml:space="preserve"> Joint IOUs on October 8, 2021.</w:t>
      </w:r>
    </w:p>
  </w:footnote>
  <w:footnote w:id="17">
    <w:p w14:paraId="012CDFAF" w14:textId="743E1A44" w:rsidR="000E1347" w:rsidRDefault="000E1347">
      <w:pPr>
        <w:pStyle w:val="FootnoteText"/>
      </w:pPr>
      <w:r>
        <w:rPr>
          <w:rStyle w:val="FootnoteReference"/>
        </w:rPr>
        <w:footnoteRef/>
      </w:r>
      <w:r>
        <w:t xml:space="preserve"> </w:t>
      </w:r>
      <w:r w:rsidR="00115B71">
        <w:t>Comments of CalCCA on October 1, 2021.</w:t>
      </w:r>
    </w:p>
  </w:footnote>
  <w:footnote w:id="18">
    <w:p w14:paraId="67ED26A3" w14:textId="4ADEC8DB" w:rsidR="00AA468C" w:rsidRDefault="00AA468C" w:rsidP="00EA682A">
      <w:pPr>
        <w:pStyle w:val="FootnoteText"/>
      </w:pPr>
      <w:r>
        <w:rPr>
          <w:rStyle w:val="FootnoteReference"/>
        </w:rPr>
        <w:footnoteRef/>
      </w:r>
      <w:r>
        <w:t xml:space="preserve"> Comments of the Joint IOUs on October 1</w:t>
      </w:r>
      <w:r w:rsidR="002E4CF1">
        <w:t>, 2021</w:t>
      </w:r>
      <w:r>
        <w:t xml:space="preserve"> and October 8, 2021.</w:t>
      </w:r>
    </w:p>
  </w:footnote>
  <w:footnote w:id="19">
    <w:p w14:paraId="5A4CCD5A" w14:textId="2A4B61D1" w:rsidR="00AA468C" w:rsidRDefault="00AA468C">
      <w:pPr>
        <w:pStyle w:val="FootnoteText"/>
      </w:pPr>
      <w:r>
        <w:rPr>
          <w:rStyle w:val="FootnoteReference"/>
        </w:rPr>
        <w:footnoteRef/>
      </w:r>
      <w:r>
        <w:t xml:space="preserve"> Reply comments of CalCCA on October 8, 2021.</w:t>
      </w:r>
    </w:p>
  </w:footnote>
  <w:footnote w:id="20">
    <w:p w14:paraId="18F0C5A3" w14:textId="563BE373" w:rsidR="00AA468C" w:rsidRDefault="00AA468C">
      <w:pPr>
        <w:pStyle w:val="FootnoteText"/>
      </w:pPr>
      <w:r>
        <w:rPr>
          <w:rStyle w:val="FootnoteReference"/>
        </w:rPr>
        <w:footnoteRef/>
      </w:r>
      <w:r>
        <w:t xml:space="preserve"> </w:t>
      </w:r>
      <w:r w:rsidR="005821BC">
        <w:t xml:space="preserve">D.20-12-038 at </w:t>
      </w:r>
      <w:r>
        <w:t>Conclusions of Law 12 and 14.</w:t>
      </w:r>
    </w:p>
  </w:footnote>
  <w:footnote w:id="21">
    <w:p w14:paraId="4E6F86B4" w14:textId="5BBF2FC8" w:rsidR="00F227D2" w:rsidRDefault="00F227D2">
      <w:pPr>
        <w:pStyle w:val="FootnoteText"/>
      </w:pPr>
      <w:r>
        <w:rPr>
          <w:rStyle w:val="FootnoteReference"/>
        </w:rPr>
        <w:footnoteRef/>
      </w:r>
      <w:r>
        <w:t xml:space="preserve"> </w:t>
      </w:r>
      <w:r w:rsidRPr="000A231C">
        <w:t>D.20-12-035</w:t>
      </w:r>
      <w:r>
        <w:t xml:space="preserve"> (SCE)</w:t>
      </w:r>
      <w:r w:rsidR="00116748" w:rsidRPr="00116748">
        <w:t xml:space="preserve"> </w:t>
      </w:r>
      <w:r w:rsidR="00116748">
        <w:t xml:space="preserve">and </w:t>
      </w:r>
      <w:r w:rsidR="00116748" w:rsidRPr="00F227D2">
        <w:t>D.21-01-017</w:t>
      </w:r>
      <w:r w:rsidR="00116748">
        <w:t xml:space="preserve"> (SDG&amp;E).</w:t>
      </w:r>
      <w:r w:rsidR="00B77375">
        <w:t xml:space="preserve"> </w:t>
      </w:r>
    </w:p>
  </w:footnote>
  <w:footnote w:id="22">
    <w:p w14:paraId="556A1EF9" w14:textId="682527E1" w:rsidR="000F70E9" w:rsidRPr="008F225D" w:rsidRDefault="000F70E9" w:rsidP="000F70E9">
      <w:pPr>
        <w:pStyle w:val="FootnoteText"/>
        <w:rPr>
          <w:szCs w:val="22"/>
        </w:rPr>
      </w:pPr>
      <w:r w:rsidRPr="008F225D">
        <w:rPr>
          <w:rStyle w:val="FootnoteReference"/>
          <w:szCs w:val="22"/>
        </w:rPr>
        <w:footnoteRef/>
      </w:r>
      <w:r w:rsidRPr="008F225D">
        <w:rPr>
          <w:szCs w:val="22"/>
        </w:rPr>
        <w:t xml:space="preserve"> GO 66-D</w:t>
      </w:r>
      <w:r w:rsidR="009706B9">
        <w:rPr>
          <w:szCs w:val="22"/>
        </w:rPr>
        <w:t xml:space="preserve"> at</w:t>
      </w:r>
      <w:r w:rsidR="00B1073E">
        <w:rPr>
          <w:szCs w:val="22"/>
        </w:rPr>
        <w:t xml:space="preserve"> Section</w:t>
      </w:r>
      <w:r w:rsidRPr="008F225D">
        <w:rPr>
          <w:szCs w:val="22"/>
        </w:rPr>
        <w:t xml:space="preserve"> 3.2.</w:t>
      </w:r>
    </w:p>
  </w:footnote>
  <w:footnote w:id="23">
    <w:p w14:paraId="63330DD2" w14:textId="538C706A" w:rsidR="000F70E9" w:rsidRPr="008F225D" w:rsidRDefault="000F70E9" w:rsidP="000F70E9">
      <w:pPr>
        <w:pStyle w:val="FootnoteText"/>
        <w:rPr>
          <w:szCs w:val="22"/>
        </w:rPr>
      </w:pPr>
      <w:r w:rsidRPr="008F225D">
        <w:rPr>
          <w:rStyle w:val="FootnoteReference"/>
          <w:szCs w:val="22"/>
        </w:rPr>
        <w:footnoteRef/>
      </w:r>
      <w:r w:rsidRPr="008F225D">
        <w:rPr>
          <w:szCs w:val="22"/>
        </w:rPr>
        <w:t xml:space="preserve"> GO 66-D</w:t>
      </w:r>
      <w:r w:rsidR="009706B9">
        <w:rPr>
          <w:szCs w:val="22"/>
        </w:rPr>
        <w:t xml:space="preserve"> at</w:t>
      </w:r>
      <w:r w:rsidRPr="008F225D">
        <w:rPr>
          <w:szCs w:val="22"/>
        </w:rPr>
        <w:t xml:space="preserve"> </w:t>
      </w:r>
      <w:r w:rsidR="00B1073E">
        <w:rPr>
          <w:szCs w:val="22"/>
        </w:rPr>
        <w:t>Section</w:t>
      </w:r>
      <w:r w:rsidRPr="008F225D">
        <w:rPr>
          <w:szCs w:val="22"/>
        </w:rPr>
        <w:t xml:space="preserve"> 3.3.</w:t>
      </w:r>
    </w:p>
  </w:footnote>
  <w:footnote w:id="24">
    <w:p w14:paraId="38A6298D" w14:textId="73AA4361" w:rsidR="000F70E9" w:rsidRPr="008F225D" w:rsidRDefault="000F70E9" w:rsidP="000F70E9">
      <w:pPr>
        <w:pStyle w:val="FootnoteText"/>
        <w:rPr>
          <w:szCs w:val="22"/>
        </w:rPr>
      </w:pPr>
      <w:r w:rsidRPr="008F225D">
        <w:rPr>
          <w:rStyle w:val="FootnoteReference"/>
          <w:szCs w:val="22"/>
        </w:rPr>
        <w:footnoteRef/>
      </w:r>
      <w:r w:rsidRPr="008F225D">
        <w:rPr>
          <w:szCs w:val="22"/>
        </w:rPr>
        <w:t xml:space="preserve"> </w:t>
      </w:r>
      <w:r w:rsidR="00B93B15">
        <w:rPr>
          <w:szCs w:val="22"/>
        </w:rPr>
        <w:t xml:space="preserve">Article 11 of the </w:t>
      </w:r>
      <w:r w:rsidR="00FD2AE2">
        <w:rPr>
          <w:szCs w:val="22"/>
        </w:rPr>
        <w:t>Commission’s</w:t>
      </w:r>
      <w:r w:rsidRPr="008F225D">
        <w:rPr>
          <w:szCs w:val="22"/>
        </w:rPr>
        <w:t xml:space="preserve"> Rules of Practice and Procedure</w:t>
      </w:r>
      <w:r w:rsidR="00B93B15">
        <w:rPr>
          <w:szCs w:val="22"/>
        </w:rPr>
        <w:t>.</w:t>
      </w:r>
      <w:r w:rsidRPr="008F225D">
        <w:rPr>
          <w:szCs w:val="22"/>
        </w:rPr>
        <w:t xml:space="preserve">   </w:t>
      </w:r>
    </w:p>
  </w:footnote>
  <w:footnote w:id="25">
    <w:p w14:paraId="62B98AE9" w14:textId="3D8187B7" w:rsidR="002A3D63" w:rsidRDefault="002A3D63">
      <w:pPr>
        <w:pStyle w:val="FootnoteText"/>
      </w:pPr>
      <w:r>
        <w:rPr>
          <w:rStyle w:val="FootnoteReference"/>
        </w:rPr>
        <w:footnoteRef/>
      </w:r>
      <w:r>
        <w:t xml:space="preserve"> Rule 11.1 of the Commission’s Rules of Practice and Procedure.</w:t>
      </w:r>
    </w:p>
  </w:footnote>
  <w:footnote w:id="26">
    <w:p w14:paraId="169351FA" w14:textId="1B1C44B8" w:rsidR="00D07D02" w:rsidRDefault="00D07D02">
      <w:pPr>
        <w:pStyle w:val="FootnoteText"/>
      </w:pPr>
      <w:r>
        <w:rPr>
          <w:rStyle w:val="FootnoteReference"/>
        </w:rPr>
        <w:footnoteRef/>
      </w:r>
      <w:r>
        <w:t xml:space="preserve"> Pub. Util. Code Section </w:t>
      </w:r>
      <w:r w:rsidR="006107C6" w:rsidRPr="006107C6">
        <w:t>454.5(d)(3</w:t>
      </w:r>
      <w:r w:rsidR="006107C6">
        <w:t>).</w:t>
      </w:r>
    </w:p>
  </w:footnote>
  <w:footnote w:id="27">
    <w:p w14:paraId="7A3B90FA" w14:textId="7096B5E9" w:rsidR="003712EB" w:rsidRDefault="003712EB">
      <w:pPr>
        <w:pStyle w:val="FootnoteText"/>
      </w:pPr>
      <w:r>
        <w:rPr>
          <w:rStyle w:val="FootnoteReference"/>
        </w:rPr>
        <w:footnoteRef/>
      </w:r>
      <w:r>
        <w:t xml:space="preserve"> </w:t>
      </w:r>
      <w:r w:rsidR="00224027" w:rsidRPr="003915A9">
        <w:rPr>
          <w:i/>
          <w:iCs/>
        </w:rPr>
        <w:t xml:space="preserve">See </w:t>
      </w:r>
      <w:r w:rsidR="00224027">
        <w:t xml:space="preserve">also </w:t>
      </w:r>
      <w:r w:rsidR="00BF5CA9" w:rsidRPr="00BF5CA9">
        <w:t>D.06-06-051</w:t>
      </w:r>
      <w:r w:rsidR="00EE0D60">
        <w:t xml:space="preserve"> at</w:t>
      </w:r>
      <w:r w:rsidR="00305FC9">
        <w:t xml:space="preserve"> Ordering Paragraph 3.</w:t>
      </w:r>
    </w:p>
  </w:footnote>
  <w:footnote w:id="28">
    <w:p w14:paraId="70680D23" w14:textId="443D83CB" w:rsidR="00082F25" w:rsidRDefault="00082F25">
      <w:pPr>
        <w:pStyle w:val="FootnoteText"/>
      </w:pPr>
      <w:r>
        <w:rPr>
          <w:rStyle w:val="FootnoteReference"/>
        </w:rPr>
        <w:footnoteRef/>
      </w:r>
      <w:r>
        <w:t xml:space="preserve"> </w:t>
      </w:r>
      <w:r w:rsidR="00CC412B">
        <w:t xml:space="preserve">Joint IOUs’ comments on </w:t>
      </w:r>
      <w:r w:rsidR="00144C24">
        <w:t>January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CC3F" w14:textId="576B03BB" w:rsidR="001015F3" w:rsidRPr="00F92385" w:rsidRDefault="001015F3"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B0CE" w14:textId="4F9514D2" w:rsidR="00AA468C" w:rsidRDefault="000E4F19" w:rsidP="00EE4315">
    <w:pPr>
      <w:pStyle w:val="Header"/>
      <w:tabs>
        <w:tab w:val="clear" w:pos="4680"/>
      </w:tabs>
      <w:ind w:firstLine="0"/>
      <w:rPr>
        <w:b/>
      </w:rPr>
    </w:pPr>
    <w:r>
      <w:t>R.17-06-</w:t>
    </w:r>
    <w:proofErr w:type="gramStart"/>
    <w:r>
      <w:t xml:space="preserve">026  </w:t>
    </w:r>
    <w:r w:rsidRPr="000E4F19">
      <w:rPr>
        <w:szCs w:val="26"/>
      </w:rPr>
      <w:t>ALJ</w:t>
    </w:r>
    <w:proofErr w:type="gramEnd"/>
    <w:r w:rsidRPr="000E4F19">
      <w:rPr>
        <w:szCs w:val="26"/>
      </w:rPr>
      <w:t>/</w:t>
    </w:r>
    <w:r>
      <w:rPr>
        <w:szCs w:val="26"/>
      </w:rPr>
      <w:t>SW9/mph</w:t>
    </w:r>
    <w:r w:rsidR="00AA468C">
      <w:tab/>
    </w:r>
  </w:p>
  <w:p w14:paraId="5624C977" w14:textId="77777777" w:rsidR="000E4F19" w:rsidRPr="00B3087D" w:rsidRDefault="000E4F19" w:rsidP="00B3087D">
    <w:pPr>
      <w:pStyle w:val="Header"/>
      <w:tabs>
        <w:tab w:val="clear" w:pos="4680"/>
      </w:tabs>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7FDC" w14:textId="254C9F1F" w:rsidR="000E4F19" w:rsidRDefault="000E4F19" w:rsidP="000E4F19">
    <w:pPr>
      <w:pStyle w:val="Header"/>
      <w:tabs>
        <w:tab w:val="clear" w:pos="4680"/>
      </w:tabs>
      <w:ind w:firstLine="0"/>
      <w:rPr>
        <w:b/>
      </w:rPr>
    </w:pPr>
    <w:r>
      <w:t>R.17-06-</w:t>
    </w:r>
    <w:proofErr w:type="gramStart"/>
    <w:r>
      <w:t xml:space="preserve">026  </w:t>
    </w:r>
    <w:r w:rsidRPr="000E4F19">
      <w:rPr>
        <w:szCs w:val="26"/>
      </w:rPr>
      <w:t>ALJ</w:t>
    </w:r>
    <w:proofErr w:type="gramEnd"/>
    <w:r w:rsidRPr="000E4F19">
      <w:rPr>
        <w:szCs w:val="26"/>
      </w:rPr>
      <w:t>/</w:t>
    </w:r>
    <w:r>
      <w:rPr>
        <w:szCs w:val="26"/>
      </w:rPr>
      <w:t>SW9/mph</w:t>
    </w:r>
    <w:r>
      <w:tab/>
    </w:r>
  </w:p>
  <w:p w14:paraId="73EA8BF3" w14:textId="04A060FD" w:rsidR="00AA468C" w:rsidRPr="000E4F19" w:rsidRDefault="00AA468C" w:rsidP="000E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D2E9D"/>
    <w:multiLevelType w:val="hybridMultilevel"/>
    <w:tmpl w:val="AA38B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67B"/>
    <w:multiLevelType w:val="hybridMultilevel"/>
    <w:tmpl w:val="9E1639A2"/>
    <w:lvl w:ilvl="0" w:tplc="04090019">
      <w:start w:val="1"/>
      <w:numFmt w:val="lowerLetter"/>
      <w:lvlText w:val="%1."/>
      <w:lvlJc w:val="left"/>
      <w:pPr>
        <w:ind w:left="720" w:hanging="360"/>
      </w:pPr>
    </w:lvl>
    <w:lvl w:ilvl="1" w:tplc="82FEAC9C">
      <w:start w:val="1"/>
      <w:numFmt w:val="lowerLetter"/>
      <w:lvlText w:val="%2."/>
      <w:lvlJc w:val="left"/>
      <w:pPr>
        <w:ind w:left="1440" w:hanging="360"/>
      </w:pPr>
      <w:rPr>
        <w:rFonts w:ascii="Book Antiqua" w:eastAsiaTheme="minorHAnsi" w:hAnsi="Book Antiqu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92ACD"/>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4"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F056CB"/>
    <w:multiLevelType w:val="multilevel"/>
    <w:tmpl w:val="18F4A5AC"/>
    <w:numStyleLink w:val="FoFCoLOP"/>
  </w:abstractNum>
  <w:abstractNum w:abstractNumId="6" w15:restartNumberingAfterBreak="0">
    <w:nsid w:val="2E187E40"/>
    <w:multiLevelType w:val="multilevel"/>
    <w:tmpl w:val="764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8" w15:restartNumberingAfterBreak="0">
    <w:nsid w:val="37D806EF"/>
    <w:multiLevelType w:val="hybridMultilevel"/>
    <w:tmpl w:val="96F80EAE"/>
    <w:lvl w:ilvl="0" w:tplc="1A8A7D70">
      <w:start w:val="49"/>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1C67B0"/>
    <w:multiLevelType w:val="hybridMultilevel"/>
    <w:tmpl w:val="0F1E56D2"/>
    <w:lvl w:ilvl="0" w:tplc="82FEAC9C">
      <w:start w:val="1"/>
      <w:numFmt w:val="lowerLetter"/>
      <w:lvlText w:val="%1."/>
      <w:lvlJc w:val="left"/>
      <w:pPr>
        <w:ind w:left="144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042D7"/>
    <w:multiLevelType w:val="multilevel"/>
    <w:tmpl w:val="18F4A5AC"/>
    <w:numStyleLink w:val="FoFCoLOP"/>
  </w:abstractNum>
  <w:abstractNum w:abstractNumId="11" w15:restartNumberingAfterBreak="0">
    <w:nsid w:val="5A9E2171"/>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2" w15:restartNumberingAfterBreak="0">
    <w:nsid w:val="5B23292E"/>
    <w:multiLevelType w:val="multilevel"/>
    <w:tmpl w:val="F2FE8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A25780"/>
    <w:multiLevelType w:val="multilevel"/>
    <w:tmpl w:val="3C526EDE"/>
    <w:numStyleLink w:val="Headings"/>
  </w:abstractNum>
  <w:abstractNum w:abstractNumId="14" w15:restartNumberingAfterBreak="0">
    <w:nsid w:val="762F3149"/>
    <w:multiLevelType w:val="hybridMultilevel"/>
    <w:tmpl w:val="16762454"/>
    <w:lvl w:ilvl="0" w:tplc="B8A4E5D2">
      <w:start w:val="1"/>
      <w:numFmt w:val="decimal"/>
      <w:lvlText w:val="%1."/>
      <w:lvlJc w:val="left"/>
      <w:pPr>
        <w:tabs>
          <w:tab w:val="num" w:pos="720"/>
        </w:tabs>
        <w:ind w:left="720" w:hanging="360"/>
      </w:pPr>
    </w:lvl>
    <w:lvl w:ilvl="1" w:tplc="3F82E65E" w:tentative="1">
      <w:start w:val="1"/>
      <w:numFmt w:val="decimal"/>
      <w:lvlText w:val="%2."/>
      <w:lvlJc w:val="left"/>
      <w:pPr>
        <w:tabs>
          <w:tab w:val="num" w:pos="1440"/>
        </w:tabs>
        <w:ind w:left="1440" w:hanging="360"/>
      </w:pPr>
    </w:lvl>
    <w:lvl w:ilvl="2" w:tplc="37FE5A7A" w:tentative="1">
      <w:start w:val="1"/>
      <w:numFmt w:val="decimal"/>
      <w:lvlText w:val="%3."/>
      <w:lvlJc w:val="left"/>
      <w:pPr>
        <w:tabs>
          <w:tab w:val="num" w:pos="2160"/>
        </w:tabs>
        <w:ind w:left="2160" w:hanging="360"/>
      </w:pPr>
    </w:lvl>
    <w:lvl w:ilvl="3" w:tplc="79C057AC" w:tentative="1">
      <w:start w:val="1"/>
      <w:numFmt w:val="decimal"/>
      <w:lvlText w:val="%4."/>
      <w:lvlJc w:val="left"/>
      <w:pPr>
        <w:tabs>
          <w:tab w:val="num" w:pos="2880"/>
        </w:tabs>
        <w:ind w:left="2880" w:hanging="360"/>
      </w:pPr>
    </w:lvl>
    <w:lvl w:ilvl="4" w:tplc="CFCC5CF0" w:tentative="1">
      <w:start w:val="1"/>
      <w:numFmt w:val="decimal"/>
      <w:lvlText w:val="%5."/>
      <w:lvlJc w:val="left"/>
      <w:pPr>
        <w:tabs>
          <w:tab w:val="num" w:pos="3600"/>
        </w:tabs>
        <w:ind w:left="3600" w:hanging="360"/>
      </w:pPr>
    </w:lvl>
    <w:lvl w:ilvl="5" w:tplc="F96AFEC2" w:tentative="1">
      <w:start w:val="1"/>
      <w:numFmt w:val="decimal"/>
      <w:lvlText w:val="%6."/>
      <w:lvlJc w:val="left"/>
      <w:pPr>
        <w:tabs>
          <w:tab w:val="num" w:pos="4320"/>
        </w:tabs>
        <w:ind w:left="4320" w:hanging="360"/>
      </w:pPr>
    </w:lvl>
    <w:lvl w:ilvl="6" w:tplc="053066EE" w:tentative="1">
      <w:start w:val="1"/>
      <w:numFmt w:val="decimal"/>
      <w:lvlText w:val="%7."/>
      <w:lvlJc w:val="left"/>
      <w:pPr>
        <w:tabs>
          <w:tab w:val="num" w:pos="5040"/>
        </w:tabs>
        <w:ind w:left="5040" w:hanging="360"/>
      </w:pPr>
    </w:lvl>
    <w:lvl w:ilvl="7" w:tplc="4F1EA00C" w:tentative="1">
      <w:start w:val="1"/>
      <w:numFmt w:val="decimal"/>
      <w:lvlText w:val="%8."/>
      <w:lvlJc w:val="left"/>
      <w:pPr>
        <w:tabs>
          <w:tab w:val="num" w:pos="5760"/>
        </w:tabs>
        <w:ind w:left="5760" w:hanging="360"/>
      </w:pPr>
    </w:lvl>
    <w:lvl w:ilvl="8" w:tplc="5B4A8F4E" w:tentative="1">
      <w:start w:val="1"/>
      <w:numFmt w:val="decimal"/>
      <w:lvlText w:val="%9."/>
      <w:lvlJc w:val="left"/>
      <w:pPr>
        <w:tabs>
          <w:tab w:val="num" w:pos="6480"/>
        </w:tabs>
        <w:ind w:left="6480" w:hanging="360"/>
      </w:pPr>
    </w:lvl>
  </w:abstractNum>
  <w:abstractNum w:abstractNumId="15" w15:restartNumberingAfterBreak="0">
    <w:nsid w:val="789A0AFE"/>
    <w:multiLevelType w:val="multilevel"/>
    <w:tmpl w:val="18F4A5AC"/>
    <w:numStyleLink w:val="FoFCoLOP"/>
  </w:abstractNum>
  <w:abstractNum w:abstractNumId="16" w15:restartNumberingAfterBreak="0">
    <w:nsid w:val="7C1D3BAE"/>
    <w:multiLevelType w:val="hybridMultilevel"/>
    <w:tmpl w:val="F20AEF3E"/>
    <w:lvl w:ilvl="0" w:tplc="195AD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1F0C29"/>
    <w:multiLevelType w:val="hybridMultilevel"/>
    <w:tmpl w:val="F9DC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5"/>
  </w:num>
  <w:num w:numId="5">
    <w:abstractNumId w:val="15"/>
  </w:num>
  <w:num w:numId="6">
    <w:abstractNumId w:val="7"/>
  </w:num>
  <w:num w:numId="7">
    <w:abstractNumId w:val="0"/>
  </w:num>
  <w:num w:numId="8">
    <w:abstractNumId w:val="13"/>
  </w:num>
  <w:num w:numId="9">
    <w:abstractNumId w:val="14"/>
  </w:num>
  <w:num w:numId="10">
    <w:abstractNumId w:val="16"/>
  </w:num>
  <w:num w:numId="11">
    <w:abstractNumId w:val="8"/>
  </w:num>
  <w:num w:numId="12">
    <w:abstractNumId w:val="6"/>
  </w:num>
  <w:num w:numId="13">
    <w:abstractNumId w:val="12"/>
  </w:num>
  <w:num w:numId="14">
    <w:abstractNumId w:val="2"/>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7"/>
    <w:rsid w:val="000009DB"/>
    <w:rsid w:val="00000F6A"/>
    <w:rsid w:val="00002E6A"/>
    <w:rsid w:val="00003F9E"/>
    <w:rsid w:val="00011D8B"/>
    <w:rsid w:val="00011F03"/>
    <w:rsid w:val="00013DCE"/>
    <w:rsid w:val="0001472D"/>
    <w:rsid w:val="00020329"/>
    <w:rsid w:val="00023A76"/>
    <w:rsid w:val="00024545"/>
    <w:rsid w:val="00027B81"/>
    <w:rsid w:val="00032889"/>
    <w:rsid w:val="000357E0"/>
    <w:rsid w:val="00036E24"/>
    <w:rsid w:val="000405BE"/>
    <w:rsid w:val="000423A9"/>
    <w:rsid w:val="0004497E"/>
    <w:rsid w:val="0005008F"/>
    <w:rsid w:val="000522BD"/>
    <w:rsid w:val="00055B17"/>
    <w:rsid w:val="00057C4B"/>
    <w:rsid w:val="00060B2E"/>
    <w:rsid w:val="00063C9B"/>
    <w:rsid w:val="00066F1D"/>
    <w:rsid w:val="0007115A"/>
    <w:rsid w:val="00072FDC"/>
    <w:rsid w:val="00073121"/>
    <w:rsid w:val="00075CD1"/>
    <w:rsid w:val="000765FF"/>
    <w:rsid w:val="0008266D"/>
    <w:rsid w:val="00082F25"/>
    <w:rsid w:val="000837C4"/>
    <w:rsid w:val="00085C41"/>
    <w:rsid w:val="0008724F"/>
    <w:rsid w:val="000973C8"/>
    <w:rsid w:val="000976CC"/>
    <w:rsid w:val="000A231C"/>
    <w:rsid w:val="000A2AA9"/>
    <w:rsid w:val="000A5011"/>
    <w:rsid w:val="000A56F2"/>
    <w:rsid w:val="000A6E05"/>
    <w:rsid w:val="000B12FA"/>
    <w:rsid w:val="000C08BF"/>
    <w:rsid w:val="000C1E18"/>
    <w:rsid w:val="000C3390"/>
    <w:rsid w:val="000C3B9A"/>
    <w:rsid w:val="000C7FE1"/>
    <w:rsid w:val="000D0581"/>
    <w:rsid w:val="000D0A72"/>
    <w:rsid w:val="000D25A8"/>
    <w:rsid w:val="000D5686"/>
    <w:rsid w:val="000D7557"/>
    <w:rsid w:val="000D775F"/>
    <w:rsid w:val="000D7AA6"/>
    <w:rsid w:val="000E09AF"/>
    <w:rsid w:val="000E0F6B"/>
    <w:rsid w:val="000E1347"/>
    <w:rsid w:val="000E1674"/>
    <w:rsid w:val="000E270A"/>
    <w:rsid w:val="000E4C53"/>
    <w:rsid w:val="000E4F19"/>
    <w:rsid w:val="000E5B66"/>
    <w:rsid w:val="000F70E9"/>
    <w:rsid w:val="001015F3"/>
    <w:rsid w:val="00103293"/>
    <w:rsid w:val="00104376"/>
    <w:rsid w:val="00105F32"/>
    <w:rsid w:val="00107535"/>
    <w:rsid w:val="001110F9"/>
    <w:rsid w:val="0011371A"/>
    <w:rsid w:val="00113BBA"/>
    <w:rsid w:val="00113C7C"/>
    <w:rsid w:val="00114F62"/>
    <w:rsid w:val="00115B71"/>
    <w:rsid w:val="00116748"/>
    <w:rsid w:val="0011772F"/>
    <w:rsid w:val="00121026"/>
    <w:rsid w:val="00121089"/>
    <w:rsid w:val="00121A47"/>
    <w:rsid w:val="001222A2"/>
    <w:rsid w:val="001228ED"/>
    <w:rsid w:val="0012442D"/>
    <w:rsid w:val="00131B64"/>
    <w:rsid w:val="00133A17"/>
    <w:rsid w:val="00140022"/>
    <w:rsid w:val="00144C24"/>
    <w:rsid w:val="00146A68"/>
    <w:rsid w:val="0015188A"/>
    <w:rsid w:val="00154003"/>
    <w:rsid w:val="00163616"/>
    <w:rsid w:val="00163E7D"/>
    <w:rsid w:val="00167201"/>
    <w:rsid w:val="00170AC7"/>
    <w:rsid w:val="00172C18"/>
    <w:rsid w:val="00173E6D"/>
    <w:rsid w:val="0017659D"/>
    <w:rsid w:val="00180B02"/>
    <w:rsid w:val="00183BED"/>
    <w:rsid w:val="00184D36"/>
    <w:rsid w:val="0018609C"/>
    <w:rsid w:val="00187E4B"/>
    <w:rsid w:val="00195A7D"/>
    <w:rsid w:val="001A3648"/>
    <w:rsid w:val="001A6B58"/>
    <w:rsid w:val="001A7413"/>
    <w:rsid w:val="001B05FA"/>
    <w:rsid w:val="001B0789"/>
    <w:rsid w:val="001C363F"/>
    <w:rsid w:val="001C5F37"/>
    <w:rsid w:val="001C709D"/>
    <w:rsid w:val="001D02C5"/>
    <w:rsid w:val="001D47A6"/>
    <w:rsid w:val="001E0AF6"/>
    <w:rsid w:val="001E1382"/>
    <w:rsid w:val="001E2A62"/>
    <w:rsid w:val="001F0345"/>
    <w:rsid w:val="001F1071"/>
    <w:rsid w:val="001F2819"/>
    <w:rsid w:val="001F3509"/>
    <w:rsid w:val="001F420E"/>
    <w:rsid w:val="001F6963"/>
    <w:rsid w:val="00201193"/>
    <w:rsid w:val="00201719"/>
    <w:rsid w:val="002043EC"/>
    <w:rsid w:val="002055A0"/>
    <w:rsid w:val="00207AFA"/>
    <w:rsid w:val="00213EC5"/>
    <w:rsid w:val="00214115"/>
    <w:rsid w:val="00216CF3"/>
    <w:rsid w:val="0021752E"/>
    <w:rsid w:val="0022011F"/>
    <w:rsid w:val="00223714"/>
    <w:rsid w:val="00224027"/>
    <w:rsid w:val="00227187"/>
    <w:rsid w:val="0022744F"/>
    <w:rsid w:val="00230B2B"/>
    <w:rsid w:val="00230E3A"/>
    <w:rsid w:val="00242841"/>
    <w:rsid w:val="00243DC0"/>
    <w:rsid w:val="002442F6"/>
    <w:rsid w:val="0024449A"/>
    <w:rsid w:val="00247477"/>
    <w:rsid w:val="002609F8"/>
    <w:rsid w:val="00267B97"/>
    <w:rsid w:val="00270440"/>
    <w:rsid w:val="00271FC8"/>
    <w:rsid w:val="0027654A"/>
    <w:rsid w:val="00283B6E"/>
    <w:rsid w:val="00287BC5"/>
    <w:rsid w:val="00293DEE"/>
    <w:rsid w:val="002967AD"/>
    <w:rsid w:val="002A036D"/>
    <w:rsid w:val="002A0B5D"/>
    <w:rsid w:val="002A24DA"/>
    <w:rsid w:val="002A332B"/>
    <w:rsid w:val="002A3D00"/>
    <w:rsid w:val="002A3D63"/>
    <w:rsid w:val="002A625E"/>
    <w:rsid w:val="002A6600"/>
    <w:rsid w:val="002C6448"/>
    <w:rsid w:val="002C7FE9"/>
    <w:rsid w:val="002D0DC5"/>
    <w:rsid w:val="002D4EFD"/>
    <w:rsid w:val="002E4CF1"/>
    <w:rsid w:val="002E50AA"/>
    <w:rsid w:val="002E659C"/>
    <w:rsid w:val="002F2759"/>
    <w:rsid w:val="002F6261"/>
    <w:rsid w:val="003016CD"/>
    <w:rsid w:val="00305C5A"/>
    <w:rsid w:val="00305FC9"/>
    <w:rsid w:val="0031147A"/>
    <w:rsid w:val="0031430A"/>
    <w:rsid w:val="00315A97"/>
    <w:rsid w:val="00316071"/>
    <w:rsid w:val="00322002"/>
    <w:rsid w:val="003367C2"/>
    <w:rsid w:val="00343071"/>
    <w:rsid w:val="00343E5C"/>
    <w:rsid w:val="00344FB8"/>
    <w:rsid w:val="00347688"/>
    <w:rsid w:val="0036017B"/>
    <w:rsid w:val="0036096B"/>
    <w:rsid w:val="00362755"/>
    <w:rsid w:val="00362B0D"/>
    <w:rsid w:val="00364071"/>
    <w:rsid w:val="003641AF"/>
    <w:rsid w:val="003649EA"/>
    <w:rsid w:val="003712EB"/>
    <w:rsid w:val="0037219D"/>
    <w:rsid w:val="00373210"/>
    <w:rsid w:val="00373831"/>
    <w:rsid w:val="00373B93"/>
    <w:rsid w:val="0037649D"/>
    <w:rsid w:val="0037701C"/>
    <w:rsid w:val="00377C3B"/>
    <w:rsid w:val="00380CD1"/>
    <w:rsid w:val="00381C41"/>
    <w:rsid w:val="00382635"/>
    <w:rsid w:val="003827E0"/>
    <w:rsid w:val="00383324"/>
    <w:rsid w:val="0039010D"/>
    <w:rsid w:val="003915A9"/>
    <w:rsid w:val="003A38F0"/>
    <w:rsid w:val="003A5D48"/>
    <w:rsid w:val="003B38E9"/>
    <w:rsid w:val="003C5D3B"/>
    <w:rsid w:val="003C60DC"/>
    <w:rsid w:val="003C6ADB"/>
    <w:rsid w:val="003D1BB7"/>
    <w:rsid w:val="003E31B7"/>
    <w:rsid w:val="003F069A"/>
    <w:rsid w:val="003F4329"/>
    <w:rsid w:val="003F5229"/>
    <w:rsid w:val="004006B5"/>
    <w:rsid w:val="00403EF2"/>
    <w:rsid w:val="00403FC5"/>
    <w:rsid w:val="00405014"/>
    <w:rsid w:val="00406C44"/>
    <w:rsid w:val="004106E4"/>
    <w:rsid w:val="0041216B"/>
    <w:rsid w:val="00412534"/>
    <w:rsid w:val="00412C83"/>
    <w:rsid w:val="0041536F"/>
    <w:rsid w:val="004249C2"/>
    <w:rsid w:val="00426014"/>
    <w:rsid w:val="00426610"/>
    <w:rsid w:val="00426BDB"/>
    <w:rsid w:val="00434C47"/>
    <w:rsid w:val="004354E0"/>
    <w:rsid w:val="00437AB7"/>
    <w:rsid w:val="004424F3"/>
    <w:rsid w:val="00442ACE"/>
    <w:rsid w:val="00443B94"/>
    <w:rsid w:val="00443D1F"/>
    <w:rsid w:val="00445B86"/>
    <w:rsid w:val="0044617E"/>
    <w:rsid w:val="00452400"/>
    <w:rsid w:val="0045385C"/>
    <w:rsid w:val="00455C51"/>
    <w:rsid w:val="00460B7D"/>
    <w:rsid w:val="00460B88"/>
    <w:rsid w:val="00463AEB"/>
    <w:rsid w:val="00480CB0"/>
    <w:rsid w:val="0048267D"/>
    <w:rsid w:val="00482FF6"/>
    <w:rsid w:val="00485E73"/>
    <w:rsid w:val="0049222B"/>
    <w:rsid w:val="0049711A"/>
    <w:rsid w:val="00497FEF"/>
    <w:rsid w:val="004A3311"/>
    <w:rsid w:val="004B231C"/>
    <w:rsid w:val="004B34EA"/>
    <w:rsid w:val="004B5494"/>
    <w:rsid w:val="004B78F6"/>
    <w:rsid w:val="004C6412"/>
    <w:rsid w:val="004C7A2B"/>
    <w:rsid w:val="004C7D3A"/>
    <w:rsid w:val="004D1EB9"/>
    <w:rsid w:val="004D240A"/>
    <w:rsid w:val="004D3606"/>
    <w:rsid w:val="004D6DFA"/>
    <w:rsid w:val="004E52A7"/>
    <w:rsid w:val="004E70C8"/>
    <w:rsid w:val="004F0F71"/>
    <w:rsid w:val="005018A8"/>
    <w:rsid w:val="00501A54"/>
    <w:rsid w:val="00504BB8"/>
    <w:rsid w:val="00505A39"/>
    <w:rsid w:val="00507B4B"/>
    <w:rsid w:val="00521854"/>
    <w:rsid w:val="005240BF"/>
    <w:rsid w:val="00526927"/>
    <w:rsid w:val="00526933"/>
    <w:rsid w:val="00533230"/>
    <w:rsid w:val="00536362"/>
    <w:rsid w:val="0053752A"/>
    <w:rsid w:val="005412D7"/>
    <w:rsid w:val="005446FD"/>
    <w:rsid w:val="00572A79"/>
    <w:rsid w:val="00576518"/>
    <w:rsid w:val="005821BC"/>
    <w:rsid w:val="005829AA"/>
    <w:rsid w:val="00582FE8"/>
    <w:rsid w:val="00585390"/>
    <w:rsid w:val="00591CE2"/>
    <w:rsid w:val="00593942"/>
    <w:rsid w:val="005939A5"/>
    <w:rsid w:val="005A004F"/>
    <w:rsid w:val="005A0465"/>
    <w:rsid w:val="005A11DC"/>
    <w:rsid w:val="005A148C"/>
    <w:rsid w:val="005A642B"/>
    <w:rsid w:val="005A76F4"/>
    <w:rsid w:val="005C091E"/>
    <w:rsid w:val="005C43DF"/>
    <w:rsid w:val="005C58FA"/>
    <w:rsid w:val="005D14D2"/>
    <w:rsid w:val="005D15BD"/>
    <w:rsid w:val="005D3ECA"/>
    <w:rsid w:val="005D5EE7"/>
    <w:rsid w:val="005E1CB3"/>
    <w:rsid w:val="005E73A9"/>
    <w:rsid w:val="005F0FC2"/>
    <w:rsid w:val="005F27CA"/>
    <w:rsid w:val="005F3102"/>
    <w:rsid w:val="005F52E2"/>
    <w:rsid w:val="005F67AF"/>
    <w:rsid w:val="005F6BD8"/>
    <w:rsid w:val="00602985"/>
    <w:rsid w:val="006035DA"/>
    <w:rsid w:val="0060464F"/>
    <w:rsid w:val="00604F4B"/>
    <w:rsid w:val="006107C6"/>
    <w:rsid w:val="00612996"/>
    <w:rsid w:val="0061539D"/>
    <w:rsid w:val="006169E0"/>
    <w:rsid w:val="0062070E"/>
    <w:rsid w:val="00627C50"/>
    <w:rsid w:val="00632207"/>
    <w:rsid w:val="00632763"/>
    <w:rsid w:val="0063491C"/>
    <w:rsid w:val="00640150"/>
    <w:rsid w:val="00640243"/>
    <w:rsid w:val="00642DFB"/>
    <w:rsid w:val="00643F14"/>
    <w:rsid w:val="006617E6"/>
    <w:rsid w:val="00661AFE"/>
    <w:rsid w:val="0066206D"/>
    <w:rsid w:val="006650F1"/>
    <w:rsid w:val="00665825"/>
    <w:rsid w:val="0067354C"/>
    <w:rsid w:val="00676514"/>
    <w:rsid w:val="00677241"/>
    <w:rsid w:val="00680D38"/>
    <w:rsid w:val="00680F19"/>
    <w:rsid w:val="00685BA8"/>
    <w:rsid w:val="0068649F"/>
    <w:rsid w:val="00686F8F"/>
    <w:rsid w:val="006922A7"/>
    <w:rsid w:val="00692FA5"/>
    <w:rsid w:val="00694AD9"/>
    <w:rsid w:val="00694EAA"/>
    <w:rsid w:val="006A32DA"/>
    <w:rsid w:val="006A40FA"/>
    <w:rsid w:val="006A62E7"/>
    <w:rsid w:val="006A7751"/>
    <w:rsid w:val="006B18B7"/>
    <w:rsid w:val="006C07FD"/>
    <w:rsid w:val="006C1F10"/>
    <w:rsid w:val="006C3E46"/>
    <w:rsid w:val="006C4A17"/>
    <w:rsid w:val="006C5B34"/>
    <w:rsid w:val="006D0D3C"/>
    <w:rsid w:val="006D4DF7"/>
    <w:rsid w:val="006D54CD"/>
    <w:rsid w:val="006D55B5"/>
    <w:rsid w:val="006D5A62"/>
    <w:rsid w:val="006E4DE8"/>
    <w:rsid w:val="006E4E48"/>
    <w:rsid w:val="006E5E28"/>
    <w:rsid w:val="006E6574"/>
    <w:rsid w:val="006F1A77"/>
    <w:rsid w:val="006F1D38"/>
    <w:rsid w:val="006F2E16"/>
    <w:rsid w:val="006F4C83"/>
    <w:rsid w:val="006F5A6B"/>
    <w:rsid w:val="006F640D"/>
    <w:rsid w:val="00703C5D"/>
    <w:rsid w:val="00706C8C"/>
    <w:rsid w:val="00706DD8"/>
    <w:rsid w:val="00714CF2"/>
    <w:rsid w:val="007156B9"/>
    <w:rsid w:val="00715C38"/>
    <w:rsid w:val="00717AEA"/>
    <w:rsid w:val="00720817"/>
    <w:rsid w:val="00722850"/>
    <w:rsid w:val="0073046C"/>
    <w:rsid w:val="00731369"/>
    <w:rsid w:val="0073353F"/>
    <w:rsid w:val="00735A91"/>
    <w:rsid w:val="00742E45"/>
    <w:rsid w:val="007447AF"/>
    <w:rsid w:val="00750816"/>
    <w:rsid w:val="00750BA0"/>
    <w:rsid w:val="00751050"/>
    <w:rsid w:val="007530FA"/>
    <w:rsid w:val="0076078F"/>
    <w:rsid w:val="00764C24"/>
    <w:rsid w:val="007657C1"/>
    <w:rsid w:val="007670A3"/>
    <w:rsid w:val="00770234"/>
    <w:rsid w:val="00773D33"/>
    <w:rsid w:val="00777192"/>
    <w:rsid w:val="0077755F"/>
    <w:rsid w:val="007779A3"/>
    <w:rsid w:val="00777A5E"/>
    <w:rsid w:val="00780456"/>
    <w:rsid w:val="00783470"/>
    <w:rsid w:val="00783EB8"/>
    <w:rsid w:val="00785B6F"/>
    <w:rsid w:val="007869EA"/>
    <w:rsid w:val="00787261"/>
    <w:rsid w:val="00787A39"/>
    <w:rsid w:val="0079439A"/>
    <w:rsid w:val="007A406D"/>
    <w:rsid w:val="007A62B0"/>
    <w:rsid w:val="007A7CB0"/>
    <w:rsid w:val="007B0D23"/>
    <w:rsid w:val="007B32FE"/>
    <w:rsid w:val="007B414D"/>
    <w:rsid w:val="007B4354"/>
    <w:rsid w:val="007B512C"/>
    <w:rsid w:val="007B6161"/>
    <w:rsid w:val="007B6F8C"/>
    <w:rsid w:val="007B7387"/>
    <w:rsid w:val="007C5A0C"/>
    <w:rsid w:val="007D14D1"/>
    <w:rsid w:val="007E06F6"/>
    <w:rsid w:val="007E0FEE"/>
    <w:rsid w:val="007E1F9F"/>
    <w:rsid w:val="007E24B2"/>
    <w:rsid w:val="007E2998"/>
    <w:rsid w:val="007E49D8"/>
    <w:rsid w:val="007E59CC"/>
    <w:rsid w:val="007E61D9"/>
    <w:rsid w:val="007F2017"/>
    <w:rsid w:val="007F5195"/>
    <w:rsid w:val="007F58ED"/>
    <w:rsid w:val="007F7235"/>
    <w:rsid w:val="007F776D"/>
    <w:rsid w:val="0080375A"/>
    <w:rsid w:val="008044F7"/>
    <w:rsid w:val="00804B13"/>
    <w:rsid w:val="00807599"/>
    <w:rsid w:val="008077B8"/>
    <w:rsid w:val="008159CF"/>
    <w:rsid w:val="00816E05"/>
    <w:rsid w:val="00822B25"/>
    <w:rsid w:val="008231F1"/>
    <w:rsid w:val="00823AC8"/>
    <w:rsid w:val="00824BEE"/>
    <w:rsid w:val="00824CCB"/>
    <w:rsid w:val="00825DF5"/>
    <w:rsid w:val="00825F9C"/>
    <w:rsid w:val="008301BA"/>
    <w:rsid w:val="0083202F"/>
    <w:rsid w:val="008339BB"/>
    <w:rsid w:val="0083517C"/>
    <w:rsid w:val="00844C82"/>
    <w:rsid w:val="008452E6"/>
    <w:rsid w:val="00853D01"/>
    <w:rsid w:val="0085512C"/>
    <w:rsid w:val="00860FA5"/>
    <w:rsid w:val="0086419A"/>
    <w:rsid w:val="0086498B"/>
    <w:rsid w:val="00864BA4"/>
    <w:rsid w:val="0087023B"/>
    <w:rsid w:val="00871447"/>
    <w:rsid w:val="00874037"/>
    <w:rsid w:val="00881AFB"/>
    <w:rsid w:val="00882144"/>
    <w:rsid w:val="008832AA"/>
    <w:rsid w:val="00886832"/>
    <w:rsid w:val="00891777"/>
    <w:rsid w:val="0089523E"/>
    <w:rsid w:val="008975C6"/>
    <w:rsid w:val="008977EE"/>
    <w:rsid w:val="00897FA6"/>
    <w:rsid w:val="008A1007"/>
    <w:rsid w:val="008A16C2"/>
    <w:rsid w:val="008A179F"/>
    <w:rsid w:val="008A1E99"/>
    <w:rsid w:val="008A41D3"/>
    <w:rsid w:val="008B0631"/>
    <w:rsid w:val="008B0864"/>
    <w:rsid w:val="008B270A"/>
    <w:rsid w:val="008C42E9"/>
    <w:rsid w:val="008C44C7"/>
    <w:rsid w:val="008C64C0"/>
    <w:rsid w:val="008C7413"/>
    <w:rsid w:val="008C7C81"/>
    <w:rsid w:val="008D16B7"/>
    <w:rsid w:val="008D3DD1"/>
    <w:rsid w:val="008D54A7"/>
    <w:rsid w:val="008D6810"/>
    <w:rsid w:val="008E1383"/>
    <w:rsid w:val="008E169F"/>
    <w:rsid w:val="008E1F00"/>
    <w:rsid w:val="008E3D1F"/>
    <w:rsid w:val="008E6282"/>
    <w:rsid w:val="008E6AE6"/>
    <w:rsid w:val="008F0116"/>
    <w:rsid w:val="008F143D"/>
    <w:rsid w:val="008F22B1"/>
    <w:rsid w:val="008F3E53"/>
    <w:rsid w:val="008F5EFB"/>
    <w:rsid w:val="008F61F6"/>
    <w:rsid w:val="008F622F"/>
    <w:rsid w:val="0090201F"/>
    <w:rsid w:val="009027BE"/>
    <w:rsid w:val="009077A4"/>
    <w:rsid w:val="009113E8"/>
    <w:rsid w:val="009156FD"/>
    <w:rsid w:val="00920FA6"/>
    <w:rsid w:val="00925C5F"/>
    <w:rsid w:val="00925D58"/>
    <w:rsid w:val="0092794A"/>
    <w:rsid w:val="00932865"/>
    <w:rsid w:val="00933D65"/>
    <w:rsid w:val="00933E72"/>
    <w:rsid w:val="00934783"/>
    <w:rsid w:val="00937C01"/>
    <w:rsid w:val="00945746"/>
    <w:rsid w:val="009474FA"/>
    <w:rsid w:val="009501F3"/>
    <w:rsid w:val="00951185"/>
    <w:rsid w:val="00951D53"/>
    <w:rsid w:val="00956316"/>
    <w:rsid w:val="00956E81"/>
    <w:rsid w:val="009613E7"/>
    <w:rsid w:val="009679D7"/>
    <w:rsid w:val="009706B9"/>
    <w:rsid w:val="00973C49"/>
    <w:rsid w:val="0097478B"/>
    <w:rsid w:val="00975EFD"/>
    <w:rsid w:val="00977AD5"/>
    <w:rsid w:val="0098138E"/>
    <w:rsid w:val="00983103"/>
    <w:rsid w:val="00983BCE"/>
    <w:rsid w:val="00985BED"/>
    <w:rsid w:val="0098624A"/>
    <w:rsid w:val="0098655A"/>
    <w:rsid w:val="009A0297"/>
    <w:rsid w:val="009A07E8"/>
    <w:rsid w:val="009A28E2"/>
    <w:rsid w:val="009A6E36"/>
    <w:rsid w:val="009B46B9"/>
    <w:rsid w:val="009B6A3E"/>
    <w:rsid w:val="009C2688"/>
    <w:rsid w:val="009C30E9"/>
    <w:rsid w:val="009C3C26"/>
    <w:rsid w:val="009C42EA"/>
    <w:rsid w:val="009D232B"/>
    <w:rsid w:val="009D3119"/>
    <w:rsid w:val="009D6678"/>
    <w:rsid w:val="009E1856"/>
    <w:rsid w:val="009E20CF"/>
    <w:rsid w:val="009E3364"/>
    <w:rsid w:val="009E3E8A"/>
    <w:rsid w:val="009E49DB"/>
    <w:rsid w:val="009E6052"/>
    <w:rsid w:val="009E654F"/>
    <w:rsid w:val="009E7C7F"/>
    <w:rsid w:val="009F4343"/>
    <w:rsid w:val="009F531E"/>
    <w:rsid w:val="009F69C9"/>
    <w:rsid w:val="009F6B35"/>
    <w:rsid w:val="00A02DAA"/>
    <w:rsid w:val="00A0645E"/>
    <w:rsid w:val="00A06C9D"/>
    <w:rsid w:val="00A13C6B"/>
    <w:rsid w:val="00A163E6"/>
    <w:rsid w:val="00A17051"/>
    <w:rsid w:val="00A17CE0"/>
    <w:rsid w:val="00A23D48"/>
    <w:rsid w:val="00A31015"/>
    <w:rsid w:val="00A3236E"/>
    <w:rsid w:val="00A323A3"/>
    <w:rsid w:val="00A35FD3"/>
    <w:rsid w:val="00A3787E"/>
    <w:rsid w:val="00A42306"/>
    <w:rsid w:val="00A423E7"/>
    <w:rsid w:val="00A44E8D"/>
    <w:rsid w:val="00A4532E"/>
    <w:rsid w:val="00A46EA8"/>
    <w:rsid w:val="00A55ACD"/>
    <w:rsid w:val="00A563BD"/>
    <w:rsid w:val="00A6484B"/>
    <w:rsid w:val="00A648C7"/>
    <w:rsid w:val="00A72D29"/>
    <w:rsid w:val="00A73864"/>
    <w:rsid w:val="00A73CB0"/>
    <w:rsid w:val="00A7619B"/>
    <w:rsid w:val="00A85D27"/>
    <w:rsid w:val="00A903CD"/>
    <w:rsid w:val="00A92B0A"/>
    <w:rsid w:val="00A95063"/>
    <w:rsid w:val="00A958C4"/>
    <w:rsid w:val="00AA468C"/>
    <w:rsid w:val="00AA58FE"/>
    <w:rsid w:val="00AA7099"/>
    <w:rsid w:val="00AB45FB"/>
    <w:rsid w:val="00AB7875"/>
    <w:rsid w:val="00AC1EE3"/>
    <w:rsid w:val="00AC213F"/>
    <w:rsid w:val="00AC270D"/>
    <w:rsid w:val="00AC49EB"/>
    <w:rsid w:val="00AC68EE"/>
    <w:rsid w:val="00AC6E75"/>
    <w:rsid w:val="00AD1C89"/>
    <w:rsid w:val="00AD2A72"/>
    <w:rsid w:val="00AD375C"/>
    <w:rsid w:val="00AD6B3F"/>
    <w:rsid w:val="00AD7F08"/>
    <w:rsid w:val="00AE0EA4"/>
    <w:rsid w:val="00AE1438"/>
    <w:rsid w:val="00AE58F5"/>
    <w:rsid w:val="00AE5F1D"/>
    <w:rsid w:val="00AE618A"/>
    <w:rsid w:val="00AE6D10"/>
    <w:rsid w:val="00AF0F8F"/>
    <w:rsid w:val="00AF1529"/>
    <w:rsid w:val="00B00A19"/>
    <w:rsid w:val="00B01F7E"/>
    <w:rsid w:val="00B035EF"/>
    <w:rsid w:val="00B0380F"/>
    <w:rsid w:val="00B03F4A"/>
    <w:rsid w:val="00B06B23"/>
    <w:rsid w:val="00B1073E"/>
    <w:rsid w:val="00B11609"/>
    <w:rsid w:val="00B13F27"/>
    <w:rsid w:val="00B15194"/>
    <w:rsid w:val="00B16C2A"/>
    <w:rsid w:val="00B24167"/>
    <w:rsid w:val="00B261BD"/>
    <w:rsid w:val="00B30320"/>
    <w:rsid w:val="00B3087D"/>
    <w:rsid w:val="00B32E5C"/>
    <w:rsid w:val="00B34794"/>
    <w:rsid w:val="00B3586D"/>
    <w:rsid w:val="00B37224"/>
    <w:rsid w:val="00B47035"/>
    <w:rsid w:val="00B5132A"/>
    <w:rsid w:val="00B52F0A"/>
    <w:rsid w:val="00B539AD"/>
    <w:rsid w:val="00B53D0E"/>
    <w:rsid w:val="00B549E3"/>
    <w:rsid w:val="00B60421"/>
    <w:rsid w:val="00B63F3B"/>
    <w:rsid w:val="00B7291D"/>
    <w:rsid w:val="00B7347F"/>
    <w:rsid w:val="00B74F3F"/>
    <w:rsid w:val="00B77375"/>
    <w:rsid w:val="00B81A67"/>
    <w:rsid w:val="00B81EB6"/>
    <w:rsid w:val="00B84E71"/>
    <w:rsid w:val="00B8791B"/>
    <w:rsid w:val="00B9256D"/>
    <w:rsid w:val="00B93B15"/>
    <w:rsid w:val="00B941AA"/>
    <w:rsid w:val="00B9716C"/>
    <w:rsid w:val="00BA0790"/>
    <w:rsid w:val="00BA16A8"/>
    <w:rsid w:val="00BA1BEB"/>
    <w:rsid w:val="00BA1F33"/>
    <w:rsid w:val="00BA5FEA"/>
    <w:rsid w:val="00BB0243"/>
    <w:rsid w:val="00BB1226"/>
    <w:rsid w:val="00BB3891"/>
    <w:rsid w:val="00BC14D6"/>
    <w:rsid w:val="00BC305E"/>
    <w:rsid w:val="00BC359E"/>
    <w:rsid w:val="00BE19D5"/>
    <w:rsid w:val="00BE35E6"/>
    <w:rsid w:val="00BE6F90"/>
    <w:rsid w:val="00BF0CAE"/>
    <w:rsid w:val="00BF15F4"/>
    <w:rsid w:val="00BF1D4A"/>
    <w:rsid w:val="00BF2050"/>
    <w:rsid w:val="00BF3C75"/>
    <w:rsid w:val="00BF544D"/>
    <w:rsid w:val="00BF5CA9"/>
    <w:rsid w:val="00C03CDA"/>
    <w:rsid w:val="00C10B5F"/>
    <w:rsid w:val="00C20542"/>
    <w:rsid w:val="00C21F6A"/>
    <w:rsid w:val="00C22108"/>
    <w:rsid w:val="00C252A1"/>
    <w:rsid w:val="00C334C9"/>
    <w:rsid w:val="00C352B9"/>
    <w:rsid w:val="00C401D5"/>
    <w:rsid w:val="00C5476A"/>
    <w:rsid w:val="00C56122"/>
    <w:rsid w:val="00C57F6E"/>
    <w:rsid w:val="00C66154"/>
    <w:rsid w:val="00C662E0"/>
    <w:rsid w:val="00C670E9"/>
    <w:rsid w:val="00C701E8"/>
    <w:rsid w:val="00C70428"/>
    <w:rsid w:val="00C743D6"/>
    <w:rsid w:val="00C7618F"/>
    <w:rsid w:val="00C7726E"/>
    <w:rsid w:val="00C8353E"/>
    <w:rsid w:val="00C83D53"/>
    <w:rsid w:val="00C874BA"/>
    <w:rsid w:val="00C878D5"/>
    <w:rsid w:val="00C9033B"/>
    <w:rsid w:val="00C9136F"/>
    <w:rsid w:val="00C913A1"/>
    <w:rsid w:val="00C95E9F"/>
    <w:rsid w:val="00CA21C1"/>
    <w:rsid w:val="00CA229D"/>
    <w:rsid w:val="00CA5205"/>
    <w:rsid w:val="00CA5820"/>
    <w:rsid w:val="00CA6F19"/>
    <w:rsid w:val="00CC2F36"/>
    <w:rsid w:val="00CC412B"/>
    <w:rsid w:val="00CC61F4"/>
    <w:rsid w:val="00CC638F"/>
    <w:rsid w:val="00CC6A99"/>
    <w:rsid w:val="00CD0250"/>
    <w:rsid w:val="00CD5CD5"/>
    <w:rsid w:val="00CE4AFC"/>
    <w:rsid w:val="00CE55B9"/>
    <w:rsid w:val="00CF45F6"/>
    <w:rsid w:val="00CF68AC"/>
    <w:rsid w:val="00CF7787"/>
    <w:rsid w:val="00D00AA3"/>
    <w:rsid w:val="00D0504E"/>
    <w:rsid w:val="00D057EF"/>
    <w:rsid w:val="00D0684F"/>
    <w:rsid w:val="00D07D02"/>
    <w:rsid w:val="00D07F73"/>
    <w:rsid w:val="00D10063"/>
    <w:rsid w:val="00D10D41"/>
    <w:rsid w:val="00D12A95"/>
    <w:rsid w:val="00D14844"/>
    <w:rsid w:val="00D2041C"/>
    <w:rsid w:val="00D22123"/>
    <w:rsid w:val="00D228D4"/>
    <w:rsid w:val="00D25ADE"/>
    <w:rsid w:val="00D34FB6"/>
    <w:rsid w:val="00D35C6A"/>
    <w:rsid w:val="00D41425"/>
    <w:rsid w:val="00D42FA4"/>
    <w:rsid w:val="00D43297"/>
    <w:rsid w:val="00D44DB6"/>
    <w:rsid w:val="00D50119"/>
    <w:rsid w:val="00D52CF6"/>
    <w:rsid w:val="00D549CC"/>
    <w:rsid w:val="00D55552"/>
    <w:rsid w:val="00D55E37"/>
    <w:rsid w:val="00D5622A"/>
    <w:rsid w:val="00D56FDC"/>
    <w:rsid w:val="00D57E9F"/>
    <w:rsid w:val="00D606AE"/>
    <w:rsid w:val="00D60DAA"/>
    <w:rsid w:val="00D611FC"/>
    <w:rsid w:val="00D66DF8"/>
    <w:rsid w:val="00D70D6A"/>
    <w:rsid w:val="00D72931"/>
    <w:rsid w:val="00D7316A"/>
    <w:rsid w:val="00D73ED1"/>
    <w:rsid w:val="00D7586E"/>
    <w:rsid w:val="00D771A0"/>
    <w:rsid w:val="00D77F4A"/>
    <w:rsid w:val="00D82A43"/>
    <w:rsid w:val="00D846B9"/>
    <w:rsid w:val="00D87D64"/>
    <w:rsid w:val="00D91E98"/>
    <w:rsid w:val="00D956B9"/>
    <w:rsid w:val="00D95BC1"/>
    <w:rsid w:val="00D95F80"/>
    <w:rsid w:val="00D96AE2"/>
    <w:rsid w:val="00DA0523"/>
    <w:rsid w:val="00DA210B"/>
    <w:rsid w:val="00DA5630"/>
    <w:rsid w:val="00DA5786"/>
    <w:rsid w:val="00DA630D"/>
    <w:rsid w:val="00DA7B56"/>
    <w:rsid w:val="00DA7B5D"/>
    <w:rsid w:val="00DB37B2"/>
    <w:rsid w:val="00DB4E1A"/>
    <w:rsid w:val="00DB4E2C"/>
    <w:rsid w:val="00DC3F5F"/>
    <w:rsid w:val="00DC574D"/>
    <w:rsid w:val="00DD0763"/>
    <w:rsid w:val="00DD4E16"/>
    <w:rsid w:val="00DE1273"/>
    <w:rsid w:val="00DE1769"/>
    <w:rsid w:val="00DE5749"/>
    <w:rsid w:val="00DF0347"/>
    <w:rsid w:val="00DF16DA"/>
    <w:rsid w:val="00DF48CA"/>
    <w:rsid w:val="00DF58E7"/>
    <w:rsid w:val="00DF628E"/>
    <w:rsid w:val="00DF6D65"/>
    <w:rsid w:val="00DF7572"/>
    <w:rsid w:val="00E11876"/>
    <w:rsid w:val="00E133E0"/>
    <w:rsid w:val="00E159F7"/>
    <w:rsid w:val="00E15F2D"/>
    <w:rsid w:val="00E21428"/>
    <w:rsid w:val="00E218EA"/>
    <w:rsid w:val="00E23CBB"/>
    <w:rsid w:val="00E267AA"/>
    <w:rsid w:val="00E26851"/>
    <w:rsid w:val="00E2723A"/>
    <w:rsid w:val="00E314FF"/>
    <w:rsid w:val="00E35F5B"/>
    <w:rsid w:val="00E37B59"/>
    <w:rsid w:val="00E4048B"/>
    <w:rsid w:val="00E408CB"/>
    <w:rsid w:val="00E41B62"/>
    <w:rsid w:val="00E43822"/>
    <w:rsid w:val="00E454C8"/>
    <w:rsid w:val="00E46CFA"/>
    <w:rsid w:val="00E47FF5"/>
    <w:rsid w:val="00E52C13"/>
    <w:rsid w:val="00E52CA7"/>
    <w:rsid w:val="00E53030"/>
    <w:rsid w:val="00E53438"/>
    <w:rsid w:val="00E555ED"/>
    <w:rsid w:val="00E55BDA"/>
    <w:rsid w:val="00E57214"/>
    <w:rsid w:val="00E70079"/>
    <w:rsid w:val="00E725FC"/>
    <w:rsid w:val="00E732B7"/>
    <w:rsid w:val="00E77A64"/>
    <w:rsid w:val="00E816CC"/>
    <w:rsid w:val="00E9542C"/>
    <w:rsid w:val="00EA2834"/>
    <w:rsid w:val="00EA2A93"/>
    <w:rsid w:val="00EA2B10"/>
    <w:rsid w:val="00EA36C6"/>
    <w:rsid w:val="00EA3CD6"/>
    <w:rsid w:val="00EA49F7"/>
    <w:rsid w:val="00EA527B"/>
    <w:rsid w:val="00EA682A"/>
    <w:rsid w:val="00EB00FF"/>
    <w:rsid w:val="00EB4024"/>
    <w:rsid w:val="00EB5179"/>
    <w:rsid w:val="00EB6381"/>
    <w:rsid w:val="00EB7816"/>
    <w:rsid w:val="00EC30F9"/>
    <w:rsid w:val="00EC3B4E"/>
    <w:rsid w:val="00EC58A8"/>
    <w:rsid w:val="00ED161A"/>
    <w:rsid w:val="00ED3CD8"/>
    <w:rsid w:val="00ED5725"/>
    <w:rsid w:val="00ED5A6F"/>
    <w:rsid w:val="00ED7031"/>
    <w:rsid w:val="00ED79ED"/>
    <w:rsid w:val="00EE0D60"/>
    <w:rsid w:val="00EE2EE1"/>
    <w:rsid w:val="00EE3060"/>
    <w:rsid w:val="00EE3E1B"/>
    <w:rsid w:val="00EE4315"/>
    <w:rsid w:val="00EF6925"/>
    <w:rsid w:val="00F035C5"/>
    <w:rsid w:val="00F03BC7"/>
    <w:rsid w:val="00F055DD"/>
    <w:rsid w:val="00F06825"/>
    <w:rsid w:val="00F07822"/>
    <w:rsid w:val="00F12118"/>
    <w:rsid w:val="00F13441"/>
    <w:rsid w:val="00F13AAA"/>
    <w:rsid w:val="00F16A77"/>
    <w:rsid w:val="00F227D2"/>
    <w:rsid w:val="00F22C07"/>
    <w:rsid w:val="00F25C24"/>
    <w:rsid w:val="00F26ED3"/>
    <w:rsid w:val="00F27C05"/>
    <w:rsid w:val="00F34BC7"/>
    <w:rsid w:val="00F3767A"/>
    <w:rsid w:val="00F46348"/>
    <w:rsid w:val="00F46897"/>
    <w:rsid w:val="00F4744B"/>
    <w:rsid w:val="00F50689"/>
    <w:rsid w:val="00F52228"/>
    <w:rsid w:val="00F52D40"/>
    <w:rsid w:val="00F54218"/>
    <w:rsid w:val="00F55B15"/>
    <w:rsid w:val="00F6038F"/>
    <w:rsid w:val="00F61DB1"/>
    <w:rsid w:val="00F62B7A"/>
    <w:rsid w:val="00F6343A"/>
    <w:rsid w:val="00F6397D"/>
    <w:rsid w:val="00F64600"/>
    <w:rsid w:val="00F7073A"/>
    <w:rsid w:val="00F7293E"/>
    <w:rsid w:val="00F76650"/>
    <w:rsid w:val="00F776A4"/>
    <w:rsid w:val="00F8009E"/>
    <w:rsid w:val="00F82DEF"/>
    <w:rsid w:val="00F844C2"/>
    <w:rsid w:val="00F85286"/>
    <w:rsid w:val="00F86B06"/>
    <w:rsid w:val="00F9107A"/>
    <w:rsid w:val="00F9187B"/>
    <w:rsid w:val="00F92385"/>
    <w:rsid w:val="00F92519"/>
    <w:rsid w:val="00F973BA"/>
    <w:rsid w:val="00FA1B4F"/>
    <w:rsid w:val="00FA488E"/>
    <w:rsid w:val="00FA4D9F"/>
    <w:rsid w:val="00FA669D"/>
    <w:rsid w:val="00FA7C2E"/>
    <w:rsid w:val="00FB0E5A"/>
    <w:rsid w:val="00FB0E5F"/>
    <w:rsid w:val="00FB57F9"/>
    <w:rsid w:val="00FB6448"/>
    <w:rsid w:val="00FC0DA4"/>
    <w:rsid w:val="00FC0E70"/>
    <w:rsid w:val="00FC137D"/>
    <w:rsid w:val="00FC14D1"/>
    <w:rsid w:val="00FC3937"/>
    <w:rsid w:val="00FC47F9"/>
    <w:rsid w:val="00FC6BFB"/>
    <w:rsid w:val="00FC71C2"/>
    <w:rsid w:val="00FD0078"/>
    <w:rsid w:val="00FD0926"/>
    <w:rsid w:val="00FD2AE2"/>
    <w:rsid w:val="00FD30C7"/>
    <w:rsid w:val="00FD482A"/>
    <w:rsid w:val="00FD57C5"/>
    <w:rsid w:val="00FE06C1"/>
    <w:rsid w:val="00FE2124"/>
    <w:rsid w:val="00FE2351"/>
    <w:rsid w:val="00FE2A98"/>
    <w:rsid w:val="00FE337D"/>
    <w:rsid w:val="00FE4DAD"/>
    <w:rsid w:val="00FE4E7A"/>
    <w:rsid w:val="00FE5580"/>
    <w:rsid w:val="00FF0E3A"/>
    <w:rsid w:val="00FF110C"/>
    <w:rsid w:val="00FF436F"/>
    <w:rsid w:val="00FF4B73"/>
    <w:rsid w:val="00FF5DA2"/>
    <w:rsid w:val="0242B269"/>
    <w:rsid w:val="02AFB82F"/>
    <w:rsid w:val="038365E6"/>
    <w:rsid w:val="038B0F36"/>
    <w:rsid w:val="03F1E104"/>
    <w:rsid w:val="04510D7D"/>
    <w:rsid w:val="04D0788E"/>
    <w:rsid w:val="0504B0F4"/>
    <w:rsid w:val="05366E59"/>
    <w:rsid w:val="05545497"/>
    <w:rsid w:val="0713640D"/>
    <w:rsid w:val="076B1BE8"/>
    <w:rsid w:val="07ECA3F6"/>
    <w:rsid w:val="0856AC84"/>
    <w:rsid w:val="08EDD7DC"/>
    <w:rsid w:val="0A5B4FCF"/>
    <w:rsid w:val="0BADB3A7"/>
    <w:rsid w:val="0BE6D530"/>
    <w:rsid w:val="0D5FC20D"/>
    <w:rsid w:val="0D708B14"/>
    <w:rsid w:val="0E7084D9"/>
    <w:rsid w:val="0ED9D4AF"/>
    <w:rsid w:val="0F85ED93"/>
    <w:rsid w:val="102FD0FB"/>
    <w:rsid w:val="105CA518"/>
    <w:rsid w:val="10846F6B"/>
    <w:rsid w:val="10C97428"/>
    <w:rsid w:val="11919495"/>
    <w:rsid w:val="11A1B202"/>
    <w:rsid w:val="11D7C685"/>
    <w:rsid w:val="12342D23"/>
    <w:rsid w:val="12A1A9F5"/>
    <w:rsid w:val="12A341D8"/>
    <w:rsid w:val="139F479F"/>
    <w:rsid w:val="15B2EF22"/>
    <w:rsid w:val="15F074C8"/>
    <w:rsid w:val="162052C3"/>
    <w:rsid w:val="1636FA4F"/>
    <w:rsid w:val="1669FDED"/>
    <w:rsid w:val="170147EE"/>
    <w:rsid w:val="173980D3"/>
    <w:rsid w:val="178DFED7"/>
    <w:rsid w:val="18181267"/>
    <w:rsid w:val="197C2FA1"/>
    <w:rsid w:val="19BD6156"/>
    <w:rsid w:val="1A5A1A79"/>
    <w:rsid w:val="1AB04D90"/>
    <w:rsid w:val="1C5B69D7"/>
    <w:rsid w:val="1D41C24C"/>
    <w:rsid w:val="1DACD1AA"/>
    <w:rsid w:val="1DC80A2F"/>
    <w:rsid w:val="1E73B4F5"/>
    <w:rsid w:val="1E747C24"/>
    <w:rsid w:val="1FECC97F"/>
    <w:rsid w:val="2006B0B7"/>
    <w:rsid w:val="20751690"/>
    <w:rsid w:val="20A4B5EE"/>
    <w:rsid w:val="214D23B2"/>
    <w:rsid w:val="215FD9FA"/>
    <w:rsid w:val="218F3BF8"/>
    <w:rsid w:val="2202BC8E"/>
    <w:rsid w:val="220EAA57"/>
    <w:rsid w:val="22AF5FC6"/>
    <w:rsid w:val="24B2D281"/>
    <w:rsid w:val="25F44746"/>
    <w:rsid w:val="26FB5CC8"/>
    <w:rsid w:val="27B88DF3"/>
    <w:rsid w:val="2921BB73"/>
    <w:rsid w:val="2942F390"/>
    <w:rsid w:val="298C3968"/>
    <w:rsid w:val="29CB5627"/>
    <w:rsid w:val="2BB4CA10"/>
    <w:rsid w:val="2C3D2EB0"/>
    <w:rsid w:val="2CBAE3A4"/>
    <w:rsid w:val="2D010FBE"/>
    <w:rsid w:val="2F1C02A7"/>
    <w:rsid w:val="2F6E9DAA"/>
    <w:rsid w:val="2FC58F99"/>
    <w:rsid w:val="3084ABD8"/>
    <w:rsid w:val="311F592D"/>
    <w:rsid w:val="317F3A87"/>
    <w:rsid w:val="31C748E4"/>
    <w:rsid w:val="3315AF61"/>
    <w:rsid w:val="33D574CA"/>
    <w:rsid w:val="34298525"/>
    <w:rsid w:val="34E32C03"/>
    <w:rsid w:val="3512DB32"/>
    <w:rsid w:val="35CD706A"/>
    <w:rsid w:val="38A3D850"/>
    <w:rsid w:val="38A9A270"/>
    <w:rsid w:val="3A65C878"/>
    <w:rsid w:val="3A9198EB"/>
    <w:rsid w:val="3A91B438"/>
    <w:rsid w:val="3ADAA6FF"/>
    <w:rsid w:val="3B42EC4A"/>
    <w:rsid w:val="3B4886E7"/>
    <w:rsid w:val="3B5A0DED"/>
    <w:rsid w:val="3B8AEE20"/>
    <w:rsid w:val="3B974B97"/>
    <w:rsid w:val="3C6F261A"/>
    <w:rsid w:val="3D6DB4F8"/>
    <w:rsid w:val="3E1D4283"/>
    <w:rsid w:val="3EE6F3F9"/>
    <w:rsid w:val="3FB75E57"/>
    <w:rsid w:val="41251DED"/>
    <w:rsid w:val="41C61170"/>
    <w:rsid w:val="41CD95A4"/>
    <w:rsid w:val="42B3F716"/>
    <w:rsid w:val="4361E1D1"/>
    <w:rsid w:val="43FD61AB"/>
    <w:rsid w:val="4400B017"/>
    <w:rsid w:val="45718BF6"/>
    <w:rsid w:val="46918927"/>
    <w:rsid w:val="46A1D4AD"/>
    <w:rsid w:val="46BB403C"/>
    <w:rsid w:val="47493990"/>
    <w:rsid w:val="4759F8C6"/>
    <w:rsid w:val="47C58D0B"/>
    <w:rsid w:val="483552F4"/>
    <w:rsid w:val="4A05B7DF"/>
    <w:rsid w:val="4A390678"/>
    <w:rsid w:val="4ADF19C5"/>
    <w:rsid w:val="4C50B9E5"/>
    <w:rsid w:val="4CD78434"/>
    <w:rsid w:val="4E016D50"/>
    <w:rsid w:val="4E680FAD"/>
    <w:rsid w:val="501E718D"/>
    <w:rsid w:val="5053BD3D"/>
    <w:rsid w:val="52579260"/>
    <w:rsid w:val="529F8892"/>
    <w:rsid w:val="531A91C2"/>
    <w:rsid w:val="54AE7893"/>
    <w:rsid w:val="55A4D0E9"/>
    <w:rsid w:val="568AE494"/>
    <w:rsid w:val="56B65A87"/>
    <w:rsid w:val="58E1DDD7"/>
    <w:rsid w:val="5914DF26"/>
    <w:rsid w:val="59969FBA"/>
    <w:rsid w:val="5B31A6FA"/>
    <w:rsid w:val="5BC61631"/>
    <w:rsid w:val="5BEDCD1C"/>
    <w:rsid w:val="5BF090A7"/>
    <w:rsid w:val="5C2569ED"/>
    <w:rsid w:val="5C64F742"/>
    <w:rsid w:val="5C8A95E1"/>
    <w:rsid w:val="5E6947BC"/>
    <w:rsid w:val="5E771AC1"/>
    <w:rsid w:val="5F128890"/>
    <w:rsid w:val="6001CEC2"/>
    <w:rsid w:val="60AE58F1"/>
    <w:rsid w:val="60BE0031"/>
    <w:rsid w:val="60C1CA8F"/>
    <w:rsid w:val="6113F8EC"/>
    <w:rsid w:val="612694B9"/>
    <w:rsid w:val="616AB752"/>
    <w:rsid w:val="61D2AB54"/>
    <w:rsid w:val="62CA5D57"/>
    <w:rsid w:val="63687374"/>
    <w:rsid w:val="656410BF"/>
    <w:rsid w:val="658A14D7"/>
    <w:rsid w:val="663D65A9"/>
    <w:rsid w:val="66BA0BE3"/>
    <w:rsid w:val="66E0A8F9"/>
    <w:rsid w:val="674F6214"/>
    <w:rsid w:val="68181788"/>
    <w:rsid w:val="6819320E"/>
    <w:rsid w:val="68721225"/>
    <w:rsid w:val="68EAC498"/>
    <w:rsid w:val="69D7B4F8"/>
    <w:rsid w:val="6A9FBD56"/>
    <w:rsid w:val="6AC47571"/>
    <w:rsid w:val="6B4FB84A"/>
    <w:rsid w:val="6B925159"/>
    <w:rsid w:val="6C0DE814"/>
    <w:rsid w:val="6D0F75C9"/>
    <w:rsid w:val="6D1ADEDC"/>
    <w:rsid w:val="6DD75E18"/>
    <w:rsid w:val="6E6249A7"/>
    <w:rsid w:val="6E87590C"/>
    <w:rsid w:val="6F6629F4"/>
    <w:rsid w:val="6FDB415C"/>
    <w:rsid w:val="70F5D67D"/>
    <w:rsid w:val="72A35298"/>
    <w:rsid w:val="72B08EAE"/>
    <w:rsid w:val="737E8E82"/>
    <w:rsid w:val="73881134"/>
    <w:rsid w:val="7486D54B"/>
    <w:rsid w:val="74AF8ACA"/>
    <w:rsid w:val="7551733E"/>
    <w:rsid w:val="76614D0F"/>
    <w:rsid w:val="768CED40"/>
    <w:rsid w:val="76926AF1"/>
    <w:rsid w:val="77C8C6F3"/>
    <w:rsid w:val="782E3B52"/>
    <w:rsid w:val="78D310EA"/>
    <w:rsid w:val="78E17E16"/>
    <w:rsid w:val="78F16175"/>
    <w:rsid w:val="790BF852"/>
    <w:rsid w:val="795C482D"/>
    <w:rsid w:val="79E524E6"/>
    <w:rsid w:val="79F5C648"/>
    <w:rsid w:val="7A3194B0"/>
    <w:rsid w:val="7A9AD73C"/>
    <w:rsid w:val="7AD0025C"/>
    <w:rsid w:val="7B22EF58"/>
    <w:rsid w:val="7B2CB2B0"/>
    <w:rsid w:val="7B9196A9"/>
    <w:rsid w:val="7BF7BAF3"/>
    <w:rsid w:val="7C9B5A83"/>
    <w:rsid w:val="7D2D670A"/>
    <w:rsid w:val="7DE9164E"/>
    <w:rsid w:val="7E84D7F4"/>
    <w:rsid w:val="7F781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B10A"/>
  <w15:chartTrackingRefBased/>
  <w15:docId w15:val="{033E04C2-00AB-4168-ADD3-CC72C28989A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6B"/>
    <w:pPr>
      <w:spacing w:after="0" w:line="240" w:lineRule="auto"/>
    </w:pPr>
    <w:rPr>
      <w:rFonts w:ascii="Times New Roman" w:eastAsia="Times New Roman" w:hAnsi="Times New Roman" w:cs="Times New Roman"/>
      <w:sz w:val="24"/>
      <w:szCs w:val="24"/>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ind w:left="864" w:hanging="648"/>
    </w:pPr>
    <w:rPr>
      <w:rFonts w:ascii="Book Antiqua" w:eastAsiaTheme="minorEastAsia" w:hAnsi="Book Antiqua"/>
      <w:sz w:val="26"/>
      <w:szCs w:val="22"/>
    </w:rPr>
  </w:style>
  <w:style w:type="paragraph" w:styleId="TOC1">
    <w:name w:val="toc 1"/>
    <w:basedOn w:val="Normal"/>
    <w:next w:val="Normal"/>
    <w:uiPriority w:val="39"/>
    <w:unhideWhenUsed/>
    <w:rsid w:val="00ED5725"/>
    <w:pPr>
      <w:ind w:left="432" w:hanging="432"/>
    </w:pPr>
    <w:rPr>
      <w:rFonts w:ascii="Book Antiqua" w:eastAsiaTheme="minorEastAsia" w:hAnsi="Book Antiqua"/>
      <w:sz w:val="26"/>
      <w:szCs w:val="22"/>
    </w:rPr>
  </w:style>
  <w:style w:type="paragraph" w:styleId="TOC3">
    <w:name w:val="toc 3"/>
    <w:basedOn w:val="Normal"/>
    <w:next w:val="Normal"/>
    <w:uiPriority w:val="39"/>
    <w:unhideWhenUsed/>
    <w:rsid w:val="008C7413"/>
    <w:pPr>
      <w:ind w:left="1296" w:hanging="864"/>
    </w:pPr>
    <w:rPr>
      <w:rFonts w:ascii="Book Antiqua" w:eastAsiaTheme="minorEastAsia" w:hAnsi="Book Antiqua"/>
      <w:sz w:val="26"/>
      <w:szCs w:val="22"/>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line="360" w:lineRule="auto"/>
      <w:ind w:left="2080" w:firstLine="720"/>
    </w:pPr>
    <w:rPr>
      <w:rFonts w:ascii="Book Antiqua" w:eastAsiaTheme="minorHAnsi" w:hAnsi="Book Antiqua" w:cstheme="minorBidi"/>
      <w:sz w:val="26"/>
      <w:szCs w:val="22"/>
    </w:rPr>
  </w:style>
  <w:style w:type="paragraph" w:styleId="Header">
    <w:name w:val="header"/>
    <w:basedOn w:val="Normal"/>
    <w:link w:val="HeaderChar"/>
    <w:uiPriority w:val="99"/>
    <w:semiHidden/>
    <w:rsid w:val="0098138E"/>
    <w:pPr>
      <w:tabs>
        <w:tab w:val="center" w:pos="4680"/>
        <w:tab w:val="right" w:pos="9360"/>
      </w:tabs>
      <w:ind w:firstLine="720"/>
    </w:pPr>
    <w:rPr>
      <w:rFonts w:ascii="Book Antiqua" w:eastAsiaTheme="minorHAnsi" w:hAnsi="Book Antiqua" w:cstheme="minorBidi"/>
      <w:sz w:val="26"/>
      <w:szCs w:val="22"/>
    </w:r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ind w:firstLine="720"/>
    </w:pPr>
    <w:rPr>
      <w:rFonts w:ascii="Book Antiqua" w:eastAsiaTheme="minorHAnsi" w:hAnsi="Book Antiqua" w:cstheme="minorBidi"/>
      <w:sz w:val="26"/>
      <w:szCs w:val="22"/>
    </w:r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qFormat/>
    <w:rsid w:val="00B01F7E"/>
    <w:pPr>
      <w:spacing w:after="120"/>
    </w:pPr>
    <w:rPr>
      <w:rFonts w:ascii="Book Antiqua" w:eastAsiaTheme="minorHAnsi" w:hAnsi="Book Antiqua" w:cstheme="minorBidi"/>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FoF"/>
    <w:uiPriority w:val="7"/>
    <w:qFormat/>
    <w:rsid w:val="003C60DC"/>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4"/>
      </w:numPr>
    </w:pPr>
  </w:style>
  <w:style w:type="paragraph" w:styleId="BalloonText">
    <w:name w:val="Balloon Text"/>
    <w:basedOn w:val="Normal"/>
    <w:link w:val="BalloonTextChar"/>
    <w:uiPriority w:val="99"/>
    <w:semiHidden/>
    <w:unhideWhenUsed/>
    <w:rsid w:val="004C7D3A"/>
    <w:pPr>
      <w:ind w:firstLine="7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pPr>
      <w:spacing w:line="360" w:lineRule="auto"/>
      <w:ind w:firstLine="720"/>
    </w:pPr>
    <w:rPr>
      <w:rFonts w:ascii="Book Antiqua" w:eastAsiaTheme="minorHAnsi" w:hAnsi="Book Antiqua" w:cstheme="minorBidi"/>
      <w:sz w:val="26"/>
      <w:szCs w:val="22"/>
    </w:rPr>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rPr>
      <w:rFonts w:ascii="Book Antiqua" w:eastAsiaTheme="minorHAnsi" w:hAnsi="Book Antiqua" w:cstheme="minorBidi"/>
      <w:sz w:val="26"/>
      <w:szCs w:val="22"/>
    </w:rPr>
  </w:style>
  <w:style w:type="paragraph" w:styleId="TOC5">
    <w:name w:val="toc 5"/>
    <w:basedOn w:val="Normal"/>
    <w:next w:val="Normal"/>
    <w:autoRedefine/>
    <w:uiPriority w:val="39"/>
    <w:unhideWhenUsed/>
    <w:rsid w:val="008C7413"/>
    <w:pPr>
      <w:ind w:left="2160" w:hanging="1296"/>
    </w:pPr>
    <w:rPr>
      <w:rFonts w:ascii="Book Antiqua" w:eastAsiaTheme="minorHAnsi" w:hAnsi="Book Antiqua" w:cstheme="minorBidi"/>
      <w:sz w:val="26"/>
      <w:szCs w:val="22"/>
    </w:rPr>
  </w:style>
  <w:style w:type="paragraph" w:styleId="TOC6">
    <w:name w:val="toc 6"/>
    <w:basedOn w:val="Normal"/>
    <w:next w:val="Normal"/>
    <w:autoRedefine/>
    <w:uiPriority w:val="39"/>
    <w:unhideWhenUsed/>
    <w:rsid w:val="008C7413"/>
    <w:pPr>
      <w:ind w:left="2592" w:hanging="1512"/>
    </w:pPr>
    <w:rPr>
      <w:rFonts w:ascii="Book Antiqua" w:eastAsiaTheme="minorHAnsi" w:hAnsi="Book Antiqua" w:cstheme="minorBidi"/>
      <w:sz w:val="26"/>
      <w:szCs w:val="22"/>
    </w:r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paragraph" w:customStyle="1" w:styleId="paragraph">
    <w:name w:val="paragraph"/>
    <w:basedOn w:val="Normal"/>
    <w:rsid w:val="007B7387"/>
    <w:pPr>
      <w:spacing w:before="100" w:beforeAutospacing="1" w:after="100" w:afterAutospacing="1"/>
    </w:pPr>
  </w:style>
  <w:style w:type="character" w:customStyle="1" w:styleId="normaltextrun">
    <w:name w:val="normaltextrun"/>
    <w:basedOn w:val="DefaultParagraphFont"/>
    <w:rsid w:val="007B7387"/>
  </w:style>
  <w:style w:type="character" w:customStyle="1" w:styleId="eop">
    <w:name w:val="eop"/>
    <w:basedOn w:val="DefaultParagraphFont"/>
    <w:rsid w:val="007B7387"/>
  </w:style>
  <w:style w:type="character" w:customStyle="1" w:styleId="spellingerror">
    <w:name w:val="spellingerror"/>
    <w:basedOn w:val="DefaultParagraphFont"/>
    <w:rsid w:val="007B7387"/>
  </w:style>
  <w:style w:type="paragraph" w:styleId="ListParagraph">
    <w:name w:val="List Paragraph"/>
    <w:basedOn w:val="Normal"/>
    <w:uiPriority w:val="34"/>
    <w:rsid w:val="00DE1273"/>
    <w:pPr>
      <w:spacing w:line="360" w:lineRule="auto"/>
      <w:ind w:left="720" w:firstLine="720"/>
      <w:contextualSpacing/>
    </w:pPr>
    <w:rPr>
      <w:rFonts w:ascii="Book Antiqua" w:eastAsiaTheme="minorHAnsi" w:hAnsi="Book Antiqua" w:cstheme="minorBidi"/>
      <w:sz w:val="26"/>
      <w:szCs w:val="22"/>
    </w:rPr>
  </w:style>
  <w:style w:type="character" w:styleId="UnresolvedMention">
    <w:name w:val="Unresolved Mention"/>
    <w:basedOn w:val="DefaultParagraphFont"/>
    <w:uiPriority w:val="99"/>
    <w:unhideWhenUsed/>
    <w:rsid w:val="002055A0"/>
    <w:rPr>
      <w:color w:val="605E5C"/>
      <w:shd w:val="clear" w:color="auto" w:fill="E1DFDD"/>
    </w:rPr>
  </w:style>
  <w:style w:type="character" w:styleId="CommentReference">
    <w:name w:val="annotation reference"/>
    <w:basedOn w:val="DefaultParagraphFont"/>
    <w:uiPriority w:val="99"/>
    <w:semiHidden/>
    <w:unhideWhenUsed/>
    <w:rsid w:val="00D057EF"/>
    <w:rPr>
      <w:sz w:val="16"/>
      <w:szCs w:val="16"/>
    </w:rPr>
  </w:style>
  <w:style w:type="paragraph" w:styleId="CommentText">
    <w:name w:val="annotation text"/>
    <w:basedOn w:val="Normal"/>
    <w:link w:val="CommentTextChar"/>
    <w:uiPriority w:val="99"/>
    <w:unhideWhenUsed/>
    <w:rsid w:val="00D057EF"/>
    <w:pPr>
      <w:ind w:firstLine="720"/>
    </w:pPr>
    <w:rPr>
      <w:rFonts w:ascii="Book Antiqua" w:eastAsiaTheme="minorHAnsi" w:hAnsi="Book Antiqua" w:cstheme="minorBidi"/>
      <w:sz w:val="20"/>
      <w:szCs w:val="20"/>
    </w:rPr>
  </w:style>
  <w:style w:type="character" w:customStyle="1" w:styleId="CommentTextChar">
    <w:name w:val="Comment Text Char"/>
    <w:basedOn w:val="DefaultParagraphFont"/>
    <w:link w:val="CommentText"/>
    <w:uiPriority w:val="99"/>
    <w:rsid w:val="00D057EF"/>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057EF"/>
    <w:rPr>
      <w:b/>
      <w:bCs/>
    </w:rPr>
  </w:style>
  <w:style w:type="character" w:customStyle="1" w:styleId="CommentSubjectChar">
    <w:name w:val="Comment Subject Char"/>
    <w:basedOn w:val="CommentTextChar"/>
    <w:link w:val="CommentSubject"/>
    <w:uiPriority w:val="99"/>
    <w:semiHidden/>
    <w:rsid w:val="00D057EF"/>
    <w:rPr>
      <w:rFonts w:ascii="Book Antiqua" w:hAnsi="Book Antiqua"/>
      <w:b/>
      <w:bCs/>
      <w:sz w:val="20"/>
      <w:szCs w:val="20"/>
    </w:rPr>
  </w:style>
  <w:style w:type="character" w:styleId="FollowedHyperlink">
    <w:name w:val="FollowedHyperlink"/>
    <w:basedOn w:val="DefaultParagraphFont"/>
    <w:uiPriority w:val="99"/>
    <w:semiHidden/>
    <w:unhideWhenUsed/>
    <w:rsid w:val="00D057EF"/>
    <w:rPr>
      <w:color w:val="954F72" w:themeColor="followedHyperlink"/>
      <w:u w:val="single"/>
    </w:rPr>
  </w:style>
  <w:style w:type="character" w:customStyle="1" w:styleId="findhit">
    <w:name w:val="findhit"/>
    <w:basedOn w:val="DefaultParagraphFont"/>
    <w:rsid w:val="00A73864"/>
  </w:style>
  <w:style w:type="character" w:styleId="Mention">
    <w:name w:val="Mention"/>
    <w:basedOn w:val="DefaultParagraphFont"/>
    <w:uiPriority w:val="99"/>
    <w:unhideWhenUsed/>
    <w:rsid w:val="00DB4E2C"/>
    <w:rPr>
      <w:color w:val="2B579A"/>
      <w:shd w:val="clear" w:color="auto" w:fill="E1DFDD"/>
    </w:rPr>
  </w:style>
  <w:style w:type="paragraph" w:styleId="Revision">
    <w:name w:val="Revision"/>
    <w:hidden/>
    <w:uiPriority w:val="99"/>
    <w:semiHidden/>
    <w:rsid w:val="00572A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047">
      <w:bodyDiv w:val="1"/>
      <w:marLeft w:val="0"/>
      <w:marRight w:val="0"/>
      <w:marTop w:val="0"/>
      <w:marBottom w:val="0"/>
      <w:divBdr>
        <w:top w:val="none" w:sz="0" w:space="0" w:color="auto"/>
        <w:left w:val="none" w:sz="0" w:space="0" w:color="auto"/>
        <w:bottom w:val="none" w:sz="0" w:space="0" w:color="auto"/>
        <w:right w:val="none" w:sz="0" w:space="0" w:color="auto"/>
      </w:divBdr>
    </w:div>
    <w:div w:id="97796534">
      <w:bodyDiv w:val="1"/>
      <w:marLeft w:val="0"/>
      <w:marRight w:val="0"/>
      <w:marTop w:val="0"/>
      <w:marBottom w:val="0"/>
      <w:divBdr>
        <w:top w:val="none" w:sz="0" w:space="0" w:color="auto"/>
        <w:left w:val="none" w:sz="0" w:space="0" w:color="auto"/>
        <w:bottom w:val="none" w:sz="0" w:space="0" w:color="auto"/>
        <w:right w:val="none" w:sz="0" w:space="0" w:color="auto"/>
      </w:divBdr>
    </w:div>
    <w:div w:id="107510753">
      <w:bodyDiv w:val="1"/>
      <w:marLeft w:val="0"/>
      <w:marRight w:val="0"/>
      <w:marTop w:val="0"/>
      <w:marBottom w:val="0"/>
      <w:divBdr>
        <w:top w:val="none" w:sz="0" w:space="0" w:color="auto"/>
        <w:left w:val="none" w:sz="0" w:space="0" w:color="auto"/>
        <w:bottom w:val="none" w:sz="0" w:space="0" w:color="auto"/>
        <w:right w:val="none" w:sz="0" w:space="0" w:color="auto"/>
      </w:divBdr>
    </w:div>
    <w:div w:id="133179203">
      <w:bodyDiv w:val="1"/>
      <w:marLeft w:val="0"/>
      <w:marRight w:val="0"/>
      <w:marTop w:val="0"/>
      <w:marBottom w:val="0"/>
      <w:divBdr>
        <w:top w:val="none" w:sz="0" w:space="0" w:color="auto"/>
        <w:left w:val="none" w:sz="0" w:space="0" w:color="auto"/>
        <w:bottom w:val="none" w:sz="0" w:space="0" w:color="auto"/>
        <w:right w:val="none" w:sz="0" w:space="0" w:color="auto"/>
      </w:divBdr>
    </w:div>
    <w:div w:id="161942174">
      <w:bodyDiv w:val="1"/>
      <w:marLeft w:val="0"/>
      <w:marRight w:val="0"/>
      <w:marTop w:val="0"/>
      <w:marBottom w:val="0"/>
      <w:divBdr>
        <w:top w:val="none" w:sz="0" w:space="0" w:color="auto"/>
        <w:left w:val="none" w:sz="0" w:space="0" w:color="auto"/>
        <w:bottom w:val="none" w:sz="0" w:space="0" w:color="auto"/>
        <w:right w:val="none" w:sz="0" w:space="0" w:color="auto"/>
      </w:divBdr>
    </w:div>
    <w:div w:id="167714220">
      <w:bodyDiv w:val="1"/>
      <w:marLeft w:val="0"/>
      <w:marRight w:val="0"/>
      <w:marTop w:val="0"/>
      <w:marBottom w:val="0"/>
      <w:divBdr>
        <w:top w:val="none" w:sz="0" w:space="0" w:color="auto"/>
        <w:left w:val="none" w:sz="0" w:space="0" w:color="auto"/>
        <w:bottom w:val="none" w:sz="0" w:space="0" w:color="auto"/>
        <w:right w:val="none" w:sz="0" w:space="0" w:color="auto"/>
      </w:divBdr>
    </w:div>
    <w:div w:id="179975652">
      <w:bodyDiv w:val="1"/>
      <w:marLeft w:val="0"/>
      <w:marRight w:val="0"/>
      <w:marTop w:val="0"/>
      <w:marBottom w:val="0"/>
      <w:divBdr>
        <w:top w:val="none" w:sz="0" w:space="0" w:color="auto"/>
        <w:left w:val="none" w:sz="0" w:space="0" w:color="auto"/>
        <w:bottom w:val="none" w:sz="0" w:space="0" w:color="auto"/>
        <w:right w:val="none" w:sz="0" w:space="0" w:color="auto"/>
      </w:divBdr>
      <w:divsChild>
        <w:div w:id="1395547353">
          <w:marLeft w:val="0"/>
          <w:marRight w:val="0"/>
          <w:marTop w:val="0"/>
          <w:marBottom w:val="0"/>
          <w:divBdr>
            <w:top w:val="none" w:sz="0" w:space="0" w:color="auto"/>
            <w:left w:val="none" w:sz="0" w:space="0" w:color="auto"/>
            <w:bottom w:val="none" w:sz="0" w:space="0" w:color="auto"/>
            <w:right w:val="none" w:sz="0" w:space="0" w:color="auto"/>
          </w:divBdr>
          <w:divsChild>
            <w:div w:id="1883129092">
              <w:marLeft w:val="0"/>
              <w:marRight w:val="0"/>
              <w:marTop w:val="0"/>
              <w:marBottom w:val="0"/>
              <w:divBdr>
                <w:top w:val="none" w:sz="0" w:space="0" w:color="auto"/>
                <w:left w:val="none" w:sz="0" w:space="0" w:color="auto"/>
                <w:bottom w:val="none" w:sz="0" w:space="0" w:color="auto"/>
                <w:right w:val="none" w:sz="0" w:space="0" w:color="auto"/>
              </w:divBdr>
              <w:divsChild>
                <w:div w:id="17316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5933">
      <w:bodyDiv w:val="1"/>
      <w:marLeft w:val="0"/>
      <w:marRight w:val="0"/>
      <w:marTop w:val="0"/>
      <w:marBottom w:val="0"/>
      <w:divBdr>
        <w:top w:val="none" w:sz="0" w:space="0" w:color="auto"/>
        <w:left w:val="none" w:sz="0" w:space="0" w:color="auto"/>
        <w:bottom w:val="none" w:sz="0" w:space="0" w:color="auto"/>
        <w:right w:val="none" w:sz="0" w:space="0" w:color="auto"/>
      </w:divBdr>
    </w:div>
    <w:div w:id="228344862">
      <w:bodyDiv w:val="1"/>
      <w:marLeft w:val="0"/>
      <w:marRight w:val="0"/>
      <w:marTop w:val="0"/>
      <w:marBottom w:val="0"/>
      <w:divBdr>
        <w:top w:val="none" w:sz="0" w:space="0" w:color="auto"/>
        <w:left w:val="none" w:sz="0" w:space="0" w:color="auto"/>
        <w:bottom w:val="none" w:sz="0" w:space="0" w:color="auto"/>
        <w:right w:val="none" w:sz="0" w:space="0" w:color="auto"/>
      </w:divBdr>
      <w:divsChild>
        <w:div w:id="93939307">
          <w:marLeft w:val="0"/>
          <w:marRight w:val="0"/>
          <w:marTop w:val="0"/>
          <w:marBottom w:val="0"/>
          <w:divBdr>
            <w:top w:val="none" w:sz="0" w:space="0" w:color="auto"/>
            <w:left w:val="none" w:sz="0" w:space="0" w:color="auto"/>
            <w:bottom w:val="none" w:sz="0" w:space="0" w:color="auto"/>
            <w:right w:val="none" w:sz="0" w:space="0" w:color="auto"/>
          </w:divBdr>
        </w:div>
        <w:div w:id="470251039">
          <w:marLeft w:val="0"/>
          <w:marRight w:val="0"/>
          <w:marTop w:val="0"/>
          <w:marBottom w:val="0"/>
          <w:divBdr>
            <w:top w:val="none" w:sz="0" w:space="0" w:color="auto"/>
            <w:left w:val="none" w:sz="0" w:space="0" w:color="auto"/>
            <w:bottom w:val="none" w:sz="0" w:space="0" w:color="auto"/>
            <w:right w:val="none" w:sz="0" w:space="0" w:color="auto"/>
          </w:divBdr>
        </w:div>
        <w:div w:id="851991470">
          <w:marLeft w:val="0"/>
          <w:marRight w:val="0"/>
          <w:marTop w:val="0"/>
          <w:marBottom w:val="0"/>
          <w:divBdr>
            <w:top w:val="none" w:sz="0" w:space="0" w:color="auto"/>
            <w:left w:val="none" w:sz="0" w:space="0" w:color="auto"/>
            <w:bottom w:val="none" w:sz="0" w:space="0" w:color="auto"/>
            <w:right w:val="none" w:sz="0" w:space="0" w:color="auto"/>
          </w:divBdr>
        </w:div>
        <w:div w:id="1064717921">
          <w:marLeft w:val="0"/>
          <w:marRight w:val="0"/>
          <w:marTop w:val="0"/>
          <w:marBottom w:val="0"/>
          <w:divBdr>
            <w:top w:val="none" w:sz="0" w:space="0" w:color="auto"/>
            <w:left w:val="none" w:sz="0" w:space="0" w:color="auto"/>
            <w:bottom w:val="none" w:sz="0" w:space="0" w:color="auto"/>
            <w:right w:val="none" w:sz="0" w:space="0" w:color="auto"/>
          </w:divBdr>
        </w:div>
        <w:div w:id="1441796033">
          <w:marLeft w:val="0"/>
          <w:marRight w:val="0"/>
          <w:marTop w:val="0"/>
          <w:marBottom w:val="0"/>
          <w:divBdr>
            <w:top w:val="none" w:sz="0" w:space="0" w:color="auto"/>
            <w:left w:val="none" w:sz="0" w:space="0" w:color="auto"/>
            <w:bottom w:val="none" w:sz="0" w:space="0" w:color="auto"/>
            <w:right w:val="none" w:sz="0" w:space="0" w:color="auto"/>
          </w:divBdr>
        </w:div>
        <w:div w:id="1547135000">
          <w:marLeft w:val="0"/>
          <w:marRight w:val="0"/>
          <w:marTop w:val="0"/>
          <w:marBottom w:val="0"/>
          <w:divBdr>
            <w:top w:val="none" w:sz="0" w:space="0" w:color="auto"/>
            <w:left w:val="none" w:sz="0" w:space="0" w:color="auto"/>
            <w:bottom w:val="none" w:sz="0" w:space="0" w:color="auto"/>
            <w:right w:val="none" w:sz="0" w:space="0" w:color="auto"/>
          </w:divBdr>
        </w:div>
      </w:divsChild>
    </w:div>
    <w:div w:id="230820341">
      <w:bodyDiv w:val="1"/>
      <w:marLeft w:val="0"/>
      <w:marRight w:val="0"/>
      <w:marTop w:val="0"/>
      <w:marBottom w:val="0"/>
      <w:divBdr>
        <w:top w:val="none" w:sz="0" w:space="0" w:color="auto"/>
        <w:left w:val="none" w:sz="0" w:space="0" w:color="auto"/>
        <w:bottom w:val="none" w:sz="0" w:space="0" w:color="auto"/>
        <w:right w:val="none" w:sz="0" w:space="0" w:color="auto"/>
      </w:divBdr>
      <w:divsChild>
        <w:div w:id="238949257">
          <w:marLeft w:val="0"/>
          <w:marRight w:val="0"/>
          <w:marTop w:val="0"/>
          <w:marBottom w:val="0"/>
          <w:divBdr>
            <w:top w:val="none" w:sz="0" w:space="0" w:color="auto"/>
            <w:left w:val="none" w:sz="0" w:space="0" w:color="auto"/>
            <w:bottom w:val="none" w:sz="0" w:space="0" w:color="auto"/>
            <w:right w:val="none" w:sz="0" w:space="0" w:color="auto"/>
          </w:divBdr>
        </w:div>
        <w:div w:id="411590831">
          <w:marLeft w:val="0"/>
          <w:marRight w:val="0"/>
          <w:marTop w:val="0"/>
          <w:marBottom w:val="0"/>
          <w:divBdr>
            <w:top w:val="none" w:sz="0" w:space="0" w:color="auto"/>
            <w:left w:val="none" w:sz="0" w:space="0" w:color="auto"/>
            <w:bottom w:val="none" w:sz="0" w:space="0" w:color="auto"/>
            <w:right w:val="none" w:sz="0" w:space="0" w:color="auto"/>
          </w:divBdr>
        </w:div>
        <w:div w:id="572744314">
          <w:marLeft w:val="0"/>
          <w:marRight w:val="0"/>
          <w:marTop w:val="0"/>
          <w:marBottom w:val="0"/>
          <w:divBdr>
            <w:top w:val="none" w:sz="0" w:space="0" w:color="auto"/>
            <w:left w:val="none" w:sz="0" w:space="0" w:color="auto"/>
            <w:bottom w:val="none" w:sz="0" w:space="0" w:color="auto"/>
            <w:right w:val="none" w:sz="0" w:space="0" w:color="auto"/>
          </w:divBdr>
        </w:div>
        <w:div w:id="699352645">
          <w:marLeft w:val="0"/>
          <w:marRight w:val="0"/>
          <w:marTop w:val="0"/>
          <w:marBottom w:val="0"/>
          <w:divBdr>
            <w:top w:val="none" w:sz="0" w:space="0" w:color="auto"/>
            <w:left w:val="none" w:sz="0" w:space="0" w:color="auto"/>
            <w:bottom w:val="none" w:sz="0" w:space="0" w:color="auto"/>
            <w:right w:val="none" w:sz="0" w:space="0" w:color="auto"/>
          </w:divBdr>
        </w:div>
        <w:div w:id="727532098">
          <w:marLeft w:val="0"/>
          <w:marRight w:val="0"/>
          <w:marTop w:val="0"/>
          <w:marBottom w:val="0"/>
          <w:divBdr>
            <w:top w:val="none" w:sz="0" w:space="0" w:color="auto"/>
            <w:left w:val="none" w:sz="0" w:space="0" w:color="auto"/>
            <w:bottom w:val="none" w:sz="0" w:space="0" w:color="auto"/>
            <w:right w:val="none" w:sz="0" w:space="0" w:color="auto"/>
          </w:divBdr>
        </w:div>
        <w:div w:id="922376413">
          <w:marLeft w:val="0"/>
          <w:marRight w:val="0"/>
          <w:marTop w:val="0"/>
          <w:marBottom w:val="0"/>
          <w:divBdr>
            <w:top w:val="none" w:sz="0" w:space="0" w:color="auto"/>
            <w:left w:val="none" w:sz="0" w:space="0" w:color="auto"/>
            <w:bottom w:val="none" w:sz="0" w:space="0" w:color="auto"/>
            <w:right w:val="none" w:sz="0" w:space="0" w:color="auto"/>
          </w:divBdr>
        </w:div>
        <w:div w:id="1216967984">
          <w:marLeft w:val="0"/>
          <w:marRight w:val="0"/>
          <w:marTop w:val="0"/>
          <w:marBottom w:val="0"/>
          <w:divBdr>
            <w:top w:val="none" w:sz="0" w:space="0" w:color="auto"/>
            <w:left w:val="none" w:sz="0" w:space="0" w:color="auto"/>
            <w:bottom w:val="none" w:sz="0" w:space="0" w:color="auto"/>
            <w:right w:val="none" w:sz="0" w:space="0" w:color="auto"/>
          </w:divBdr>
        </w:div>
        <w:div w:id="1315795265">
          <w:marLeft w:val="0"/>
          <w:marRight w:val="0"/>
          <w:marTop w:val="0"/>
          <w:marBottom w:val="0"/>
          <w:divBdr>
            <w:top w:val="none" w:sz="0" w:space="0" w:color="auto"/>
            <w:left w:val="none" w:sz="0" w:space="0" w:color="auto"/>
            <w:bottom w:val="none" w:sz="0" w:space="0" w:color="auto"/>
            <w:right w:val="none" w:sz="0" w:space="0" w:color="auto"/>
          </w:divBdr>
        </w:div>
        <w:div w:id="1838884878">
          <w:marLeft w:val="0"/>
          <w:marRight w:val="0"/>
          <w:marTop w:val="0"/>
          <w:marBottom w:val="0"/>
          <w:divBdr>
            <w:top w:val="none" w:sz="0" w:space="0" w:color="auto"/>
            <w:left w:val="none" w:sz="0" w:space="0" w:color="auto"/>
            <w:bottom w:val="none" w:sz="0" w:space="0" w:color="auto"/>
            <w:right w:val="none" w:sz="0" w:space="0" w:color="auto"/>
          </w:divBdr>
        </w:div>
        <w:div w:id="1936478704">
          <w:marLeft w:val="0"/>
          <w:marRight w:val="0"/>
          <w:marTop w:val="0"/>
          <w:marBottom w:val="0"/>
          <w:divBdr>
            <w:top w:val="none" w:sz="0" w:space="0" w:color="auto"/>
            <w:left w:val="none" w:sz="0" w:space="0" w:color="auto"/>
            <w:bottom w:val="none" w:sz="0" w:space="0" w:color="auto"/>
            <w:right w:val="none" w:sz="0" w:space="0" w:color="auto"/>
          </w:divBdr>
        </w:div>
      </w:divsChild>
    </w:div>
    <w:div w:id="246426912">
      <w:bodyDiv w:val="1"/>
      <w:marLeft w:val="0"/>
      <w:marRight w:val="0"/>
      <w:marTop w:val="0"/>
      <w:marBottom w:val="0"/>
      <w:divBdr>
        <w:top w:val="none" w:sz="0" w:space="0" w:color="auto"/>
        <w:left w:val="none" w:sz="0" w:space="0" w:color="auto"/>
        <w:bottom w:val="none" w:sz="0" w:space="0" w:color="auto"/>
        <w:right w:val="none" w:sz="0" w:space="0" w:color="auto"/>
      </w:divBdr>
      <w:divsChild>
        <w:div w:id="203055893">
          <w:marLeft w:val="0"/>
          <w:marRight w:val="0"/>
          <w:marTop w:val="0"/>
          <w:marBottom w:val="0"/>
          <w:divBdr>
            <w:top w:val="none" w:sz="0" w:space="0" w:color="auto"/>
            <w:left w:val="none" w:sz="0" w:space="0" w:color="auto"/>
            <w:bottom w:val="none" w:sz="0" w:space="0" w:color="auto"/>
            <w:right w:val="none" w:sz="0" w:space="0" w:color="auto"/>
          </w:divBdr>
        </w:div>
        <w:div w:id="439953816">
          <w:marLeft w:val="0"/>
          <w:marRight w:val="0"/>
          <w:marTop w:val="0"/>
          <w:marBottom w:val="0"/>
          <w:divBdr>
            <w:top w:val="none" w:sz="0" w:space="0" w:color="auto"/>
            <w:left w:val="none" w:sz="0" w:space="0" w:color="auto"/>
            <w:bottom w:val="none" w:sz="0" w:space="0" w:color="auto"/>
            <w:right w:val="none" w:sz="0" w:space="0" w:color="auto"/>
          </w:divBdr>
        </w:div>
        <w:div w:id="669406433">
          <w:marLeft w:val="0"/>
          <w:marRight w:val="0"/>
          <w:marTop w:val="0"/>
          <w:marBottom w:val="0"/>
          <w:divBdr>
            <w:top w:val="none" w:sz="0" w:space="0" w:color="auto"/>
            <w:left w:val="none" w:sz="0" w:space="0" w:color="auto"/>
            <w:bottom w:val="none" w:sz="0" w:space="0" w:color="auto"/>
            <w:right w:val="none" w:sz="0" w:space="0" w:color="auto"/>
          </w:divBdr>
        </w:div>
        <w:div w:id="901410841">
          <w:marLeft w:val="0"/>
          <w:marRight w:val="0"/>
          <w:marTop w:val="0"/>
          <w:marBottom w:val="0"/>
          <w:divBdr>
            <w:top w:val="none" w:sz="0" w:space="0" w:color="auto"/>
            <w:left w:val="none" w:sz="0" w:space="0" w:color="auto"/>
            <w:bottom w:val="none" w:sz="0" w:space="0" w:color="auto"/>
            <w:right w:val="none" w:sz="0" w:space="0" w:color="auto"/>
          </w:divBdr>
        </w:div>
        <w:div w:id="1178696662">
          <w:marLeft w:val="0"/>
          <w:marRight w:val="0"/>
          <w:marTop w:val="0"/>
          <w:marBottom w:val="0"/>
          <w:divBdr>
            <w:top w:val="none" w:sz="0" w:space="0" w:color="auto"/>
            <w:left w:val="none" w:sz="0" w:space="0" w:color="auto"/>
            <w:bottom w:val="none" w:sz="0" w:space="0" w:color="auto"/>
            <w:right w:val="none" w:sz="0" w:space="0" w:color="auto"/>
          </w:divBdr>
        </w:div>
        <w:div w:id="1260600957">
          <w:marLeft w:val="0"/>
          <w:marRight w:val="0"/>
          <w:marTop w:val="0"/>
          <w:marBottom w:val="0"/>
          <w:divBdr>
            <w:top w:val="none" w:sz="0" w:space="0" w:color="auto"/>
            <w:left w:val="none" w:sz="0" w:space="0" w:color="auto"/>
            <w:bottom w:val="none" w:sz="0" w:space="0" w:color="auto"/>
            <w:right w:val="none" w:sz="0" w:space="0" w:color="auto"/>
          </w:divBdr>
        </w:div>
        <w:div w:id="1744253136">
          <w:marLeft w:val="0"/>
          <w:marRight w:val="0"/>
          <w:marTop w:val="0"/>
          <w:marBottom w:val="0"/>
          <w:divBdr>
            <w:top w:val="none" w:sz="0" w:space="0" w:color="auto"/>
            <w:left w:val="none" w:sz="0" w:space="0" w:color="auto"/>
            <w:bottom w:val="none" w:sz="0" w:space="0" w:color="auto"/>
            <w:right w:val="none" w:sz="0" w:space="0" w:color="auto"/>
          </w:divBdr>
        </w:div>
        <w:div w:id="1807047914">
          <w:marLeft w:val="0"/>
          <w:marRight w:val="0"/>
          <w:marTop w:val="0"/>
          <w:marBottom w:val="0"/>
          <w:divBdr>
            <w:top w:val="none" w:sz="0" w:space="0" w:color="auto"/>
            <w:left w:val="none" w:sz="0" w:space="0" w:color="auto"/>
            <w:bottom w:val="none" w:sz="0" w:space="0" w:color="auto"/>
            <w:right w:val="none" w:sz="0" w:space="0" w:color="auto"/>
          </w:divBdr>
        </w:div>
        <w:div w:id="1847863726">
          <w:marLeft w:val="0"/>
          <w:marRight w:val="0"/>
          <w:marTop w:val="0"/>
          <w:marBottom w:val="0"/>
          <w:divBdr>
            <w:top w:val="none" w:sz="0" w:space="0" w:color="auto"/>
            <w:left w:val="none" w:sz="0" w:space="0" w:color="auto"/>
            <w:bottom w:val="none" w:sz="0" w:space="0" w:color="auto"/>
            <w:right w:val="none" w:sz="0" w:space="0" w:color="auto"/>
          </w:divBdr>
        </w:div>
      </w:divsChild>
    </w:div>
    <w:div w:id="249237585">
      <w:bodyDiv w:val="1"/>
      <w:marLeft w:val="0"/>
      <w:marRight w:val="0"/>
      <w:marTop w:val="0"/>
      <w:marBottom w:val="0"/>
      <w:divBdr>
        <w:top w:val="none" w:sz="0" w:space="0" w:color="auto"/>
        <w:left w:val="none" w:sz="0" w:space="0" w:color="auto"/>
        <w:bottom w:val="none" w:sz="0" w:space="0" w:color="auto"/>
        <w:right w:val="none" w:sz="0" w:space="0" w:color="auto"/>
      </w:divBdr>
      <w:divsChild>
        <w:div w:id="1388987534">
          <w:marLeft w:val="0"/>
          <w:marRight w:val="0"/>
          <w:marTop w:val="0"/>
          <w:marBottom w:val="0"/>
          <w:divBdr>
            <w:top w:val="none" w:sz="0" w:space="0" w:color="auto"/>
            <w:left w:val="none" w:sz="0" w:space="0" w:color="auto"/>
            <w:bottom w:val="none" w:sz="0" w:space="0" w:color="auto"/>
            <w:right w:val="none" w:sz="0" w:space="0" w:color="auto"/>
          </w:divBdr>
          <w:divsChild>
            <w:div w:id="1215191702">
              <w:marLeft w:val="0"/>
              <w:marRight w:val="0"/>
              <w:marTop w:val="0"/>
              <w:marBottom w:val="0"/>
              <w:divBdr>
                <w:top w:val="none" w:sz="0" w:space="0" w:color="auto"/>
                <w:left w:val="none" w:sz="0" w:space="0" w:color="auto"/>
                <w:bottom w:val="none" w:sz="0" w:space="0" w:color="auto"/>
                <w:right w:val="none" w:sz="0" w:space="0" w:color="auto"/>
              </w:divBdr>
              <w:divsChild>
                <w:div w:id="5939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3607">
      <w:bodyDiv w:val="1"/>
      <w:marLeft w:val="0"/>
      <w:marRight w:val="0"/>
      <w:marTop w:val="0"/>
      <w:marBottom w:val="0"/>
      <w:divBdr>
        <w:top w:val="none" w:sz="0" w:space="0" w:color="auto"/>
        <w:left w:val="none" w:sz="0" w:space="0" w:color="auto"/>
        <w:bottom w:val="none" w:sz="0" w:space="0" w:color="auto"/>
        <w:right w:val="none" w:sz="0" w:space="0" w:color="auto"/>
      </w:divBdr>
    </w:div>
    <w:div w:id="282418486">
      <w:bodyDiv w:val="1"/>
      <w:marLeft w:val="0"/>
      <w:marRight w:val="0"/>
      <w:marTop w:val="0"/>
      <w:marBottom w:val="0"/>
      <w:divBdr>
        <w:top w:val="none" w:sz="0" w:space="0" w:color="auto"/>
        <w:left w:val="none" w:sz="0" w:space="0" w:color="auto"/>
        <w:bottom w:val="none" w:sz="0" w:space="0" w:color="auto"/>
        <w:right w:val="none" w:sz="0" w:space="0" w:color="auto"/>
      </w:divBdr>
    </w:div>
    <w:div w:id="291059086">
      <w:bodyDiv w:val="1"/>
      <w:marLeft w:val="0"/>
      <w:marRight w:val="0"/>
      <w:marTop w:val="0"/>
      <w:marBottom w:val="0"/>
      <w:divBdr>
        <w:top w:val="none" w:sz="0" w:space="0" w:color="auto"/>
        <w:left w:val="none" w:sz="0" w:space="0" w:color="auto"/>
        <w:bottom w:val="none" w:sz="0" w:space="0" w:color="auto"/>
        <w:right w:val="none" w:sz="0" w:space="0" w:color="auto"/>
      </w:divBdr>
    </w:div>
    <w:div w:id="297807747">
      <w:bodyDiv w:val="1"/>
      <w:marLeft w:val="0"/>
      <w:marRight w:val="0"/>
      <w:marTop w:val="0"/>
      <w:marBottom w:val="0"/>
      <w:divBdr>
        <w:top w:val="none" w:sz="0" w:space="0" w:color="auto"/>
        <w:left w:val="none" w:sz="0" w:space="0" w:color="auto"/>
        <w:bottom w:val="none" w:sz="0" w:space="0" w:color="auto"/>
        <w:right w:val="none" w:sz="0" w:space="0" w:color="auto"/>
      </w:divBdr>
    </w:div>
    <w:div w:id="298147358">
      <w:bodyDiv w:val="1"/>
      <w:marLeft w:val="0"/>
      <w:marRight w:val="0"/>
      <w:marTop w:val="0"/>
      <w:marBottom w:val="0"/>
      <w:divBdr>
        <w:top w:val="none" w:sz="0" w:space="0" w:color="auto"/>
        <w:left w:val="none" w:sz="0" w:space="0" w:color="auto"/>
        <w:bottom w:val="none" w:sz="0" w:space="0" w:color="auto"/>
        <w:right w:val="none" w:sz="0" w:space="0" w:color="auto"/>
      </w:divBdr>
    </w:div>
    <w:div w:id="307907001">
      <w:bodyDiv w:val="1"/>
      <w:marLeft w:val="0"/>
      <w:marRight w:val="0"/>
      <w:marTop w:val="0"/>
      <w:marBottom w:val="0"/>
      <w:divBdr>
        <w:top w:val="none" w:sz="0" w:space="0" w:color="auto"/>
        <w:left w:val="none" w:sz="0" w:space="0" w:color="auto"/>
        <w:bottom w:val="none" w:sz="0" w:space="0" w:color="auto"/>
        <w:right w:val="none" w:sz="0" w:space="0" w:color="auto"/>
      </w:divBdr>
      <w:divsChild>
        <w:div w:id="616104806">
          <w:marLeft w:val="0"/>
          <w:marRight w:val="0"/>
          <w:marTop w:val="0"/>
          <w:marBottom w:val="0"/>
          <w:divBdr>
            <w:top w:val="none" w:sz="0" w:space="0" w:color="auto"/>
            <w:left w:val="none" w:sz="0" w:space="0" w:color="auto"/>
            <w:bottom w:val="none" w:sz="0" w:space="0" w:color="auto"/>
            <w:right w:val="none" w:sz="0" w:space="0" w:color="auto"/>
          </w:divBdr>
        </w:div>
        <w:div w:id="668825248">
          <w:marLeft w:val="0"/>
          <w:marRight w:val="0"/>
          <w:marTop w:val="0"/>
          <w:marBottom w:val="0"/>
          <w:divBdr>
            <w:top w:val="none" w:sz="0" w:space="0" w:color="auto"/>
            <w:left w:val="none" w:sz="0" w:space="0" w:color="auto"/>
            <w:bottom w:val="none" w:sz="0" w:space="0" w:color="auto"/>
            <w:right w:val="none" w:sz="0" w:space="0" w:color="auto"/>
          </w:divBdr>
        </w:div>
        <w:div w:id="763189537">
          <w:marLeft w:val="0"/>
          <w:marRight w:val="0"/>
          <w:marTop w:val="0"/>
          <w:marBottom w:val="0"/>
          <w:divBdr>
            <w:top w:val="none" w:sz="0" w:space="0" w:color="auto"/>
            <w:left w:val="none" w:sz="0" w:space="0" w:color="auto"/>
            <w:bottom w:val="none" w:sz="0" w:space="0" w:color="auto"/>
            <w:right w:val="none" w:sz="0" w:space="0" w:color="auto"/>
          </w:divBdr>
        </w:div>
        <w:div w:id="1238831266">
          <w:marLeft w:val="0"/>
          <w:marRight w:val="0"/>
          <w:marTop w:val="0"/>
          <w:marBottom w:val="0"/>
          <w:divBdr>
            <w:top w:val="none" w:sz="0" w:space="0" w:color="auto"/>
            <w:left w:val="none" w:sz="0" w:space="0" w:color="auto"/>
            <w:bottom w:val="none" w:sz="0" w:space="0" w:color="auto"/>
            <w:right w:val="none" w:sz="0" w:space="0" w:color="auto"/>
          </w:divBdr>
        </w:div>
        <w:div w:id="1265501742">
          <w:marLeft w:val="0"/>
          <w:marRight w:val="0"/>
          <w:marTop w:val="0"/>
          <w:marBottom w:val="0"/>
          <w:divBdr>
            <w:top w:val="none" w:sz="0" w:space="0" w:color="auto"/>
            <w:left w:val="none" w:sz="0" w:space="0" w:color="auto"/>
            <w:bottom w:val="none" w:sz="0" w:space="0" w:color="auto"/>
            <w:right w:val="none" w:sz="0" w:space="0" w:color="auto"/>
          </w:divBdr>
        </w:div>
        <w:div w:id="1461806381">
          <w:marLeft w:val="0"/>
          <w:marRight w:val="0"/>
          <w:marTop w:val="0"/>
          <w:marBottom w:val="0"/>
          <w:divBdr>
            <w:top w:val="none" w:sz="0" w:space="0" w:color="auto"/>
            <w:left w:val="none" w:sz="0" w:space="0" w:color="auto"/>
            <w:bottom w:val="none" w:sz="0" w:space="0" w:color="auto"/>
            <w:right w:val="none" w:sz="0" w:space="0" w:color="auto"/>
          </w:divBdr>
        </w:div>
        <w:div w:id="1632436511">
          <w:marLeft w:val="0"/>
          <w:marRight w:val="0"/>
          <w:marTop w:val="0"/>
          <w:marBottom w:val="0"/>
          <w:divBdr>
            <w:top w:val="none" w:sz="0" w:space="0" w:color="auto"/>
            <w:left w:val="none" w:sz="0" w:space="0" w:color="auto"/>
            <w:bottom w:val="none" w:sz="0" w:space="0" w:color="auto"/>
            <w:right w:val="none" w:sz="0" w:space="0" w:color="auto"/>
          </w:divBdr>
        </w:div>
        <w:div w:id="1678119400">
          <w:marLeft w:val="0"/>
          <w:marRight w:val="0"/>
          <w:marTop w:val="0"/>
          <w:marBottom w:val="0"/>
          <w:divBdr>
            <w:top w:val="none" w:sz="0" w:space="0" w:color="auto"/>
            <w:left w:val="none" w:sz="0" w:space="0" w:color="auto"/>
            <w:bottom w:val="none" w:sz="0" w:space="0" w:color="auto"/>
            <w:right w:val="none" w:sz="0" w:space="0" w:color="auto"/>
          </w:divBdr>
        </w:div>
        <w:div w:id="1812550059">
          <w:marLeft w:val="0"/>
          <w:marRight w:val="0"/>
          <w:marTop w:val="0"/>
          <w:marBottom w:val="0"/>
          <w:divBdr>
            <w:top w:val="none" w:sz="0" w:space="0" w:color="auto"/>
            <w:left w:val="none" w:sz="0" w:space="0" w:color="auto"/>
            <w:bottom w:val="none" w:sz="0" w:space="0" w:color="auto"/>
            <w:right w:val="none" w:sz="0" w:space="0" w:color="auto"/>
          </w:divBdr>
        </w:div>
      </w:divsChild>
    </w:div>
    <w:div w:id="341132528">
      <w:bodyDiv w:val="1"/>
      <w:marLeft w:val="0"/>
      <w:marRight w:val="0"/>
      <w:marTop w:val="0"/>
      <w:marBottom w:val="0"/>
      <w:divBdr>
        <w:top w:val="none" w:sz="0" w:space="0" w:color="auto"/>
        <w:left w:val="none" w:sz="0" w:space="0" w:color="auto"/>
        <w:bottom w:val="none" w:sz="0" w:space="0" w:color="auto"/>
        <w:right w:val="none" w:sz="0" w:space="0" w:color="auto"/>
      </w:divBdr>
    </w:div>
    <w:div w:id="401952847">
      <w:bodyDiv w:val="1"/>
      <w:marLeft w:val="0"/>
      <w:marRight w:val="0"/>
      <w:marTop w:val="0"/>
      <w:marBottom w:val="0"/>
      <w:divBdr>
        <w:top w:val="none" w:sz="0" w:space="0" w:color="auto"/>
        <w:left w:val="none" w:sz="0" w:space="0" w:color="auto"/>
        <w:bottom w:val="none" w:sz="0" w:space="0" w:color="auto"/>
        <w:right w:val="none" w:sz="0" w:space="0" w:color="auto"/>
      </w:divBdr>
    </w:div>
    <w:div w:id="412700985">
      <w:bodyDiv w:val="1"/>
      <w:marLeft w:val="0"/>
      <w:marRight w:val="0"/>
      <w:marTop w:val="0"/>
      <w:marBottom w:val="0"/>
      <w:divBdr>
        <w:top w:val="none" w:sz="0" w:space="0" w:color="auto"/>
        <w:left w:val="none" w:sz="0" w:space="0" w:color="auto"/>
        <w:bottom w:val="none" w:sz="0" w:space="0" w:color="auto"/>
        <w:right w:val="none" w:sz="0" w:space="0" w:color="auto"/>
      </w:divBdr>
    </w:div>
    <w:div w:id="434445061">
      <w:bodyDiv w:val="1"/>
      <w:marLeft w:val="0"/>
      <w:marRight w:val="0"/>
      <w:marTop w:val="0"/>
      <w:marBottom w:val="0"/>
      <w:divBdr>
        <w:top w:val="none" w:sz="0" w:space="0" w:color="auto"/>
        <w:left w:val="none" w:sz="0" w:space="0" w:color="auto"/>
        <w:bottom w:val="none" w:sz="0" w:space="0" w:color="auto"/>
        <w:right w:val="none" w:sz="0" w:space="0" w:color="auto"/>
      </w:divBdr>
    </w:div>
    <w:div w:id="439033530">
      <w:bodyDiv w:val="1"/>
      <w:marLeft w:val="0"/>
      <w:marRight w:val="0"/>
      <w:marTop w:val="0"/>
      <w:marBottom w:val="0"/>
      <w:divBdr>
        <w:top w:val="none" w:sz="0" w:space="0" w:color="auto"/>
        <w:left w:val="none" w:sz="0" w:space="0" w:color="auto"/>
        <w:bottom w:val="none" w:sz="0" w:space="0" w:color="auto"/>
        <w:right w:val="none" w:sz="0" w:space="0" w:color="auto"/>
      </w:divBdr>
    </w:div>
    <w:div w:id="444738919">
      <w:bodyDiv w:val="1"/>
      <w:marLeft w:val="0"/>
      <w:marRight w:val="0"/>
      <w:marTop w:val="0"/>
      <w:marBottom w:val="0"/>
      <w:divBdr>
        <w:top w:val="none" w:sz="0" w:space="0" w:color="auto"/>
        <w:left w:val="none" w:sz="0" w:space="0" w:color="auto"/>
        <w:bottom w:val="none" w:sz="0" w:space="0" w:color="auto"/>
        <w:right w:val="none" w:sz="0" w:space="0" w:color="auto"/>
      </w:divBdr>
      <w:divsChild>
        <w:div w:id="679284164">
          <w:marLeft w:val="0"/>
          <w:marRight w:val="0"/>
          <w:marTop w:val="0"/>
          <w:marBottom w:val="0"/>
          <w:divBdr>
            <w:top w:val="none" w:sz="0" w:space="0" w:color="auto"/>
            <w:left w:val="none" w:sz="0" w:space="0" w:color="auto"/>
            <w:bottom w:val="none" w:sz="0" w:space="0" w:color="auto"/>
            <w:right w:val="none" w:sz="0" w:space="0" w:color="auto"/>
          </w:divBdr>
          <w:divsChild>
            <w:div w:id="803930246">
              <w:marLeft w:val="0"/>
              <w:marRight w:val="0"/>
              <w:marTop w:val="0"/>
              <w:marBottom w:val="0"/>
              <w:divBdr>
                <w:top w:val="none" w:sz="0" w:space="0" w:color="auto"/>
                <w:left w:val="none" w:sz="0" w:space="0" w:color="auto"/>
                <w:bottom w:val="none" w:sz="0" w:space="0" w:color="auto"/>
                <w:right w:val="none" w:sz="0" w:space="0" w:color="auto"/>
              </w:divBdr>
              <w:divsChild>
                <w:div w:id="16780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7282">
      <w:bodyDiv w:val="1"/>
      <w:marLeft w:val="0"/>
      <w:marRight w:val="0"/>
      <w:marTop w:val="0"/>
      <w:marBottom w:val="0"/>
      <w:divBdr>
        <w:top w:val="none" w:sz="0" w:space="0" w:color="auto"/>
        <w:left w:val="none" w:sz="0" w:space="0" w:color="auto"/>
        <w:bottom w:val="none" w:sz="0" w:space="0" w:color="auto"/>
        <w:right w:val="none" w:sz="0" w:space="0" w:color="auto"/>
      </w:divBdr>
    </w:div>
    <w:div w:id="478496758">
      <w:bodyDiv w:val="1"/>
      <w:marLeft w:val="0"/>
      <w:marRight w:val="0"/>
      <w:marTop w:val="0"/>
      <w:marBottom w:val="0"/>
      <w:divBdr>
        <w:top w:val="none" w:sz="0" w:space="0" w:color="auto"/>
        <w:left w:val="none" w:sz="0" w:space="0" w:color="auto"/>
        <w:bottom w:val="none" w:sz="0" w:space="0" w:color="auto"/>
        <w:right w:val="none" w:sz="0" w:space="0" w:color="auto"/>
      </w:divBdr>
    </w:div>
    <w:div w:id="487523397">
      <w:bodyDiv w:val="1"/>
      <w:marLeft w:val="0"/>
      <w:marRight w:val="0"/>
      <w:marTop w:val="0"/>
      <w:marBottom w:val="0"/>
      <w:divBdr>
        <w:top w:val="none" w:sz="0" w:space="0" w:color="auto"/>
        <w:left w:val="none" w:sz="0" w:space="0" w:color="auto"/>
        <w:bottom w:val="none" w:sz="0" w:space="0" w:color="auto"/>
        <w:right w:val="none" w:sz="0" w:space="0" w:color="auto"/>
      </w:divBdr>
    </w:div>
    <w:div w:id="504977275">
      <w:bodyDiv w:val="1"/>
      <w:marLeft w:val="0"/>
      <w:marRight w:val="0"/>
      <w:marTop w:val="0"/>
      <w:marBottom w:val="0"/>
      <w:divBdr>
        <w:top w:val="none" w:sz="0" w:space="0" w:color="auto"/>
        <w:left w:val="none" w:sz="0" w:space="0" w:color="auto"/>
        <w:bottom w:val="none" w:sz="0" w:space="0" w:color="auto"/>
        <w:right w:val="none" w:sz="0" w:space="0" w:color="auto"/>
      </w:divBdr>
    </w:div>
    <w:div w:id="514729343">
      <w:bodyDiv w:val="1"/>
      <w:marLeft w:val="0"/>
      <w:marRight w:val="0"/>
      <w:marTop w:val="0"/>
      <w:marBottom w:val="0"/>
      <w:divBdr>
        <w:top w:val="none" w:sz="0" w:space="0" w:color="auto"/>
        <w:left w:val="none" w:sz="0" w:space="0" w:color="auto"/>
        <w:bottom w:val="none" w:sz="0" w:space="0" w:color="auto"/>
        <w:right w:val="none" w:sz="0" w:space="0" w:color="auto"/>
      </w:divBdr>
    </w:div>
    <w:div w:id="531650538">
      <w:bodyDiv w:val="1"/>
      <w:marLeft w:val="0"/>
      <w:marRight w:val="0"/>
      <w:marTop w:val="0"/>
      <w:marBottom w:val="0"/>
      <w:divBdr>
        <w:top w:val="none" w:sz="0" w:space="0" w:color="auto"/>
        <w:left w:val="none" w:sz="0" w:space="0" w:color="auto"/>
        <w:bottom w:val="none" w:sz="0" w:space="0" w:color="auto"/>
        <w:right w:val="none" w:sz="0" w:space="0" w:color="auto"/>
      </w:divBdr>
    </w:div>
    <w:div w:id="552279878">
      <w:bodyDiv w:val="1"/>
      <w:marLeft w:val="0"/>
      <w:marRight w:val="0"/>
      <w:marTop w:val="0"/>
      <w:marBottom w:val="0"/>
      <w:divBdr>
        <w:top w:val="none" w:sz="0" w:space="0" w:color="auto"/>
        <w:left w:val="none" w:sz="0" w:space="0" w:color="auto"/>
        <w:bottom w:val="none" w:sz="0" w:space="0" w:color="auto"/>
        <w:right w:val="none" w:sz="0" w:space="0" w:color="auto"/>
      </w:divBdr>
    </w:div>
    <w:div w:id="552549321">
      <w:bodyDiv w:val="1"/>
      <w:marLeft w:val="0"/>
      <w:marRight w:val="0"/>
      <w:marTop w:val="0"/>
      <w:marBottom w:val="0"/>
      <w:divBdr>
        <w:top w:val="none" w:sz="0" w:space="0" w:color="auto"/>
        <w:left w:val="none" w:sz="0" w:space="0" w:color="auto"/>
        <w:bottom w:val="none" w:sz="0" w:space="0" w:color="auto"/>
        <w:right w:val="none" w:sz="0" w:space="0" w:color="auto"/>
      </w:divBdr>
      <w:divsChild>
        <w:div w:id="1138381163">
          <w:marLeft w:val="0"/>
          <w:marRight w:val="0"/>
          <w:marTop w:val="0"/>
          <w:marBottom w:val="0"/>
          <w:divBdr>
            <w:top w:val="none" w:sz="0" w:space="0" w:color="auto"/>
            <w:left w:val="none" w:sz="0" w:space="0" w:color="auto"/>
            <w:bottom w:val="none" w:sz="0" w:space="0" w:color="auto"/>
            <w:right w:val="none" w:sz="0" w:space="0" w:color="auto"/>
          </w:divBdr>
          <w:divsChild>
            <w:div w:id="163984229">
              <w:marLeft w:val="0"/>
              <w:marRight w:val="0"/>
              <w:marTop w:val="0"/>
              <w:marBottom w:val="0"/>
              <w:divBdr>
                <w:top w:val="none" w:sz="0" w:space="0" w:color="auto"/>
                <w:left w:val="none" w:sz="0" w:space="0" w:color="auto"/>
                <w:bottom w:val="none" w:sz="0" w:space="0" w:color="auto"/>
                <w:right w:val="none" w:sz="0" w:space="0" w:color="auto"/>
              </w:divBdr>
            </w:div>
            <w:div w:id="206918109">
              <w:marLeft w:val="0"/>
              <w:marRight w:val="0"/>
              <w:marTop w:val="0"/>
              <w:marBottom w:val="0"/>
              <w:divBdr>
                <w:top w:val="none" w:sz="0" w:space="0" w:color="auto"/>
                <w:left w:val="none" w:sz="0" w:space="0" w:color="auto"/>
                <w:bottom w:val="none" w:sz="0" w:space="0" w:color="auto"/>
                <w:right w:val="none" w:sz="0" w:space="0" w:color="auto"/>
              </w:divBdr>
            </w:div>
            <w:div w:id="730227936">
              <w:marLeft w:val="0"/>
              <w:marRight w:val="0"/>
              <w:marTop w:val="0"/>
              <w:marBottom w:val="0"/>
              <w:divBdr>
                <w:top w:val="none" w:sz="0" w:space="0" w:color="auto"/>
                <w:left w:val="none" w:sz="0" w:space="0" w:color="auto"/>
                <w:bottom w:val="none" w:sz="0" w:space="0" w:color="auto"/>
                <w:right w:val="none" w:sz="0" w:space="0" w:color="auto"/>
              </w:divBdr>
            </w:div>
          </w:divsChild>
        </w:div>
        <w:div w:id="1820489907">
          <w:marLeft w:val="0"/>
          <w:marRight w:val="0"/>
          <w:marTop w:val="0"/>
          <w:marBottom w:val="0"/>
          <w:divBdr>
            <w:top w:val="none" w:sz="0" w:space="0" w:color="auto"/>
            <w:left w:val="none" w:sz="0" w:space="0" w:color="auto"/>
            <w:bottom w:val="none" w:sz="0" w:space="0" w:color="auto"/>
            <w:right w:val="none" w:sz="0" w:space="0" w:color="auto"/>
          </w:divBdr>
          <w:divsChild>
            <w:div w:id="1202399541">
              <w:marLeft w:val="0"/>
              <w:marRight w:val="0"/>
              <w:marTop w:val="0"/>
              <w:marBottom w:val="0"/>
              <w:divBdr>
                <w:top w:val="none" w:sz="0" w:space="0" w:color="auto"/>
                <w:left w:val="none" w:sz="0" w:space="0" w:color="auto"/>
                <w:bottom w:val="none" w:sz="0" w:space="0" w:color="auto"/>
                <w:right w:val="none" w:sz="0" w:space="0" w:color="auto"/>
              </w:divBdr>
            </w:div>
            <w:div w:id="1241713854">
              <w:marLeft w:val="0"/>
              <w:marRight w:val="0"/>
              <w:marTop w:val="0"/>
              <w:marBottom w:val="0"/>
              <w:divBdr>
                <w:top w:val="none" w:sz="0" w:space="0" w:color="auto"/>
                <w:left w:val="none" w:sz="0" w:space="0" w:color="auto"/>
                <w:bottom w:val="none" w:sz="0" w:space="0" w:color="auto"/>
                <w:right w:val="none" w:sz="0" w:space="0" w:color="auto"/>
              </w:divBdr>
            </w:div>
            <w:div w:id="1254244662">
              <w:marLeft w:val="0"/>
              <w:marRight w:val="0"/>
              <w:marTop w:val="0"/>
              <w:marBottom w:val="0"/>
              <w:divBdr>
                <w:top w:val="none" w:sz="0" w:space="0" w:color="auto"/>
                <w:left w:val="none" w:sz="0" w:space="0" w:color="auto"/>
                <w:bottom w:val="none" w:sz="0" w:space="0" w:color="auto"/>
                <w:right w:val="none" w:sz="0" w:space="0" w:color="auto"/>
              </w:divBdr>
            </w:div>
            <w:div w:id="1362583174">
              <w:marLeft w:val="0"/>
              <w:marRight w:val="0"/>
              <w:marTop w:val="0"/>
              <w:marBottom w:val="0"/>
              <w:divBdr>
                <w:top w:val="none" w:sz="0" w:space="0" w:color="auto"/>
                <w:left w:val="none" w:sz="0" w:space="0" w:color="auto"/>
                <w:bottom w:val="none" w:sz="0" w:space="0" w:color="auto"/>
                <w:right w:val="none" w:sz="0" w:space="0" w:color="auto"/>
              </w:divBdr>
            </w:div>
            <w:div w:id="16789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5337">
      <w:bodyDiv w:val="1"/>
      <w:marLeft w:val="0"/>
      <w:marRight w:val="0"/>
      <w:marTop w:val="0"/>
      <w:marBottom w:val="0"/>
      <w:divBdr>
        <w:top w:val="none" w:sz="0" w:space="0" w:color="auto"/>
        <w:left w:val="none" w:sz="0" w:space="0" w:color="auto"/>
        <w:bottom w:val="none" w:sz="0" w:space="0" w:color="auto"/>
        <w:right w:val="none" w:sz="0" w:space="0" w:color="auto"/>
      </w:divBdr>
    </w:div>
    <w:div w:id="639266325">
      <w:bodyDiv w:val="1"/>
      <w:marLeft w:val="0"/>
      <w:marRight w:val="0"/>
      <w:marTop w:val="0"/>
      <w:marBottom w:val="0"/>
      <w:divBdr>
        <w:top w:val="none" w:sz="0" w:space="0" w:color="auto"/>
        <w:left w:val="none" w:sz="0" w:space="0" w:color="auto"/>
        <w:bottom w:val="none" w:sz="0" w:space="0" w:color="auto"/>
        <w:right w:val="none" w:sz="0" w:space="0" w:color="auto"/>
      </w:divBdr>
    </w:div>
    <w:div w:id="646979077">
      <w:bodyDiv w:val="1"/>
      <w:marLeft w:val="0"/>
      <w:marRight w:val="0"/>
      <w:marTop w:val="0"/>
      <w:marBottom w:val="0"/>
      <w:divBdr>
        <w:top w:val="none" w:sz="0" w:space="0" w:color="auto"/>
        <w:left w:val="none" w:sz="0" w:space="0" w:color="auto"/>
        <w:bottom w:val="none" w:sz="0" w:space="0" w:color="auto"/>
        <w:right w:val="none" w:sz="0" w:space="0" w:color="auto"/>
      </w:divBdr>
    </w:div>
    <w:div w:id="666399465">
      <w:bodyDiv w:val="1"/>
      <w:marLeft w:val="0"/>
      <w:marRight w:val="0"/>
      <w:marTop w:val="0"/>
      <w:marBottom w:val="0"/>
      <w:divBdr>
        <w:top w:val="none" w:sz="0" w:space="0" w:color="auto"/>
        <w:left w:val="none" w:sz="0" w:space="0" w:color="auto"/>
        <w:bottom w:val="none" w:sz="0" w:space="0" w:color="auto"/>
        <w:right w:val="none" w:sz="0" w:space="0" w:color="auto"/>
      </w:divBdr>
    </w:div>
    <w:div w:id="668678655">
      <w:bodyDiv w:val="1"/>
      <w:marLeft w:val="0"/>
      <w:marRight w:val="0"/>
      <w:marTop w:val="0"/>
      <w:marBottom w:val="0"/>
      <w:divBdr>
        <w:top w:val="none" w:sz="0" w:space="0" w:color="auto"/>
        <w:left w:val="none" w:sz="0" w:space="0" w:color="auto"/>
        <w:bottom w:val="none" w:sz="0" w:space="0" w:color="auto"/>
        <w:right w:val="none" w:sz="0" w:space="0" w:color="auto"/>
      </w:divBdr>
    </w:div>
    <w:div w:id="682784777">
      <w:bodyDiv w:val="1"/>
      <w:marLeft w:val="0"/>
      <w:marRight w:val="0"/>
      <w:marTop w:val="0"/>
      <w:marBottom w:val="0"/>
      <w:divBdr>
        <w:top w:val="none" w:sz="0" w:space="0" w:color="auto"/>
        <w:left w:val="none" w:sz="0" w:space="0" w:color="auto"/>
        <w:bottom w:val="none" w:sz="0" w:space="0" w:color="auto"/>
        <w:right w:val="none" w:sz="0" w:space="0" w:color="auto"/>
      </w:divBdr>
    </w:div>
    <w:div w:id="702631195">
      <w:bodyDiv w:val="1"/>
      <w:marLeft w:val="0"/>
      <w:marRight w:val="0"/>
      <w:marTop w:val="0"/>
      <w:marBottom w:val="0"/>
      <w:divBdr>
        <w:top w:val="none" w:sz="0" w:space="0" w:color="auto"/>
        <w:left w:val="none" w:sz="0" w:space="0" w:color="auto"/>
        <w:bottom w:val="none" w:sz="0" w:space="0" w:color="auto"/>
        <w:right w:val="none" w:sz="0" w:space="0" w:color="auto"/>
      </w:divBdr>
    </w:div>
    <w:div w:id="719745920">
      <w:bodyDiv w:val="1"/>
      <w:marLeft w:val="0"/>
      <w:marRight w:val="0"/>
      <w:marTop w:val="0"/>
      <w:marBottom w:val="0"/>
      <w:divBdr>
        <w:top w:val="none" w:sz="0" w:space="0" w:color="auto"/>
        <w:left w:val="none" w:sz="0" w:space="0" w:color="auto"/>
        <w:bottom w:val="none" w:sz="0" w:space="0" w:color="auto"/>
        <w:right w:val="none" w:sz="0" w:space="0" w:color="auto"/>
      </w:divBdr>
    </w:div>
    <w:div w:id="719985622">
      <w:bodyDiv w:val="1"/>
      <w:marLeft w:val="0"/>
      <w:marRight w:val="0"/>
      <w:marTop w:val="0"/>
      <w:marBottom w:val="0"/>
      <w:divBdr>
        <w:top w:val="none" w:sz="0" w:space="0" w:color="auto"/>
        <w:left w:val="none" w:sz="0" w:space="0" w:color="auto"/>
        <w:bottom w:val="none" w:sz="0" w:space="0" w:color="auto"/>
        <w:right w:val="none" w:sz="0" w:space="0" w:color="auto"/>
      </w:divBdr>
      <w:divsChild>
        <w:div w:id="1383673343">
          <w:marLeft w:val="0"/>
          <w:marRight w:val="0"/>
          <w:marTop w:val="0"/>
          <w:marBottom w:val="0"/>
          <w:divBdr>
            <w:top w:val="none" w:sz="0" w:space="0" w:color="auto"/>
            <w:left w:val="none" w:sz="0" w:space="0" w:color="auto"/>
            <w:bottom w:val="none" w:sz="0" w:space="0" w:color="auto"/>
            <w:right w:val="none" w:sz="0" w:space="0" w:color="auto"/>
          </w:divBdr>
          <w:divsChild>
            <w:div w:id="705714228">
              <w:marLeft w:val="0"/>
              <w:marRight w:val="0"/>
              <w:marTop w:val="0"/>
              <w:marBottom w:val="0"/>
              <w:divBdr>
                <w:top w:val="none" w:sz="0" w:space="0" w:color="auto"/>
                <w:left w:val="none" w:sz="0" w:space="0" w:color="auto"/>
                <w:bottom w:val="none" w:sz="0" w:space="0" w:color="auto"/>
                <w:right w:val="none" w:sz="0" w:space="0" w:color="auto"/>
              </w:divBdr>
              <w:divsChild>
                <w:div w:id="7192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4643">
      <w:bodyDiv w:val="1"/>
      <w:marLeft w:val="0"/>
      <w:marRight w:val="0"/>
      <w:marTop w:val="0"/>
      <w:marBottom w:val="0"/>
      <w:divBdr>
        <w:top w:val="none" w:sz="0" w:space="0" w:color="auto"/>
        <w:left w:val="none" w:sz="0" w:space="0" w:color="auto"/>
        <w:bottom w:val="none" w:sz="0" w:space="0" w:color="auto"/>
        <w:right w:val="none" w:sz="0" w:space="0" w:color="auto"/>
      </w:divBdr>
    </w:div>
    <w:div w:id="770011733">
      <w:bodyDiv w:val="1"/>
      <w:marLeft w:val="0"/>
      <w:marRight w:val="0"/>
      <w:marTop w:val="0"/>
      <w:marBottom w:val="0"/>
      <w:divBdr>
        <w:top w:val="none" w:sz="0" w:space="0" w:color="auto"/>
        <w:left w:val="none" w:sz="0" w:space="0" w:color="auto"/>
        <w:bottom w:val="none" w:sz="0" w:space="0" w:color="auto"/>
        <w:right w:val="none" w:sz="0" w:space="0" w:color="auto"/>
      </w:divBdr>
    </w:div>
    <w:div w:id="786236412">
      <w:bodyDiv w:val="1"/>
      <w:marLeft w:val="0"/>
      <w:marRight w:val="0"/>
      <w:marTop w:val="0"/>
      <w:marBottom w:val="0"/>
      <w:divBdr>
        <w:top w:val="none" w:sz="0" w:space="0" w:color="auto"/>
        <w:left w:val="none" w:sz="0" w:space="0" w:color="auto"/>
        <w:bottom w:val="none" w:sz="0" w:space="0" w:color="auto"/>
        <w:right w:val="none" w:sz="0" w:space="0" w:color="auto"/>
      </w:divBdr>
      <w:divsChild>
        <w:div w:id="44334864">
          <w:marLeft w:val="0"/>
          <w:marRight w:val="0"/>
          <w:marTop w:val="0"/>
          <w:marBottom w:val="0"/>
          <w:divBdr>
            <w:top w:val="none" w:sz="0" w:space="0" w:color="auto"/>
            <w:left w:val="none" w:sz="0" w:space="0" w:color="auto"/>
            <w:bottom w:val="none" w:sz="0" w:space="0" w:color="auto"/>
            <w:right w:val="none" w:sz="0" w:space="0" w:color="auto"/>
          </w:divBdr>
        </w:div>
        <w:div w:id="279841033">
          <w:marLeft w:val="0"/>
          <w:marRight w:val="0"/>
          <w:marTop w:val="0"/>
          <w:marBottom w:val="0"/>
          <w:divBdr>
            <w:top w:val="none" w:sz="0" w:space="0" w:color="auto"/>
            <w:left w:val="none" w:sz="0" w:space="0" w:color="auto"/>
            <w:bottom w:val="none" w:sz="0" w:space="0" w:color="auto"/>
            <w:right w:val="none" w:sz="0" w:space="0" w:color="auto"/>
          </w:divBdr>
        </w:div>
        <w:div w:id="353385708">
          <w:marLeft w:val="0"/>
          <w:marRight w:val="0"/>
          <w:marTop w:val="0"/>
          <w:marBottom w:val="0"/>
          <w:divBdr>
            <w:top w:val="none" w:sz="0" w:space="0" w:color="auto"/>
            <w:left w:val="none" w:sz="0" w:space="0" w:color="auto"/>
            <w:bottom w:val="none" w:sz="0" w:space="0" w:color="auto"/>
            <w:right w:val="none" w:sz="0" w:space="0" w:color="auto"/>
          </w:divBdr>
        </w:div>
      </w:divsChild>
    </w:div>
    <w:div w:id="849102618">
      <w:bodyDiv w:val="1"/>
      <w:marLeft w:val="0"/>
      <w:marRight w:val="0"/>
      <w:marTop w:val="0"/>
      <w:marBottom w:val="0"/>
      <w:divBdr>
        <w:top w:val="none" w:sz="0" w:space="0" w:color="auto"/>
        <w:left w:val="none" w:sz="0" w:space="0" w:color="auto"/>
        <w:bottom w:val="none" w:sz="0" w:space="0" w:color="auto"/>
        <w:right w:val="none" w:sz="0" w:space="0" w:color="auto"/>
      </w:divBdr>
    </w:div>
    <w:div w:id="889419758">
      <w:bodyDiv w:val="1"/>
      <w:marLeft w:val="0"/>
      <w:marRight w:val="0"/>
      <w:marTop w:val="0"/>
      <w:marBottom w:val="0"/>
      <w:divBdr>
        <w:top w:val="none" w:sz="0" w:space="0" w:color="auto"/>
        <w:left w:val="none" w:sz="0" w:space="0" w:color="auto"/>
        <w:bottom w:val="none" w:sz="0" w:space="0" w:color="auto"/>
        <w:right w:val="none" w:sz="0" w:space="0" w:color="auto"/>
      </w:divBdr>
    </w:div>
    <w:div w:id="951135136">
      <w:bodyDiv w:val="1"/>
      <w:marLeft w:val="0"/>
      <w:marRight w:val="0"/>
      <w:marTop w:val="0"/>
      <w:marBottom w:val="0"/>
      <w:divBdr>
        <w:top w:val="none" w:sz="0" w:space="0" w:color="auto"/>
        <w:left w:val="none" w:sz="0" w:space="0" w:color="auto"/>
        <w:bottom w:val="none" w:sz="0" w:space="0" w:color="auto"/>
        <w:right w:val="none" w:sz="0" w:space="0" w:color="auto"/>
      </w:divBdr>
    </w:div>
    <w:div w:id="979186897">
      <w:bodyDiv w:val="1"/>
      <w:marLeft w:val="0"/>
      <w:marRight w:val="0"/>
      <w:marTop w:val="0"/>
      <w:marBottom w:val="0"/>
      <w:divBdr>
        <w:top w:val="none" w:sz="0" w:space="0" w:color="auto"/>
        <w:left w:val="none" w:sz="0" w:space="0" w:color="auto"/>
        <w:bottom w:val="none" w:sz="0" w:space="0" w:color="auto"/>
        <w:right w:val="none" w:sz="0" w:space="0" w:color="auto"/>
      </w:divBdr>
    </w:div>
    <w:div w:id="983391091">
      <w:bodyDiv w:val="1"/>
      <w:marLeft w:val="0"/>
      <w:marRight w:val="0"/>
      <w:marTop w:val="0"/>
      <w:marBottom w:val="0"/>
      <w:divBdr>
        <w:top w:val="none" w:sz="0" w:space="0" w:color="auto"/>
        <w:left w:val="none" w:sz="0" w:space="0" w:color="auto"/>
        <w:bottom w:val="none" w:sz="0" w:space="0" w:color="auto"/>
        <w:right w:val="none" w:sz="0" w:space="0" w:color="auto"/>
      </w:divBdr>
      <w:divsChild>
        <w:div w:id="473564162">
          <w:marLeft w:val="0"/>
          <w:marRight w:val="0"/>
          <w:marTop w:val="0"/>
          <w:marBottom w:val="0"/>
          <w:divBdr>
            <w:top w:val="none" w:sz="0" w:space="0" w:color="auto"/>
            <w:left w:val="none" w:sz="0" w:space="0" w:color="auto"/>
            <w:bottom w:val="none" w:sz="0" w:space="0" w:color="auto"/>
            <w:right w:val="none" w:sz="0" w:space="0" w:color="auto"/>
          </w:divBdr>
          <w:divsChild>
            <w:div w:id="2038508935">
              <w:marLeft w:val="0"/>
              <w:marRight w:val="0"/>
              <w:marTop w:val="0"/>
              <w:marBottom w:val="0"/>
              <w:divBdr>
                <w:top w:val="none" w:sz="0" w:space="0" w:color="auto"/>
                <w:left w:val="none" w:sz="0" w:space="0" w:color="auto"/>
                <w:bottom w:val="none" w:sz="0" w:space="0" w:color="auto"/>
                <w:right w:val="none" w:sz="0" w:space="0" w:color="auto"/>
              </w:divBdr>
              <w:divsChild>
                <w:div w:id="17061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67207">
      <w:bodyDiv w:val="1"/>
      <w:marLeft w:val="0"/>
      <w:marRight w:val="0"/>
      <w:marTop w:val="0"/>
      <w:marBottom w:val="0"/>
      <w:divBdr>
        <w:top w:val="none" w:sz="0" w:space="0" w:color="auto"/>
        <w:left w:val="none" w:sz="0" w:space="0" w:color="auto"/>
        <w:bottom w:val="none" w:sz="0" w:space="0" w:color="auto"/>
        <w:right w:val="none" w:sz="0" w:space="0" w:color="auto"/>
      </w:divBdr>
    </w:div>
    <w:div w:id="1043215426">
      <w:bodyDiv w:val="1"/>
      <w:marLeft w:val="0"/>
      <w:marRight w:val="0"/>
      <w:marTop w:val="0"/>
      <w:marBottom w:val="0"/>
      <w:divBdr>
        <w:top w:val="none" w:sz="0" w:space="0" w:color="auto"/>
        <w:left w:val="none" w:sz="0" w:space="0" w:color="auto"/>
        <w:bottom w:val="none" w:sz="0" w:space="0" w:color="auto"/>
        <w:right w:val="none" w:sz="0" w:space="0" w:color="auto"/>
      </w:divBdr>
    </w:div>
    <w:div w:id="1102847277">
      <w:bodyDiv w:val="1"/>
      <w:marLeft w:val="0"/>
      <w:marRight w:val="0"/>
      <w:marTop w:val="0"/>
      <w:marBottom w:val="0"/>
      <w:divBdr>
        <w:top w:val="none" w:sz="0" w:space="0" w:color="auto"/>
        <w:left w:val="none" w:sz="0" w:space="0" w:color="auto"/>
        <w:bottom w:val="none" w:sz="0" w:space="0" w:color="auto"/>
        <w:right w:val="none" w:sz="0" w:space="0" w:color="auto"/>
      </w:divBdr>
    </w:div>
    <w:div w:id="1121340051">
      <w:bodyDiv w:val="1"/>
      <w:marLeft w:val="0"/>
      <w:marRight w:val="0"/>
      <w:marTop w:val="0"/>
      <w:marBottom w:val="0"/>
      <w:divBdr>
        <w:top w:val="none" w:sz="0" w:space="0" w:color="auto"/>
        <w:left w:val="none" w:sz="0" w:space="0" w:color="auto"/>
        <w:bottom w:val="none" w:sz="0" w:space="0" w:color="auto"/>
        <w:right w:val="none" w:sz="0" w:space="0" w:color="auto"/>
      </w:divBdr>
    </w:div>
    <w:div w:id="1133910412">
      <w:bodyDiv w:val="1"/>
      <w:marLeft w:val="0"/>
      <w:marRight w:val="0"/>
      <w:marTop w:val="0"/>
      <w:marBottom w:val="0"/>
      <w:divBdr>
        <w:top w:val="none" w:sz="0" w:space="0" w:color="auto"/>
        <w:left w:val="none" w:sz="0" w:space="0" w:color="auto"/>
        <w:bottom w:val="none" w:sz="0" w:space="0" w:color="auto"/>
        <w:right w:val="none" w:sz="0" w:space="0" w:color="auto"/>
      </w:divBdr>
    </w:div>
    <w:div w:id="1138257543">
      <w:bodyDiv w:val="1"/>
      <w:marLeft w:val="0"/>
      <w:marRight w:val="0"/>
      <w:marTop w:val="0"/>
      <w:marBottom w:val="0"/>
      <w:divBdr>
        <w:top w:val="none" w:sz="0" w:space="0" w:color="auto"/>
        <w:left w:val="none" w:sz="0" w:space="0" w:color="auto"/>
        <w:bottom w:val="none" w:sz="0" w:space="0" w:color="auto"/>
        <w:right w:val="none" w:sz="0" w:space="0" w:color="auto"/>
      </w:divBdr>
    </w:div>
    <w:div w:id="1193691465">
      <w:bodyDiv w:val="1"/>
      <w:marLeft w:val="0"/>
      <w:marRight w:val="0"/>
      <w:marTop w:val="0"/>
      <w:marBottom w:val="0"/>
      <w:divBdr>
        <w:top w:val="none" w:sz="0" w:space="0" w:color="auto"/>
        <w:left w:val="none" w:sz="0" w:space="0" w:color="auto"/>
        <w:bottom w:val="none" w:sz="0" w:space="0" w:color="auto"/>
        <w:right w:val="none" w:sz="0" w:space="0" w:color="auto"/>
      </w:divBdr>
    </w:div>
    <w:div w:id="1225873356">
      <w:bodyDiv w:val="1"/>
      <w:marLeft w:val="0"/>
      <w:marRight w:val="0"/>
      <w:marTop w:val="0"/>
      <w:marBottom w:val="0"/>
      <w:divBdr>
        <w:top w:val="none" w:sz="0" w:space="0" w:color="auto"/>
        <w:left w:val="none" w:sz="0" w:space="0" w:color="auto"/>
        <w:bottom w:val="none" w:sz="0" w:space="0" w:color="auto"/>
        <w:right w:val="none" w:sz="0" w:space="0" w:color="auto"/>
      </w:divBdr>
    </w:div>
    <w:div w:id="1227641142">
      <w:bodyDiv w:val="1"/>
      <w:marLeft w:val="0"/>
      <w:marRight w:val="0"/>
      <w:marTop w:val="0"/>
      <w:marBottom w:val="0"/>
      <w:divBdr>
        <w:top w:val="none" w:sz="0" w:space="0" w:color="auto"/>
        <w:left w:val="none" w:sz="0" w:space="0" w:color="auto"/>
        <w:bottom w:val="none" w:sz="0" w:space="0" w:color="auto"/>
        <w:right w:val="none" w:sz="0" w:space="0" w:color="auto"/>
      </w:divBdr>
    </w:div>
    <w:div w:id="1228302844">
      <w:bodyDiv w:val="1"/>
      <w:marLeft w:val="0"/>
      <w:marRight w:val="0"/>
      <w:marTop w:val="0"/>
      <w:marBottom w:val="0"/>
      <w:divBdr>
        <w:top w:val="none" w:sz="0" w:space="0" w:color="auto"/>
        <w:left w:val="none" w:sz="0" w:space="0" w:color="auto"/>
        <w:bottom w:val="none" w:sz="0" w:space="0" w:color="auto"/>
        <w:right w:val="none" w:sz="0" w:space="0" w:color="auto"/>
      </w:divBdr>
    </w:div>
    <w:div w:id="1255473958">
      <w:bodyDiv w:val="1"/>
      <w:marLeft w:val="0"/>
      <w:marRight w:val="0"/>
      <w:marTop w:val="0"/>
      <w:marBottom w:val="0"/>
      <w:divBdr>
        <w:top w:val="none" w:sz="0" w:space="0" w:color="auto"/>
        <w:left w:val="none" w:sz="0" w:space="0" w:color="auto"/>
        <w:bottom w:val="none" w:sz="0" w:space="0" w:color="auto"/>
        <w:right w:val="none" w:sz="0" w:space="0" w:color="auto"/>
      </w:divBdr>
    </w:div>
    <w:div w:id="1267541069">
      <w:bodyDiv w:val="1"/>
      <w:marLeft w:val="0"/>
      <w:marRight w:val="0"/>
      <w:marTop w:val="0"/>
      <w:marBottom w:val="0"/>
      <w:divBdr>
        <w:top w:val="none" w:sz="0" w:space="0" w:color="auto"/>
        <w:left w:val="none" w:sz="0" w:space="0" w:color="auto"/>
        <w:bottom w:val="none" w:sz="0" w:space="0" w:color="auto"/>
        <w:right w:val="none" w:sz="0" w:space="0" w:color="auto"/>
      </w:divBdr>
    </w:div>
    <w:div w:id="1335182343">
      <w:bodyDiv w:val="1"/>
      <w:marLeft w:val="0"/>
      <w:marRight w:val="0"/>
      <w:marTop w:val="0"/>
      <w:marBottom w:val="0"/>
      <w:divBdr>
        <w:top w:val="none" w:sz="0" w:space="0" w:color="auto"/>
        <w:left w:val="none" w:sz="0" w:space="0" w:color="auto"/>
        <w:bottom w:val="none" w:sz="0" w:space="0" w:color="auto"/>
        <w:right w:val="none" w:sz="0" w:space="0" w:color="auto"/>
      </w:divBdr>
    </w:div>
    <w:div w:id="1341195784">
      <w:bodyDiv w:val="1"/>
      <w:marLeft w:val="0"/>
      <w:marRight w:val="0"/>
      <w:marTop w:val="0"/>
      <w:marBottom w:val="0"/>
      <w:divBdr>
        <w:top w:val="none" w:sz="0" w:space="0" w:color="auto"/>
        <w:left w:val="none" w:sz="0" w:space="0" w:color="auto"/>
        <w:bottom w:val="none" w:sz="0" w:space="0" w:color="auto"/>
        <w:right w:val="none" w:sz="0" w:space="0" w:color="auto"/>
      </w:divBdr>
    </w:div>
    <w:div w:id="1367676299">
      <w:bodyDiv w:val="1"/>
      <w:marLeft w:val="0"/>
      <w:marRight w:val="0"/>
      <w:marTop w:val="0"/>
      <w:marBottom w:val="0"/>
      <w:divBdr>
        <w:top w:val="none" w:sz="0" w:space="0" w:color="auto"/>
        <w:left w:val="none" w:sz="0" w:space="0" w:color="auto"/>
        <w:bottom w:val="none" w:sz="0" w:space="0" w:color="auto"/>
        <w:right w:val="none" w:sz="0" w:space="0" w:color="auto"/>
      </w:divBdr>
    </w:div>
    <w:div w:id="1377003896">
      <w:bodyDiv w:val="1"/>
      <w:marLeft w:val="0"/>
      <w:marRight w:val="0"/>
      <w:marTop w:val="0"/>
      <w:marBottom w:val="0"/>
      <w:divBdr>
        <w:top w:val="none" w:sz="0" w:space="0" w:color="auto"/>
        <w:left w:val="none" w:sz="0" w:space="0" w:color="auto"/>
        <w:bottom w:val="none" w:sz="0" w:space="0" w:color="auto"/>
        <w:right w:val="none" w:sz="0" w:space="0" w:color="auto"/>
      </w:divBdr>
    </w:div>
    <w:div w:id="1389838153">
      <w:bodyDiv w:val="1"/>
      <w:marLeft w:val="0"/>
      <w:marRight w:val="0"/>
      <w:marTop w:val="0"/>
      <w:marBottom w:val="0"/>
      <w:divBdr>
        <w:top w:val="none" w:sz="0" w:space="0" w:color="auto"/>
        <w:left w:val="none" w:sz="0" w:space="0" w:color="auto"/>
        <w:bottom w:val="none" w:sz="0" w:space="0" w:color="auto"/>
        <w:right w:val="none" w:sz="0" w:space="0" w:color="auto"/>
      </w:divBdr>
    </w:div>
    <w:div w:id="1427194319">
      <w:bodyDiv w:val="1"/>
      <w:marLeft w:val="0"/>
      <w:marRight w:val="0"/>
      <w:marTop w:val="0"/>
      <w:marBottom w:val="0"/>
      <w:divBdr>
        <w:top w:val="none" w:sz="0" w:space="0" w:color="auto"/>
        <w:left w:val="none" w:sz="0" w:space="0" w:color="auto"/>
        <w:bottom w:val="none" w:sz="0" w:space="0" w:color="auto"/>
        <w:right w:val="none" w:sz="0" w:space="0" w:color="auto"/>
      </w:divBdr>
    </w:div>
    <w:div w:id="1442728461">
      <w:bodyDiv w:val="1"/>
      <w:marLeft w:val="0"/>
      <w:marRight w:val="0"/>
      <w:marTop w:val="0"/>
      <w:marBottom w:val="0"/>
      <w:divBdr>
        <w:top w:val="none" w:sz="0" w:space="0" w:color="auto"/>
        <w:left w:val="none" w:sz="0" w:space="0" w:color="auto"/>
        <w:bottom w:val="none" w:sz="0" w:space="0" w:color="auto"/>
        <w:right w:val="none" w:sz="0" w:space="0" w:color="auto"/>
      </w:divBdr>
    </w:div>
    <w:div w:id="1488280135">
      <w:bodyDiv w:val="1"/>
      <w:marLeft w:val="0"/>
      <w:marRight w:val="0"/>
      <w:marTop w:val="0"/>
      <w:marBottom w:val="0"/>
      <w:divBdr>
        <w:top w:val="none" w:sz="0" w:space="0" w:color="auto"/>
        <w:left w:val="none" w:sz="0" w:space="0" w:color="auto"/>
        <w:bottom w:val="none" w:sz="0" w:space="0" w:color="auto"/>
        <w:right w:val="none" w:sz="0" w:space="0" w:color="auto"/>
      </w:divBdr>
    </w:div>
    <w:div w:id="1511095838">
      <w:bodyDiv w:val="1"/>
      <w:marLeft w:val="0"/>
      <w:marRight w:val="0"/>
      <w:marTop w:val="0"/>
      <w:marBottom w:val="0"/>
      <w:divBdr>
        <w:top w:val="none" w:sz="0" w:space="0" w:color="auto"/>
        <w:left w:val="none" w:sz="0" w:space="0" w:color="auto"/>
        <w:bottom w:val="none" w:sz="0" w:space="0" w:color="auto"/>
        <w:right w:val="none" w:sz="0" w:space="0" w:color="auto"/>
      </w:divBdr>
    </w:div>
    <w:div w:id="1523856796">
      <w:bodyDiv w:val="1"/>
      <w:marLeft w:val="0"/>
      <w:marRight w:val="0"/>
      <w:marTop w:val="0"/>
      <w:marBottom w:val="0"/>
      <w:divBdr>
        <w:top w:val="none" w:sz="0" w:space="0" w:color="auto"/>
        <w:left w:val="none" w:sz="0" w:space="0" w:color="auto"/>
        <w:bottom w:val="none" w:sz="0" w:space="0" w:color="auto"/>
        <w:right w:val="none" w:sz="0" w:space="0" w:color="auto"/>
      </w:divBdr>
    </w:div>
    <w:div w:id="1530100904">
      <w:bodyDiv w:val="1"/>
      <w:marLeft w:val="0"/>
      <w:marRight w:val="0"/>
      <w:marTop w:val="0"/>
      <w:marBottom w:val="0"/>
      <w:divBdr>
        <w:top w:val="none" w:sz="0" w:space="0" w:color="auto"/>
        <w:left w:val="none" w:sz="0" w:space="0" w:color="auto"/>
        <w:bottom w:val="none" w:sz="0" w:space="0" w:color="auto"/>
        <w:right w:val="none" w:sz="0" w:space="0" w:color="auto"/>
      </w:divBdr>
    </w:div>
    <w:div w:id="1553737237">
      <w:bodyDiv w:val="1"/>
      <w:marLeft w:val="0"/>
      <w:marRight w:val="0"/>
      <w:marTop w:val="0"/>
      <w:marBottom w:val="0"/>
      <w:divBdr>
        <w:top w:val="none" w:sz="0" w:space="0" w:color="auto"/>
        <w:left w:val="none" w:sz="0" w:space="0" w:color="auto"/>
        <w:bottom w:val="none" w:sz="0" w:space="0" w:color="auto"/>
        <w:right w:val="none" w:sz="0" w:space="0" w:color="auto"/>
      </w:divBdr>
    </w:div>
    <w:div w:id="1556969237">
      <w:bodyDiv w:val="1"/>
      <w:marLeft w:val="0"/>
      <w:marRight w:val="0"/>
      <w:marTop w:val="0"/>
      <w:marBottom w:val="0"/>
      <w:divBdr>
        <w:top w:val="none" w:sz="0" w:space="0" w:color="auto"/>
        <w:left w:val="none" w:sz="0" w:space="0" w:color="auto"/>
        <w:bottom w:val="none" w:sz="0" w:space="0" w:color="auto"/>
        <w:right w:val="none" w:sz="0" w:space="0" w:color="auto"/>
      </w:divBdr>
    </w:div>
    <w:div w:id="1582838569">
      <w:bodyDiv w:val="1"/>
      <w:marLeft w:val="0"/>
      <w:marRight w:val="0"/>
      <w:marTop w:val="0"/>
      <w:marBottom w:val="0"/>
      <w:divBdr>
        <w:top w:val="none" w:sz="0" w:space="0" w:color="auto"/>
        <w:left w:val="none" w:sz="0" w:space="0" w:color="auto"/>
        <w:bottom w:val="none" w:sz="0" w:space="0" w:color="auto"/>
        <w:right w:val="none" w:sz="0" w:space="0" w:color="auto"/>
      </w:divBdr>
      <w:divsChild>
        <w:div w:id="1727214548">
          <w:marLeft w:val="0"/>
          <w:marRight w:val="0"/>
          <w:marTop w:val="0"/>
          <w:marBottom w:val="0"/>
          <w:divBdr>
            <w:top w:val="none" w:sz="0" w:space="0" w:color="auto"/>
            <w:left w:val="none" w:sz="0" w:space="0" w:color="auto"/>
            <w:bottom w:val="none" w:sz="0" w:space="0" w:color="auto"/>
            <w:right w:val="none" w:sz="0" w:space="0" w:color="auto"/>
          </w:divBdr>
          <w:divsChild>
            <w:div w:id="1693022836">
              <w:marLeft w:val="0"/>
              <w:marRight w:val="0"/>
              <w:marTop w:val="0"/>
              <w:marBottom w:val="0"/>
              <w:divBdr>
                <w:top w:val="none" w:sz="0" w:space="0" w:color="auto"/>
                <w:left w:val="none" w:sz="0" w:space="0" w:color="auto"/>
                <w:bottom w:val="none" w:sz="0" w:space="0" w:color="auto"/>
                <w:right w:val="none" w:sz="0" w:space="0" w:color="auto"/>
              </w:divBdr>
              <w:divsChild>
                <w:div w:id="9037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601">
      <w:bodyDiv w:val="1"/>
      <w:marLeft w:val="0"/>
      <w:marRight w:val="0"/>
      <w:marTop w:val="0"/>
      <w:marBottom w:val="0"/>
      <w:divBdr>
        <w:top w:val="none" w:sz="0" w:space="0" w:color="auto"/>
        <w:left w:val="none" w:sz="0" w:space="0" w:color="auto"/>
        <w:bottom w:val="none" w:sz="0" w:space="0" w:color="auto"/>
        <w:right w:val="none" w:sz="0" w:space="0" w:color="auto"/>
      </w:divBdr>
    </w:div>
    <w:div w:id="1635478694">
      <w:bodyDiv w:val="1"/>
      <w:marLeft w:val="0"/>
      <w:marRight w:val="0"/>
      <w:marTop w:val="0"/>
      <w:marBottom w:val="0"/>
      <w:divBdr>
        <w:top w:val="none" w:sz="0" w:space="0" w:color="auto"/>
        <w:left w:val="none" w:sz="0" w:space="0" w:color="auto"/>
        <w:bottom w:val="none" w:sz="0" w:space="0" w:color="auto"/>
        <w:right w:val="none" w:sz="0" w:space="0" w:color="auto"/>
      </w:divBdr>
    </w:div>
    <w:div w:id="1673950777">
      <w:bodyDiv w:val="1"/>
      <w:marLeft w:val="0"/>
      <w:marRight w:val="0"/>
      <w:marTop w:val="0"/>
      <w:marBottom w:val="0"/>
      <w:divBdr>
        <w:top w:val="none" w:sz="0" w:space="0" w:color="auto"/>
        <w:left w:val="none" w:sz="0" w:space="0" w:color="auto"/>
        <w:bottom w:val="none" w:sz="0" w:space="0" w:color="auto"/>
        <w:right w:val="none" w:sz="0" w:space="0" w:color="auto"/>
      </w:divBdr>
    </w:div>
    <w:div w:id="1688676291">
      <w:bodyDiv w:val="1"/>
      <w:marLeft w:val="0"/>
      <w:marRight w:val="0"/>
      <w:marTop w:val="0"/>
      <w:marBottom w:val="0"/>
      <w:divBdr>
        <w:top w:val="none" w:sz="0" w:space="0" w:color="auto"/>
        <w:left w:val="none" w:sz="0" w:space="0" w:color="auto"/>
        <w:bottom w:val="none" w:sz="0" w:space="0" w:color="auto"/>
        <w:right w:val="none" w:sz="0" w:space="0" w:color="auto"/>
      </w:divBdr>
      <w:divsChild>
        <w:div w:id="350768997">
          <w:marLeft w:val="0"/>
          <w:marRight w:val="0"/>
          <w:marTop w:val="0"/>
          <w:marBottom w:val="0"/>
          <w:divBdr>
            <w:top w:val="none" w:sz="0" w:space="0" w:color="auto"/>
            <w:left w:val="none" w:sz="0" w:space="0" w:color="auto"/>
            <w:bottom w:val="none" w:sz="0" w:space="0" w:color="auto"/>
            <w:right w:val="none" w:sz="0" w:space="0" w:color="auto"/>
          </w:divBdr>
          <w:divsChild>
            <w:div w:id="1810897068">
              <w:marLeft w:val="0"/>
              <w:marRight w:val="0"/>
              <w:marTop w:val="0"/>
              <w:marBottom w:val="0"/>
              <w:divBdr>
                <w:top w:val="none" w:sz="0" w:space="0" w:color="auto"/>
                <w:left w:val="none" w:sz="0" w:space="0" w:color="auto"/>
                <w:bottom w:val="none" w:sz="0" w:space="0" w:color="auto"/>
                <w:right w:val="none" w:sz="0" w:space="0" w:color="auto"/>
              </w:divBdr>
              <w:divsChild>
                <w:div w:id="11381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557">
      <w:bodyDiv w:val="1"/>
      <w:marLeft w:val="0"/>
      <w:marRight w:val="0"/>
      <w:marTop w:val="0"/>
      <w:marBottom w:val="0"/>
      <w:divBdr>
        <w:top w:val="none" w:sz="0" w:space="0" w:color="auto"/>
        <w:left w:val="none" w:sz="0" w:space="0" w:color="auto"/>
        <w:bottom w:val="none" w:sz="0" w:space="0" w:color="auto"/>
        <w:right w:val="none" w:sz="0" w:space="0" w:color="auto"/>
      </w:divBdr>
    </w:div>
    <w:div w:id="1706826411">
      <w:bodyDiv w:val="1"/>
      <w:marLeft w:val="0"/>
      <w:marRight w:val="0"/>
      <w:marTop w:val="0"/>
      <w:marBottom w:val="0"/>
      <w:divBdr>
        <w:top w:val="none" w:sz="0" w:space="0" w:color="auto"/>
        <w:left w:val="none" w:sz="0" w:space="0" w:color="auto"/>
        <w:bottom w:val="none" w:sz="0" w:space="0" w:color="auto"/>
        <w:right w:val="none" w:sz="0" w:space="0" w:color="auto"/>
      </w:divBdr>
    </w:div>
    <w:div w:id="1761028853">
      <w:bodyDiv w:val="1"/>
      <w:marLeft w:val="0"/>
      <w:marRight w:val="0"/>
      <w:marTop w:val="0"/>
      <w:marBottom w:val="0"/>
      <w:divBdr>
        <w:top w:val="none" w:sz="0" w:space="0" w:color="auto"/>
        <w:left w:val="none" w:sz="0" w:space="0" w:color="auto"/>
        <w:bottom w:val="none" w:sz="0" w:space="0" w:color="auto"/>
        <w:right w:val="none" w:sz="0" w:space="0" w:color="auto"/>
      </w:divBdr>
    </w:div>
    <w:div w:id="1764105386">
      <w:bodyDiv w:val="1"/>
      <w:marLeft w:val="0"/>
      <w:marRight w:val="0"/>
      <w:marTop w:val="0"/>
      <w:marBottom w:val="0"/>
      <w:divBdr>
        <w:top w:val="none" w:sz="0" w:space="0" w:color="auto"/>
        <w:left w:val="none" w:sz="0" w:space="0" w:color="auto"/>
        <w:bottom w:val="none" w:sz="0" w:space="0" w:color="auto"/>
        <w:right w:val="none" w:sz="0" w:space="0" w:color="auto"/>
      </w:divBdr>
      <w:divsChild>
        <w:div w:id="545609449">
          <w:marLeft w:val="0"/>
          <w:marRight w:val="0"/>
          <w:marTop w:val="0"/>
          <w:marBottom w:val="0"/>
          <w:divBdr>
            <w:top w:val="none" w:sz="0" w:space="0" w:color="auto"/>
            <w:left w:val="none" w:sz="0" w:space="0" w:color="auto"/>
            <w:bottom w:val="none" w:sz="0" w:space="0" w:color="auto"/>
            <w:right w:val="none" w:sz="0" w:space="0" w:color="auto"/>
          </w:divBdr>
          <w:divsChild>
            <w:div w:id="635719499">
              <w:marLeft w:val="-75"/>
              <w:marRight w:val="0"/>
              <w:marTop w:val="30"/>
              <w:marBottom w:val="30"/>
              <w:divBdr>
                <w:top w:val="none" w:sz="0" w:space="0" w:color="auto"/>
                <w:left w:val="none" w:sz="0" w:space="0" w:color="auto"/>
                <w:bottom w:val="none" w:sz="0" w:space="0" w:color="auto"/>
                <w:right w:val="none" w:sz="0" w:space="0" w:color="auto"/>
              </w:divBdr>
              <w:divsChild>
                <w:div w:id="456684030">
                  <w:marLeft w:val="0"/>
                  <w:marRight w:val="0"/>
                  <w:marTop w:val="0"/>
                  <w:marBottom w:val="0"/>
                  <w:divBdr>
                    <w:top w:val="none" w:sz="0" w:space="0" w:color="auto"/>
                    <w:left w:val="none" w:sz="0" w:space="0" w:color="auto"/>
                    <w:bottom w:val="none" w:sz="0" w:space="0" w:color="auto"/>
                    <w:right w:val="none" w:sz="0" w:space="0" w:color="auto"/>
                  </w:divBdr>
                  <w:divsChild>
                    <w:div w:id="1487014977">
                      <w:marLeft w:val="0"/>
                      <w:marRight w:val="0"/>
                      <w:marTop w:val="0"/>
                      <w:marBottom w:val="0"/>
                      <w:divBdr>
                        <w:top w:val="none" w:sz="0" w:space="0" w:color="auto"/>
                        <w:left w:val="none" w:sz="0" w:space="0" w:color="auto"/>
                        <w:bottom w:val="none" w:sz="0" w:space="0" w:color="auto"/>
                        <w:right w:val="none" w:sz="0" w:space="0" w:color="auto"/>
                      </w:divBdr>
                    </w:div>
                  </w:divsChild>
                </w:div>
                <w:div w:id="923490853">
                  <w:marLeft w:val="0"/>
                  <w:marRight w:val="0"/>
                  <w:marTop w:val="0"/>
                  <w:marBottom w:val="0"/>
                  <w:divBdr>
                    <w:top w:val="none" w:sz="0" w:space="0" w:color="auto"/>
                    <w:left w:val="none" w:sz="0" w:space="0" w:color="auto"/>
                    <w:bottom w:val="none" w:sz="0" w:space="0" w:color="auto"/>
                    <w:right w:val="none" w:sz="0" w:space="0" w:color="auto"/>
                  </w:divBdr>
                  <w:divsChild>
                    <w:div w:id="1929608015">
                      <w:marLeft w:val="0"/>
                      <w:marRight w:val="0"/>
                      <w:marTop w:val="0"/>
                      <w:marBottom w:val="0"/>
                      <w:divBdr>
                        <w:top w:val="none" w:sz="0" w:space="0" w:color="auto"/>
                        <w:left w:val="none" w:sz="0" w:space="0" w:color="auto"/>
                        <w:bottom w:val="none" w:sz="0" w:space="0" w:color="auto"/>
                        <w:right w:val="none" w:sz="0" w:space="0" w:color="auto"/>
                      </w:divBdr>
                    </w:div>
                  </w:divsChild>
                </w:div>
                <w:div w:id="1097601435">
                  <w:marLeft w:val="0"/>
                  <w:marRight w:val="0"/>
                  <w:marTop w:val="0"/>
                  <w:marBottom w:val="0"/>
                  <w:divBdr>
                    <w:top w:val="none" w:sz="0" w:space="0" w:color="auto"/>
                    <w:left w:val="none" w:sz="0" w:space="0" w:color="auto"/>
                    <w:bottom w:val="none" w:sz="0" w:space="0" w:color="auto"/>
                    <w:right w:val="none" w:sz="0" w:space="0" w:color="auto"/>
                  </w:divBdr>
                  <w:divsChild>
                    <w:div w:id="1274285239">
                      <w:marLeft w:val="0"/>
                      <w:marRight w:val="0"/>
                      <w:marTop w:val="0"/>
                      <w:marBottom w:val="0"/>
                      <w:divBdr>
                        <w:top w:val="none" w:sz="0" w:space="0" w:color="auto"/>
                        <w:left w:val="none" w:sz="0" w:space="0" w:color="auto"/>
                        <w:bottom w:val="none" w:sz="0" w:space="0" w:color="auto"/>
                        <w:right w:val="none" w:sz="0" w:space="0" w:color="auto"/>
                      </w:divBdr>
                    </w:div>
                  </w:divsChild>
                </w:div>
                <w:div w:id="1127551555">
                  <w:marLeft w:val="0"/>
                  <w:marRight w:val="0"/>
                  <w:marTop w:val="0"/>
                  <w:marBottom w:val="0"/>
                  <w:divBdr>
                    <w:top w:val="none" w:sz="0" w:space="0" w:color="auto"/>
                    <w:left w:val="none" w:sz="0" w:space="0" w:color="auto"/>
                    <w:bottom w:val="none" w:sz="0" w:space="0" w:color="auto"/>
                    <w:right w:val="none" w:sz="0" w:space="0" w:color="auto"/>
                  </w:divBdr>
                  <w:divsChild>
                    <w:div w:id="1335767532">
                      <w:marLeft w:val="0"/>
                      <w:marRight w:val="0"/>
                      <w:marTop w:val="0"/>
                      <w:marBottom w:val="0"/>
                      <w:divBdr>
                        <w:top w:val="none" w:sz="0" w:space="0" w:color="auto"/>
                        <w:left w:val="none" w:sz="0" w:space="0" w:color="auto"/>
                        <w:bottom w:val="none" w:sz="0" w:space="0" w:color="auto"/>
                        <w:right w:val="none" w:sz="0" w:space="0" w:color="auto"/>
                      </w:divBdr>
                    </w:div>
                  </w:divsChild>
                </w:div>
                <w:div w:id="1569152459">
                  <w:marLeft w:val="0"/>
                  <w:marRight w:val="0"/>
                  <w:marTop w:val="0"/>
                  <w:marBottom w:val="0"/>
                  <w:divBdr>
                    <w:top w:val="none" w:sz="0" w:space="0" w:color="auto"/>
                    <w:left w:val="none" w:sz="0" w:space="0" w:color="auto"/>
                    <w:bottom w:val="none" w:sz="0" w:space="0" w:color="auto"/>
                    <w:right w:val="none" w:sz="0" w:space="0" w:color="auto"/>
                  </w:divBdr>
                  <w:divsChild>
                    <w:div w:id="1072966248">
                      <w:marLeft w:val="0"/>
                      <w:marRight w:val="0"/>
                      <w:marTop w:val="0"/>
                      <w:marBottom w:val="0"/>
                      <w:divBdr>
                        <w:top w:val="none" w:sz="0" w:space="0" w:color="auto"/>
                        <w:left w:val="none" w:sz="0" w:space="0" w:color="auto"/>
                        <w:bottom w:val="none" w:sz="0" w:space="0" w:color="auto"/>
                        <w:right w:val="none" w:sz="0" w:space="0" w:color="auto"/>
                      </w:divBdr>
                    </w:div>
                  </w:divsChild>
                </w:div>
                <w:div w:id="1623728896">
                  <w:marLeft w:val="0"/>
                  <w:marRight w:val="0"/>
                  <w:marTop w:val="0"/>
                  <w:marBottom w:val="0"/>
                  <w:divBdr>
                    <w:top w:val="none" w:sz="0" w:space="0" w:color="auto"/>
                    <w:left w:val="none" w:sz="0" w:space="0" w:color="auto"/>
                    <w:bottom w:val="none" w:sz="0" w:space="0" w:color="auto"/>
                    <w:right w:val="none" w:sz="0" w:space="0" w:color="auto"/>
                  </w:divBdr>
                  <w:divsChild>
                    <w:div w:id="726489380">
                      <w:marLeft w:val="0"/>
                      <w:marRight w:val="0"/>
                      <w:marTop w:val="0"/>
                      <w:marBottom w:val="0"/>
                      <w:divBdr>
                        <w:top w:val="none" w:sz="0" w:space="0" w:color="auto"/>
                        <w:left w:val="none" w:sz="0" w:space="0" w:color="auto"/>
                        <w:bottom w:val="none" w:sz="0" w:space="0" w:color="auto"/>
                        <w:right w:val="none" w:sz="0" w:space="0" w:color="auto"/>
                      </w:divBdr>
                    </w:div>
                  </w:divsChild>
                </w:div>
                <w:div w:id="1635913153">
                  <w:marLeft w:val="0"/>
                  <w:marRight w:val="0"/>
                  <w:marTop w:val="0"/>
                  <w:marBottom w:val="0"/>
                  <w:divBdr>
                    <w:top w:val="none" w:sz="0" w:space="0" w:color="auto"/>
                    <w:left w:val="none" w:sz="0" w:space="0" w:color="auto"/>
                    <w:bottom w:val="none" w:sz="0" w:space="0" w:color="auto"/>
                    <w:right w:val="none" w:sz="0" w:space="0" w:color="auto"/>
                  </w:divBdr>
                  <w:divsChild>
                    <w:div w:id="51277441">
                      <w:marLeft w:val="0"/>
                      <w:marRight w:val="0"/>
                      <w:marTop w:val="0"/>
                      <w:marBottom w:val="0"/>
                      <w:divBdr>
                        <w:top w:val="none" w:sz="0" w:space="0" w:color="auto"/>
                        <w:left w:val="none" w:sz="0" w:space="0" w:color="auto"/>
                        <w:bottom w:val="none" w:sz="0" w:space="0" w:color="auto"/>
                        <w:right w:val="none" w:sz="0" w:space="0" w:color="auto"/>
                      </w:divBdr>
                    </w:div>
                  </w:divsChild>
                </w:div>
                <w:div w:id="1857572897">
                  <w:marLeft w:val="0"/>
                  <w:marRight w:val="0"/>
                  <w:marTop w:val="0"/>
                  <w:marBottom w:val="0"/>
                  <w:divBdr>
                    <w:top w:val="none" w:sz="0" w:space="0" w:color="auto"/>
                    <w:left w:val="none" w:sz="0" w:space="0" w:color="auto"/>
                    <w:bottom w:val="none" w:sz="0" w:space="0" w:color="auto"/>
                    <w:right w:val="none" w:sz="0" w:space="0" w:color="auto"/>
                  </w:divBdr>
                  <w:divsChild>
                    <w:div w:id="6548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8171">
          <w:marLeft w:val="0"/>
          <w:marRight w:val="0"/>
          <w:marTop w:val="0"/>
          <w:marBottom w:val="0"/>
          <w:divBdr>
            <w:top w:val="none" w:sz="0" w:space="0" w:color="auto"/>
            <w:left w:val="none" w:sz="0" w:space="0" w:color="auto"/>
            <w:bottom w:val="none" w:sz="0" w:space="0" w:color="auto"/>
            <w:right w:val="none" w:sz="0" w:space="0" w:color="auto"/>
          </w:divBdr>
        </w:div>
        <w:div w:id="1797672468">
          <w:marLeft w:val="0"/>
          <w:marRight w:val="0"/>
          <w:marTop w:val="0"/>
          <w:marBottom w:val="0"/>
          <w:divBdr>
            <w:top w:val="none" w:sz="0" w:space="0" w:color="auto"/>
            <w:left w:val="none" w:sz="0" w:space="0" w:color="auto"/>
            <w:bottom w:val="none" w:sz="0" w:space="0" w:color="auto"/>
            <w:right w:val="none" w:sz="0" w:space="0" w:color="auto"/>
          </w:divBdr>
          <w:divsChild>
            <w:div w:id="19749897">
              <w:marLeft w:val="0"/>
              <w:marRight w:val="0"/>
              <w:marTop w:val="0"/>
              <w:marBottom w:val="0"/>
              <w:divBdr>
                <w:top w:val="none" w:sz="0" w:space="0" w:color="auto"/>
                <w:left w:val="none" w:sz="0" w:space="0" w:color="auto"/>
                <w:bottom w:val="none" w:sz="0" w:space="0" w:color="auto"/>
                <w:right w:val="none" w:sz="0" w:space="0" w:color="auto"/>
              </w:divBdr>
            </w:div>
            <w:div w:id="487130682">
              <w:marLeft w:val="0"/>
              <w:marRight w:val="0"/>
              <w:marTop w:val="0"/>
              <w:marBottom w:val="0"/>
              <w:divBdr>
                <w:top w:val="none" w:sz="0" w:space="0" w:color="auto"/>
                <w:left w:val="none" w:sz="0" w:space="0" w:color="auto"/>
                <w:bottom w:val="none" w:sz="0" w:space="0" w:color="auto"/>
                <w:right w:val="none" w:sz="0" w:space="0" w:color="auto"/>
              </w:divBdr>
            </w:div>
            <w:div w:id="1043215617">
              <w:marLeft w:val="0"/>
              <w:marRight w:val="0"/>
              <w:marTop w:val="0"/>
              <w:marBottom w:val="0"/>
              <w:divBdr>
                <w:top w:val="none" w:sz="0" w:space="0" w:color="auto"/>
                <w:left w:val="none" w:sz="0" w:space="0" w:color="auto"/>
                <w:bottom w:val="none" w:sz="0" w:space="0" w:color="auto"/>
                <w:right w:val="none" w:sz="0" w:space="0" w:color="auto"/>
              </w:divBdr>
            </w:div>
            <w:div w:id="1386101367">
              <w:marLeft w:val="0"/>
              <w:marRight w:val="0"/>
              <w:marTop w:val="0"/>
              <w:marBottom w:val="0"/>
              <w:divBdr>
                <w:top w:val="none" w:sz="0" w:space="0" w:color="auto"/>
                <w:left w:val="none" w:sz="0" w:space="0" w:color="auto"/>
                <w:bottom w:val="none" w:sz="0" w:space="0" w:color="auto"/>
                <w:right w:val="none" w:sz="0" w:space="0" w:color="auto"/>
              </w:divBdr>
            </w:div>
            <w:div w:id="1582982245">
              <w:marLeft w:val="0"/>
              <w:marRight w:val="0"/>
              <w:marTop w:val="0"/>
              <w:marBottom w:val="0"/>
              <w:divBdr>
                <w:top w:val="none" w:sz="0" w:space="0" w:color="auto"/>
                <w:left w:val="none" w:sz="0" w:space="0" w:color="auto"/>
                <w:bottom w:val="none" w:sz="0" w:space="0" w:color="auto"/>
                <w:right w:val="none" w:sz="0" w:space="0" w:color="auto"/>
              </w:divBdr>
            </w:div>
            <w:div w:id="18499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076">
      <w:bodyDiv w:val="1"/>
      <w:marLeft w:val="0"/>
      <w:marRight w:val="0"/>
      <w:marTop w:val="0"/>
      <w:marBottom w:val="0"/>
      <w:divBdr>
        <w:top w:val="none" w:sz="0" w:space="0" w:color="auto"/>
        <w:left w:val="none" w:sz="0" w:space="0" w:color="auto"/>
        <w:bottom w:val="none" w:sz="0" w:space="0" w:color="auto"/>
        <w:right w:val="none" w:sz="0" w:space="0" w:color="auto"/>
      </w:divBdr>
    </w:div>
    <w:div w:id="1858808533">
      <w:bodyDiv w:val="1"/>
      <w:marLeft w:val="0"/>
      <w:marRight w:val="0"/>
      <w:marTop w:val="0"/>
      <w:marBottom w:val="0"/>
      <w:divBdr>
        <w:top w:val="none" w:sz="0" w:space="0" w:color="auto"/>
        <w:left w:val="none" w:sz="0" w:space="0" w:color="auto"/>
        <w:bottom w:val="none" w:sz="0" w:space="0" w:color="auto"/>
        <w:right w:val="none" w:sz="0" w:space="0" w:color="auto"/>
      </w:divBdr>
    </w:div>
    <w:div w:id="1881815809">
      <w:bodyDiv w:val="1"/>
      <w:marLeft w:val="0"/>
      <w:marRight w:val="0"/>
      <w:marTop w:val="0"/>
      <w:marBottom w:val="0"/>
      <w:divBdr>
        <w:top w:val="none" w:sz="0" w:space="0" w:color="auto"/>
        <w:left w:val="none" w:sz="0" w:space="0" w:color="auto"/>
        <w:bottom w:val="none" w:sz="0" w:space="0" w:color="auto"/>
        <w:right w:val="none" w:sz="0" w:space="0" w:color="auto"/>
      </w:divBdr>
      <w:divsChild>
        <w:div w:id="690381116">
          <w:marLeft w:val="0"/>
          <w:marRight w:val="0"/>
          <w:marTop w:val="0"/>
          <w:marBottom w:val="0"/>
          <w:divBdr>
            <w:top w:val="none" w:sz="0" w:space="0" w:color="auto"/>
            <w:left w:val="none" w:sz="0" w:space="0" w:color="auto"/>
            <w:bottom w:val="none" w:sz="0" w:space="0" w:color="auto"/>
            <w:right w:val="none" w:sz="0" w:space="0" w:color="auto"/>
          </w:divBdr>
          <w:divsChild>
            <w:div w:id="2019647632">
              <w:marLeft w:val="0"/>
              <w:marRight w:val="0"/>
              <w:marTop w:val="0"/>
              <w:marBottom w:val="0"/>
              <w:divBdr>
                <w:top w:val="none" w:sz="0" w:space="0" w:color="auto"/>
                <w:left w:val="none" w:sz="0" w:space="0" w:color="auto"/>
                <w:bottom w:val="none" w:sz="0" w:space="0" w:color="auto"/>
                <w:right w:val="none" w:sz="0" w:space="0" w:color="auto"/>
              </w:divBdr>
              <w:divsChild>
                <w:div w:id="1716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274">
      <w:bodyDiv w:val="1"/>
      <w:marLeft w:val="0"/>
      <w:marRight w:val="0"/>
      <w:marTop w:val="0"/>
      <w:marBottom w:val="0"/>
      <w:divBdr>
        <w:top w:val="none" w:sz="0" w:space="0" w:color="auto"/>
        <w:left w:val="none" w:sz="0" w:space="0" w:color="auto"/>
        <w:bottom w:val="none" w:sz="0" w:space="0" w:color="auto"/>
        <w:right w:val="none" w:sz="0" w:space="0" w:color="auto"/>
      </w:divBdr>
      <w:divsChild>
        <w:div w:id="1389263570">
          <w:marLeft w:val="0"/>
          <w:marRight w:val="0"/>
          <w:marTop w:val="0"/>
          <w:marBottom w:val="0"/>
          <w:divBdr>
            <w:top w:val="none" w:sz="0" w:space="0" w:color="auto"/>
            <w:left w:val="none" w:sz="0" w:space="0" w:color="auto"/>
            <w:bottom w:val="none" w:sz="0" w:space="0" w:color="auto"/>
            <w:right w:val="none" w:sz="0" w:space="0" w:color="auto"/>
          </w:divBdr>
          <w:divsChild>
            <w:div w:id="299654810">
              <w:marLeft w:val="0"/>
              <w:marRight w:val="0"/>
              <w:marTop w:val="0"/>
              <w:marBottom w:val="0"/>
              <w:divBdr>
                <w:top w:val="none" w:sz="0" w:space="0" w:color="auto"/>
                <w:left w:val="none" w:sz="0" w:space="0" w:color="auto"/>
                <w:bottom w:val="none" w:sz="0" w:space="0" w:color="auto"/>
                <w:right w:val="none" w:sz="0" w:space="0" w:color="auto"/>
              </w:divBdr>
              <w:divsChild>
                <w:div w:id="151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5605">
      <w:bodyDiv w:val="1"/>
      <w:marLeft w:val="0"/>
      <w:marRight w:val="0"/>
      <w:marTop w:val="0"/>
      <w:marBottom w:val="0"/>
      <w:divBdr>
        <w:top w:val="none" w:sz="0" w:space="0" w:color="auto"/>
        <w:left w:val="none" w:sz="0" w:space="0" w:color="auto"/>
        <w:bottom w:val="none" w:sz="0" w:space="0" w:color="auto"/>
        <w:right w:val="none" w:sz="0" w:space="0" w:color="auto"/>
      </w:divBdr>
    </w:div>
    <w:div w:id="1916624754">
      <w:bodyDiv w:val="1"/>
      <w:marLeft w:val="0"/>
      <w:marRight w:val="0"/>
      <w:marTop w:val="0"/>
      <w:marBottom w:val="0"/>
      <w:divBdr>
        <w:top w:val="none" w:sz="0" w:space="0" w:color="auto"/>
        <w:left w:val="none" w:sz="0" w:space="0" w:color="auto"/>
        <w:bottom w:val="none" w:sz="0" w:space="0" w:color="auto"/>
        <w:right w:val="none" w:sz="0" w:space="0" w:color="auto"/>
      </w:divBdr>
      <w:divsChild>
        <w:div w:id="259336135">
          <w:marLeft w:val="0"/>
          <w:marRight w:val="0"/>
          <w:marTop w:val="0"/>
          <w:marBottom w:val="0"/>
          <w:divBdr>
            <w:top w:val="none" w:sz="0" w:space="0" w:color="auto"/>
            <w:left w:val="none" w:sz="0" w:space="0" w:color="auto"/>
            <w:bottom w:val="none" w:sz="0" w:space="0" w:color="auto"/>
            <w:right w:val="none" w:sz="0" w:space="0" w:color="auto"/>
          </w:divBdr>
        </w:div>
        <w:div w:id="460458806">
          <w:marLeft w:val="0"/>
          <w:marRight w:val="0"/>
          <w:marTop w:val="0"/>
          <w:marBottom w:val="0"/>
          <w:divBdr>
            <w:top w:val="none" w:sz="0" w:space="0" w:color="auto"/>
            <w:left w:val="none" w:sz="0" w:space="0" w:color="auto"/>
            <w:bottom w:val="none" w:sz="0" w:space="0" w:color="auto"/>
            <w:right w:val="none" w:sz="0" w:space="0" w:color="auto"/>
          </w:divBdr>
        </w:div>
        <w:div w:id="772171531">
          <w:marLeft w:val="0"/>
          <w:marRight w:val="0"/>
          <w:marTop w:val="0"/>
          <w:marBottom w:val="0"/>
          <w:divBdr>
            <w:top w:val="none" w:sz="0" w:space="0" w:color="auto"/>
            <w:left w:val="none" w:sz="0" w:space="0" w:color="auto"/>
            <w:bottom w:val="none" w:sz="0" w:space="0" w:color="auto"/>
            <w:right w:val="none" w:sz="0" w:space="0" w:color="auto"/>
          </w:divBdr>
        </w:div>
        <w:div w:id="974599427">
          <w:marLeft w:val="0"/>
          <w:marRight w:val="0"/>
          <w:marTop w:val="0"/>
          <w:marBottom w:val="0"/>
          <w:divBdr>
            <w:top w:val="none" w:sz="0" w:space="0" w:color="auto"/>
            <w:left w:val="none" w:sz="0" w:space="0" w:color="auto"/>
            <w:bottom w:val="none" w:sz="0" w:space="0" w:color="auto"/>
            <w:right w:val="none" w:sz="0" w:space="0" w:color="auto"/>
          </w:divBdr>
        </w:div>
        <w:div w:id="1702590265">
          <w:marLeft w:val="0"/>
          <w:marRight w:val="0"/>
          <w:marTop w:val="0"/>
          <w:marBottom w:val="0"/>
          <w:divBdr>
            <w:top w:val="none" w:sz="0" w:space="0" w:color="auto"/>
            <w:left w:val="none" w:sz="0" w:space="0" w:color="auto"/>
            <w:bottom w:val="none" w:sz="0" w:space="0" w:color="auto"/>
            <w:right w:val="none" w:sz="0" w:space="0" w:color="auto"/>
          </w:divBdr>
        </w:div>
        <w:div w:id="1871457930">
          <w:marLeft w:val="0"/>
          <w:marRight w:val="0"/>
          <w:marTop w:val="0"/>
          <w:marBottom w:val="0"/>
          <w:divBdr>
            <w:top w:val="none" w:sz="0" w:space="0" w:color="auto"/>
            <w:left w:val="none" w:sz="0" w:space="0" w:color="auto"/>
            <w:bottom w:val="none" w:sz="0" w:space="0" w:color="auto"/>
            <w:right w:val="none" w:sz="0" w:space="0" w:color="auto"/>
          </w:divBdr>
        </w:div>
      </w:divsChild>
    </w:div>
    <w:div w:id="1937397483">
      <w:bodyDiv w:val="1"/>
      <w:marLeft w:val="0"/>
      <w:marRight w:val="0"/>
      <w:marTop w:val="0"/>
      <w:marBottom w:val="0"/>
      <w:divBdr>
        <w:top w:val="none" w:sz="0" w:space="0" w:color="auto"/>
        <w:left w:val="none" w:sz="0" w:space="0" w:color="auto"/>
        <w:bottom w:val="none" w:sz="0" w:space="0" w:color="auto"/>
        <w:right w:val="none" w:sz="0" w:space="0" w:color="auto"/>
      </w:divBdr>
    </w:div>
    <w:div w:id="2034502105">
      <w:bodyDiv w:val="1"/>
      <w:marLeft w:val="0"/>
      <w:marRight w:val="0"/>
      <w:marTop w:val="0"/>
      <w:marBottom w:val="0"/>
      <w:divBdr>
        <w:top w:val="none" w:sz="0" w:space="0" w:color="auto"/>
        <w:left w:val="none" w:sz="0" w:space="0" w:color="auto"/>
        <w:bottom w:val="none" w:sz="0" w:space="0" w:color="auto"/>
        <w:right w:val="none" w:sz="0" w:space="0" w:color="auto"/>
      </w:divBdr>
    </w:div>
    <w:div w:id="2042003403">
      <w:bodyDiv w:val="1"/>
      <w:marLeft w:val="0"/>
      <w:marRight w:val="0"/>
      <w:marTop w:val="0"/>
      <w:marBottom w:val="0"/>
      <w:divBdr>
        <w:top w:val="none" w:sz="0" w:space="0" w:color="auto"/>
        <w:left w:val="none" w:sz="0" w:space="0" w:color="auto"/>
        <w:bottom w:val="none" w:sz="0" w:space="0" w:color="auto"/>
        <w:right w:val="none" w:sz="0" w:space="0" w:color="auto"/>
      </w:divBdr>
    </w:div>
    <w:div w:id="2045708713">
      <w:bodyDiv w:val="1"/>
      <w:marLeft w:val="0"/>
      <w:marRight w:val="0"/>
      <w:marTop w:val="0"/>
      <w:marBottom w:val="0"/>
      <w:divBdr>
        <w:top w:val="none" w:sz="0" w:space="0" w:color="auto"/>
        <w:left w:val="none" w:sz="0" w:space="0" w:color="auto"/>
        <w:bottom w:val="none" w:sz="0" w:space="0" w:color="auto"/>
        <w:right w:val="none" w:sz="0" w:space="0" w:color="auto"/>
      </w:divBdr>
    </w:div>
    <w:div w:id="2071148802">
      <w:bodyDiv w:val="1"/>
      <w:marLeft w:val="0"/>
      <w:marRight w:val="0"/>
      <w:marTop w:val="0"/>
      <w:marBottom w:val="0"/>
      <w:divBdr>
        <w:top w:val="none" w:sz="0" w:space="0" w:color="auto"/>
        <w:left w:val="none" w:sz="0" w:space="0" w:color="auto"/>
        <w:bottom w:val="none" w:sz="0" w:space="0" w:color="auto"/>
        <w:right w:val="none" w:sz="0" w:space="0" w:color="auto"/>
      </w:divBdr>
    </w:div>
    <w:div w:id="2105227994">
      <w:bodyDiv w:val="1"/>
      <w:marLeft w:val="0"/>
      <w:marRight w:val="0"/>
      <w:marTop w:val="0"/>
      <w:marBottom w:val="0"/>
      <w:divBdr>
        <w:top w:val="none" w:sz="0" w:space="0" w:color="auto"/>
        <w:left w:val="none" w:sz="0" w:space="0" w:color="auto"/>
        <w:bottom w:val="none" w:sz="0" w:space="0" w:color="auto"/>
        <w:right w:val="none" w:sz="0" w:space="0" w:color="auto"/>
      </w:divBdr>
    </w:div>
    <w:div w:id="21366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C4316887-956B-4A00-B38A-6DB2D258F872}">
    <t:Anchor>
      <t:Comment id="541597081"/>
    </t:Anchor>
    <t:History>
      <t:Event id="{F2255476-0BF8-4051-A536-6364F33CAC56}" time="2021-11-05T16:50:49.887Z">
        <t:Attribution userId="S::stephanie.wang@cpuc.ca.gov::03e85a3f-3c80-4fe7-b44b-0d4457483638" userProvider="AD" userName="Wang, Stephanie"/>
        <t:Anchor>
          <t:Comment id="541597081"/>
        </t:Anchor>
        <t:Create/>
      </t:Event>
      <t:Event id="{66F015BE-5908-42A7-8603-397C8D331A41}" time="2021-11-05T16:50:49.887Z">
        <t:Attribution userId="S::stephanie.wang@cpuc.ca.gov::03e85a3f-3c80-4fe7-b44b-0d4457483638" userProvider="AD" userName="Wang, Stephanie"/>
        <t:Anchor>
          <t:Comment id="541597081"/>
        </t:Anchor>
        <t:Assign userId="S::Theresa.Buckley@cpuc.ca.gov::d094b9e1-1e10-49aa-a676-cb9a5d01c326" userProvider="AD" userName="Buckley, Theresa"/>
      </t:Event>
      <t:Event id="{C25FEB7D-65E9-4850-9B81-A8DD39BF5A92}" time="2021-11-05T16:50:49.887Z">
        <t:Attribution userId="S::stephanie.wang@cpuc.ca.gov::03e85a3f-3c80-4fe7-b44b-0d4457483638" userProvider="AD" userName="Wang, Stephanie"/>
        <t:Anchor>
          <t:Comment id="541597081"/>
        </t:Anchor>
        <t:SetTitle title="@Buckley, Theresa Please review this section and insert relevant language about market sensitive / confidential data decisions. (Who has burden of proof for designating data as confidential, what they must provide to prove that data is confidential.)"/>
      </t:Event>
    </t:History>
  </t:Task>
  <t:Task id="{746CAAA1-F3AE-4ADA-9A76-44FBB04AFAD6}">
    <t:Anchor>
      <t:Comment id="1875918327"/>
    </t:Anchor>
    <t:History>
      <t:Event id="{96DE0B25-7688-4DF7-9EA1-E56EA28DB87A}" time="2021-11-02T17:02:03.701Z">
        <t:Attribution userId="S::stephanie.wang@cpuc.ca.gov::03e85a3f-3c80-4fe7-b44b-0d4457483638" userProvider="AD" userName="Wang, Stephanie"/>
        <t:Anchor>
          <t:Comment id="917574812"/>
        </t:Anchor>
        <t:Create/>
      </t:Event>
      <t:Event id="{F83A9351-A29F-44FC-AB19-EB4C4C09C2F6}" time="2021-11-02T17:02:03.701Z">
        <t:Attribution userId="S::stephanie.wang@cpuc.ca.gov::03e85a3f-3c80-4fe7-b44b-0d4457483638" userProvider="AD" userName="Wang, Stephanie"/>
        <t:Anchor>
          <t:Comment id="917574812"/>
        </t:Anchor>
        <t:Assign userId="S::Jonathan.Wardrip@cpuc.ca.gov::18ac094d-3a52-426e-9f27-24f9d8c405da" userProvider="AD" userName="Wardrip, Jonathan"/>
      </t:Event>
      <t:Event id="{C60B3CA2-6E57-4B3B-9B6E-6201F3F0632B}" time="2021-11-02T17:02:03.701Z">
        <t:Attribution userId="S::stephanie.wang@cpuc.ca.gov::03e85a3f-3c80-4fe7-b44b-0d4457483638" userProvider="AD" userName="Wang, Stephanie"/>
        <t:Anchor>
          <t:Comment id="917574812"/>
        </t:Anchor>
        <t:SetTitle title="@Wardrip, Jonathan Can you check this paragraph? This is how the Joint IOUs phrased their recommendation, but I think it's odd phrasing."/>
      </t:Event>
    </t:History>
  </t:Task>
  <t:Task id="{0B5C580F-4876-4467-8FEB-BA6E45E134D6}">
    <t:Anchor>
      <t:Comment id="623003267"/>
    </t:Anchor>
    <t:History>
      <t:Event id="{7C869C28-7173-40D5-8CD6-24DF5F567D5E}" time="2021-11-02T17:02:36.577Z">
        <t:Attribution userId="S::stephanie.wang@cpuc.ca.gov::03e85a3f-3c80-4fe7-b44b-0d4457483638" userProvider="AD" userName="Wang, Stephanie"/>
        <t:Anchor>
          <t:Comment id="1862747051"/>
        </t:Anchor>
        <t:Create/>
      </t:Event>
      <t:Event id="{B0551361-BB0B-4D44-B325-525E64B95C6F}" time="2021-11-02T17:02:36.577Z">
        <t:Attribution userId="S::stephanie.wang@cpuc.ca.gov::03e85a3f-3c80-4fe7-b44b-0d4457483638" userProvider="AD" userName="Wang, Stephanie"/>
        <t:Anchor>
          <t:Comment id="1862747051"/>
        </t:Anchor>
        <t:Assign userId="S::Jonathan.Wardrip@cpuc.ca.gov::18ac094d-3a52-426e-9f27-24f9d8c405da" userProvider="AD" userName="Wardrip, Jonathan"/>
      </t:Event>
      <t:Event id="{FB81B7C7-EB59-4C90-8917-12D2BABBF8AB}" time="2021-11-02T17:02:36.577Z">
        <t:Attribution userId="S::stephanie.wang@cpuc.ca.gov::03e85a3f-3c80-4fe7-b44b-0d4457483638" userProvider="AD" userName="Wang, Stephanie"/>
        <t:Anchor>
          <t:Comment id="1862747051"/>
        </t:Anchor>
        <t:SetTitle title="@Wardrip, Jonathan Please review this list as well."/>
      </t:Event>
    </t:History>
  </t:Task>
  <t:Task id="{6D2DBB98-123A-44FF-AAE5-C850D3370B09}">
    <t:Anchor>
      <t:Comment id="402647356"/>
    </t:Anchor>
    <t:History>
      <t:Event id="{D27CD041-144E-497F-89E5-2A0D9EFD9AC5}" time="2021-12-06T23:51:48.135Z">
        <t:Attribution userId="S::stephanie.wang@cpuc.ca.gov::03e85a3f-3c80-4fe7-b44b-0d4457483638" userProvider="AD" userName="Wang, Stephanie"/>
        <t:Anchor>
          <t:Comment id="402647356"/>
        </t:Anchor>
        <t:Create/>
      </t:Event>
      <t:Event id="{85F2D063-1A02-4A81-9899-69261EA26C0C}" time="2021-12-06T23:51:48.135Z">
        <t:Attribution userId="S::stephanie.wang@cpuc.ca.gov::03e85a3f-3c80-4fe7-b44b-0d4457483638" userProvider="AD" userName="Wang, Stephanie"/>
        <t:Anchor>
          <t:Comment id="402647356"/>
        </t:Anchor>
        <t:Assign userId="S::Jonathan.Wardrip@cpuc.ca.gov::18ac094d-3a52-426e-9f27-24f9d8c405da" userProvider="AD" userName="Wardrip, Jonathan"/>
      </t:Event>
      <t:Event id="{B82DEADD-2456-45EC-9EA9-4E07C0547293}" time="2021-12-06T23:51:48.135Z">
        <t:Attribution userId="S::stephanie.wang@cpuc.ca.gov::03e85a3f-3c80-4fe7-b44b-0d4457483638" userProvider="AD" userName="Wang, Stephanie"/>
        <t:Anchor>
          <t:Comment id="402647356"/>
        </t:Anchor>
        <t:SetTitle title="@Wardrip, Jonathan If you have any additional comments, please add before our call tomorrow afternoon."/>
      </t:Event>
    </t:History>
  </t:Task>
  <t:Task id="{E1A69CF7-E157-477A-A05B-C74477D5AADD}">
    <t:Anchor>
      <t:Comment id="175729380"/>
    </t:Anchor>
    <t:History>
      <t:Event id="{A9996B95-BFC4-4DAA-97A4-756DE1948603}" time="2021-12-06T23:50:18.628Z">
        <t:Attribution userId="S::stephanie.wang@cpuc.ca.gov::03e85a3f-3c80-4fe7-b44b-0d4457483638" userProvider="AD" userName="Wang, Stephanie"/>
        <t:Anchor>
          <t:Comment id="175729380"/>
        </t:Anchor>
        <t:Create/>
      </t:Event>
      <t:Event id="{3A0490E2-EF32-4211-887F-F3EF3F02C7F3}" time="2021-12-06T23:50:18.628Z">
        <t:Attribution userId="S::stephanie.wang@cpuc.ca.gov::03e85a3f-3c80-4fe7-b44b-0d4457483638" userProvider="AD" userName="Wang, Stephanie"/>
        <t:Anchor>
          <t:Comment id="175729380"/>
        </t:Anchor>
        <t:Assign userId="S::Kerry.Fleisher@cpuc.ca.gov::84437b1e-2f43-44d6-a0ca-7b869cbd6bcf" userProvider="AD" userName="Fleisher, Kerry"/>
      </t:Event>
      <t:Event id="{58FE3BBC-BB15-4E38-AE7E-4A2FB77FA65D}" time="2021-12-06T23:50:18.628Z">
        <t:Attribution userId="S::stephanie.wang@cpuc.ca.gov::03e85a3f-3c80-4fe7-b44b-0d4457483638" userProvider="AD" userName="Wang, Stephanie"/>
        <t:Anchor>
          <t:Comment id="175729380"/>
        </t:Anchor>
        <t:SetTitle title="@Fleisher, Kerry Please add any comments before our call tomorrow afternoon. Thanks!"/>
      </t:Event>
    </t:History>
  </t:Task>
  <t:Task id="{5470AD21-80C0-4002-89A7-9E143EC0DB5C}">
    <t:Anchor>
      <t:Comment id="1172396621"/>
    </t:Anchor>
    <t:History>
      <t:Event id="{70028E7E-504F-4B21-9B0F-2297818E4BFF}" time="2021-12-06T23:50:38.131Z">
        <t:Attribution userId="S::stephanie.wang@cpuc.ca.gov::03e85a3f-3c80-4fe7-b44b-0d4457483638" userProvider="AD" userName="Wang, Stephanie"/>
        <t:Anchor>
          <t:Comment id="2093253491"/>
        </t:Anchor>
        <t:Create/>
      </t:Event>
      <t:Event id="{5B5EF36A-846E-49FA-88F0-D833D9FF0530}" time="2021-12-06T23:50:38.131Z">
        <t:Attribution userId="S::stephanie.wang@cpuc.ca.gov::03e85a3f-3c80-4fe7-b44b-0d4457483638" userProvider="AD" userName="Wang, Stephanie"/>
        <t:Anchor>
          <t:Comment id="2093253491"/>
        </t:Anchor>
        <t:Assign userId="S::Nick.Dahlberg@cpuc.ca.gov::05ff526c-032d-4b1d-b308-684ae67413ba" userProvider="AD" userName="Dahlberg, Nick"/>
      </t:Event>
      <t:Event id="{0663432B-D361-42F0-9776-AEC417F2274E}" time="2021-12-06T23:50:38.131Z">
        <t:Attribution userId="S::stephanie.wang@cpuc.ca.gov::03e85a3f-3c80-4fe7-b44b-0d4457483638" userProvider="AD" userName="Wang, Stephanie"/>
        <t:Anchor>
          <t:Comment id="2093253491"/>
        </t:Anchor>
        <t:SetTitle title="@Dahlberg, Ni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6" ma:contentTypeDescription="Create a new document." ma:contentTypeScope="" ma:versionID="04593c6daa3f49cc03932cb34237940c">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e128bd30170d0127738f35b217dc967a"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E2EFA5C1-3C37-4508-8CE2-06C26C9C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31</ap:Pages>
  <ap:Words>7285</ap:Words>
  <ap:Characters>41525</ap:Characters>
  <ap:Application>Microsoft Office Word</ap:Application>
  <ap:DocSecurity>0</ap:DocSecurity>
  <ap:Lines>346</ap:Lines>
  <ap:Paragraphs>97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48713</ap:CharactersWithSpaces>
  <ap:SharedDoc>false</ap:SharedDoc>
  <ap:HLinks>
    <vt:vector baseType="variant" size="96">
      <vt:variant>
        <vt:i4>1179702</vt:i4>
      </vt:variant>
      <vt:variant>
        <vt:i4>92</vt:i4>
      </vt:variant>
      <vt:variant>
        <vt:i4>0</vt:i4>
      </vt:variant>
      <vt:variant>
        <vt:i4>5</vt:i4>
      </vt:variant>
      <vt:variant>
        <vt:lpwstr/>
      </vt:variant>
      <vt:variant>
        <vt:lpwstr>_Toc12866697</vt:lpwstr>
      </vt:variant>
      <vt:variant>
        <vt:i4>1245238</vt:i4>
      </vt:variant>
      <vt:variant>
        <vt:i4>86</vt:i4>
      </vt:variant>
      <vt:variant>
        <vt:i4>0</vt:i4>
      </vt:variant>
      <vt:variant>
        <vt:i4>5</vt:i4>
      </vt:variant>
      <vt:variant>
        <vt:lpwstr/>
      </vt:variant>
      <vt:variant>
        <vt:lpwstr>_Toc12866696</vt:lpwstr>
      </vt:variant>
      <vt:variant>
        <vt:i4>1048630</vt:i4>
      </vt:variant>
      <vt:variant>
        <vt:i4>80</vt:i4>
      </vt:variant>
      <vt:variant>
        <vt:i4>0</vt:i4>
      </vt:variant>
      <vt:variant>
        <vt:i4>5</vt:i4>
      </vt:variant>
      <vt:variant>
        <vt:lpwstr/>
      </vt:variant>
      <vt:variant>
        <vt:lpwstr>_Toc12866695</vt:lpwstr>
      </vt:variant>
      <vt:variant>
        <vt:i4>1114166</vt:i4>
      </vt:variant>
      <vt:variant>
        <vt:i4>74</vt:i4>
      </vt:variant>
      <vt:variant>
        <vt:i4>0</vt:i4>
      </vt:variant>
      <vt:variant>
        <vt:i4>5</vt:i4>
      </vt:variant>
      <vt:variant>
        <vt:lpwstr/>
      </vt:variant>
      <vt:variant>
        <vt:lpwstr>_Toc12866694</vt:lpwstr>
      </vt:variant>
      <vt:variant>
        <vt:i4>1441846</vt:i4>
      </vt:variant>
      <vt:variant>
        <vt:i4>68</vt:i4>
      </vt:variant>
      <vt:variant>
        <vt:i4>0</vt:i4>
      </vt:variant>
      <vt:variant>
        <vt:i4>5</vt:i4>
      </vt:variant>
      <vt:variant>
        <vt:lpwstr/>
      </vt:variant>
      <vt:variant>
        <vt:lpwstr>_Toc12866693</vt:lpwstr>
      </vt:variant>
      <vt:variant>
        <vt:i4>1507382</vt:i4>
      </vt:variant>
      <vt:variant>
        <vt:i4>62</vt:i4>
      </vt:variant>
      <vt:variant>
        <vt:i4>0</vt:i4>
      </vt:variant>
      <vt:variant>
        <vt:i4>5</vt:i4>
      </vt:variant>
      <vt:variant>
        <vt:lpwstr/>
      </vt:variant>
      <vt:variant>
        <vt:lpwstr>_Toc12866692</vt:lpwstr>
      </vt:variant>
      <vt:variant>
        <vt:i4>1310774</vt:i4>
      </vt:variant>
      <vt:variant>
        <vt:i4>56</vt:i4>
      </vt:variant>
      <vt:variant>
        <vt:i4>0</vt:i4>
      </vt:variant>
      <vt:variant>
        <vt:i4>5</vt:i4>
      </vt:variant>
      <vt:variant>
        <vt:lpwstr/>
      </vt:variant>
      <vt:variant>
        <vt:lpwstr>_Toc12866691</vt:lpwstr>
      </vt:variant>
      <vt:variant>
        <vt:i4>1376310</vt:i4>
      </vt:variant>
      <vt:variant>
        <vt:i4>50</vt:i4>
      </vt:variant>
      <vt:variant>
        <vt:i4>0</vt:i4>
      </vt:variant>
      <vt:variant>
        <vt:i4>5</vt:i4>
      </vt:variant>
      <vt:variant>
        <vt:lpwstr/>
      </vt:variant>
      <vt:variant>
        <vt:lpwstr>_Toc12866690</vt:lpwstr>
      </vt:variant>
      <vt:variant>
        <vt:i4>1835063</vt:i4>
      </vt:variant>
      <vt:variant>
        <vt:i4>44</vt:i4>
      </vt:variant>
      <vt:variant>
        <vt:i4>0</vt:i4>
      </vt:variant>
      <vt:variant>
        <vt:i4>5</vt:i4>
      </vt:variant>
      <vt:variant>
        <vt:lpwstr/>
      </vt:variant>
      <vt:variant>
        <vt:lpwstr>_Toc12866689</vt:lpwstr>
      </vt:variant>
      <vt:variant>
        <vt:i4>1900599</vt:i4>
      </vt:variant>
      <vt:variant>
        <vt:i4>38</vt:i4>
      </vt:variant>
      <vt:variant>
        <vt:i4>0</vt:i4>
      </vt:variant>
      <vt:variant>
        <vt:i4>5</vt:i4>
      </vt:variant>
      <vt:variant>
        <vt:lpwstr/>
      </vt:variant>
      <vt:variant>
        <vt:lpwstr>_Toc12866688</vt:lpwstr>
      </vt:variant>
      <vt:variant>
        <vt:i4>1179703</vt:i4>
      </vt:variant>
      <vt:variant>
        <vt:i4>32</vt:i4>
      </vt:variant>
      <vt:variant>
        <vt:i4>0</vt:i4>
      </vt:variant>
      <vt:variant>
        <vt:i4>5</vt:i4>
      </vt:variant>
      <vt:variant>
        <vt:lpwstr/>
      </vt:variant>
      <vt:variant>
        <vt:lpwstr>_Toc12866687</vt:lpwstr>
      </vt:variant>
      <vt:variant>
        <vt:i4>1245239</vt:i4>
      </vt:variant>
      <vt:variant>
        <vt:i4>26</vt:i4>
      </vt:variant>
      <vt:variant>
        <vt:i4>0</vt:i4>
      </vt:variant>
      <vt:variant>
        <vt:i4>5</vt:i4>
      </vt:variant>
      <vt:variant>
        <vt:lpwstr/>
      </vt:variant>
      <vt:variant>
        <vt:lpwstr>_Toc12866686</vt:lpwstr>
      </vt:variant>
      <vt:variant>
        <vt:i4>1048631</vt:i4>
      </vt:variant>
      <vt:variant>
        <vt:i4>20</vt:i4>
      </vt:variant>
      <vt:variant>
        <vt:i4>0</vt:i4>
      </vt:variant>
      <vt:variant>
        <vt:i4>5</vt:i4>
      </vt:variant>
      <vt:variant>
        <vt:lpwstr/>
      </vt:variant>
      <vt:variant>
        <vt:lpwstr>_Toc12866685</vt:lpwstr>
      </vt:variant>
      <vt:variant>
        <vt:i4>1114167</vt:i4>
      </vt:variant>
      <vt:variant>
        <vt:i4>14</vt:i4>
      </vt:variant>
      <vt:variant>
        <vt:i4>0</vt:i4>
      </vt:variant>
      <vt:variant>
        <vt:i4>5</vt:i4>
      </vt:variant>
      <vt:variant>
        <vt:lpwstr/>
      </vt:variant>
      <vt:variant>
        <vt:lpwstr>_Toc12866684</vt:lpwstr>
      </vt:variant>
      <vt:variant>
        <vt:i4>1441847</vt:i4>
      </vt:variant>
      <vt:variant>
        <vt:i4>8</vt:i4>
      </vt:variant>
      <vt:variant>
        <vt:i4>0</vt:i4>
      </vt:variant>
      <vt:variant>
        <vt:i4>5</vt:i4>
      </vt:variant>
      <vt:variant>
        <vt:lpwstr/>
      </vt:variant>
      <vt:variant>
        <vt:lpwstr>_Toc12866683</vt:lpwstr>
      </vt:variant>
      <vt:variant>
        <vt:i4>1507383</vt:i4>
      </vt:variant>
      <vt:variant>
        <vt:i4>2</vt:i4>
      </vt:variant>
      <vt:variant>
        <vt:i4>0</vt:i4>
      </vt:variant>
      <vt:variant>
        <vt:i4>5</vt:i4>
      </vt:variant>
      <vt:variant>
        <vt:lpwstr/>
      </vt:variant>
      <vt:variant>
        <vt:lpwstr>_Toc12866682</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2022-01-24T18:06:00Z</cp:lastPrinted>
  <dcterms:created xsi:type="dcterms:W3CDTF">2022-02-02T09:01:49Z</dcterms:created>
  <dcterms:modified xsi:type="dcterms:W3CDTF">2022-02-02T09:01:49Z</dcterms:modified>
</cp:coreProperties>
</file>