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package/2006/relationships/metadata/thumbnail" Target="docProps/thumbnail.emf" Id="rId2" /><Relationship Type="http://schemas.openxmlformats.org/officeDocument/2006/relationships/officeDocument" Target="word/document.xml" Id="rId1" /><Relationship Type="http://schemas.openxmlformats.org/officeDocument/2006/relationships/extended-properties" Target="docProps/app.xml" Id="rId4" /></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60B90" w:rsidR="00ED6EDE" w:rsidP="00160B90" w:rsidRDefault="008658CC" w14:paraId="2DF64197" w14:textId="39A66480">
      <w:pPr>
        <w:tabs>
          <w:tab w:val="center" w:pos="4680"/>
          <w:tab w:val="right" w:pos="9360"/>
        </w:tabs>
        <w:spacing w:line="240" w:lineRule="auto"/>
        <w:ind w:firstLine="0"/>
        <w:jc w:val="right"/>
        <w:rPr>
          <w:rFonts w:ascii="Arial" w:hAnsi="Arial" w:cs="Arial"/>
          <w:b/>
          <w:bCs/>
          <w:szCs w:val="26"/>
        </w:rPr>
      </w:pPr>
      <w:r w:rsidRPr="008658CC">
        <w:t>ALJ/</w:t>
      </w:r>
      <w:r w:rsidR="00122441">
        <w:t>SNE</w:t>
      </w:r>
      <w:r w:rsidRPr="008658CC">
        <w:t>/</w:t>
      </w:r>
      <w:proofErr w:type="spellStart"/>
      <w:r w:rsidRPr="008658CC">
        <w:t>lil</w:t>
      </w:r>
      <w:proofErr w:type="spellEnd"/>
      <w:r w:rsidRPr="008658CC">
        <w:tab/>
      </w:r>
      <w:r w:rsidR="00160B90">
        <w:tab/>
      </w:r>
      <w:r w:rsidRPr="00160B90" w:rsidR="00160B90">
        <w:rPr>
          <w:b/>
          <w:bCs/>
        </w:rPr>
        <w:t>Date of Issuance 2/11/2022</w:t>
      </w:r>
    </w:p>
    <w:p w:rsidRPr="00ED6EDE" w:rsidR="008658CC" w:rsidP="00160B90" w:rsidRDefault="008658CC" w14:paraId="34E612B7" w14:textId="0A86D408">
      <w:pPr>
        <w:tabs>
          <w:tab w:val="center" w:pos="4680"/>
          <w:tab w:val="right" w:pos="9360"/>
        </w:tabs>
        <w:spacing w:line="240" w:lineRule="auto"/>
        <w:ind w:firstLine="0"/>
        <w:rPr>
          <w:b/>
          <w:bCs/>
        </w:rPr>
      </w:pPr>
    </w:p>
    <w:p w:rsidR="00DA7B5D" w:rsidP="008F0116" w:rsidRDefault="00DA7B5D" w14:paraId="3F40BB02" w14:textId="77777777">
      <w:pPr>
        <w:ind w:firstLine="0"/>
      </w:pPr>
    </w:p>
    <w:p w:rsidRPr="008658CC" w:rsidR="008658CC" w:rsidP="008658CC" w:rsidRDefault="008658CC" w14:paraId="3EF1E058" w14:textId="2E3213D1">
      <w:pPr>
        <w:spacing w:after="160" w:line="240" w:lineRule="auto"/>
        <w:ind w:firstLine="0"/>
      </w:pPr>
      <w:r w:rsidRPr="008658CC">
        <w:t xml:space="preserve">Decision </w:t>
      </w:r>
      <w:r w:rsidR="00160B90">
        <w:t>22-02-002  February 10, 2022</w:t>
      </w:r>
    </w:p>
    <w:p w:rsidR="00DA7B5D" w:rsidP="00797913" w:rsidRDefault="00DA7B5D" w14:paraId="5D85D54B" w14:textId="77777777">
      <w:pPr>
        <w:spacing w:line="240" w:lineRule="auto"/>
        <w:ind w:firstLine="0"/>
        <w:rPr>
          <w:u w:val="single"/>
        </w:rPr>
      </w:pPr>
    </w:p>
    <w:p w:rsidR="00DA7B5D" w:rsidP="00BB0243" w:rsidRDefault="00DA7B5D" w14:paraId="72547862"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DA7B5D" w:rsidP="008F0116" w:rsidRDefault="00DA7B5D" w14:paraId="2D9B3526" w14:textId="77777777">
      <w:pPr>
        <w:spacing w:line="240" w:lineRule="auto"/>
        <w:ind w:firstLine="0"/>
        <w:rPr>
          <w:rFonts w:ascii="Arial" w:hAnsi="Arial" w:cs="Arial"/>
          <w:sz w:val="24"/>
          <w:szCs w:val="24"/>
        </w:rPr>
      </w:pPr>
    </w:p>
    <w:tbl>
      <w:tblPr>
        <w:tblStyle w:val="TableGrid"/>
        <w:tblW w:w="9360" w:type="dxa"/>
        <w:jc w:val="center"/>
        <w:tblLayout w:type="fixed"/>
        <w:tblLook w:val="04A0" w:firstRow="1" w:lastRow="0" w:firstColumn="1" w:lastColumn="0" w:noHBand="0" w:noVBand="1"/>
      </w:tblPr>
      <w:tblGrid>
        <w:gridCol w:w="4680"/>
        <w:gridCol w:w="4680"/>
      </w:tblGrid>
      <w:tr w:rsidR="00DA7B5D" w:rsidTr="00E725FC" w14:paraId="086B63EB" w14:textId="77777777">
        <w:trPr>
          <w:jc w:val="center"/>
        </w:trPr>
        <w:tc>
          <w:tcPr>
            <w:tcW w:w="5040" w:type="dxa"/>
            <w:tcBorders>
              <w:top w:val="nil"/>
              <w:left w:val="nil"/>
              <w:bottom w:val="single" w:color="auto" w:sz="4" w:space="0"/>
              <w:right w:val="single" w:color="auto" w:sz="4" w:space="0"/>
            </w:tcBorders>
          </w:tcPr>
          <w:p w:rsidR="00DA7B5D" w:rsidP="00C10B5F" w:rsidRDefault="00797913" w14:paraId="5511B726" w14:textId="77777777">
            <w:pPr>
              <w:spacing w:line="240" w:lineRule="auto"/>
              <w:ind w:firstLine="0"/>
              <w:rPr>
                <w:rFonts w:cs="Arial"/>
                <w:szCs w:val="26"/>
              </w:rPr>
            </w:pPr>
            <w:r w:rsidRPr="00797913">
              <w:rPr>
                <w:rFonts w:cs="Arial"/>
                <w:szCs w:val="26"/>
              </w:rPr>
              <w:t>Application of Pacific Gas and Electric Company for Adoption of Electric Revenue Requirements and Rates Associated with its 2022 Energy Resource Recovery Account (ERRA) and Generation Non-</w:t>
            </w:r>
            <w:proofErr w:type="spellStart"/>
            <w:r w:rsidRPr="00797913">
              <w:rPr>
                <w:rFonts w:cs="Arial"/>
                <w:szCs w:val="26"/>
              </w:rPr>
              <w:t>Bypassable</w:t>
            </w:r>
            <w:proofErr w:type="spellEnd"/>
            <w:r w:rsidRPr="00797913">
              <w:rPr>
                <w:rFonts w:cs="Arial"/>
                <w:szCs w:val="26"/>
              </w:rPr>
              <w:t xml:space="preserve"> Charges Forecast and Greenhouse Gas Forecast Revenue Return and Reconciliation. (U39E)</w:t>
            </w:r>
          </w:p>
          <w:p w:rsidRPr="00DA7B5D" w:rsidR="00797913" w:rsidP="00C10B5F" w:rsidRDefault="00797913" w14:paraId="3652BBDC" w14:textId="4D912A54">
            <w:pPr>
              <w:spacing w:line="240" w:lineRule="auto"/>
              <w:ind w:firstLine="0"/>
              <w:rPr>
                <w:rFonts w:cs="Arial"/>
                <w:szCs w:val="26"/>
              </w:rPr>
            </w:pPr>
          </w:p>
        </w:tc>
        <w:tc>
          <w:tcPr>
            <w:tcW w:w="5040" w:type="dxa"/>
            <w:tcBorders>
              <w:top w:val="nil"/>
              <w:left w:val="single" w:color="auto" w:sz="4" w:space="0"/>
              <w:bottom w:val="nil"/>
              <w:right w:val="nil"/>
            </w:tcBorders>
            <w:vAlign w:val="center"/>
          </w:tcPr>
          <w:p w:rsidRPr="00DA7B5D" w:rsidR="00DA7B5D" w:rsidP="00412C83" w:rsidRDefault="00797913" w14:paraId="1EFDC496" w14:textId="0A90B13A">
            <w:pPr>
              <w:spacing w:line="240" w:lineRule="auto"/>
              <w:ind w:firstLine="0"/>
              <w:jc w:val="center"/>
              <w:rPr>
                <w:rFonts w:cs="Arial"/>
                <w:szCs w:val="26"/>
              </w:rPr>
            </w:pPr>
            <w:r>
              <w:rPr>
                <w:rFonts w:cs="Arial"/>
                <w:szCs w:val="26"/>
              </w:rPr>
              <w:t>Application 21-06-001</w:t>
            </w:r>
          </w:p>
        </w:tc>
      </w:tr>
    </w:tbl>
    <w:p w:rsidR="00DA7B5D" w:rsidP="008F0116" w:rsidRDefault="00DA7B5D" w14:paraId="1AE4F568" w14:textId="14905501">
      <w:pPr>
        <w:spacing w:line="240" w:lineRule="auto"/>
        <w:ind w:firstLine="0"/>
        <w:rPr>
          <w:rFonts w:ascii="Arial" w:hAnsi="Arial" w:cs="Arial"/>
          <w:sz w:val="24"/>
          <w:szCs w:val="24"/>
        </w:rPr>
      </w:pPr>
    </w:p>
    <w:p w:rsidR="00797913" w:rsidP="008F0116" w:rsidRDefault="00797913" w14:paraId="0019D2BF" w14:textId="77777777">
      <w:pPr>
        <w:spacing w:line="240" w:lineRule="auto"/>
        <w:ind w:firstLine="0"/>
        <w:rPr>
          <w:rFonts w:ascii="Arial" w:hAnsi="Arial" w:cs="Arial"/>
          <w:sz w:val="24"/>
          <w:szCs w:val="24"/>
        </w:rPr>
      </w:pPr>
    </w:p>
    <w:p w:rsidRPr="008658CC" w:rsidR="008658CC" w:rsidP="00797913" w:rsidRDefault="00797913" w14:paraId="365AF782" w14:textId="5814AF65">
      <w:pPr>
        <w:pStyle w:val="Main"/>
      </w:pPr>
      <w:bookmarkStart w:name="_Toc95469358" w:id="0"/>
      <w:bookmarkStart w:name="_Hlk54356077" w:id="1"/>
      <w:r>
        <w:t xml:space="preserve">DECISION ADOPTING PACIFIC GAS AND ELECTRIC COMPANY’S </w:t>
      </w:r>
      <w:r>
        <w:br/>
        <w:t xml:space="preserve">2022 ELECTRIC REVENUE REQUIREMENTS ASSOCIATED WITH </w:t>
      </w:r>
      <w:r>
        <w:br/>
        <w:t xml:space="preserve">ENERGY RESOURCE RECOVERY ACCOUNT FORECAST, </w:t>
      </w:r>
      <w:r>
        <w:br/>
        <w:t>GENERATION NON</w:t>
      </w:r>
      <w:r>
        <w:noBreakHyphen/>
        <w:t>BYPASSABLE CHARGES FORECAST,</w:t>
      </w:r>
      <w:r>
        <w:br/>
        <w:t xml:space="preserve">GREENHOUSE GAS REVENUE FORECAST, </w:t>
      </w:r>
      <w:r>
        <w:br/>
        <w:t>AND RELATED PROPOSALS</w:t>
      </w:r>
      <w:bookmarkEnd w:id="0"/>
    </w:p>
    <w:bookmarkEnd w:id="1"/>
    <w:p w:rsidRPr="008658CC" w:rsidR="008658CC" w:rsidP="008658CC" w:rsidRDefault="008658CC" w14:paraId="5AD60F77" w14:textId="77777777">
      <w:pPr>
        <w:spacing w:line="240" w:lineRule="auto"/>
        <w:ind w:right="-1123" w:firstLine="0"/>
        <w:rPr>
          <w:szCs w:val="26"/>
        </w:rPr>
      </w:pPr>
    </w:p>
    <w:p w:rsidR="00DA7B5D" w:rsidP="008F0116" w:rsidRDefault="00DA7B5D" w14:paraId="5CA751C0" w14:textId="77777777">
      <w:pPr>
        <w:spacing w:line="240" w:lineRule="auto"/>
        <w:ind w:firstLine="0"/>
        <w:rPr>
          <w:rFonts w:ascii="Arial" w:hAnsi="Arial" w:cs="Arial"/>
          <w:sz w:val="24"/>
          <w:szCs w:val="24"/>
        </w:rPr>
      </w:pPr>
    </w:p>
    <w:p w:rsidRPr="00F92385" w:rsidR="00F92385" w:rsidP="00B3087D" w:rsidRDefault="00F92385" w14:paraId="19F80AB8" w14:textId="0E3B08BD">
      <w:pPr>
        <w:pStyle w:val="Dummy"/>
        <w:jc w:val="center"/>
        <w:sectPr w:rsidRPr="00F92385" w:rsidR="00F92385" w:rsidSect="0055722F">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pPr>
    </w:p>
    <w:p w:rsidRPr="009418BC" w:rsidR="00D50119" w:rsidP="009418BC" w:rsidRDefault="00D50119" w14:paraId="5BBFF1C2" w14:textId="77777777">
      <w:pPr>
        <w:jc w:val="center"/>
        <w:rPr>
          <w:b/>
          <w:bCs/>
        </w:rPr>
      </w:pPr>
      <w:bookmarkStart w:name="_Toc54711126" w:id="2"/>
      <w:bookmarkStart w:name="_Toc54711966" w:id="3"/>
      <w:r w:rsidRPr="009418BC">
        <w:rPr>
          <w:b/>
          <w:bCs/>
        </w:rPr>
        <w:lastRenderedPageBreak/>
        <w:t>TABLE OF CONTENTS</w:t>
      </w:r>
      <w:bookmarkEnd w:id="2"/>
      <w:bookmarkEnd w:id="3"/>
    </w:p>
    <w:p w:rsidRPr="00D50119" w:rsidR="00D50119" w:rsidP="007E0FEE" w:rsidRDefault="00D50119" w14:paraId="6DAA932A" w14:textId="77777777">
      <w:pPr>
        <w:tabs>
          <w:tab w:val="right" w:pos="9360"/>
        </w:tabs>
        <w:ind w:firstLine="0"/>
      </w:pPr>
      <w:r w:rsidRPr="00D15DC0">
        <w:rPr>
          <w:b/>
          <w:u w:val="single"/>
        </w:rPr>
        <w:t>Title</w:t>
      </w:r>
      <w:r>
        <w:tab/>
      </w:r>
      <w:r w:rsidRPr="00D15DC0">
        <w:rPr>
          <w:b/>
          <w:u w:val="single"/>
        </w:rPr>
        <w:t>Page</w:t>
      </w:r>
    </w:p>
    <w:sdt>
      <w:sdtPr>
        <w:rPr>
          <w:color w:val="2B579A"/>
          <w:shd w:val="clear" w:color="auto" w:fill="E6E6E6"/>
        </w:rPr>
        <w:id w:val="-1224440197"/>
        <w:docPartObj>
          <w:docPartGallery w:val="Table of Contents"/>
          <w:docPartUnique/>
        </w:docPartObj>
      </w:sdtPr>
      <w:sdtEndPr>
        <w:rPr>
          <w:b/>
          <w:bCs/>
          <w:noProof/>
          <w:color w:val="auto"/>
          <w:shd w:val="clear" w:color="auto" w:fill="auto"/>
        </w:rPr>
      </w:sdtEndPr>
      <w:sdtContent>
        <w:p w:rsidR="00B95CAC" w:rsidP="00F722B0" w:rsidRDefault="00157413" w14:paraId="34D41182" w14:textId="6C3FBDF7">
          <w:pPr>
            <w:pStyle w:val="TOC1"/>
            <w:tabs>
              <w:tab w:val="right" w:leader="dot" w:pos="9350"/>
            </w:tabs>
            <w:ind w:left="0" w:firstLine="0"/>
            <w:rPr>
              <w:rFonts w:asciiTheme="minorHAnsi" w:hAnsiTheme="minorHAnsi" w:cstheme="minorBidi"/>
              <w:noProof/>
              <w:sz w:val="22"/>
            </w:rPr>
          </w:pPr>
          <w:r>
            <w:rPr>
              <w:rFonts w:asciiTheme="minorHAnsi" w:hAnsiTheme="minorHAnsi"/>
              <w:color w:val="2B579A"/>
              <w:sz w:val="22"/>
              <w:shd w:val="clear" w:color="auto" w:fill="E6E6E6"/>
            </w:rPr>
            <w:fldChar w:fldCharType="begin"/>
          </w:r>
          <w:r>
            <w:rPr>
              <w:rFonts w:asciiTheme="minorHAnsi" w:hAnsiTheme="minorHAnsi"/>
              <w:sz w:val="22"/>
            </w:rPr>
            <w:instrText xml:space="preserve"> TOC \o "1-3" \h \z \t "Main,1" </w:instrText>
          </w:r>
          <w:r>
            <w:rPr>
              <w:rFonts w:asciiTheme="minorHAnsi" w:hAnsiTheme="minorHAnsi"/>
              <w:color w:val="2B579A"/>
              <w:sz w:val="22"/>
              <w:shd w:val="clear" w:color="auto" w:fill="E6E6E6"/>
            </w:rPr>
            <w:fldChar w:fldCharType="separate"/>
          </w:r>
          <w:hyperlink w:history="1" w:anchor="_Toc95469358">
            <w:r w:rsidRPr="006B53B9" w:rsidR="00B95CAC">
              <w:rPr>
                <w:rStyle w:val="Hyperlink"/>
                <w:noProof/>
              </w:rPr>
              <w:t xml:space="preserve">DECISION ADOPTING PACIFIC GAS AND ELECTRIC COMPANY’S </w:t>
            </w:r>
            <w:r w:rsidR="00F722B0">
              <w:rPr>
                <w:rStyle w:val="Hyperlink"/>
                <w:noProof/>
              </w:rPr>
              <w:br/>
            </w:r>
            <w:r w:rsidRPr="006B53B9" w:rsidR="00B95CAC">
              <w:rPr>
                <w:rStyle w:val="Hyperlink"/>
                <w:noProof/>
              </w:rPr>
              <w:t>2022 ELECTRIC REVENUE REQUIREMENTS ASSOCIATED WITH ENERGY RESOURCE RECOVERY ACCOUNT FORECAST, GENERATION NON</w:t>
            </w:r>
            <w:r w:rsidRPr="006B53B9" w:rsidR="00B95CAC">
              <w:rPr>
                <w:rStyle w:val="Hyperlink"/>
                <w:noProof/>
              </w:rPr>
              <w:noBreakHyphen/>
              <w:t xml:space="preserve">BYPASSABLE CHARGES FORECAST, GREENHOUSE GAS </w:t>
            </w:r>
            <w:r w:rsidR="00512EEC">
              <w:rPr>
                <w:rStyle w:val="Hyperlink"/>
                <w:noProof/>
              </w:rPr>
              <w:br/>
            </w:r>
            <w:r w:rsidRPr="006B53B9" w:rsidR="00B95CAC">
              <w:rPr>
                <w:rStyle w:val="Hyperlink"/>
                <w:noProof/>
              </w:rPr>
              <w:t>REVENUE FORECAST, AND RELATED PROPOSALS</w:t>
            </w:r>
            <w:r w:rsidR="00B95CAC">
              <w:rPr>
                <w:noProof/>
                <w:webHidden/>
              </w:rPr>
              <w:tab/>
            </w:r>
            <w:r w:rsidR="00B95CAC">
              <w:rPr>
                <w:noProof/>
                <w:webHidden/>
              </w:rPr>
              <w:fldChar w:fldCharType="begin"/>
            </w:r>
            <w:r w:rsidR="00B95CAC">
              <w:rPr>
                <w:noProof/>
                <w:webHidden/>
              </w:rPr>
              <w:instrText xml:space="preserve"> PAGEREF _Toc95469358 \h </w:instrText>
            </w:r>
            <w:r w:rsidR="00B95CAC">
              <w:rPr>
                <w:noProof/>
                <w:webHidden/>
              </w:rPr>
            </w:r>
            <w:r w:rsidR="00B95CAC">
              <w:rPr>
                <w:noProof/>
                <w:webHidden/>
              </w:rPr>
              <w:fldChar w:fldCharType="separate"/>
            </w:r>
            <w:r w:rsidR="00B95CAC">
              <w:rPr>
                <w:noProof/>
                <w:webHidden/>
              </w:rPr>
              <w:t>1</w:t>
            </w:r>
            <w:r w:rsidR="00B95CAC">
              <w:rPr>
                <w:noProof/>
                <w:webHidden/>
              </w:rPr>
              <w:fldChar w:fldCharType="end"/>
            </w:r>
          </w:hyperlink>
        </w:p>
        <w:p w:rsidR="00B95CAC" w:rsidRDefault="00FE0A37" w14:paraId="46B06EE2" w14:textId="07DEF9AC">
          <w:pPr>
            <w:pStyle w:val="TOC1"/>
            <w:tabs>
              <w:tab w:val="right" w:leader="dot" w:pos="9350"/>
            </w:tabs>
            <w:rPr>
              <w:rFonts w:asciiTheme="minorHAnsi" w:hAnsiTheme="minorHAnsi" w:cstheme="minorBidi"/>
              <w:noProof/>
              <w:sz w:val="22"/>
            </w:rPr>
          </w:pPr>
          <w:hyperlink w:history="1" w:anchor="_Toc95469359">
            <w:r w:rsidRPr="006B53B9" w:rsidR="00B95CAC">
              <w:rPr>
                <w:rStyle w:val="Hyperlink"/>
                <w:noProof/>
              </w:rPr>
              <w:t>Summary</w:t>
            </w:r>
            <w:r w:rsidR="00B95CAC">
              <w:rPr>
                <w:noProof/>
                <w:webHidden/>
              </w:rPr>
              <w:tab/>
            </w:r>
            <w:r w:rsidR="00B95CAC">
              <w:rPr>
                <w:noProof/>
                <w:webHidden/>
              </w:rPr>
              <w:fldChar w:fldCharType="begin"/>
            </w:r>
            <w:r w:rsidR="00B95CAC">
              <w:rPr>
                <w:noProof/>
                <w:webHidden/>
              </w:rPr>
              <w:instrText xml:space="preserve"> PAGEREF _Toc95469359 \h </w:instrText>
            </w:r>
            <w:r w:rsidR="00B95CAC">
              <w:rPr>
                <w:noProof/>
                <w:webHidden/>
              </w:rPr>
            </w:r>
            <w:r w:rsidR="00B95CAC">
              <w:rPr>
                <w:noProof/>
                <w:webHidden/>
              </w:rPr>
              <w:fldChar w:fldCharType="separate"/>
            </w:r>
            <w:r w:rsidR="00B95CAC">
              <w:rPr>
                <w:noProof/>
                <w:webHidden/>
              </w:rPr>
              <w:t>2</w:t>
            </w:r>
            <w:r w:rsidR="00B95CAC">
              <w:rPr>
                <w:noProof/>
                <w:webHidden/>
              </w:rPr>
              <w:fldChar w:fldCharType="end"/>
            </w:r>
          </w:hyperlink>
        </w:p>
        <w:p w:rsidR="00B95CAC" w:rsidRDefault="00FE0A37" w14:paraId="799AB8F4" w14:textId="55679448">
          <w:pPr>
            <w:pStyle w:val="TOC1"/>
            <w:tabs>
              <w:tab w:val="right" w:leader="dot" w:pos="9350"/>
            </w:tabs>
            <w:rPr>
              <w:rFonts w:asciiTheme="minorHAnsi" w:hAnsiTheme="minorHAnsi" w:cstheme="minorBidi"/>
              <w:noProof/>
              <w:sz w:val="22"/>
            </w:rPr>
          </w:pPr>
          <w:hyperlink w:history="1" w:anchor="_Toc95469360">
            <w:r w:rsidRPr="006B53B9" w:rsidR="00B95CAC">
              <w:rPr>
                <w:rStyle w:val="Hyperlink"/>
                <w:noProof/>
              </w:rPr>
              <w:t>1.</w:t>
            </w:r>
            <w:r w:rsidR="00B95CAC">
              <w:rPr>
                <w:rFonts w:asciiTheme="minorHAnsi" w:hAnsiTheme="minorHAnsi" w:cstheme="minorBidi"/>
                <w:noProof/>
                <w:sz w:val="22"/>
              </w:rPr>
              <w:tab/>
            </w:r>
            <w:r w:rsidRPr="006B53B9" w:rsidR="00B95CAC">
              <w:rPr>
                <w:rStyle w:val="Hyperlink"/>
                <w:noProof/>
              </w:rPr>
              <w:t>Background</w:t>
            </w:r>
            <w:r w:rsidR="00B95CAC">
              <w:rPr>
                <w:noProof/>
                <w:webHidden/>
              </w:rPr>
              <w:tab/>
            </w:r>
            <w:r w:rsidR="00B95CAC">
              <w:rPr>
                <w:noProof/>
                <w:webHidden/>
              </w:rPr>
              <w:fldChar w:fldCharType="begin"/>
            </w:r>
            <w:r w:rsidR="00B95CAC">
              <w:rPr>
                <w:noProof/>
                <w:webHidden/>
              </w:rPr>
              <w:instrText xml:space="preserve"> PAGEREF _Toc95469360 \h </w:instrText>
            </w:r>
            <w:r w:rsidR="00B95CAC">
              <w:rPr>
                <w:noProof/>
                <w:webHidden/>
              </w:rPr>
            </w:r>
            <w:r w:rsidR="00B95CAC">
              <w:rPr>
                <w:noProof/>
                <w:webHidden/>
              </w:rPr>
              <w:fldChar w:fldCharType="separate"/>
            </w:r>
            <w:r w:rsidR="00B95CAC">
              <w:rPr>
                <w:noProof/>
                <w:webHidden/>
              </w:rPr>
              <w:t>4</w:t>
            </w:r>
            <w:r w:rsidR="00B95CAC">
              <w:rPr>
                <w:noProof/>
                <w:webHidden/>
              </w:rPr>
              <w:fldChar w:fldCharType="end"/>
            </w:r>
          </w:hyperlink>
        </w:p>
        <w:p w:rsidR="00B95CAC" w:rsidRDefault="00FE0A37" w14:paraId="3FB65536" w14:textId="784694C5">
          <w:pPr>
            <w:pStyle w:val="TOC2"/>
            <w:tabs>
              <w:tab w:val="right" w:leader="dot" w:pos="9350"/>
            </w:tabs>
            <w:rPr>
              <w:rFonts w:asciiTheme="minorHAnsi" w:hAnsiTheme="minorHAnsi" w:cstheme="minorBidi"/>
              <w:noProof/>
              <w:sz w:val="22"/>
            </w:rPr>
          </w:pPr>
          <w:hyperlink w:history="1" w:anchor="_Toc95469361">
            <w:r w:rsidRPr="006B53B9" w:rsidR="00B95CAC">
              <w:rPr>
                <w:rStyle w:val="Hyperlink"/>
                <w:noProof/>
              </w:rPr>
              <w:t>1.1.</w:t>
            </w:r>
            <w:r w:rsidR="00B95CAC">
              <w:rPr>
                <w:rFonts w:asciiTheme="minorHAnsi" w:hAnsiTheme="minorHAnsi" w:cstheme="minorBidi"/>
                <w:noProof/>
                <w:sz w:val="22"/>
              </w:rPr>
              <w:tab/>
            </w:r>
            <w:r w:rsidRPr="006B53B9" w:rsidR="00B95CAC">
              <w:rPr>
                <w:rStyle w:val="Hyperlink"/>
                <w:noProof/>
              </w:rPr>
              <w:t>Historical Background</w:t>
            </w:r>
            <w:r w:rsidR="00B95CAC">
              <w:rPr>
                <w:noProof/>
                <w:webHidden/>
              </w:rPr>
              <w:tab/>
            </w:r>
            <w:r w:rsidR="00B95CAC">
              <w:rPr>
                <w:noProof/>
                <w:webHidden/>
              </w:rPr>
              <w:fldChar w:fldCharType="begin"/>
            </w:r>
            <w:r w:rsidR="00B95CAC">
              <w:rPr>
                <w:noProof/>
                <w:webHidden/>
              </w:rPr>
              <w:instrText xml:space="preserve"> PAGEREF _Toc95469361 \h </w:instrText>
            </w:r>
            <w:r w:rsidR="00B95CAC">
              <w:rPr>
                <w:noProof/>
                <w:webHidden/>
              </w:rPr>
            </w:r>
            <w:r w:rsidR="00B95CAC">
              <w:rPr>
                <w:noProof/>
                <w:webHidden/>
              </w:rPr>
              <w:fldChar w:fldCharType="separate"/>
            </w:r>
            <w:r w:rsidR="00B95CAC">
              <w:rPr>
                <w:noProof/>
                <w:webHidden/>
              </w:rPr>
              <w:t>4</w:t>
            </w:r>
            <w:r w:rsidR="00B95CAC">
              <w:rPr>
                <w:noProof/>
                <w:webHidden/>
              </w:rPr>
              <w:fldChar w:fldCharType="end"/>
            </w:r>
          </w:hyperlink>
        </w:p>
        <w:p w:rsidR="00B95CAC" w:rsidRDefault="00FE0A37" w14:paraId="50EFDA19" w14:textId="1AC6BCF4">
          <w:pPr>
            <w:pStyle w:val="TOC2"/>
            <w:tabs>
              <w:tab w:val="right" w:leader="dot" w:pos="9350"/>
            </w:tabs>
            <w:rPr>
              <w:rFonts w:asciiTheme="minorHAnsi" w:hAnsiTheme="minorHAnsi" w:cstheme="minorBidi"/>
              <w:noProof/>
              <w:sz w:val="22"/>
            </w:rPr>
          </w:pPr>
          <w:hyperlink w:history="1" w:anchor="_Toc95469362">
            <w:r w:rsidRPr="006B53B9" w:rsidR="00B95CAC">
              <w:rPr>
                <w:rStyle w:val="Hyperlink"/>
                <w:noProof/>
              </w:rPr>
              <w:t>1.2.</w:t>
            </w:r>
            <w:r w:rsidR="00B95CAC">
              <w:rPr>
                <w:rFonts w:asciiTheme="minorHAnsi" w:hAnsiTheme="minorHAnsi" w:cstheme="minorBidi"/>
                <w:noProof/>
                <w:sz w:val="22"/>
              </w:rPr>
              <w:tab/>
            </w:r>
            <w:r w:rsidRPr="006B53B9" w:rsidR="00B95CAC">
              <w:rPr>
                <w:rStyle w:val="Hyperlink"/>
                <w:noProof/>
              </w:rPr>
              <w:t>Procedural Background</w:t>
            </w:r>
            <w:r w:rsidR="00B95CAC">
              <w:rPr>
                <w:noProof/>
                <w:webHidden/>
              </w:rPr>
              <w:tab/>
            </w:r>
            <w:r w:rsidR="00B95CAC">
              <w:rPr>
                <w:noProof/>
                <w:webHidden/>
              </w:rPr>
              <w:fldChar w:fldCharType="begin"/>
            </w:r>
            <w:r w:rsidR="00B95CAC">
              <w:rPr>
                <w:noProof/>
                <w:webHidden/>
              </w:rPr>
              <w:instrText xml:space="preserve"> PAGEREF _Toc95469362 \h </w:instrText>
            </w:r>
            <w:r w:rsidR="00B95CAC">
              <w:rPr>
                <w:noProof/>
                <w:webHidden/>
              </w:rPr>
            </w:r>
            <w:r w:rsidR="00B95CAC">
              <w:rPr>
                <w:noProof/>
                <w:webHidden/>
              </w:rPr>
              <w:fldChar w:fldCharType="separate"/>
            </w:r>
            <w:r w:rsidR="00B95CAC">
              <w:rPr>
                <w:noProof/>
                <w:webHidden/>
              </w:rPr>
              <w:t>5</w:t>
            </w:r>
            <w:r w:rsidR="00B95CAC">
              <w:rPr>
                <w:noProof/>
                <w:webHidden/>
              </w:rPr>
              <w:fldChar w:fldCharType="end"/>
            </w:r>
          </w:hyperlink>
        </w:p>
        <w:p w:rsidR="00B95CAC" w:rsidRDefault="00FE0A37" w14:paraId="1C8ED6FD" w14:textId="6ADF328F">
          <w:pPr>
            <w:pStyle w:val="TOC1"/>
            <w:tabs>
              <w:tab w:val="right" w:leader="dot" w:pos="9350"/>
            </w:tabs>
            <w:rPr>
              <w:rFonts w:asciiTheme="minorHAnsi" w:hAnsiTheme="minorHAnsi" w:cstheme="minorBidi"/>
              <w:noProof/>
              <w:sz w:val="22"/>
            </w:rPr>
          </w:pPr>
          <w:hyperlink w:history="1" w:anchor="_Toc95469363">
            <w:r w:rsidRPr="006B53B9" w:rsidR="00B95CAC">
              <w:rPr>
                <w:rStyle w:val="Hyperlink"/>
                <w:noProof/>
              </w:rPr>
              <w:t>2.</w:t>
            </w:r>
            <w:r w:rsidR="00B95CAC">
              <w:rPr>
                <w:rFonts w:asciiTheme="minorHAnsi" w:hAnsiTheme="minorHAnsi" w:cstheme="minorBidi"/>
                <w:noProof/>
                <w:sz w:val="22"/>
              </w:rPr>
              <w:tab/>
            </w:r>
            <w:r w:rsidRPr="006B53B9" w:rsidR="00B95CAC">
              <w:rPr>
                <w:rStyle w:val="Hyperlink"/>
                <w:noProof/>
              </w:rPr>
              <w:t>Issues Before the Commission</w:t>
            </w:r>
            <w:r w:rsidR="00B95CAC">
              <w:rPr>
                <w:noProof/>
                <w:webHidden/>
              </w:rPr>
              <w:tab/>
            </w:r>
            <w:r w:rsidR="00B95CAC">
              <w:rPr>
                <w:noProof/>
                <w:webHidden/>
              </w:rPr>
              <w:fldChar w:fldCharType="begin"/>
            </w:r>
            <w:r w:rsidR="00B95CAC">
              <w:rPr>
                <w:noProof/>
                <w:webHidden/>
              </w:rPr>
              <w:instrText xml:space="preserve"> PAGEREF _Toc95469363 \h </w:instrText>
            </w:r>
            <w:r w:rsidR="00B95CAC">
              <w:rPr>
                <w:noProof/>
                <w:webHidden/>
              </w:rPr>
            </w:r>
            <w:r w:rsidR="00B95CAC">
              <w:rPr>
                <w:noProof/>
                <w:webHidden/>
              </w:rPr>
              <w:fldChar w:fldCharType="separate"/>
            </w:r>
            <w:r w:rsidR="00B95CAC">
              <w:rPr>
                <w:noProof/>
                <w:webHidden/>
              </w:rPr>
              <w:t>9</w:t>
            </w:r>
            <w:r w:rsidR="00B95CAC">
              <w:rPr>
                <w:noProof/>
                <w:webHidden/>
              </w:rPr>
              <w:fldChar w:fldCharType="end"/>
            </w:r>
          </w:hyperlink>
        </w:p>
        <w:p w:rsidR="00B95CAC" w:rsidRDefault="00FE0A37" w14:paraId="2EDA5C96" w14:textId="03624D1C">
          <w:pPr>
            <w:pStyle w:val="TOC1"/>
            <w:tabs>
              <w:tab w:val="right" w:leader="dot" w:pos="9350"/>
            </w:tabs>
            <w:rPr>
              <w:rFonts w:asciiTheme="minorHAnsi" w:hAnsiTheme="minorHAnsi" w:cstheme="minorBidi"/>
              <w:noProof/>
              <w:sz w:val="22"/>
            </w:rPr>
          </w:pPr>
          <w:hyperlink w:history="1" w:anchor="_Toc95469364">
            <w:r w:rsidRPr="006B53B9" w:rsidR="00B95CAC">
              <w:rPr>
                <w:rStyle w:val="Hyperlink"/>
                <w:noProof/>
              </w:rPr>
              <w:t>3.</w:t>
            </w:r>
            <w:r w:rsidR="00B95CAC">
              <w:rPr>
                <w:rFonts w:asciiTheme="minorHAnsi" w:hAnsiTheme="minorHAnsi" w:cstheme="minorBidi"/>
                <w:noProof/>
                <w:sz w:val="22"/>
              </w:rPr>
              <w:tab/>
            </w:r>
            <w:r w:rsidRPr="006B53B9" w:rsidR="00B95CAC">
              <w:rPr>
                <w:rStyle w:val="Hyperlink"/>
                <w:noProof/>
              </w:rPr>
              <w:t>Overview of PG&amp;E’s 2022 Forecast and Revenue Requirement Requests</w:t>
            </w:r>
            <w:r w:rsidR="00B95CAC">
              <w:rPr>
                <w:noProof/>
                <w:webHidden/>
              </w:rPr>
              <w:tab/>
            </w:r>
            <w:r w:rsidR="00B95CAC">
              <w:rPr>
                <w:noProof/>
                <w:webHidden/>
              </w:rPr>
              <w:fldChar w:fldCharType="begin"/>
            </w:r>
            <w:r w:rsidR="00B95CAC">
              <w:rPr>
                <w:noProof/>
                <w:webHidden/>
              </w:rPr>
              <w:instrText xml:space="preserve"> PAGEREF _Toc95469364 \h </w:instrText>
            </w:r>
            <w:r w:rsidR="00B95CAC">
              <w:rPr>
                <w:noProof/>
                <w:webHidden/>
              </w:rPr>
            </w:r>
            <w:r w:rsidR="00B95CAC">
              <w:rPr>
                <w:noProof/>
                <w:webHidden/>
              </w:rPr>
              <w:fldChar w:fldCharType="separate"/>
            </w:r>
            <w:r w:rsidR="00B95CAC">
              <w:rPr>
                <w:noProof/>
                <w:webHidden/>
              </w:rPr>
              <w:t>11</w:t>
            </w:r>
            <w:r w:rsidR="00B95CAC">
              <w:rPr>
                <w:noProof/>
                <w:webHidden/>
              </w:rPr>
              <w:fldChar w:fldCharType="end"/>
            </w:r>
          </w:hyperlink>
        </w:p>
        <w:p w:rsidR="00B95CAC" w:rsidRDefault="00FE0A37" w14:paraId="0A1EB492" w14:textId="1B0138DA">
          <w:pPr>
            <w:pStyle w:val="TOC2"/>
            <w:tabs>
              <w:tab w:val="right" w:leader="dot" w:pos="9350"/>
            </w:tabs>
            <w:rPr>
              <w:rFonts w:asciiTheme="minorHAnsi" w:hAnsiTheme="minorHAnsi" w:cstheme="minorBidi"/>
              <w:noProof/>
              <w:sz w:val="22"/>
            </w:rPr>
          </w:pPr>
          <w:hyperlink w:history="1" w:anchor="_Toc95469365">
            <w:r w:rsidRPr="006B53B9" w:rsidR="00B95CAC">
              <w:rPr>
                <w:rStyle w:val="Hyperlink"/>
                <w:noProof/>
              </w:rPr>
              <w:t>3.1.</w:t>
            </w:r>
            <w:r w:rsidR="00B95CAC">
              <w:rPr>
                <w:rFonts w:asciiTheme="minorHAnsi" w:hAnsiTheme="minorHAnsi" w:cstheme="minorBidi"/>
                <w:noProof/>
                <w:sz w:val="22"/>
              </w:rPr>
              <w:tab/>
            </w:r>
            <w:r w:rsidRPr="006B53B9" w:rsidR="00B95CAC">
              <w:rPr>
                <w:rStyle w:val="Hyperlink"/>
                <w:noProof/>
              </w:rPr>
              <w:t>November Update</w:t>
            </w:r>
            <w:r w:rsidR="00B95CAC">
              <w:rPr>
                <w:noProof/>
                <w:webHidden/>
              </w:rPr>
              <w:tab/>
            </w:r>
            <w:r w:rsidR="00B95CAC">
              <w:rPr>
                <w:noProof/>
                <w:webHidden/>
              </w:rPr>
              <w:fldChar w:fldCharType="begin"/>
            </w:r>
            <w:r w:rsidR="00B95CAC">
              <w:rPr>
                <w:noProof/>
                <w:webHidden/>
              </w:rPr>
              <w:instrText xml:space="preserve"> PAGEREF _Toc95469365 \h </w:instrText>
            </w:r>
            <w:r w:rsidR="00B95CAC">
              <w:rPr>
                <w:noProof/>
                <w:webHidden/>
              </w:rPr>
            </w:r>
            <w:r w:rsidR="00B95CAC">
              <w:rPr>
                <w:noProof/>
                <w:webHidden/>
              </w:rPr>
              <w:fldChar w:fldCharType="separate"/>
            </w:r>
            <w:r w:rsidR="00B95CAC">
              <w:rPr>
                <w:noProof/>
                <w:webHidden/>
              </w:rPr>
              <w:t>11</w:t>
            </w:r>
            <w:r w:rsidR="00B95CAC">
              <w:rPr>
                <w:noProof/>
                <w:webHidden/>
              </w:rPr>
              <w:fldChar w:fldCharType="end"/>
            </w:r>
          </w:hyperlink>
        </w:p>
        <w:p w:rsidR="00B95CAC" w:rsidRDefault="00FE0A37" w14:paraId="570202DB" w14:textId="63BC50DB">
          <w:pPr>
            <w:pStyle w:val="TOC2"/>
            <w:tabs>
              <w:tab w:val="right" w:leader="dot" w:pos="9350"/>
            </w:tabs>
            <w:rPr>
              <w:rFonts w:asciiTheme="minorHAnsi" w:hAnsiTheme="minorHAnsi" w:cstheme="minorBidi"/>
              <w:noProof/>
              <w:sz w:val="22"/>
            </w:rPr>
          </w:pPr>
          <w:hyperlink w:history="1" w:anchor="_Toc95469366">
            <w:r w:rsidRPr="006B53B9" w:rsidR="00B95CAC">
              <w:rPr>
                <w:rStyle w:val="Hyperlink"/>
                <w:noProof/>
              </w:rPr>
              <w:t>3.2.</w:t>
            </w:r>
            <w:r w:rsidR="00B95CAC">
              <w:rPr>
                <w:rFonts w:asciiTheme="minorHAnsi" w:hAnsiTheme="minorHAnsi" w:cstheme="minorBidi"/>
                <w:noProof/>
                <w:sz w:val="22"/>
              </w:rPr>
              <w:tab/>
            </w:r>
            <w:r w:rsidRPr="006B53B9" w:rsidR="00B95CAC">
              <w:rPr>
                <w:rStyle w:val="Hyperlink"/>
                <w:noProof/>
              </w:rPr>
              <w:t>Amortization of ERRA Main Balance</w:t>
            </w:r>
            <w:r w:rsidR="00B95CAC">
              <w:rPr>
                <w:noProof/>
                <w:webHidden/>
              </w:rPr>
              <w:tab/>
            </w:r>
            <w:r w:rsidR="00B95CAC">
              <w:rPr>
                <w:noProof/>
                <w:webHidden/>
              </w:rPr>
              <w:fldChar w:fldCharType="begin"/>
            </w:r>
            <w:r w:rsidR="00B95CAC">
              <w:rPr>
                <w:noProof/>
                <w:webHidden/>
              </w:rPr>
              <w:instrText xml:space="preserve"> PAGEREF _Toc95469366 \h </w:instrText>
            </w:r>
            <w:r w:rsidR="00B95CAC">
              <w:rPr>
                <w:noProof/>
                <w:webHidden/>
              </w:rPr>
            </w:r>
            <w:r w:rsidR="00B95CAC">
              <w:rPr>
                <w:noProof/>
                <w:webHidden/>
              </w:rPr>
              <w:fldChar w:fldCharType="separate"/>
            </w:r>
            <w:r w:rsidR="00B95CAC">
              <w:rPr>
                <w:noProof/>
                <w:webHidden/>
              </w:rPr>
              <w:t>15</w:t>
            </w:r>
            <w:r w:rsidR="00B95CAC">
              <w:rPr>
                <w:noProof/>
                <w:webHidden/>
              </w:rPr>
              <w:fldChar w:fldCharType="end"/>
            </w:r>
          </w:hyperlink>
        </w:p>
        <w:p w:rsidR="00B95CAC" w:rsidRDefault="00FE0A37" w14:paraId="03345FC8" w14:textId="7AECB472">
          <w:pPr>
            <w:pStyle w:val="TOC1"/>
            <w:tabs>
              <w:tab w:val="right" w:leader="dot" w:pos="9350"/>
            </w:tabs>
            <w:rPr>
              <w:rFonts w:asciiTheme="minorHAnsi" w:hAnsiTheme="minorHAnsi" w:cstheme="minorBidi"/>
              <w:noProof/>
              <w:sz w:val="22"/>
            </w:rPr>
          </w:pPr>
          <w:hyperlink w:history="1" w:anchor="_Toc95469367">
            <w:r w:rsidRPr="006B53B9" w:rsidR="00B95CAC">
              <w:rPr>
                <w:rStyle w:val="Hyperlink"/>
                <w:noProof/>
              </w:rPr>
              <w:t>4.</w:t>
            </w:r>
            <w:r w:rsidR="00B95CAC">
              <w:rPr>
                <w:rFonts w:asciiTheme="minorHAnsi" w:hAnsiTheme="minorHAnsi" w:cstheme="minorBidi"/>
                <w:noProof/>
                <w:sz w:val="22"/>
              </w:rPr>
              <w:tab/>
            </w:r>
            <w:r w:rsidRPr="006B53B9" w:rsidR="00B95CAC">
              <w:rPr>
                <w:rStyle w:val="Hyperlink"/>
                <w:noProof/>
              </w:rPr>
              <w:t>2022 Forecast Revenue Requirement</w:t>
            </w:r>
            <w:r w:rsidR="00B95CAC">
              <w:rPr>
                <w:noProof/>
                <w:webHidden/>
              </w:rPr>
              <w:tab/>
            </w:r>
            <w:r w:rsidR="00B95CAC">
              <w:rPr>
                <w:noProof/>
                <w:webHidden/>
              </w:rPr>
              <w:fldChar w:fldCharType="begin"/>
            </w:r>
            <w:r w:rsidR="00B95CAC">
              <w:rPr>
                <w:noProof/>
                <w:webHidden/>
              </w:rPr>
              <w:instrText xml:space="preserve"> PAGEREF _Toc95469367 \h </w:instrText>
            </w:r>
            <w:r w:rsidR="00B95CAC">
              <w:rPr>
                <w:noProof/>
                <w:webHidden/>
              </w:rPr>
            </w:r>
            <w:r w:rsidR="00B95CAC">
              <w:rPr>
                <w:noProof/>
                <w:webHidden/>
              </w:rPr>
              <w:fldChar w:fldCharType="separate"/>
            </w:r>
            <w:r w:rsidR="00B95CAC">
              <w:rPr>
                <w:noProof/>
                <w:webHidden/>
              </w:rPr>
              <w:t>17</w:t>
            </w:r>
            <w:r w:rsidR="00B95CAC">
              <w:rPr>
                <w:noProof/>
                <w:webHidden/>
              </w:rPr>
              <w:fldChar w:fldCharType="end"/>
            </w:r>
          </w:hyperlink>
        </w:p>
        <w:p w:rsidR="00B95CAC" w:rsidRDefault="00FE0A37" w14:paraId="0B4B356E" w14:textId="1ACECFDD">
          <w:pPr>
            <w:pStyle w:val="TOC2"/>
            <w:tabs>
              <w:tab w:val="right" w:leader="dot" w:pos="9350"/>
            </w:tabs>
            <w:rPr>
              <w:rFonts w:asciiTheme="minorHAnsi" w:hAnsiTheme="minorHAnsi" w:cstheme="minorBidi"/>
              <w:noProof/>
              <w:sz w:val="22"/>
            </w:rPr>
          </w:pPr>
          <w:hyperlink w:history="1" w:anchor="_Toc95469368">
            <w:r w:rsidRPr="006B53B9" w:rsidR="00B95CAC">
              <w:rPr>
                <w:rStyle w:val="Hyperlink"/>
                <w:noProof/>
              </w:rPr>
              <w:t>4.1.</w:t>
            </w:r>
            <w:r w:rsidR="00B95CAC">
              <w:rPr>
                <w:rFonts w:asciiTheme="minorHAnsi" w:hAnsiTheme="minorHAnsi" w:cstheme="minorBidi"/>
                <w:noProof/>
                <w:sz w:val="22"/>
              </w:rPr>
              <w:tab/>
            </w:r>
            <w:r w:rsidRPr="006B53B9" w:rsidR="00B95CAC">
              <w:rPr>
                <w:rStyle w:val="Hyperlink"/>
                <w:noProof/>
              </w:rPr>
              <w:t xml:space="preserve">Cost Allocation Mechanism (CAM) and New System Generation </w:t>
            </w:r>
            <w:r w:rsidR="00F722B0">
              <w:rPr>
                <w:rStyle w:val="Hyperlink"/>
                <w:noProof/>
              </w:rPr>
              <w:br/>
            </w:r>
            <w:r w:rsidRPr="006B53B9" w:rsidR="00B95CAC">
              <w:rPr>
                <w:rStyle w:val="Hyperlink"/>
                <w:noProof/>
              </w:rPr>
              <w:t>Charge (NSGC)</w:t>
            </w:r>
            <w:r w:rsidR="00B95CAC">
              <w:rPr>
                <w:noProof/>
                <w:webHidden/>
              </w:rPr>
              <w:tab/>
            </w:r>
            <w:r w:rsidR="00B95CAC">
              <w:rPr>
                <w:noProof/>
                <w:webHidden/>
              </w:rPr>
              <w:fldChar w:fldCharType="begin"/>
            </w:r>
            <w:r w:rsidR="00B95CAC">
              <w:rPr>
                <w:noProof/>
                <w:webHidden/>
              </w:rPr>
              <w:instrText xml:space="preserve"> PAGEREF _Toc95469368 \h </w:instrText>
            </w:r>
            <w:r w:rsidR="00B95CAC">
              <w:rPr>
                <w:noProof/>
                <w:webHidden/>
              </w:rPr>
            </w:r>
            <w:r w:rsidR="00B95CAC">
              <w:rPr>
                <w:noProof/>
                <w:webHidden/>
              </w:rPr>
              <w:fldChar w:fldCharType="separate"/>
            </w:r>
            <w:r w:rsidR="00B95CAC">
              <w:rPr>
                <w:noProof/>
                <w:webHidden/>
              </w:rPr>
              <w:t>17</w:t>
            </w:r>
            <w:r w:rsidR="00B95CAC">
              <w:rPr>
                <w:noProof/>
                <w:webHidden/>
              </w:rPr>
              <w:fldChar w:fldCharType="end"/>
            </w:r>
          </w:hyperlink>
        </w:p>
        <w:p w:rsidR="00B95CAC" w:rsidRDefault="00FE0A37" w14:paraId="5F4D7229" w14:textId="2FF8AADA">
          <w:pPr>
            <w:pStyle w:val="TOC2"/>
            <w:tabs>
              <w:tab w:val="right" w:leader="dot" w:pos="9350"/>
            </w:tabs>
            <w:rPr>
              <w:rFonts w:asciiTheme="minorHAnsi" w:hAnsiTheme="minorHAnsi" w:cstheme="minorBidi"/>
              <w:noProof/>
              <w:sz w:val="22"/>
            </w:rPr>
          </w:pPr>
          <w:hyperlink w:history="1" w:anchor="_Toc95469369">
            <w:r w:rsidRPr="006B53B9" w:rsidR="00B95CAC">
              <w:rPr>
                <w:rStyle w:val="Hyperlink"/>
                <w:noProof/>
              </w:rPr>
              <w:t>4.2.</w:t>
            </w:r>
            <w:r w:rsidR="00B95CAC">
              <w:rPr>
                <w:rFonts w:asciiTheme="minorHAnsi" w:hAnsiTheme="minorHAnsi" w:cstheme="minorBidi"/>
                <w:noProof/>
                <w:sz w:val="22"/>
              </w:rPr>
              <w:tab/>
            </w:r>
            <w:r w:rsidRPr="006B53B9" w:rsidR="00B95CAC">
              <w:rPr>
                <w:rStyle w:val="Hyperlink"/>
                <w:noProof/>
              </w:rPr>
              <w:t>Ongoing Competition Transition Charge</w:t>
            </w:r>
            <w:r w:rsidR="00B95CAC">
              <w:rPr>
                <w:noProof/>
                <w:webHidden/>
              </w:rPr>
              <w:tab/>
            </w:r>
            <w:r w:rsidR="00B95CAC">
              <w:rPr>
                <w:noProof/>
                <w:webHidden/>
              </w:rPr>
              <w:fldChar w:fldCharType="begin"/>
            </w:r>
            <w:r w:rsidR="00B95CAC">
              <w:rPr>
                <w:noProof/>
                <w:webHidden/>
              </w:rPr>
              <w:instrText xml:space="preserve"> PAGEREF _Toc95469369 \h </w:instrText>
            </w:r>
            <w:r w:rsidR="00B95CAC">
              <w:rPr>
                <w:noProof/>
                <w:webHidden/>
              </w:rPr>
            </w:r>
            <w:r w:rsidR="00B95CAC">
              <w:rPr>
                <w:noProof/>
                <w:webHidden/>
              </w:rPr>
              <w:fldChar w:fldCharType="separate"/>
            </w:r>
            <w:r w:rsidR="00B95CAC">
              <w:rPr>
                <w:noProof/>
                <w:webHidden/>
              </w:rPr>
              <w:t>18</w:t>
            </w:r>
            <w:r w:rsidR="00B95CAC">
              <w:rPr>
                <w:noProof/>
                <w:webHidden/>
              </w:rPr>
              <w:fldChar w:fldCharType="end"/>
            </w:r>
          </w:hyperlink>
        </w:p>
        <w:p w:rsidR="00B95CAC" w:rsidRDefault="00FE0A37" w14:paraId="39217E61" w14:textId="7E080B76">
          <w:pPr>
            <w:pStyle w:val="TOC2"/>
            <w:tabs>
              <w:tab w:val="right" w:leader="dot" w:pos="9350"/>
            </w:tabs>
            <w:rPr>
              <w:rFonts w:asciiTheme="minorHAnsi" w:hAnsiTheme="minorHAnsi" w:cstheme="minorBidi"/>
              <w:noProof/>
              <w:sz w:val="22"/>
            </w:rPr>
          </w:pPr>
          <w:hyperlink w:history="1" w:anchor="_Toc95469370">
            <w:r w:rsidRPr="006B53B9" w:rsidR="00B95CAC">
              <w:rPr>
                <w:rStyle w:val="Hyperlink"/>
                <w:noProof/>
              </w:rPr>
              <w:t>4.3.</w:t>
            </w:r>
            <w:r w:rsidR="00B95CAC">
              <w:rPr>
                <w:rFonts w:asciiTheme="minorHAnsi" w:hAnsiTheme="minorHAnsi" w:cstheme="minorBidi"/>
                <w:noProof/>
                <w:sz w:val="22"/>
              </w:rPr>
              <w:tab/>
            </w:r>
            <w:r w:rsidRPr="006B53B9" w:rsidR="00B95CAC">
              <w:rPr>
                <w:rStyle w:val="Hyperlink"/>
                <w:noProof/>
              </w:rPr>
              <w:t>Tree Mortality Non-Bypassable Charge</w:t>
            </w:r>
            <w:r w:rsidR="00B95CAC">
              <w:rPr>
                <w:noProof/>
                <w:webHidden/>
              </w:rPr>
              <w:tab/>
            </w:r>
            <w:r w:rsidR="00B95CAC">
              <w:rPr>
                <w:noProof/>
                <w:webHidden/>
              </w:rPr>
              <w:fldChar w:fldCharType="begin"/>
            </w:r>
            <w:r w:rsidR="00B95CAC">
              <w:rPr>
                <w:noProof/>
                <w:webHidden/>
              </w:rPr>
              <w:instrText xml:space="preserve"> PAGEREF _Toc95469370 \h </w:instrText>
            </w:r>
            <w:r w:rsidR="00B95CAC">
              <w:rPr>
                <w:noProof/>
                <w:webHidden/>
              </w:rPr>
            </w:r>
            <w:r w:rsidR="00B95CAC">
              <w:rPr>
                <w:noProof/>
                <w:webHidden/>
              </w:rPr>
              <w:fldChar w:fldCharType="separate"/>
            </w:r>
            <w:r w:rsidR="00B95CAC">
              <w:rPr>
                <w:noProof/>
                <w:webHidden/>
              </w:rPr>
              <w:t>18</w:t>
            </w:r>
            <w:r w:rsidR="00B95CAC">
              <w:rPr>
                <w:noProof/>
                <w:webHidden/>
              </w:rPr>
              <w:fldChar w:fldCharType="end"/>
            </w:r>
          </w:hyperlink>
        </w:p>
        <w:p w:rsidR="00B95CAC" w:rsidRDefault="00FE0A37" w14:paraId="54FA2495" w14:textId="2F244FE8">
          <w:pPr>
            <w:pStyle w:val="TOC2"/>
            <w:tabs>
              <w:tab w:val="right" w:leader="dot" w:pos="9350"/>
            </w:tabs>
            <w:rPr>
              <w:rFonts w:asciiTheme="minorHAnsi" w:hAnsiTheme="minorHAnsi" w:cstheme="minorBidi"/>
              <w:noProof/>
              <w:sz w:val="22"/>
            </w:rPr>
          </w:pPr>
          <w:hyperlink w:history="1" w:anchor="_Toc95469371">
            <w:r w:rsidRPr="006B53B9" w:rsidR="00B95CAC">
              <w:rPr>
                <w:rStyle w:val="Hyperlink"/>
                <w:noProof/>
              </w:rPr>
              <w:t>4.4.</w:t>
            </w:r>
            <w:r w:rsidR="00B95CAC">
              <w:rPr>
                <w:rFonts w:asciiTheme="minorHAnsi" w:hAnsiTheme="minorHAnsi" w:cstheme="minorBidi"/>
                <w:noProof/>
                <w:sz w:val="22"/>
              </w:rPr>
              <w:tab/>
            </w:r>
            <w:r w:rsidRPr="006B53B9" w:rsidR="00B95CAC">
              <w:rPr>
                <w:rStyle w:val="Hyperlink"/>
                <w:noProof/>
              </w:rPr>
              <w:t>Bioenergy Market Adjusting Tariff</w:t>
            </w:r>
            <w:r w:rsidR="00B95CAC">
              <w:rPr>
                <w:noProof/>
                <w:webHidden/>
              </w:rPr>
              <w:tab/>
            </w:r>
            <w:r w:rsidR="00B95CAC">
              <w:rPr>
                <w:noProof/>
                <w:webHidden/>
              </w:rPr>
              <w:fldChar w:fldCharType="begin"/>
            </w:r>
            <w:r w:rsidR="00B95CAC">
              <w:rPr>
                <w:noProof/>
                <w:webHidden/>
              </w:rPr>
              <w:instrText xml:space="preserve"> PAGEREF _Toc95469371 \h </w:instrText>
            </w:r>
            <w:r w:rsidR="00B95CAC">
              <w:rPr>
                <w:noProof/>
                <w:webHidden/>
              </w:rPr>
            </w:r>
            <w:r w:rsidR="00B95CAC">
              <w:rPr>
                <w:noProof/>
                <w:webHidden/>
              </w:rPr>
              <w:fldChar w:fldCharType="separate"/>
            </w:r>
            <w:r w:rsidR="00B95CAC">
              <w:rPr>
                <w:noProof/>
                <w:webHidden/>
              </w:rPr>
              <w:t>19</w:t>
            </w:r>
            <w:r w:rsidR="00B95CAC">
              <w:rPr>
                <w:noProof/>
                <w:webHidden/>
              </w:rPr>
              <w:fldChar w:fldCharType="end"/>
            </w:r>
          </w:hyperlink>
        </w:p>
        <w:p w:rsidR="00B95CAC" w:rsidRDefault="00FE0A37" w14:paraId="1B5A3DB3" w14:textId="1C50A488">
          <w:pPr>
            <w:pStyle w:val="TOC2"/>
            <w:tabs>
              <w:tab w:val="right" w:leader="dot" w:pos="9350"/>
            </w:tabs>
            <w:rPr>
              <w:rFonts w:asciiTheme="minorHAnsi" w:hAnsiTheme="minorHAnsi" w:cstheme="minorBidi"/>
              <w:noProof/>
              <w:sz w:val="22"/>
            </w:rPr>
          </w:pPr>
          <w:hyperlink w:history="1" w:anchor="_Toc95469372">
            <w:r w:rsidRPr="006B53B9" w:rsidR="00B95CAC">
              <w:rPr>
                <w:rStyle w:val="Hyperlink"/>
                <w:noProof/>
              </w:rPr>
              <w:t>4.5.</w:t>
            </w:r>
            <w:r w:rsidR="00B95CAC">
              <w:rPr>
                <w:rFonts w:asciiTheme="minorHAnsi" w:hAnsiTheme="minorHAnsi" w:cstheme="minorBidi"/>
                <w:noProof/>
                <w:sz w:val="22"/>
              </w:rPr>
              <w:tab/>
            </w:r>
            <w:r w:rsidRPr="006B53B9" w:rsidR="00B95CAC">
              <w:rPr>
                <w:rStyle w:val="Hyperlink"/>
                <w:noProof/>
              </w:rPr>
              <w:t>ERRA Revenue Requirement</w:t>
            </w:r>
            <w:r w:rsidR="00B95CAC">
              <w:rPr>
                <w:noProof/>
                <w:webHidden/>
              </w:rPr>
              <w:tab/>
            </w:r>
            <w:r w:rsidR="00B95CAC">
              <w:rPr>
                <w:noProof/>
                <w:webHidden/>
              </w:rPr>
              <w:fldChar w:fldCharType="begin"/>
            </w:r>
            <w:r w:rsidR="00B95CAC">
              <w:rPr>
                <w:noProof/>
                <w:webHidden/>
              </w:rPr>
              <w:instrText xml:space="preserve"> PAGEREF _Toc95469372 \h </w:instrText>
            </w:r>
            <w:r w:rsidR="00B95CAC">
              <w:rPr>
                <w:noProof/>
                <w:webHidden/>
              </w:rPr>
            </w:r>
            <w:r w:rsidR="00B95CAC">
              <w:rPr>
                <w:noProof/>
                <w:webHidden/>
              </w:rPr>
              <w:fldChar w:fldCharType="separate"/>
            </w:r>
            <w:r w:rsidR="00B95CAC">
              <w:rPr>
                <w:noProof/>
                <w:webHidden/>
              </w:rPr>
              <w:t>19</w:t>
            </w:r>
            <w:r w:rsidR="00B95CAC">
              <w:rPr>
                <w:noProof/>
                <w:webHidden/>
              </w:rPr>
              <w:fldChar w:fldCharType="end"/>
            </w:r>
          </w:hyperlink>
        </w:p>
        <w:p w:rsidR="00B95CAC" w:rsidRDefault="00FE0A37" w14:paraId="6FFDC022" w14:textId="294826EA">
          <w:pPr>
            <w:pStyle w:val="TOC2"/>
            <w:tabs>
              <w:tab w:val="right" w:leader="dot" w:pos="9350"/>
            </w:tabs>
            <w:rPr>
              <w:rFonts w:asciiTheme="minorHAnsi" w:hAnsiTheme="minorHAnsi" w:cstheme="minorBidi"/>
              <w:noProof/>
              <w:sz w:val="22"/>
            </w:rPr>
          </w:pPr>
          <w:hyperlink w:history="1" w:anchor="_Toc95469373">
            <w:r w:rsidRPr="006B53B9" w:rsidR="00B95CAC">
              <w:rPr>
                <w:rStyle w:val="Hyperlink"/>
                <w:noProof/>
              </w:rPr>
              <w:t>4.6.</w:t>
            </w:r>
            <w:r w:rsidR="00B95CAC">
              <w:rPr>
                <w:rFonts w:asciiTheme="minorHAnsi" w:hAnsiTheme="minorHAnsi" w:cstheme="minorBidi"/>
                <w:noProof/>
                <w:sz w:val="22"/>
              </w:rPr>
              <w:tab/>
            </w:r>
            <w:r w:rsidRPr="006B53B9" w:rsidR="00B95CAC">
              <w:rPr>
                <w:rStyle w:val="Hyperlink"/>
                <w:noProof/>
              </w:rPr>
              <w:t>Utility-Owned Generation Costs</w:t>
            </w:r>
            <w:r w:rsidR="00B95CAC">
              <w:rPr>
                <w:noProof/>
                <w:webHidden/>
              </w:rPr>
              <w:tab/>
            </w:r>
            <w:r w:rsidR="00B95CAC">
              <w:rPr>
                <w:noProof/>
                <w:webHidden/>
              </w:rPr>
              <w:fldChar w:fldCharType="begin"/>
            </w:r>
            <w:r w:rsidR="00B95CAC">
              <w:rPr>
                <w:noProof/>
                <w:webHidden/>
              </w:rPr>
              <w:instrText xml:space="preserve"> PAGEREF _Toc95469373 \h </w:instrText>
            </w:r>
            <w:r w:rsidR="00B95CAC">
              <w:rPr>
                <w:noProof/>
                <w:webHidden/>
              </w:rPr>
            </w:r>
            <w:r w:rsidR="00B95CAC">
              <w:rPr>
                <w:noProof/>
                <w:webHidden/>
              </w:rPr>
              <w:fldChar w:fldCharType="separate"/>
            </w:r>
            <w:r w:rsidR="00B95CAC">
              <w:rPr>
                <w:noProof/>
                <w:webHidden/>
              </w:rPr>
              <w:t>20</w:t>
            </w:r>
            <w:r w:rsidR="00B95CAC">
              <w:rPr>
                <w:noProof/>
                <w:webHidden/>
              </w:rPr>
              <w:fldChar w:fldCharType="end"/>
            </w:r>
          </w:hyperlink>
        </w:p>
        <w:p w:rsidR="00B95CAC" w:rsidRDefault="00FE0A37" w14:paraId="74C0DCD2" w14:textId="6EA3DEC4">
          <w:pPr>
            <w:pStyle w:val="TOC2"/>
            <w:tabs>
              <w:tab w:val="right" w:leader="dot" w:pos="9350"/>
            </w:tabs>
            <w:rPr>
              <w:rFonts w:asciiTheme="minorHAnsi" w:hAnsiTheme="minorHAnsi" w:cstheme="minorBidi"/>
              <w:noProof/>
              <w:sz w:val="22"/>
            </w:rPr>
          </w:pPr>
          <w:hyperlink w:history="1" w:anchor="_Toc95469374">
            <w:r w:rsidRPr="006B53B9" w:rsidR="00B95CAC">
              <w:rPr>
                <w:rStyle w:val="Hyperlink"/>
                <w:noProof/>
              </w:rPr>
              <w:t>4.7.</w:t>
            </w:r>
            <w:r w:rsidR="00B95CAC">
              <w:rPr>
                <w:rFonts w:asciiTheme="minorHAnsi" w:hAnsiTheme="minorHAnsi" w:cstheme="minorBidi"/>
                <w:noProof/>
                <w:sz w:val="22"/>
              </w:rPr>
              <w:tab/>
            </w:r>
            <w:r w:rsidRPr="006B53B9" w:rsidR="00B95CAC">
              <w:rPr>
                <w:rStyle w:val="Hyperlink"/>
                <w:noProof/>
              </w:rPr>
              <w:t>Electric Risk Transfer Balancing Account (RTBA</w:t>
            </w:r>
            <w:r w:rsidRPr="006B53B9" w:rsidR="00B95CAC">
              <w:rPr>
                <w:rStyle w:val="Hyperlink"/>
                <w:noProof/>
              </w:rPr>
              <w:noBreakHyphen/>
              <w:t>E) and Electric Residential Uncollectible Balancing Account (RUBA-E)</w:t>
            </w:r>
            <w:r w:rsidR="00B95CAC">
              <w:rPr>
                <w:noProof/>
                <w:webHidden/>
              </w:rPr>
              <w:tab/>
            </w:r>
            <w:r w:rsidR="00B95CAC">
              <w:rPr>
                <w:noProof/>
                <w:webHidden/>
              </w:rPr>
              <w:fldChar w:fldCharType="begin"/>
            </w:r>
            <w:r w:rsidR="00B95CAC">
              <w:rPr>
                <w:noProof/>
                <w:webHidden/>
              </w:rPr>
              <w:instrText xml:space="preserve"> PAGEREF _Toc95469374 \h </w:instrText>
            </w:r>
            <w:r w:rsidR="00B95CAC">
              <w:rPr>
                <w:noProof/>
                <w:webHidden/>
              </w:rPr>
            </w:r>
            <w:r w:rsidR="00B95CAC">
              <w:rPr>
                <w:noProof/>
                <w:webHidden/>
              </w:rPr>
              <w:fldChar w:fldCharType="separate"/>
            </w:r>
            <w:r w:rsidR="00B95CAC">
              <w:rPr>
                <w:noProof/>
                <w:webHidden/>
              </w:rPr>
              <w:t>21</w:t>
            </w:r>
            <w:r w:rsidR="00B95CAC">
              <w:rPr>
                <w:noProof/>
                <w:webHidden/>
              </w:rPr>
              <w:fldChar w:fldCharType="end"/>
            </w:r>
          </w:hyperlink>
        </w:p>
        <w:p w:rsidR="00B95CAC" w:rsidRDefault="00FE0A37" w14:paraId="25E469E3" w14:textId="7832B620">
          <w:pPr>
            <w:pStyle w:val="TOC2"/>
            <w:tabs>
              <w:tab w:val="right" w:leader="dot" w:pos="9350"/>
            </w:tabs>
            <w:rPr>
              <w:rFonts w:asciiTheme="minorHAnsi" w:hAnsiTheme="minorHAnsi" w:cstheme="minorBidi"/>
              <w:noProof/>
              <w:sz w:val="22"/>
            </w:rPr>
          </w:pPr>
          <w:hyperlink w:history="1" w:anchor="_Toc95469375">
            <w:r w:rsidRPr="006B53B9" w:rsidR="00B95CAC">
              <w:rPr>
                <w:rStyle w:val="Hyperlink"/>
                <w:noProof/>
              </w:rPr>
              <w:t>4.8.</w:t>
            </w:r>
            <w:r w:rsidR="00B95CAC">
              <w:rPr>
                <w:rFonts w:asciiTheme="minorHAnsi" w:hAnsiTheme="minorHAnsi" w:cstheme="minorBidi"/>
                <w:noProof/>
                <w:sz w:val="22"/>
              </w:rPr>
              <w:tab/>
            </w:r>
            <w:r w:rsidRPr="006B53B9" w:rsidR="00B95CAC">
              <w:rPr>
                <w:rStyle w:val="Hyperlink"/>
                <w:noProof/>
              </w:rPr>
              <w:t>PCIA</w:t>
            </w:r>
            <w:r w:rsidR="00B95CAC">
              <w:rPr>
                <w:noProof/>
                <w:webHidden/>
              </w:rPr>
              <w:tab/>
            </w:r>
            <w:r w:rsidR="00B95CAC">
              <w:rPr>
                <w:noProof/>
                <w:webHidden/>
              </w:rPr>
              <w:fldChar w:fldCharType="begin"/>
            </w:r>
            <w:r w:rsidR="00B95CAC">
              <w:rPr>
                <w:noProof/>
                <w:webHidden/>
              </w:rPr>
              <w:instrText xml:space="preserve"> PAGEREF _Toc95469375 \h </w:instrText>
            </w:r>
            <w:r w:rsidR="00B95CAC">
              <w:rPr>
                <w:noProof/>
                <w:webHidden/>
              </w:rPr>
            </w:r>
            <w:r w:rsidR="00B95CAC">
              <w:rPr>
                <w:noProof/>
                <w:webHidden/>
              </w:rPr>
              <w:fldChar w:fldCharType="separate"/>
            </w:r>
            <w:r w:rsidR="00B95CAC">
              <w:rPr>
                <w:noProof/>
                <w:webHidden/>
              </w:rPr>
              <w:t>23</w:t>
            </w:r>
            <w:r w:rsidR="00B95CAC">
              <w:rPr>
                <w:noProof/>
                <w:webHidden/>
              </w:rPr>
              <w:fldChar w:fldCharType="end"/>
            </w:r>
          </w:hyperlink>
        </w:p>
        <w:p w:rsidR="00B95CAC" w:rsidRDefault="00FE0A37" w14:paraId="46BEFE35" w14:textId="7A18F1F3">
          <w:pPr>
            <w:pStyle w:val="TOC3"/>
            <w:tabs>
              <w:tab w:val="left" w:pos="1296"/>
              <w:tab w:val="right" w:leader="dot" w:pos="9350"/>
            </w:tabs>
            <w:rPr>
              <w:rFonts w:asciiTheme="minorHAnsi" w:hAnsiTheme="minorHAnsi" w:cstheme="minorBidi"/>
              <w:noProof/>
              <w:sz w:val="22"/>
            </w:rPr>
          </w:pPr>
          <w:hyperlink w:history="1" w:anchor="_Toc95469376">
            <w:r w:rsidRPr="006B53B9" w:rsidR="00B95CAC">
              <w:rPr>
                <w:rStyle w:val="Hyperlink"/>
                <w:noProof/>
              </w:rPr>
              <w:t>4.8.1.</w:t>
            </w:r>
            <w:r w:rsidR="00B95CAC">
              <w:rPr>
                <w:rFonts w:asciiTheme="minorHAnsi" w:hAnsiTheme="minorHAnsi" w:cstheme="minorBidi"/>
                <w:noProof/>
                <w:sz w:val="22"/>
              </w:rPr>
              <w:tab/>
            </w:r>
            <w:r w:rsidRPr="006B53B9" w:rsidR="00B95CAC">
              <w:rPr>
                <w:rStyle w:val="Hyperlink"/>
                <w:noProof/>
              </w:rPr>
              <w:t>PCIA Rates</w:t>
            </w:r>
            <w:r w:rsidR="00B95CAC">
              <w:rPr>
                <w:noProof/>
                <w:webHidden/>
              </w:rPr>
              <w:tab/>
            </w:r>
            <w:r w:rsidR="00B95CAC">
              <w:rPr>
                <w:noProof/>
                <w:webHidden/>
              </w:rPr>
              <w:fldChar w:fldCharType="begin"/>
            </w:r>
            <w:r w:rsidR="00B95CAC">
              <w:rPr>
                <w:noProof/>
                <w:webHidden/>
              </w:rPr>
              <w:instrText xml:space="preserve"> PAGEREF _Toc95469376 \h </w:instrText>
            </w:r>
            <w:r w:rsidR="00B95CAC">
              <w:rPr>
                <w:noProof/>
                <w:webHidden/>
              </w:rPr>
            </w:r>
            <w:r w:rsidR="00B95CAC">
              <w:rPr>
                <w:noProof/>
                <w:webHidden/>
              </w:rPr>
              <w:fldChar w:fldCharType="separate"/>
            </w:r>
            <w:r w:rsidR="00B95CAC">
              <w:rPr>
                <w:noProof/>
                <w:webHidden/>
              </w:rPr>
              <w:t>23</w:t>
            </w:r>
            <w:r w:rsidR="00B95CAC">
              <w:rPr>
                <w:noProof/>
                <w:webHidden/>
              </w:rPr>
              <w:fldChar w:fldCharType="end"/>
            </w:r>
          </w:hyperlink>
        </w:p>
        <w:p w:rsidR="00B95CAC" w:rsidRDefault="00FE0A37" w14:paraId="282B21CE" w14:textId="2E1E6970">
          <w:pPr>
            <w:pStyle w:val="TOC3"/>
            <w:tabs>
              <w:tab w:val="left" w:pos="1296"/>
              <w:tab w:val="right" w:leader="dot" w:pos="9350"/>
            </w:tabs>
            <w:rPr>
              <w:rFonts w:asciiTheme="minorHAnsi" w:hAnsiTheme="minorHAnsi" w:cstheme="minorBidi"/>
              <w:noProof/>
              <w:sz w:val="22"/>
            </w:rPr>
          </w:pPr>
          <w:hyperlink w:history="1" w:anchor="_Toc95469377">
            <w:r w:rsidRPr="006B53B9" w:rsidR="00B95CAC">
              <w:rPr>
                <w:rStyle w:val="Hyperlink"/>
                <w:rFonts w:eastAsia="Times New Roman"/>
                <w:noProof/>
              </w:rPr>
              <w:t>4.8.2.</w:t>
            </w:r>
            <w:r w:rsidR="00B95CAC">
              <w:rPr>
                <w:rFonts w:asciiTheme="minorHAnsi" w:hAnsiTheme="minorHAnsi" w:cstheme="minorBidi"/>
                <w:noProof/>
                <w:sz w:val="22"/>
              </w:rPr>
              <w:tab/>
            </w:r>
            <w:r w:rsidRPr="006B53B9" w:rsidR="00B95CAC">
              <w:rPr>
                <w:rStyle w:val="Hyperlink"/>
                <w:rFonts w:eastAsia="Times New Roman"/>
                <w:noProof/>
              </w:rPr>
              <w:t xml:space="preserve">PCIA Undercollection </w:t>
            </w:r>
            <w:r w:rsidRPr="006B53B9" w:rsidR="00B95CAC">
              <w:rPr>
                <w:rStyle w:val="Hyperlink"/>
                <w:noProof/>
              </w:rPr>
              <w:t>Balancing</w:t>
            </w:r>
            <w:r w:rsidRPr="006B53B9" w:rsidR="00B95CAC">
              <w:rPr>
                <w:rStyle w:val="Hyperlink"/>
                <w:rFonts w:eastAsia="Times New Roman"/>
                <w:noProof/>
              </w:rPr>
              <w:t xml:space="preserve">  Account (PUBA)</w:t>
            </w:r>
            <w:r w:rsidR="00B95CAC">
              <w:rPr>
                <w:noProof/>
                <w:webHidden/>
              </w:rPr>
              <w:tab/>
            </w:r>
            <w:r w:rsidR="00B95CAC">
              <w:rPr>
                <w:noProof/>
                <w:webHidden/>
              </w:rPr>
              <w:fldChar w:fldCharType="begin"/>
            </w:r>
            <w:r w:rsidR="00B95CAC">
              <w:rPr>
                <w:noProof/>
                <w:webHidden/>
              </w:rPr>
              <w:instrText xml:space="preserve"> PAGEREF _Toc95469377 \h </w:instrText>
            </w:r>
            <w:r w:rsidR="00B95CAC">
              <w:rPr>
                <w:noProof/>
                <w:webHidden/>
              </w:rPr>
            </w:r>
            <w:r w:rsidR="00B95CAC">
              <w:rPr>
                <w:noProof/>
                <w:webHidden/>
              </w:rPr>
              <w:fldChar w:fldCharType="separate"/>
            </w:r>
            <w:r w:rsidR="00B95CAC">
              <w:rPr>
                <w:noProof/>
                <w:webHidden/>
              </w:rPr>
              <w:t>25</w:t>
            </w:r>
            <w:r w:rsidR="00B95CAC">
              <w:rPr>
                <w:noProof/>
                <w:webHidden/>
              </w:rPr>
              <w:fldChar w:fldCharType="end"/>
            </w:r>
          </w:hyperlink>
        </w:p>
        <w:p w:rsidR="00B95CAC" w:rsidRDefault="00FE0A37" w14:paraId="19BC9A8E" w14:textId="3AB96404">
          <w:pPr>
            <w:pStyle w:val="TOC3"/>
            <w:tabs>
              <w:tab w:val="left" w:pos="1296"/>
              <w:tab w:val="right" w:leader="dot" w:pos="9350"/>
            </w:tabs>
            <w:rPr>
              <w:rFonts w:asciiTheme="minorHAnsi" w:hAnsiTheme="minorHAnsi" w:cstheme="minorBidi"/>
              <w:noProof/>
              <w:sz w:val="22"/>
            </w:rPr>
          </w:pPr>
          <w:hyperlink w:history="1" w:anchor="_Toc95469378">
            <w:r w:rsidRPr="006B53B9" w:rsidR="00B95CAC">
              <w:rPr>
                <w:rStyle w:val="Hyperlink"/>
                <w:noProof/>
              </w:rPr>
              <w:t>4.8.3.</w:t>
            </w:r>
            <w:r w:rsidR="00B95CAC">
              <w:rPr>
                <w:rFonts w:asciiTheme="minorHAnsi" w:hAnsiTheme="minorHAnsi" w:cstheme="minorBidi"/>
                <w:noProof/>
                <w:sz w:val="22"/>
              </w:rPr>
              <w:tab/>
            </w:r>
            <w:r w:rsidRPr="006B53B9" w:rsidR="00B95CAC">
              <w:rPr>
                <w:rStyle w:val="Hyperlink"/>
                <w:noProof/>
              </w:rPr>
              <w:t>Portfolio Allocation Balancing Account (PABA)</w:t>
            </w:r>
            <w:r w:rsidR="00B95CAC">
              <w:rPr>
                <w:noProof/>
                <w:webHidden/>
              </w:rPr>
              <w:tab/>
            </w:r>
            <w:r w:rsidR="00B95CAC">
              <w:rPr>
                <w:noProof/>
                <w:webHidden/>
              </w:rPr>
              <w:fldChar w:fldCharType="begin"/>
            </w:r>
            <w:r w:rsidR="00B95CAC">
              <w:rPr>
                <w:noProof/>
                <w:webHidden/>
              </w:rPr>
              <w:instrText xml:space="preserve"> PAGEREF _Toc95469378 \h </w:instrText>
            </w:r>
            <w:r w:rsidR="00B95CAC">
              <w:rPr>
                <w:noProof/>
                <w:webHidden/>
              </w:rPr>
            </w:r>
            <w:r w:rsidR="00B95CAC">
              <w:rPr>
                <w:noProof/>
                <w:webHidden/>
              </w:rPr>
              <w:fldChar w:fldCharType="separate"/>
            </w:r>
            <w:r w:rsidR="00B95CAC">
              <w:rPr>
                <w:noProof/>
                <w:webHidden/>
              </w:rPr>
              <w:t>26</w:t>
            </w:r>
            <w:r w:rsidR="00B95CAC">
              <w:rPr>
                <w:noProof/>
                <w:webHidden/>
              </w:rPr>
              <w:fldChar w:fldCharType="end"/>
            </w:r>
          </w:hyperlink>
        </w:p>
        <w:p w:rsidR="00B95CAC" w:rsidRDefault="00FE0A37" w14:paraId="7381EE55" w14:textId="00B27F7D">
          <w:pPr>
            <w:pStyle w:val="TOC3"/>
            <w:tabs>
              <w:tab w:val="left" w:pos="1296"/>
              <w:tab w:val="right" w:leader="dot" w:pos="9350"/>
            </w:tabs>
            <w:rPr>
              <w:rFonts w:asciiTheme="minorHAnsi" w:hAnsiTheme="minorHAnsi" w:cstheme="minorBidi"/>
              <w:noProof/>
              <w:sz w:val="22"/>
            </w:rPr>
          </w:pPr>
          <w:hyperlink w:history="1" w:anchor="_Toc95469379">
            <w:r w:rsidRPr="006B53B9" w:rsidR="00B95CAC">
              <w:rPr>
                <w:rStyle w:val="Hyperlink"/>
                <w:noProof/>
              </w:rPr>
              <w:t>4.8.4.</w:t>
            </w:r>
            <w:r w:rsidR="00B95CAC">
              <w:rPr>
                <w:rFonts w:asciiTheme="minorHAnsi" w:hAnsiTheme="minorHAnsi" w:cstheme="minorBidi"/>
                <w:noProof/>
                <w:sz w:val="22"/>
              </w:rPr>
              <w:tab/>
            </w:r>
            <w:r w:rsidRPr="006B53B9" w:rsidR="00B95CAC">
              <w:rPr>
                <w:rStyle w:val="Hyperlink"/>
                <w:noProof/>
              </w:rPr>
              <w:t>ERRA PCIA Financing Subaccount</w:t>
            </w:r>
            <w:r w:rsidR="00B95CAC">
              <w:rPr>
                <w:noProof/>
                <w:webHidden/>
              </w:rPr>
              <w:tab/>
            </w:r>
            <w:r w:rsidR="00B95CAC">
              <w:rPr>
                <w:noProof/>
                <w:webHidden/>
              </w:rPr>
              <w:fldChar w:fldCharType="begin"/>
            </w:r>
            <w:r w:rsidR="00B95CAC">
              <w:rPr>
                <w:noProof/>
                <w:webHidden/>
              </w:rPr>
              <w:instrText xml:space="preserve"> PAGEREF _Toc95469379 \h </w:instrText>
            </w:r>
            <w:r w:rsidR="00B95CAC">
              <w:rPr>
                <w:noProof/>
                <w:webHidden/>
              </w:rPr>
            </w:r>
            <w:r w:rsidR="00B95CAC">
              <w:rPr>
                <w:noProof/>
                <w:webHidden/>
              </w:rPr>
              <w:fldChar w:fldCharType="separate"/>
            </w:r>
            <w:r w:rsidR="00B95CAC">
              <w:rPr>
                <w:noProof/>
                <w:webHidden/>
              </w:rPr>
              <w:t>27</w:t>
            </w:r>
            <w:r w:rsidR="00B95CAC">
              <w:rPr>
                <w:noProof/>
                <w:webHidden/>
              </w:rPr>
              <w:fldChar w:fldCharType="end"/>
            </w:r>
          </w:hyperlink>
        </w:p>
        <w:p w:rsidR="00B95CAC" w:rsidRDefault="00FE0A37" w14:paraId="5AA12E49" w14:textId="0B5367C6">
          <w:pPr>
            <w:pStyle w:val="TOC1"/>
            <w:tabs>
              <w:tab w:val="right" w:leader="dot" w:pos="9350"/>
            </w:tabs>
            <w:rPr>
              <w:rFonts w:asciiTheme="minorHAnsi" w:hAnsiTheme="minorHAnsi" w:cstheme="minorBidi"/>
              <w:noProof/>
              <w:sz w:val="22"/>
            </w:rPr>
          </w:pPr>
          <w:hyperlink w:history="1" w:anchor="_Toc95469380">
            <w:r w:rsidRPr="006B53B9" w:rsidR="00B95CAC">
              <w:rPr>
                <w:rStyle w:val="Hyperlink"/>
                <w:noProof/>
              </w:rPr>
              <w:t>5.</w:t>
            </w:r>
            <w:r w:rsidR="00B95CAC">
              <w:rPr>
                <w:rFonts w:asciiTheme="minorHAnsi" w:hAnsiTheme="minorHAnsi" w:cstheme="minorBidi"/>
                <w:noProof/>
                <w:sz w:val="22"/>
              </w:rPr>
              <w:tab/>
            </w:r>
            <w:r w:rsidRPr="006B53B9" w:rsidR="00B95CAC">
              <w:rPr>
                <w:rStyle w:val="Hyperlink"/>
                <w:noProof/>
              </w:rPr>
              <w:t>2022 Electric Sales Forecast</w:t>
            </w:r>
            <w:r w:rsidR="00B95CAC">
              <w:rPr>
                <w:noProof/>
                <w:webHidden/>
              </w:rPr>
              <w:tab/>
            </w:r>
            <w:r w:rsidR="00B95CAC">
              <w:rPr>
                <w:noProof/>
                <w:webHidden/>
              </w:rPr>
              <w:fldChar w:fldCharType="begin"/>
            </w:r>
            <w:r w:rsidR="00B95CAC">
              <w:rPr>
                <w:noProof/>
                <w:webHidden/>
              </w:rPr>
              <w:instrText xml:space="preserve"> PAGEREF _Toc95469380 \h </w:instrText>
            </w:r>
            <w:r w:rsidR="00B95CAC">
              <w:rPr>
                <w:noProof/>
                <w:webHidden/>
              </w:rPr>
            </w:r>
            <w:r w:rsidR="00B95CAC">
              <w:rPr>
                <w:noProof/>
                <w:webHidden/>
              </w:rPr>
              <w:fldChar w:fldCharType="separate"/>
            </w:r>
            <w:r w:rsidR="00B95CAC">
              <w:rPr>
                <w:noProof/>
                <w:webHidden/>
              </w:rPr>
              <w:t>28</w:t>
            </w:r>
            <w:r w:rsidR="00B95CAC">
              <w:rPr>
                <w:noProof/>
                <w:webHidden/>
              </w:rPr>
              <w:fldChar w:fldCharType="end"/>
            </w:r>
          </w:hyperlink>
        </w:p>
        <w:p w:rsidR="00B95CAC" w:rsidRDefault="00FE0A37" w14:paraId="747986A6" w14:textId="25326ED1">
          <w:pPr>
            <w:pStyle w:val="TOC1"/>
            <w:tabs>
              <w:tab w:val="right" w:leader="dot" w:pos="9350"/>
            </w:tabs>
            <w:rPr>
              <w:rFonts w:asciiTheme="minorHAnsi" w:hAnsiTheme="minorHAnsi" w:cstheme="minorBidi"/>
              <w:noProof/>
              <w:sz w:val="22"/>
            </w:rPr>
          </w:pPr>
          <w:hyperlink w:history="1" w:anchor="_Toc95469381">
            <w:r w:rsidRPr="006B53B9" w:rsidR="00B95CAC">
              <w:rPr>
                <w:rStyle w:val="Hyperlink"/>
                <w:noProof/>
              </w:rPr>
              <w:t>6.</w:t>
            </w:r>
            <w:r w:rsidR="00B95CAC">
              <w:rPr>
                <w:rFonts w:asciiTheme="minorHAnsi" w:hAnsiTheme="minorHAnsi" w:cstheme="minorBidi"/>
                <w:noProof/>
                <w:sz w:val="22"/>
              </w:rPr>
              <w:tab/>
            </w:r>
            <w:r w:rsidRPr="006B53B9" w:rsidR="00B95CAC">
              <w:rPr>
                <w:rStyle w:val="Hyperlink"/>
                <w:noProof/>
              </w:rPr>
              <w:t>Balancing Account Transfer Proposal</w:t>
            </w:r>
            <w:r w:rsidR="00B95CAC">
              <w:rPr>
                <w:noProof/>
                <w:webHidden/>
              </w:rPr>
              <w:tab/>
            </w:r>
            <w:r w:rsidR="00B95CAC">
              <w:rPr>
                <w:noProof/>
                <w:webHidden/>
              </w:rPr>
              <w:fldChar w:fldCharType="begin"/>
            </w:r>
            <w:r w:rsidR="00B95CAC">
              <w:rPr>
                <w:noProof/>
                <w:webHidden/>
              </w:rPr>
              <w:instrText xml:space="preserve"> PAGEREF _Toc95469381 \h </w:instrText>
            </w:r>
            <w:r w:rsidR="00B95CAC">
              <w:rPr>
                <w:noProof/>
                <w:webHidden/>
              </w:rPr>
            </w:r>
            <w:r w:rsidR="00B95CAC">
              <w:rPr>
                <w:noProof/>
                <w:webHidden/>
              </w:rPr>
              <w:fldChar w:fldCharType="separate"/>
            </w:r>
            <w:r w:rsidR="00B95CAC">
              <w:rPr>
                <w:noProof/>
                <w:webHidden/>
              </w:rPr>
              <w:t>29</w:t>
            </w:r>
            <w:r w:rsidR="00B95CAC">
              <w:rPr>
                <w:noProof/>
                <w:webHidden/>
              </w:rPr>
              <w:fldChar w:fldCharType="end"/>
            </w:r>
          </w:hyperlink>
        </w:p>
        <w:p w:rsidR="00B95CAC" w:rsidRDefault="00FE0A37" w14:paraId="752F903A" w14:textId="2EBB2926">
          <w:pPr>
            <w:pStyle w:val="TOC2"/>
            <w:tabs>
              <w:tab w:val="right" w:leader="dot" w:pos="9350"/>
            </w:tabs>
            <w:rPr>
              <w:rFonts w:asciiTheme="minorHAnsi" w:hAnsiTheme="minorHAnsi" w:cstheme="minorBidi"/>
              <w:noProof/>
              <w:sz w:val="22"/>
            </w:rPr>
          </w:pPr>
          <w:hyperlink w:history="1" w:anchor="_Toc95469382">
            <w:r w:rsidRPr="006B53B9" w:rsidR="00B95CAC">
              <w:rPr>
                <w:rStyle w:val="Hyperlink"/>
                <w:noProof/>
              </w:rPr>
              <w:t>6.1.</w:t>
            </w:r>
            <w:r w:rsidR="00B95CAC">
              <w:rPr>
                <w:rFonts w:asciiTheme="minorHAnsi" w:hAnsiTheme="minorHAnsi" w:cstheme="minorBidi"/>
                <w:noProof/>
                <w:sz w:val="22"/>
              </w:rPr>
              <w:tab/>
            </w:r>
            <w:r w:rsidRPr="006B53B9" w:rsidR="00B95CAC">
              <w:rPr>
                <w:rStyle w:val="Hyperlink"/>
                <w:noProof/>
              </w:rPr>
              <w:t>Year-end 2021 ERRA Balance Proposal</w:t>
            </w:r>
            <w:r w:rsidR="00B95CAC">
              <w:rPr>
                <w:noProof/>
                <w:webHidden/>
              </w:rPr>
              <w:tab/>
            </w:r>
            <w:r w:rsidR="00B95CAC">
              <w:rPr>
                <w:noProof/>
                <w:webHidden/>
              </w:rPr>
              <w:fldChar w:fldCharType="begin"/>
            </w:r>
            <w:r w:rsidR="00B95CAC">
              <w:rPr>
                <w:noProof/>
                <w:webHidden/>
              </w:rPr>
              <w:instrText xml:space="preserve"> PAGEREF _Toc95469382 \h </w:instrText>
            </w:r>
            <w:r w:rsidR="00B95CAC">
              <w:rPr>
                <w:noProof/>
                <w:webHidden/>
              </w:rPr>
            </w:r>
            <w:r w:rsidR="00B95CAC">
              <w:rPr>
                <w:noProof/>
                <w:webHidden/>
              </w:rPr>
              <w:fldChar w:fldCharType="separate"/>
            </w:r>
            <w:r w:rsidR="00B95CAC">
              <w:rPr>
                <w:noProof/>
                <w:webHidden/>
              </w:rPr>
              <w:t>29</w:t>
            </w:r>
            <w:r w:rsidR="00B95CAC">
              <w:rPr>
                <w:noProof/>
                <w:webHidden/>
              </w:rPr>
              <w:fldChar w:fldCharType="end"/>
            </w:r>
          </w:hyperlink>
        </w:p>
        <w:p w:rsidR="00B95CAC" w:rsidRDefault="00FE0A37" w14:paraId="3CBD0013" w14:textId="5F5FAF26">
          <w:pPr>
            <w:pStyle w:val="TOC2"/>
            <w:tabs>
              <w:tab w:val="right" w:leader="dot" w:pos="9350"/>
            </w:tabs>
            <w:rPr>
              <w:rFonts w:asciiTheme="minorHAnsi" w:hAnsiTheme="minorHAnsi" w:cstheme="minorBidi"/>
              <w:noProof/>
              <w:sz w:val="22"/>
            </w:rPr>
          </w:pPr>
          <w:hyperlink w:history="1" w:anchor="_Toc95469383">
            <w:r w:rsidRPr="006B53B9" w:rsidR="00B95CAC">
              <w:rPr>
                <w:rStyle w:val="Hyperlink"/>
                <w:noProof/>
              </w:rPr>
              <w:t>6.2.</w:t>
            </w:r>
            <w:r w:rsidR="00B95CAC">
              <w:rPr>
                <w:rFonts w:asciiTheme="minorHAnsi" w:hAnsiTheme="minorHAnsi" w:cstheme="minorBidi"/>
                <w:noProof/>
                <w:sz w:val="22"/>
              </w:rPr>
              <w:tab/>
            </w:r>
            <w:r w:rsidRPr="006B53B9" w:rsidR="00B95CAC">
              <w:rPr>
                <w:rStyle w:val="Hyperlink"/>
                <w:noProof/>
              </w:rPr>
              <w:t>PABA Transfer Proposals</w:t>
            </w:r>
            <w:r w:rsidR="00B95CAC">
              <w:rPr>
                <w:noProof/>
                <w:webHidden/>
              </w:rPr>
              <w:tab/>
            </w:r>
            <w:r w:rsidR="00B95CAC">
              <w:rPr>
                <w:noProof/>
                <w:webHidden/>
              </w:rPr>
              <w:fldChar w:fldCharType="begin"/>
            </w:r>
            <w:r w:rsidR="00B95CAC">
              <w:rPr>
                <w:noProof/>
                <w:webHidden/>
              </w:rPr>
              <w:instrText xml:space="preserve"> PAGEREF _Toc95469383 \h </w:instrText>
            </w:r>
            <w:r w:rsidR="00B95CAC">
              <w:rPr>
                <w:noProof/>
                <w:webHidden/>
              </w:rPr>
            </w:r>
            <w:r w:rsidR="00B95CAC">
              <w:rPr>
                <w:noProof/>
                <w:webHidden/>
              </w:rPr>
              <w:fldChar w:fldCharType="separate"/>
            </w:r>
            <w:r w:rsidR="00B95CAC">
              <w:rPr>
                <w:noProof/>
                <w:webHidden/>
              </w:rPr>
              <w:t>31</w:t>
            </w:r>
            <w:r w:rsidR="00B95CAC">
              <w:rPr>
                <w:noProof/>
                <w:webHidden/>
              </w:rPr>
              <w:fldChar w:fldCharType="end"/>
            </w:r>
          </w:hyperlink>
        </w:p>
        <w:p w:rsidR="00B95CAC" w:rsidRDefault="00FE0A37" w14:paraId="39B8AE3F" w14:textId="1A87596D">
          <w:pPr>
            <w:pStyle w:val="TOC2"/>
            <w:tabs>
              <w:tab w:val="right" w:leader="dot" w:pos="9350"/>
            </w:tabs>
            <w:rPr>
              <w:rFonts w:asciiTheme="minorHAnsi" w:hAnsiTheme="minorHAnsi" w:cstheme="minorBidi"/>
              <w:noProof/>
              <w:sz w:val="22"/>
            </w:rPr>
          </w:pPr>
          <w:hyperlink w:history="1" w:anchor="_Toc95469384">
            <w:r w:rsidRPr="006B53B9" w:rsidR="00B95CAC">
              <w:rPr>
                <w:rStyle w:val="Hyperlink"/>
                <w:noProof/>
              </w:rPr>
              <w:t>6.3.</w:t>
            </w:r>
            <w:r w:rsidR="00B95CAC">
              <w:rPr>
                <w:rFonts w:asciiTheme="minorHAnsi" w:hAnsiTheme="minorHAnsi" w:cstheme="minorBidi"/>
                <w:noProof/>
                <w:sz w:val="22"/>
              </w:rPr>
              <w:tab/>
            </w:r>
            <w:r w:rsidRPr="006B53B9" w:rsidR="00B95CAC">
              <w:rPr>
                <w:rStyle w:val="Hyperlink"/>
                <w:noProof/>
              </w:rPr>
              <w:t>GTSR Balancing Account Proposal</w:t>
            </w:r>
            <w:r w:rsidR="00B95CAC">
              <w:rPr>
                <w:noProof/>
                <w:webHidden/>
              </w:rPr>
              <w:tab/>
            </w:r>
            <w:r w:rsidR="00B95CAC">
              <w:rPr>
                <w:noProof/>
                <w:webHidden/>
              </w:rPr>
              <w:fldChar w:fldCharType="begin"/>
            </w:r>
            <w:r w:rsidR="00B95CAC">
              <w:rPr>
                <w:noProof/>
                <w:webHidden/>
              </w:rPr>
              <w:instrText xml:space="preserve"> PAGEREF _Toc95469384 \h </w:instrText>
            </w:r>
            <w:r w:rsidR="00B95CAC">
              <w:rPr>
                <w:noProof/>
                <w:webHidden/>
              </w:rPr>
            </w:r>
            <w:r w:rsidR="00B95CAC">
              <w:rPr>
                <w:noProof/>
                <w:webHidden/>
              </w:rPr>
              <w:fldChar w:fldCharType="separate"/>
            </w:r>
            <w:r w:rsidR="00B95CAC">
              <w:rPr>
                <w:noProof/>
                <w:webHidden/>
              </w:rPr>
              <w:t>31</w:t>
            </w:r>
            <w:r w:rsidR="00B95CAC">
              <w:rPr>
                <w:noProof/>
                <w:webHidden/>
              </w:rPr>
              <w:fldChar w:fldCharType="end"/>
            </w:r>
          </w:hyperlink>
        </w:p>
        <w:p w:rsidR="00B95CAC" w:rsidRDefault="00FE0A37" w14:paraId="7D017C74" w14:textId="53E04D8C">
          <w:pPr>
            <w:pStyle w:val="TOC2"/>
            <w:tabs>
              <w:tab w:val="right" w:leader="dot" w:pos="9350"/>
            </w:tabs>
            <w:rPr>
              <w:rFonts w:asciiTheme="minorHAnsi" w:hAnsiTheme="minorHAnsi" w:cstheme="minorBidi"/>
              <w:noProof/>
              <w:sz w:val="22"/>
            </w:rPr>
          </w:pPr>
          <w:hyperlink w:history="1" w:anchor="_Toc95469385">
            <w:r w:rsidRPr="006B53B9" w:rsidR="00B95CAC">
              <w:rPr>
                <w:rStyle w:val="Hyperlink"/>
                <w:noProof/>
              </w:rPr>
              <w:t>6.4.</w:t>
            </w:r>
            <w:r w:rsidR="00B95CAC">
              <w:rPr>
                <w:rFonts w:asciiTheme="minorHAnsi" w:hAnsiTheme="minorHAnsi" w:cstheme="minorBidi"/>
                <w:noProof/>
                <w:sz w:val="22"/>
              </w:rPr>
              <w:tab/>
            </w:r>
            <w:r w:rsidRPr="006B53B9" w:rsidR="00B95CAC">
              <w:rPr>
                <w:rStyle w:val="Hyperlink"/>
                <w:noProof/>
              </w:rPr>
              <w:t xml:space="preserve">Non-Vintage Rate Proposal for Under 20 MW Qualified Facilit </w:t>
            </w:r>
            <w:r w:rsidR="00F722B0">
              <w:rPr>
                <w:rStyle w:val="Hyperlink"/>
                <w:noProof/>
              </w:rPr>
              <w:br/>
            </w:r>
            <w:r w:rsidRPr="006B53B9" w:rsidR="00B95CAC">
              <w:rPr>
                <w:rStyle w:val="Hyperlink"/>
                <w:noProof/>
              </w:rPr>
              <w:t>(QF) Costs</w:t>
            </w:r>
            <w:r w:rsidR="00B95CAC">
              <w:rPr>
                <w:noProof/>
                <w:webHidden/>
              </w:rPr>
              <w:tab/>
            </w:r>
            <w:r w:rsidR="00B95CAC">
              <w:rPr>
                <w:noProof/>
                <w:webHidden/>
              </w:rPr>
              <w:fldChar w:fldCharType="begin"/>
            </w:r>
            <w:r w:rsidR="00B95CAC">
              <w:rPr>
                <w:noProof/>
                <w:webHidden/>
              </w:rPr>
              <w:instrText xml:space="preserve"> PAGEREF _Toc95469385 \h </w:instrText>
            </w:r>
            <w:r w:rsidR="00B95CAC">
              <w:rPr>
                <w:noProof/>
                <w:webHidden/>
              </w:rPr>
            </w:r>
            <w:r w:rsidR="00B95CAC">
              <w:rPr>
                <w:noProof/>
                <w:webHidden/>
              </w:rPr>
              <w:fldChar w:fldCharType="separate"/>
            </w:r>
            <w:r w:rsidR="00B95CAC">
              <w:rPr>
                <w:noProof/>
                <w:webHidden/>
              </w:rPr>
              <w:t>32</w:t>
            </w:r>
            <w:r w:rsidR="00B95CAC">
              <w:rPr>
                <w:noProof/>
                <w:webHidden/>
              </w:rPr>
              <w:fldChar w:fldCharType="end"/>
            </w:r>
          </w:hyperlink>
        </w:p>
        <w:p w:rsidR="00B95CAC" w:rsidRDefault="00FE0A37" w14:paraId="3D10589D" w14:textId="639F9FD4">
          <w:pPr>
            <w:pStyle w:val="TOC1"/>
            <w:tabs>
              <w:tab w:val="right" w:leader="dot" w:pos="9350"/>
            </w:tabs>
            <w:rPr>
              <w:rFonts w:asciiTheme="minorHAnsi" w:hAnsiTheme="minorHAnsi" w:cstheme="minorBidi"/>
              <w:noProof/>
              <w:sz w:val="22"/>
            </w:rPr>
          </w:pPr>
          <w:hyperlink w:history="1" w:anchor="_Toc95469386">
            <w:r w:rsidRPr="006B53B9" w:rsidR="00B95CAC">
              <w:rPr>
                <w:rStyle w:val="Hyperlink"/>
                <w:noProof/>
              </w:rPr>
              <w:t>7.</w:t>
            </w:r>
            <w:r w:rsidR="00B95CAC">
              <w:rPr>
                <w:rFonts w:asciiTheme="minorHAnsi" w:hAnsiTheme="minorHAnsi" w:cstheme="minorBidi"/>
                <w:noProof/>
                <w:sz w:val="22"/>
              </w:rPr>
              <w:tab/>
            </w:r>
            <w:r w:rsidRPr="006B53B9" w:rsidR="00B95CAC">
              <w:rPr>
                <w:rStyle w:val="Hyperlink"/>
                <w:noProof/>
              </w:rPr>
              <w:t>GHG Requests</w:t>
            </w:r>
            <w:r w:rsidR="00B95CAC">
              <w:rPr>
                <w:noProof/>
                <w:webHidden/>
              </w:rPr>
              <w:tab/>
            </w:r>
            <w:r w:rsidR="00B95CAC">
              <w:rPr>
                <w:noProof/>
                <w:webHidden/>
              </w:rPr>
              <w:fldChar w:fldCharType="begin"/>
            </w:r>
            <w:r w:rsidR="00B95CAC">
              <w:rPr>
                <w:noProof/>
                <w:webHidden/>
              </w:rPr>
              <w:instrText xml:space="preserve"> PAGEREF _Toc95469386 \h </w:instrText>
            </w:r>
            <w:r w:rsidR="00B95CAC">
              <w:rPr>
                <w:noProof/>
                <w:webHidden/>
              </w:rPr>
            </w:r>
            <w:r w:rsidR="00B95CAC">
              <w:rPr>
                <w:noProof/>
                <w:webHidden/>
              </w:rPr>
              <w:fldChar w:fldCharType="separate"/>
            </w:r>
            <w:r w:rsidR="00B95CAC">
              <w:rPr>
                <w:noProof/>
                <w:webHidden/>
              </w:rPr>
              <w:t>34</w:t>
            </w:r>
            <w:r w:rsidR="00B95CAC">
              <w:rPr>
                <w:noProof/>
                <w:webHidden/>
              </w:rPr>
              <w:fldChar w:fldCharType="end"/>
            </w:r>
          </w:hyperlink>
        </w:p>
        <w:p w:rsidR="00B95CAC" w:rsidRDefault="00FE0A37" w14:paraId="37245D39" w14:textId="2C967E0A">
          <w:pPr>
            <w:pStyle w:val="TOC1"/>
            <w:tabs>
              <w:tab w:val="right" w:leader="dot" w:pos="9350"/>
            </w:tabs>
            <w:rPr>
              <w:rFonts w:asciiTheme="minorHAnsi" w:hAnsiTheme="minorHAnsi" w:cstheme="minorBidi"/>
              <w:noProof/>
              <w:sz w:val="22"/>
            </w:rPr>
          </w:pPr>
          <w:hyperlink w:history="1" w:anchor="_Toc95469387">
            <w:r w:rsidRPr="006B53B9" w:rsidR="00B95CAC">
              <w:rPr>
                <w:rStyle w:val="Hyperlink"/>
                <w:noProof/>
              </w:rPr>
              <w:t>8.</w:t>
            </w:r>
            <w:r w:rsidR="00B95CAC">
              <w:rPr>
                <w:rFonts w:asciiTheme="minorHAnsi" w:hAnsiTheme="minorHAnsi" w:cstheme="minorBidi"/>
                <w:noProof/>
                <w:sz w:val="22"/>
              </w:rPr>
              <w:tab/>
            </w:r>
            <w:r w:rsidRPr="006B53B9" w:rsidR="00B95CAC">
              <w:rPr>
                <w:rStyle w:val="Hyperlink"/>
                <w:noProof/>
              </w:rPr>
              <w:t>Rate Proposals</w:t>
            </w:r>
            <w:r w:rsidR="00B95CAC">
              <w:rPr>
                <w:noProof/>
                <w:webHidden/>
              </w:rPr>
              <w:tab/>
            </w:r>
            <w:r w:rsidR="00B95CAC">
              <w:rPr>
                <w:noProof/>
                <w:webHidden/>
              </w:rPr>
              <w:fldChar w:fldCharType="begin"/>
            </w:r>
            <w:r w:rsidR="00B95CAC">
              <w:rPr>
                <w:noProof/>
                <w:webHidden/>
              </w:rPr>
              <w:instrText xml:space="preserve"> PAGEREF _Toc95469387 \h </w:instrText>
            </w:r>
            <w:r w:rsidR="00B95CAC">
              <w:rPr>
                <w:noProof/>
                <w:webHidden/>
              </w:rPr>
            </w:r>
            <w:r w:rsidR="00B95CAC">
              <w:rPr>
                <w:noProof/>
                <w:webHidden/>
              </w:rPr>
              <w:fldChar w:fldCharType="separate"/>
            </w:r>
            <w:r w:rsidR="00B95CAC">
              <w:rPr>
                <w:noProof/>
                <w:webHidden/>
              </w:rPr>
              <w:t>37</w:t>
            </w:r>
            <w:r w:rsidR="00B95CAC">
              <w:rPr>
                <w:noProof/>
                <w:webHidden/>
              </w:rPr>
              <w:fldChar w:fldCharType="end"/>
            </w:r>
          </w:hyperlink>
        </w:p>
        <w:p w:rsidR="00B95CAC" w:rsidRDefault="00FE0A37" w14:paraId="0919138D" w14:textId="5F0BDCC2">
          <w:pPr>
            <w:pStyle w:val="TOC2"/>
            <w:tabs>
              <w:tab w:val="right" w:leader="dot" w:pos="9350"/>
            </w:tabs>
            <w:rPr>
              <w:rFonts w:asciiTheme="minorHAnsi" w:hAnsiTheme="minorHAnsi" w:cstheme="minorBidi"/>
              <w:noProof/>
              <w:sz w:val="22"/>
            </w:rPr>
          </w:pPr>
          <w:hyperlink w:history="1" w:anchor="_Toc95469388">
            <w:r w:rsidRPr="006B53B9" w:rsidR="00B95CAC">
              <w:rPr>
                <w:rStyle w:val="Hyperlink"/>
                <w:noProof/>
              </w:rPr>
              <w:t>8.1.</w:t>
            </w:r>
            <w:r w:rsidR="00B95CAC">
              <w:rPr>
                <w:rFonts w:asciiTheme="minorHAnsi" w:hAnsiTheme="minorHAnsi" w:cstheme="minorBidi"/>
                <w:noProof/>
                <w:sz w:val="22"/>
              </w:rPr>
              <w:tab/>
            </w:r>
            <w:r w:rsidRPr="006B53B9" w:rsidR="00B95CAC">
              <w:rPr>
                <w:rStyle w:val="Hyperlink"/>
                <w:noProof/>
              </w:rPr>
              <w:t xml:space="preserve">Process to Implement Rates from Pending General Rate Case </w:t>
            </w:r>
            <w:r w:rsidR="00F722B0">
              <w:rPr>
                <w:rStyle w:val="Hyperlink"/>
                <w:noProof/>
              </w:rPr>
              <w:br/>
            </w:r>
            <w:r w:rsidRPr="006B53B9" w:rsidR="00B95CAC">
              <w:rPr>
                <w:rStyle w:val="Hyperlink"/>
                <w:noProof/>
              </w:rPr>
              <w:t>Phase II Proceeding</w:t>
            </w:r>
            <w:r w:rsidR="00B95CAC">
              <w:rPr>
                <w:noProof/>
                <w:webHidden/>
              </w:rPr>
              <w:tab/>
            </w:r>
            <w:r w:rsidR="00B95CAC">
              <w:rPr>
                <w:noProof/>
                <w:webHidden/>
              </w:rPr>
              <w:fldChar w:fldCharType="begin"/>
            </w:r>
            <w:r w:rsidR="00B95CAC">
              <w:rPr>
                <w:noProof/>
                <w:webHidden/>
              </w:rPr>
              <w:instrText xml:space="preserve"> PAGEREF _Toc95469388 \h </w:instrText>
            </w:r>
            <w:r w:rsidR="00B95CAC">
              <w:rPr>
                <w:noProof/>
                <w:webHidden/>
              </w:rPr>
            </w:r>
            <w:r w:rsidR="00B95CAC">
              <w:rPr>
                <w:noProof/>
                <w:webHidden/>
              </w:rPr>
              <w:fldChar w:fldCharType="separate"/>
            </w:r>
            <w:r w:rsidR="00B95CAC">
              <w:rPr>
                <w:noProof/>
                <w:webHidden/>
              </w:rPr>
              <w:t>37</w:t>
            </w:r>
            <w:r w:rsidR="00B95CAC">
              <w:rPr>
                <w:noProof/>
                <w:webHidden/>
              </w:rPr>
              <w:fldChar w:fldCharType="end"/>
            </w:r>
          </w:hyperlink>
        </w:p>
        <w:p w:rsidR="00B95CAC" w:rsidRDefault="00FE0A37" w14:paraId="220FB269" w14:textId="488F238D">
          <w:pPr>
            <w:pStyle w:val="TOC2"/>
            <w:tabs>
              <w:tab w:val="right" w:leader="dot" w:pos="9350"/>
            </w:tabs>
            <w:rPr>
              <w:rFonts w:asciiTheme="minorHAnsi" w:hAnsiTheme="minorHAnsi" w:cstheme="minorBidi"/>
              <w:noProof/>
              <w:sz w:val="22"/>
            </w:rPr>
          </w:pPr>
          <w:hyperlink w:history="1" w:anchor="_Toc95469389">
            <w:r w:rsidRPr="006B53B9" w:rsidR="00B95CAC">
              <w:rPr>
                <w:rStyle w:val="Hyperlink"/>
                <w:noProof/>
              </w:rPr>
              <w:t>8.2.</w:t>
            </w:r>
            <w:r w:rsidR="00B95CAC">
              <w:rPr>
                <w:rFonts w:asciiTheme="minorHAnsi" w:hAnsiTheme="minorHAnsi" w:cstheme="minorBidi"/>
                <w:noProof/>
                <w:sz w:val="22"/>
              </w:rPr>
              <w:tab/>
            </w:r>
            <w:r w:rsidRPr="006B53B9" w:rsidR="00B95CAC">
              <w:rPr>
                <w:rStyle w:val="Hyperlink"/>
                <w:noProof/>
              </w:rPr>
              <w:t>GTSR Rates:  Solar Value Adjustment Time</w:t>
            </w:r>
            <w:r w:rsidRPr="006B53B9" w:rsidR="00B95CAC">
              <w:rPr>
                <w:rStyle w:val="Hyperlink"/>
                <w:noProof/>
              </w:rPr>
              <w:noBreakHyphen/>
              <w:t>of</w:t>
            </w:r>
            <w:r w:rsidRPr="006B53B9" w:rsidR="00B95CAC">
              <w:rPr>
                <w:rStyle w:val="Hyperlink"/>
                <w:noProof/>
              </w:rPr>
              <w:noBreakHyphen/>
              <w:t>Delivery (TOD) Rate Component</w:t>
            </w:r>
            <w:r w:rsidR="00B95CAC">
              <w:rPr>
                <w:noProof/>
                <w:webHidden/>
              </w:rPr>
              <w:tab/>
            </w:r>
            <w:r w:rsidR="00B95CAC">
              <w:rPr>
                <w:noProof/>
                <w:webHidden/>
              </w:rPr>
              <w:fldChar w:fldCharType="begin"/>
            </w:r>
            <w:r w:rsidR="00B95CAC">
              <w:rPr>
                <w:noProof/>
                <w:webHidden/>
              </w:rPr>
              <w:instrText xml:space="preserve"> PAGEREF _Toc95469389 \h </w:instrText>
            </w:r>
            <w:r w:rsidR="00B95CAC">
              <w:rPr>
                <w:noProof/>
                <w:webHidden/>
              </w:rPr>
            </w:r>
            <w:r w:rsidR="00B95CAC">
              <w:rPr>
                <w:noProof/>
                <w:webHidden/>
              </w:rPr>
              <w:fldChar w:fldCharType="separate"/>
            </w:r>
            <w:r w:rsidR="00B95CAC">
              <w:rPr>
                <w:noProof/>
                <w:webHidden/>
              </w:rPr>
              <w:t>38</w:t>
            </w:r>
            <w:r w:rsidR="00B95CAC">
              <w:rPr>
                <w:noProof/>
                <w:webHidden/>
              </w:rPr>
              <w:fldChar w:fldCharType="end"/>
            </w:r>
          </w:hyperlink>
        </w:p>
        <w:p w:rsidR="00B95CAC" w:rsidRDefault="00FE0A37" w14:paraId="4F3C23BC" w14:textId="19F3C0EE">
          <w:pPr>
            <w:pStyle w:val="TOC1"/>
            <w:tabs>
              <w:tab w:val="right" w:leader="dot" w:pos="9350"/>
            </w:tabs>
            <w:rPr>
              <w:rFonts w:asciiTheme="minorHAnsi" w:hAnsiTheme="minorHAnsi" w:cstheme="minorBidi"/>
              <w:noProof/>
              <w:sz w:val="22"/>
            </w:rPr>
          </w:pPr>
          <w:hyperlink w:history="1" w:anchor="_Toc95469390">
            <w:r w:rsidRPr="006B53B9" w:rsidR="00B95CAC">
              <w:rPr>
                <w:rStyle w:val="Hyperlink"/>
                <w:noProof/>
              </w:rPr>
              <w:t>9.</w:t>
            </w:r>
            <w:r w:rsidR="00B95CAC">
              <w:rPr>
                <w:rFonts w:asciiTheme="minorHAnsi" w:hAnsiTheme="minorHAnsi" w:cstheme="minorBidi"/>
                <w:noProof/>
                <w:sz w:val="22"/>
              </w:rPr>
              <w:tab/>
            </w:r>
            <w:r w:rsidRPr="006B53B9" w:rsidR="00B95CAC">
              <w:rPr>
                <w:rStyle w:val="Hyperlink"/>
                <w:noProof/>
              </w:rPr>
              <w:t>Information in Master Data Request</w:t>
            </w:r>
            <w:r w:rsidR="00B95CAC">
              <w:rPr>
                <w:noProof/>
                <w:webHidden/>
              </w:rPr>
              <w:tab/>
            </w:r>
            <w:r w:rsidR="00B95CAC">
              <w:rPr>
                <w:noProof/>
                <w:webHidden/>
              </w:rPr>
              <w:fldChar w:fldCharType="begin"/>
            </w:r>
            <w:r w:rsidR="00B95CAC">
              <w:rPr>
                <w:noProof/>
                <w:webHidden/>
              </w:rPr>
              <w:instrText xml:space="preserve"> PAGEREF _Toc95469390 \h </w:instrText>
            </w:r>
            <w:r w:rsidR="00B95CAC">
              <w:rPr>
                <w:noProof/>
                <w:webHidden/>
              </w:rPr>
            </w:r>
            <w:r w:rsidR="00B95CAC">
              <w:rPr>
                <w:noProof/>
                <w:webHidden/>
              </w:rPr>
              <w:fldChar w:fldCharType="separate"/>
            </w:r>
            <w:r w:rsidR="00B95CAC">
              <w:rPr>
                <w:noProof/>
                <w:webHidden/>
              </w:rPr>
              <w:t>39</w:t>
            </w:r>
            <w:r w:rsidR="00B95CAC">
              <w:rPr>
                <w:noProof/>
                <w:webHidden/>
              </w:rPr>
              <w:fldChar w:fldCharType="end"/>
            </w:r>
          </w:hyperlink>
        </w:p>
        <w:p w:rsidR="00B95CAC" w:rsidRDefault="00FE0A37" w14:paraId="5133C8F9" w14:textId="6520E3B4">
          <w:pPr>
            <w:pStyle w:val="TOC1"/>
            <w:tabs>
              <w:tab w:val="right" w:leader="dot" w:pos="9350"/>
            </w:tabs>
            <w:rPr>
              <w:rFonts w:asciiTheme="minorHAnsi" w:hAnsiTheme="minorHAnsi" w:cstheme="minorBidi"/>
              <w:noProof/>
              <w:sz w:val="22"/>
            </w:rPr>
          </w:pPr>
          <w:hyperlink w:history="1" w:anchor="_Toc95469391">
            <w:r w:rsidRPr="006B53B9" w:rsidR="00B95CAC">
              <w:rPr>
                <w:rStyle w:val="Hyperlink"/>
                <w:noProof/>
              </w:rPr>
              <w:t>10.</w:t>
            </w:r>
            <w:r w:rsidR="00B95CAC">
              <w:rPr>
                <w:rFonts w:asciiTheme="minorHAnsi" w:hAnsiTheme="minorHAnsi" w:cstheme="minorBidi"/>
                <w:noProof/>
                <w:sz w:val="22"/>
              </w:rPr>
              <w:tab/>
            </w:r>
            <w:r w:rsidRPr="006B53B9" w:rsidR="00B95CAC">
              <w:rPr>
                <w:rStyle w:val="Hyperlink"/>
                <w:noProof/>
              </w:rPr>
              <w:t>PG&amp;E’s Role As a Central Procurement Entity (CPE) Starting in 2023</w:t>
            </w:r>
            <w:r w:rsidR="00B95CAC">
              <w:rPr>
                <w:noProof/>
                <w:webHidden/>
              </w:rPr>
              <w:tab/>
            </w:r>
            <w:r w:rsidR="00B95CAC">
              <w:rPr>
                <w:noProof/>
                <w:webHidden/>
              </w:rPr>
              <w:fldChar w:fldCharType="begin"/>
            </w:r>
            <w:r w:rsidR="00B95CAC">
              <w:rPr>
                <w:noProof/>
                <w:webHidden/>
              </w:rPr>
              <w:instrText xml:space="preserve"> PAGEREF _Toc95469391 \h </w:instrText>
            </w:r>
            <w:r w:rsidR="00B95CAC">
              <w:rPr>
                <w:noProof/>
                <w:webHidden/>
              </w:rPr>
            </w:r>
            <w:r w:rsidR="00B95CAC">
              <w:rPr>
                <w:noProof/>
                <w:webHidden/>
              </w:rPr>
              <w:fldChar w:fldCharType="separate"/>
            </w:r>
            <w:r w:rsidR="00B95CAC">
              <w:rPr>
                <w:noProof/>
                <w:webHidden/>
              </w:rPr>
              <w:t>41</w:t>
            </w:r>
            <w:r w:rsidR="00B95CAC">
              <w:rPr>
                <w:noProof/>
                <w:webHidden/>
              </w:rPr>
              <w:fldChar w:fldCharType="end"/>
            </w:r>
          </w:hyperlink>
        </w:p>
        <w:p w:rsidR="00B95CAC" w:rsidRDefault="00FE0A37" w14:paraId="4AB1E4F4" w14:textId="27AF8A64">
          <w:pPr>
            <w:pStyle w:val="TOC1"/>
            <w:tabs>
              <w:tab w:val="right" w:leader="dot" w:pos="9350"/>
            </w:tabs>
            <w:rPr>
              <w:rFonts w:asciiTheme="minorHAnsi" w:hAnsiTheme="minorHAnsi" w:cstheme="minorBidi"/>
              <w:noProof/>
              <w:sz w:val="22"/>
            </w:rPr>
          </w:pPr>
          <w:hyperlink w:history="1" w:anchor="_Toc95469392">
            <w:r w:rsidRPr="006B53B9" w:rsidR="00B95CAC">
              <w:rPr>
                <w:rStyle w:val="Hyperlink"/>
                <w:noProof/>
              </w:rPr>
              <w:t>11.</w:t>
            </w:r>
            <w:r w:rsidR="00B95CAC">
              <w:rPr>
                <w:rFonts w:asciiTheme="minorHAnsi" w:hAnsiTheme="minorHAnsi" w:cstheme="minorBidi"/>
                <w:noProof/>
                <w:sz w:val="22"/>
              </w:rPr>
              <w:tab/>
            </w:r>
            <w:r w:rsidRPr="006B53B9" w:rsidR="00B95CAC">
              <w:rPr>
                <w:rStyle w:val="Hyperlink"/>
                <w:noProof/>
              </w:rPr>
              <w:t>Safety and Environmental and Social Justice Issues</w:t>
            </w:r>
            <w:r w:rsidR="00B95CAC">
              <w:rPr>
                <w:noProof/>
                <w:webHidden/>
              </w:rPr>
              <w:tab/>
            </w:r>
            <w:r w:rsidR="00B95CAC">
              <w:rPr>
                <w:noProof/>
                <w:webHidden/>
              </w:rPr>
              <w:fldChar w:fldCharType="begin"/>
            </w:r>
            <w:r w:rsidR="00B95CAC">
              <w:rPr>
                <w:noProof/>
                <w:webHidden/>
              </w:rPr>
              <w:instrText xml:space="preserve"> PAGEREF _Toc95469392 \h </w:instrText>
            </w:r>
            <w:r w:rsidR="00B95CAC">
              <w:rPr>
                <w:noProof/>
                <w:webHidden/>
              </w:rPr>
            </w:r>
            <w:r w:rsidR="00B95CAC">
              <w:rPr>
                <w:noProof/>
                <w:webHidden/>
              </w:rPr>
              <w:fldChar w:fldCharType="separate"/>
            </w:r>
            <w:r w:rsidR="00B95CAC">
              <w:rPr>
                <w:noProof/>
                <w:webHidden/>
              </w:rPr>
              <w:t>42</w:t>
            </w:r>
            <w:r w:rsidR="00B95CAC">
              <w:rPr>
                <w:noProof/>
                <w:webHidden/>
              </w:rPr>
              <w:fldChar w:fldCharType="end"/>
            </w:r>
          </w:hyperlink>
        </w:p>
        <w:p w:rsidR="00B95CAC" w:rsidRDefault="00FE0A37" w14:paraId="25A93F15" w14:textId="03F704CB">
          <w:pPr>
            <w:pStyle w:val="TOC1"/>
            <w:tabs>
              <w:tab w:val="right" w:leader="dot" w:pos="9350"/>
            </w:tabs>
            <w:rPr>
              <w:rFonts w:asciiTheme="minorHAnsi" w:hAnsiTheme="minorHAnsi" w:cstheme="minorBidi"/>
              <w:noProof/>
              <w:sz w:val="22"/>
            </w:rPr>
          </w:pPr>
          <w:hyperlink w:history="1" w:anchor="_Toc95469393">
            <w:r w:rsidRPr="006B53B9" w:rsidR="00B95CAC">
              <w:rPr>
                <w:rStyle w:val="Hyperlink"/>
                <w:noProof/>
              </w:rPr>
              <w:t>12.</w:t>
            </w:r>
            <w:r w:rsidR="00B95CAC">
              <w:rPr>
                <w:rFonts w:asciiTheme="minorHAnsi" w:hAnsiTheme="minorHAnsi" w:cstheme="minorBidi"/>
                <w:noProof/>
                <w:sz w:val="22"/>
              </w:rPr>
              <w:tab/>
            </w:r>
            <w:r w:rsidRPr="006B53B9" w:rsidR="00B95CAC">
              <w:rPr>
                <w:rStyle w:val="Hyperlink"/>
                <w:noProof/>
              </w:rPr>
              <w:t>Motions</w:t>
            </w:r>
            <w:r w:rsidR="00B95CAC">
              <w:rPr>
                <w:noProof/>
                <w:webHidden/>
              </w:rPr>
              <w:tab/>
            </w:r>
            <w:r w:rsidR="00B95CAC">
              <w:rPr>
                <w:noProof/>
                <w:webHidden/>
              </w:rPr>
              <w:fldChar w:fldCharType="begin"/>
            </w:r>
            <w:r w:rsidR="00B95CAC">
              <w:rPr>
                <w:noProof/>
                <w:webHidden/>
              </w:rPr>
              <w:instrText xml:space="preserve"> PAGEREF _Toc95469393 \h </w:instrText>
            </w:r>
            <w:r w:rsidR="00B95CAC">
              <w:rPr>
                <w:noProof/>
                <w:webHidden/>
              </w:rPr>
            </w:r>
            <w:r w:rsidR="00B95CAC">
              <w:rPr>
                <w:noProof/>
                <w:webHidden/>
              </w:rPr>
              <w:fldChar w:fldCharType="separate"/>
            </w:r>
            <w:r w:rsidR="00B95CAC">
              <w:rPr>
                <w:noProof/>
                <w:webHidden/>
              </w:rPr>
              <w:t>43</w:t>
            </w:r>
            <w:r w:rsidR="00B95CAC">
              <w:rPr>
                <w:noProof/>
                <w:webHidden/>
              </w:rPr>
              <w:fldChar w:fldCharType="end"/>
            </w:r>
          </w:hyperlink>
        </w:p>
        <w:p w:rsidR="00B95CAC" w:rsidRDefault="00FE0A37" w14:paraId="68E5C552" w14:textId="7C4C8769">
          <w:pPr>
            <w:pStyle w:val="TOC1"/>
            <w:tabs>
              <w:tab w:val="right" w:leader="dot" w:pos="9350"/>
            </w:tabs>
            <w:rPr>
              <w:rFonts w:asciiTheme="minorHAnsi" w:hAnsiTheme="minorHAnsi" w:cstheme="minorBidi"/>
              <w:noProof/>
              <w:sz w:val="22"/>
            </w:rPr>
          </w:pPr>
          <w:hyperlink w:history="1" w:anchor="_Toc95469394">
            <w:r w:rsidRPr="006B53B9" w:rsidR="00B95CAC">
              <w:rPr>
                <w:rStyle w:val="Hyperlink"/>
                <w:noProof/>
              </w:rPr>
              <w:t>13.</w:t>
            </w:r>
            <w:r w:rsidR="00B95CAC">
              <w:rPr>
                <w:rFonts w:asciiTheme="minorHAnsi" w:hAnsiTheme="minorHAnsi" w:cstheme="minorBidi"/>
                <w:noProof/>
                <w:sz w:val="22"/>
              </w:rPr>
              <w:tab/>
            </w:r>
            <w:r w:rsidRPr="006B53B9" w:rsidR="00B95CAC">
              <w:rPr>
                <w:rStyle w:val="Hyperlink"/>
                <w:noProof/>
              </w:rPr>
              <w:t>Comments on Proposed Decision</w:t>
            </w:r>
            <w:r w:rsidR="00B95CAC">
              <w:rPr>
                <w:noProof/>
                <w:webHidden/>
              </w:rPr>
              <w:tab/>
            </w:r>
            <w:r w:rsidR="00B95CAC">
              <w:rPr>
                <w:noProof/>
                <w:webHidden/>
              </w:rPr>
              <w:fldChar w:fldCharType="begin"/>
            </w:r>
            <w:r w:rsidR="00B95CAC">
              <w:rPr>
                <w:noProof/>
                <w:webHidden/>
              </w:rPr>
              <w:instrText xml:space="preserve"> PAGEREF _Toc95469394 \h </w:instrText>
            </w:r>
            <w:r w:rsidR="00B95CAC">
              <w:rPr>
                <w:noProof/>
                <w:webHidden/>
              </w:rPr>
            </w:r>
            <w:r w:rsidR="00B95CAC">
              <w:rPr>
                <w:noProof/>
                <w:webHidden/>
              </w:rPr>
              <w:fldChar w:fldCharType="separate"/>
            </w:r>
            <w:r w:rsidR="00B95CAC">
              <w:rPr>
                <w:noProof/>
                <w:webHidden/>
              </w:rPr>
              <w:t>44</w:t>
            </w:r>
            <w:r w:rsidR="00B95CAC">
              <w:rPr>
                <w:noProof/>
                <w:webHidden/>
              </w:rPr>
              <w:fldChar w:fldCharType="end"/>
            </w:r>
          </w:hyperlink>
        </w:p>
        <w:p w:rsidR="00B95CAC" w:rsidRDefault="00FE0A37" w14:paraId="51CFB993" w14:textId="5788A38A">
          <w:pPr>
            <w:pStyle w:val="TOC1"/>
            <w:tabs>
              <w:tab w:val="right" w:leader="dot" w:pos="9350"/>
            </w:tabs>
            <w:rPr>
              <w:rFonts w:asciiTheme="minorHAnsi" w:hAnsiTheme="minorHAnsi" w:cstheme="minorBidi"/>
              <w:noProof/>
              <w:sz w:val="22"/>
            </w:rPr>
          </w:pPr>
          <w:hyperlink w:history="1" w:anchor="_Toc95469395">
            <w:r w:rsidRPr="006B53B9" w:rsidR="00B95CAC">
              <w:rPr>
                <w:rStyle w:val="Hyperlink"/>
                <w:noProof/>
              </w:rPr>
              <w:t>14.</w:t>
            </w:r>
            <w:r w:rsidR="00B95CAC">
              <w:rPr>
                <w:rFonts w:asciiTheme="minorHAnsi" w:hAnsiTheme="minorHAnsi" w:cstheme="minorBidi"/>
                <w:noProof/>
                <w:sz w:val="22"/>
              </w:rPr>
              <w:tab/>
            </w:r>
            <w:r w:rsidRPr="006B53B9" w:rsidR="00B95CAC">
              <w:rPr>
                <w:rStyle w:val="Hyperlink"/>
                <w:noProof/>
              </w:rPr>
              <w:t>Assignment of Proceeding</w:t>
            </w:r>
            <w:r w:rsidR="00B95CAC">
              <w:rPr>
                <w:noProof/>
                <w:webHidden/>
              </w:rPr>
              <w:tab/>
            </w:r>
            <w:r w:rsidR="00B95CAC">
              <w:rPr>
                <w:noProof/>
                <w:webHidden/>
              </w:rPr>
              <w:fldChar w:fldCharType="begin"/>
            </w:r>
            <w:r w:rsidR="00B95CAC">
              <w:rPr>
                <w:noProof/>
                <w:webHidden/>
              </w:rPr>
              <w:instrText xml:space="preserve"> PAGEREF _Toc95469395 \h </w:instrText>
            </w:r>
            <w:r w:rsidR="00B95CAC">
              <w:rPr>
                <w:noProof/>
                <w:webHidden/>
              </w:rPr>
            </w:r>
            <w:r w:rsidR="00B95CAC">
              <w:rPr>
                <w:noProof/>
                <w:webHidden/>
              </w:rPr>
              <w:fldChar w:fldCharType="separate"/>
            </w:r>
            <w:r w:rsidR="00B95CAC">
              <w:rPr>
                <w:noProof/>
                <w:webHidden/>
              </w:rPr>
              <w:t>45</w:t>
            </w:r>
            <w:r w:rsidR="00B95CAC">
              <w:rPr>
                <w:noProof/>
                <w:webHidden/>
              </w:rPr>
              <w:fldChar w:fldCharType="end"/>
            </w:r>
          </w:hyperlink>
        </w:p>
        <w:p w:rsidR="00B95CAC" w:rsidRDefault="00FE0A37" w14:paraId="290F0DA0" w14:textId="011AA1B2">
          <w:pPr>
            <w:pStyle w:val="TOC1"/>
            <w:tabs>
              <w:tab w:val="right" w:leader="dot" w:pos="9350"/>
            </w:tabs>
            <w:rPr>
              <w:rFonts w:asciiTheme="minorHAnsi" w:hAnsiTheme="minorHAnsi" w:cstheme="minorBidi"/>
              <w:noProof/>
              <w:sz w:val="22"/>
            </w:rPr>
          </w:pPr>
          <w:hyperlink w:history="1" w:anchor="_Toc95469396">
            <w:r w:rsidRPr="006B53B9" w:rsidR="00B95CAC">
              <w:rPr>
                <w:rStyle w:val="Hyperlink"/>
                <w:noProof/>
              </w:rPr>
              <w:t>Findings of Fact</w:t>
            </w:r>
            <w:r w:rsidR="00B95CAC">
              <w:rPr>
                <w:noProof/>
                <w:webHidden/>
              </w:rPr>
              <w:tab/>
            </w:r>
            <w:r w:rsidR="00B95CAC">
              <w:rPr>
                <w:noProof/>
                <w:webHidden/>
              </w:rPr>
              <w:fldChar w:fldCharType="begin"/>
            </w:r>
            <w:r w:rsidR="00B95CAC">
              <w:rPr>
                <w:noProof/>
                <w:webHidden/>
              </w:rPr>
              <w:instrText xml:space="preserve"> PAGEREF _Toc95469396 \h </w:instrText>
            </w:r>
            <w:r w:rsidR="00B95CAC">
              <w:rPr>
                <w:noProof/>
                <w:webHidden/>
              </w:rPr>
            </w:r>
            <w:r w:rsidR="00B95CAC">
              <w:rPr>
                <w:noProof/>
                <w:webHidden/>
              </w:rPr>
              <w:fldChar w:fldCharType="separate"/>
            </w:r>
            <w:r w:rsidR="00B95CAC">
              <w:rPr>
                <w:noProof/>
                <w:webHidden/>
              </w:rPr>
              <w:t>45</w:t>
            </w:r>
            <w:r w:rsidR="00B95CAC">
              <w:rPr>
                <w:noProof/>
                <w:webHidden/>
              </w:rPr>
              <w:fldChar w:fldCharType="end"/>
            </w:r>
          </w:hyperlink>
        </w:p>
        <w:p w:rsidR="00B95CAC" w:rsidRDefault="00FE0A37" w14:paraId="418A8911" w14:textId="21BB19EC">
          <w:pPr>
            <w:pStyle w:val="TOC1"/>
            <w:tabs>
              <w:tab w:val="right" w:leader="dot" w:pos="9350"/>
            </w:tabs>
            <w:rPr>
              <w:rFonts w:asciiTheme="minorHAnsi" w:hAnsiTheme="minorHAnsi" w:cstheme="minorBidi"/>
              <w:noProof/>
              <w:sz w:val="22"/>
            </w:rPr>
          </w:pPr>
          <w:hyperlink w:history="1" w:anchor="_Toc95469397">
            <w:r w:rsidRPr="006B53B9" w:rsidR="00B95CAC">
              <w:rPr>
                <w:rStyle w:val="Hyperlink"/>
                <w:noProof/>
              </w:rPr>
              <w:t>Conclusions of Law</w:t>
            </w:r>
            <w:r w:rsidR="00B95CAC">
              <w:rPr>
                <w:noProof/>
                <w:webHidden/>
              </w:rPr>
              <w:tab/>
            </w:r>
            <w:r w:rsidR="00B95CAC">
              <w:rPr>
                <w:noProof/>
                <w:webHidden/>
              </w:rPr>
              <w:fldChar w:fldCharType="begin"/>
            </w:r>
            <w:r w:rsidR="00B95CAC">
              <w:rPr>
                <w:noProof/>
                <w:webHidden/>
              </w:rPr>
              <w:instrText xml:space="preserve"> PAGEREF _Toc95469397 \h </w:instrText>
            </w:r>
            <w:r w:rsidR="00B95CAC">
              <w:rPr>
                <w:noProof/>
                <w:webHidden/>
              </w:rPr>
            </w:r>
            <w:r w:rsidR="00B95CAC">
              <w:rPr>
                <w:noProof/>
                <w:webHidden/>
              </w:rPr>
              <w:fldChar w:fldCharType="separate"/>
            </w:r>
            <w:r w:rsidR="00B95CAC">
              <w:rPr>
                <w:noProof/>
                <w:webHidden/>
              </w:rPr>
              <w:t>49</w:t>
            </w:r>
            <w:r w:rsidR="00B95CAC">
              <w:rPr>
                <w:noProof/>
                <w:webHidden/>
              </w:rPr>
              <w:fldChar w:fldCharType="end"/>
            </w:r>
          </w:hyperlink>
        </w:p>
        <w:p w:rsidR="00B95CAC" w:rsidRDefault="00FE0A37" w14:paraId="7AB93820" w14:textId="4ED7F5BC">
          <w:pPr>
            <w:pStyle w:val="TOC1"/>
            <w:tabs>
              <w:tab w:val="right" w:leader="dot" w:pos="9350"/>
            </w:tabs>
            <w:rPr>
              <w:rFonts w:asciiTheme="minorHAnsi" w:hAnsiTheme="minorHAnsi" w:cstheme="minorBidi"/>
              <w:noProof/>
              <w:sz w:val="22"/>
            </w:rPr>
          </w:pPr>
          <w:hyperlink w:history="1" w:anchor="_Toc95469398">
            <w:r w:rsidRPr="006B53B9" w:rsidR="00B95CAC">
              <w:rPr>
                <w:rStyle w:val="Hyperlink"/>
                <w:noProof/>
              </w:rPr>
              <w:t>ORDER</w:t>
            </w:r>
            <w:r w:rsidR="00B95CAC">
              <w:rPr>
                <w:noProof/>
                <w:webHidden/>
              </w:rPr>
              <w:tab/>
            </w:r>
            <w:r w:rsidR="00B95CAC">
              <w:rPr>
                <w:noProof/>
                <w:webHidden/>
              </w:rPr>
              <w:fldChar w:fldCharType="begin"/>
            </w:r>
            <w:r w:rsidR="00B95CAC">
              <w:rPr>
                <w:noProof/>
                <w:webHidden/>
              </w:rPr>
              <w:instrText xml:space="preserve"> PAGEREF _Toc95469398 \h </w:instrText>
            </w:r>
            <w:r w:rsidR="00B95CAC">
              <w:rPr>
                <w:noProof/>
                <w:webHidden/>
              </w:rPr>
            </w:r>
            <w:r w:rsidR="00B95CAC">
              <w:rPr>
                <w:noProof/>
                <w:webHidden/>
              </w:rPr>
              <w:fldChar w:fldCharType="separate"/>
            </w:r>
            <w:r w:rsidR="00B95CAC">
              <w:rPr>
                <w:noProof/>
                <w:webHidden/>
              </w:rPr>
              <w:t>53</w:t>
            </w:r>
            <w:r w:rsidR="00B95CAC">
              <w:rPr>
                <w:noProof/>
                <w:webHidden/>
              </w:rPr>
              <w:fldChar w:fldCharType="end"/>
            </w:r>
          </w:hyperlink>
        </w:p>
        <w:p w:rsidR="00D82A43" w:rsidP="00157413" w:rsidRDefault="00157413" w14:paraId="723A80D9" w14:textId="2EAB137F">
          <w:pPr>
            <w:pStyle w:val="TOC1"/>
            <w:tabs>
              <w:tab w:val="right" w:leader="dot" w:pos="9350"/>
            </w:tabs>
          </w:pPr>
          <w:r>
            <w:rPr>
              <w:rFonts w:asciiTheme="minorHAnsi" w:hAnsiTheme="minorHAnsi"/>
              <w:color w:val="2B579A"/>
              <w:sz w:val="22"/>
              <w:shd w:val="clear" w:color="auto" w:fill="E6E6E6"/>
            </w:rPr>
            <w:fldChar w:fldCharType="end"/>
          </w:r>
        </w:p>
      </w:sdtContent>
    </w:sdt>
    <w:p w:rsidRPr="0098655A" w:rsidR="0098655A" w:rsidP="00D50119" w:rsidRDefault="0098655A" w14:paraId="496DFAC5" w14:textId="7D93B66A">
      <w:pPr>
        <w:spacing w:line="240" w:lineRule="auto"/>
        <w:ind w:firstLine="0"/>
        <w:rPr>
          <w:rFonts w:cs="Arial"/>
          <w:szCs w:val="26"/>
        </w:rPr>
      </w:pPr>
      <w:r w:rsidRPr="0098655A">
        <w:rPr>
          <w:rFonts w:cs="Arial"/>
          <w:b/>
          <w:szCs w:val="26"/>
        </w:rPr>
        <w:t>Appendix A</w:t>
      </w:r>
      <w:r w:rsidRPr="0098655A">
        <w:rPr>
          <w:rFonts w:cs="Arial"/>
          <w:szCs w:val="26"/>
        </w:rPr>
        <w:t xml:space="preserve"> –</w:t>
      </w:r>
      <w:r w:rsidR="00E23CBB">
        <w:rPr>
          <w:rFonts w:cs="Arial"/>
          <w:szCs w:val="26"/>
        </w:rPr>
        <w:t xml:space="preserve"> </w:t>
      </w:r>
      <w:r w:rsidRPr="00A74254" w:rsidR="00A74254">
        <w:rPr>
          <w:rFonts w:cs="Arial"/>
          <w:szCs w:val="26"/>
        </w:rPr>
        <w:t>List of Acronyms and Abbreviation</w:t>
      </w:r>
      <w:r w:rsidR="00A74254">
        <w:rPr>
          <w:rFonts w:cs="Arial"/>
          <w:szCs w:val="26"/>
        </w:rPr>
        <w:t>s</w:t>
      </w:r>
    </w:p>
    <w:p w:rsidRPr="0098655A" w:rsidR="0098655A" w:rsidP="00D50119" w:rsidRDefault="0098655A" w14:paraId="1B3A2DD0" w14:textId="6A3E92D4">
      <w:pPr>
        <w:spacing w:line="240" w:lineRule="auto"/>
        <w:ind w:firstLine="0"/>
        <w:rPr>
          <w:rFonts w:cs="Arial"/>
          <w:szCs w:val="26"/>
        </w:rPr>
      </w:pPr>
    </w:p>
    <w:p w:rsidRPr="00D44DB6" w:rsidR="00D44DB6" w:rsidP="00D44DB6" w:rsidRDefault="00D44DB6" w14:paraId="4F5268E6" w14:textId="74789BBB">
      <w:pPr>
        <w:spacing w:line="240" w:lineRule="auto"/>
        <w:ind w:firstLine="0"/>
        <w:rPr>
          <w:rFonts w:cs="Arial"/>
          <w:i/>
          <w:szCs w:val="26"/>
        </w:rPr>
        <w:sectPr w:rsidRPr="00D44DB6" w:rsidR="00D44DB6" w:rsidSect="00D44DB6">
          <w:headerReference w:type="default" r:id="rId15"/>
          <w:footerReference w:type="default" r:id="rId16"/>
          <w:pgSz w:w="12240" w:h="15840"/>
          <w:pgMar w:top="1728" w:right="1440" w:bottom="1440" w:left="1440" w:header="720" w:footer="720" w:gutter="0"/>
          <w:pgNumType w:fmt="lowerRoman" w:start="1"/>
          <w:cols w:space="720"/>
          <w:docGrid w:linePitch="360"/>
        </w:sectPr>
      </w:pPr>
    </w:p>
    <w:p w:rsidRPr="008658CC" w:rsidR="008658CC" w:rsidP="00797913" w:rsidRDefault="00797913" w14:paraId="3EA10698" w14:textId="7C590934">
      <w:pPr>
        <w:spacing w:after="160" w:line="240" w:lineRule="auto"/>
        <w:ind w:firstLine="0"/>
        <w:contextualSpacing/>
        <w:jc w:val="center"/>
        <w:rPr>
          <w:rFonts w:ascii="Arial" w:hAnsi="Arial" w:cs="Arial"/>
          <w:b/>
          <w:szCs w:val="26"/>
        </w:rPr>
      </w:pPr>
      <w:r w:rsidRPr="00797913">
        <w:rPr>
          <w:rFonts w:ascii="Arial" w:hAnsi="Arial" w:cs="Arial"/>
          <w:b/>
          <w:szCs w:val="26"/>
        </w:rPr>
        <w:t xml:space="preserve">DECISION ADOPTING PACIFIC GAS AND ELECTRIC COMPANY’S </w:t>
      </w:r>
      <w:r>
        <w:rPr>
          <w:rFonts w:ascii="Arial" w:hAnsi="Arial" w:cs="Arial"/>
          <w:b/>
          <w:szCs w:val="26"/>
        </w:rPr>
        <w:br/>
      </w:r>
      <w:r w:rsidRPr="00797913">
        <w:rPr>
          <w:rFonts w:ascii="Arial" w:hAnsi="Arial" w:cs="Arial"/>
          <w:b/>
          <w:szCs w:val="26"/>
        </w:rPr>
        <w:t xml:space="preserve">2022 ELECTRIC REVENUE REQUIREMENTS ASSOCIATED WITH </w:t>
      </w:r>
      <w:r>
        <w:rPr>
          <w:rFonts w:ascii="Arial" w:hAnsi="Arial" w:cs="Arial"/>
          <w:b/>
          <w:szCs w:val="26"/>
        </w:rPr>
        <w:br/>
      </w:r>
      <w:r w:rsidRPr="00797913">
        <w:rPr>
          <w:rFonts w:ascii="Arial" w:hAnsi="Arial" w:cs="Arial"/>
          <w:b/>
          <w:szCs w:val="26"/>
        </w:rPr>
        <w:t xml:space="preserve">ENERGY RESOURCE RECOVERY ACCOUNT FORECAST, </w:t>
      </w:r>
      <w:r>
        <w:rPr>
          <w:rFonts w:ascii="Arial" w:hAnsi="Arial" w:cs="Arial"/>
          <w:b/>
          <w:szCs w:val="26"/>
        </w:rPr>
        <w:br/>
      </w:r>
      <w:r w:rsidRPr="00797913">
        <w:rPr>
          <w:rFonts w:ascii="Arial" w:hAnsi="Arial" w:cs="Arial"/>
          <w:b/>
          <w:szCs w:val="26"/>
        </w:rPr>
        <w:t xml:space="preserve">GENERATION NON-BYPASSABLE CHARGES FORECAST, </w:t>
      </w:r>
      <w:r>
        <w:rPr>
          <w:rFonts w:ascii="Arial" w:hAnsi="Arial" w:cs="Arial"/>
          <w:b/>
          <w:szCs w:val="26"/>
        </w:rPr>
        <w:br/>
      </w:r>
      <w:r w:rsidRPr="00797913">
        <w:rPr>
          <w:rFonts w:ascii="Arial" w:hAnsi="Arial" w:cs="Arial"/>
          <w:b/>
          <w:szCs w:val="26"/>
        </w:rPr>
        <w:t xml:space="preserve">GREENHOUSE GAS REVENUE FORECAST, </w:t>
      </w:r>
      <w:r>
        <w:rPr>
          <w:rFonts w:ascii="Arial" w:hAnsi="Arial" w:cs="Arial"/>
          <w:b/>
          <w:szCs w:val="26"/>
        </w:rPr>
        <w:br/>
      </w:r>
      <w:r w:rsidRPr="00797913">
        <w:rPr>
          <w:rFonts w:ascii="Arial" w:hAnsi="Arial" w:cs="Arial"/>
          <w:b/>
          <w:szCs w:val="26"/>
        </w:rPr>
        <w:t>AND RELATED PROPOSALS</w:t>
      </w:r>
    </w:p>
    <w:p w:rsidR="005A148C" w:rsidP="0098315B" w:rsidRDefault="008658CC" w14:paraId="380786C7" w14:textId="1405F84E">
      <w:pPr>
        <w:pStyle w:val="Heading1"/>
        <w:numPr>
          <w:ilvl w:val="0"/>
          <w:numId w:val="0"/>
        </w:numPr>
        <w:ind w:left="720" w:hanging="720"/>
      </w:pPr>
      <w:bookmarkStart w:name="_Toc95469359" w:id="4"/>
      <w:r>
        <w:t>Summary</w:t>
      </w:r>
      <w:bookmarkEnd w:id="4"/>
    </w:p>
    <w:p w:rsidRPr="00797913" w:rsidR="00797913" w:rsidP="00797913" w:rsidRDefault="00797913" w14:paraId="16E00D96" w14:textId="7101E925">
      <w:r w:rsidRPr="00797913">
        <w:t>This decision adopts and approves the following requests by Pacific Gas and Electric Company</w:t>
      </w:r>
      <w:r w:rsidR="00BA181A">
        <w:t xml:space="preserve"> (PG&amp;E)</w:t>
      </w:r>
      <w:r w:rsidRPr="00797913">
        <w:t xml:space="preserve">, as modified herein: </w:t>
      </w:r>
      <w:r w:rsidR="00275DE2">
        <w:t xml:space="preserve"> </w:t>
      </w:r>
      <w:r w:rsidRPr="00797913">
        <w:rPr>
          <w:color w:val="000000"/>
          <w:szCs w:val="26"/>
        </w:rPr>
        <w:t xml:space="preserve">(1) 2022 forecast of electric sales; (2) 2022 forecasted energy procurement revenue requirements </w:t>
      </w:r>
      <w:r w:rsidRPr="00797913">
        <w:t xml:space="preserve">to be effective in rates on or after </w:t>
      </w:r>
      <w:r w:rsidR="00EF39FD">
        <w:t>March</w:t>
      </w:r>
      <w:r w:rsidRPr="00797913">
        <w:t> 1, 2022; (3)</w:t>
      </w:r>
      <w:r w:rsidRPr="00797913">
        <w:rPr>
          <w:color w:val="000000"/>
          <w:szCs w:val="26"/>
        </w:rPr>
        <w:t xml:space="preserve"> </w:t>
      </w:r>
      <w:r w:rsidRPr="00797913">
        <w:t xml:space="preserve">Greenhouse Gas (GHG) allowance revenue return </w:t>
      </w:r>
      <w:r w:rsidRPr="00797913">
        <w:rPr>
          <w:color w:val="000000"/>
          <w:szCs w:val="26"/>
        </w:rPr>
        <w:t xml:space="preserve">forecast and costs; </w:t>
      </w:r>
      <w:r w:rsidRPr="00797913">
        <w:t xml:space="preserve">(4) </w:t>
      </w:r>
      <w:r w:rsidRPr="00797913">
        <w:rPr>
          <w:rFonts w:cs="BookAntiqua"/>
          <w:szCs w:val="26"/>
        </w:rPr>
        <w:t>rate design proposals associated with PG&amp;E’s proposed electric-procurement related revenue requirements</w:t>
      </w:r>
      <w:r w:rsidRPr="00797913">
        <w:t>, including the Green Tariff Shared Renewable</w:t>
      </w:r>
      <w:r w:rsidR="00A820AF">
        <w:t>s</w:t>
      </w:r>
      <w:r w:rsidRPr="00797913">
        <w:t xml:space="preserve"> rate proposal; (5) methodology to transfer certain year-end 2021 </w:t>
      </w:r>
      <w:r w:rsidRPr="00797913">
        <w:rPr>
          <w:rFonts w:eastAsia="Times New Roman" w:cs="Times New Roman"/>
          <w:szCs w:val="26"/>
        </w:rPr>
        <w:t>Energy Resource Recovery Account (ERRA)</w:t>
      </w:r>
      <w:r w:rsidRPr="00797913">
        <w:t xml:space="preserve"> balances to the latest vintage of the Portfolio Allocation Balancing Account (PABA); and (6)</w:t>
      </w:r>
      <w:r w:rsidR="000975F2">
        <w:t> </w:t>
      </w:r>
      <w:r w:rsidRPr="00797913">
        <w:t>transfer public-policy related procurement costs from the non-vintage PABA subaccount to the Public Policy Charge Balancing Account for recovery through the Public Purpose Program Charge on a going-forward basis</w:t>
      </w:r>
      <w:r w:rsidRPr="00797913">
        <w:rPr>
          <w:color w:val="000000"/>
          <w:szCs w:val="26"/>
        </w:rPr>
        <w:t>.</w:t>
      </w:r>
    </w:p>
    <w:tbl>
      <w:tblPr>
        <w:tblW w:w="8910" w:type="dxa"/>
        <w:jc w:val="center"/>
        <w:tblLayout w:type="fixed"/>
        <w:tblCellMar>
          <w:left w:w="0" w:type="dxa"/>
          <w:right w:w="0" w:type="dxa"/>
        </w:tblCellMar>
        <w:tblLook w:val="04A0" w:firstRow="1" w:lastRow="0" w:firstColumn="1" w:lastColumn="0" w:noHBand="0" w:noVBand="1"/>
      </w:tblPr>
      <w:tblGrid>
        <w:gridCol w:w="7280"/>
        <w:gridCol w:w="1630"/>
      </w:tblGrid>
      <w:tr w:rsidRPr="00797913" w:rsidR="00797913" w:rsidTr="002F00E6" w14:paraId="04C6AFA4" w14:textId="77777777">
        <w:trPr>
          <w:jc w:val="center"/>
        </w:trPr>
        <w:tc>
          <w:tcPr>
            <w:tcW w:w="72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2C75E432" w14:textId="77777777">
            <w:pPr>
              <w:keepNext/>
              <w:keepLines/>
              <w:spacing w:line="240" w:lineRule="auto"/>
              <w:ind w:firstLine="0"/>
              <w:rPr>
                <w:rFonts w:eastAsia="Times New Roman" w:cs="Times New Roman"/>
                <w:b/>
                <w:bCs/>
                <w:szCs w:val="26"/>
              </w:rPr>
            </w:pPr>
            <w:r w:rsidRPr="00797913">
              <w:rPr>
                <w:rFonts w:eastAsia="Times New Roman" w:cs="Times New Roman"/>
                <w:b/>
                <w:bCs/>
                <w:szCs w:val="26"/>
              </w:rPr>
              <w:t>2022 Revenue Requirement</w:t>
            </w:r>
          </w:p>
        </w:tc>
        <w:tc>
          <w:tcPr>
            <w:tcW w:w="163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41C02E8D" w14:textId="77777777">
            <w:pPr>
              <w:keepNext/>
              <w:keepLines/>
              <w:spacing w:line="240" w:lineRule="auto"/>
              <w:ind w:firstLine="0"/>
              <w:rPr>
                <w:rFonts w:eastAsia="Times New Roman" w:cs="Times New Roman"/>
                <w:b/>
                <w:bCs/>
                <w:szCs w:val="26"/>
              </w:rPr>
            </w:pPr>
            <w:r w:rsidRPr="00797913">
              <w:rPr>
                <w:rFonts w:eastAsia="Times New Roman" w:cs="Times New Roman"/>
                <w:b/>
                <w:bCs/>
                <w:szCs w:val="26"/>
              </w:rPr>
              <w:t>Thousands</w:t>
            </w:r>
          </w:p>
        </w:tc>
      </w:tr>
      <w:tr w:rsidRPr="00797913" w:rsidR="00797913" w:rsidTr="002F00E6" w14:paraId="19E93D10" w14:textId="77777777">
        <w:trPr>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797913" w:rsidP="00797913" w:rsidRDefault="00797913" w14:paraId="554CE6F1" w14:textId="66BDF557">
            <w:pPr>
              <w:keepNext/>
              <w:keepLines/>
              <w:spacing w:line="240" w:lineRule="auto"/>
              <w:ind w:firstLine="0"/>
              <w:rPr>
                <w:rFonts w:eastAsia="Times New Roman" w:cs="Times New Roman"/>
                <w:szCs w:val="26"/>
              </w:rPr>
            </w:pPr>
            <w:r w:rsidRPr="00797913">
              <w:rPr>
                <w:rFonts w:eastAsia="Times New Roman" w:cs="Times New Roman"/>
                <w:szCs w:val="26"/>
              </w:rPr>
              <w:t>Cost Allocation Mechanism/New System Generation Charge</w:t>
            </w:r>
            <w:r w:rsidR="00FE4141">
              <w:rPr>
                <w:rFonts w:eastAsia="Times New Roman" w:cs="Times New Roman"/>
                <w:szCs w:val="26"/>
              </w:rPr>
              <w:t xml:space="preserve"> (CAM/NSGC)</w:t>
            </w:r>
          </w:p>
        </w:tc>
        <w:tc>
          <w:tcPr>
            <w:tcW w:w="163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797913" w:rsidP="00797913" w:rsidRDefault="00797913" w14:paraId="02448685" w14:textId="7F9C5DC6">
            <w:pPr>
              <w:keepNext/>
              <w:keepLines/>
              <w:spacing w:line="240" w:lineRule="auto"/>
              <w:ind w:firstLine="0"/>
              <w:jc w:val="right"/>
              <w:rPr>
                <w:rFonts w:eastAsia="Times New Roman" w:cs="Times New Roman"/>
                <w:szCs w:val="26"/>
              </w:rPr>
            </w:pPr>
            <w:r w:rsidRPr="00797913">
              <w:rPr>
                <w:rFonts w:eastAsia="Times New Roman" w:cs="Times New Roman"/>
                <w:szCs w:val="26"/>
              </w:rPr>
              <w:t>$17</w:t>
            </w:r>
            <w:r w:rsidR="002F524F">
              <w:rPr>
                <w:rFonts w:eastAsia="Times New Roman" w:cs="Times New Roman"/>
                <w:szCs w:val="26"/>
              </w:rPr>
              <w:t>0,533</w:t>
            </w:r>
          </w:p>
        </w:tc>
      </w:tr>
      <w:tr w:rsidRPr="00797913" w:rsidR="00797913" w:rsidTr="002F00E6" w14:paraId="314F882C" w14:textId="77777777">
        <w:trPr>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797913" w:rsidP="00797913" w:rsidRDefault="00797913" w14:paraId="23D850C1" w14:textId="77777777">
            <w:pPr>
              <w:keepNext/>
              <w:keepLines/>
              <w:spacing w:line="240" w:lineRule="auto"/>
              <w:ind w:firstLine="0"/>
              <w:rPr>
                <w:rFonts w:eastAsia="Times New Roman" w:cs="Times New Roman"/>
                <w:szCs w:val="26"/>
              </w:rPr>
            </w:pPr>
            <w:r w:rsidRPr="00797913">
              <w:rPr>
                <w:rFonts w:eastAsia="Times New Roman" w:cs="Times New Roman"/>
                <w:szCs w:val="26"/>
              </w:rPr>
              <w:t>Power Charge Indifference Adjustment (PCIA)</w:t>
            </w:r>
          </w:p>
        </w:tc>
        <w:tc>
          <w:tcPr>
            <w:tcW w:w="163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797913" w:rsidP="00797913" w:rsidRDefault="00797913" w14:paraId="3C9EC099" w14:textId="1E05F59D">
            <w:pPr>
              <w:keepNext/>
              <w:keepLines/>
              <w:spacing w:line="240" w:lineRule="auto"/>
              <w:ind w:firstLine="0"/>
              <w:jc w:val="right"/>
              <w:rPr>
                <w:rFonts w:eastAsia="Times New Roman" w:cs="Times New Roman"/>
                <w:szCs w:val="26"/>
              </w:rPr>
            </w:pPr>
            <w:r w:rsidRPr="00797913">
              <w:rPr>
                <w:rFonts w:eastAsia="Times New Roman" w:cs="Times New Roman"/>
                <w:szCs w:val="26"/>
              </w:rPr>
              <w:t>$1,</w:t>
            </w:r>
            <w:r w:rsidR="002F524F">
              <w:rPr>
                <w:rFonts w:eastAsia="Times New Roman" w:cs="Times New Roman"/>
                <w:szCs w:val="26"/>
              </w:rPr>
              <w:t>480,423</w:t>
            </w:r>
          </w:p>
        </w:tc>
      </w:tr>
      <w:tr w:rsidRPr="00797913" w:rsidR="00797913" w:rsidTr="002F00E6" w14:paraId="3D8662BD" w14:textId="77777777">
        <w:trPr>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797913" w:rsidP="00797913" w:rsidRDefault="00797913" w14:paraId="5327CA9D" w14:textId="02502291">
            <w:pPr>
              <w:keepNext/>
              <w:keepLines/>
              <w:spacing w:line="240" w:lineRule="auto"/>
              <w:ind w:firstLine="0"/>
              <w:rPr>
                <w:rFonts w:eastAsia="Times New Roman" w:cs="Times New Roman"/>
                <w:szCs w:val="26"/>
              </w:rPr>
            </w:pPr>
            <w:r w:rsidRPr="00797913">
              <w:rPr>
                <w:rFonts w:eastAsia="Times New Roman" w:cs="Times New Roman"/>
                <w:szCs w:val="26"/>
              </w:rPr>
              <w:t>Ongoing Competition Transition Charge</w:t>
            </w:r>
            <w:r w:rsidR="00FE4141">
              <w:rPr>
                <w:rFonts w:eastAsia="Times New Roman" w:cs="Times New Roman"/>
                <w:szCs w:val="26"/>
              </w:rPr>
              <w:t xml:space="preserve"> (CTC)</w:t>
            </w:r>
          </w:p>
        </w:tc>
        <w:tc>
          <w:tcPr>
            <w:tcW w:w="163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797913" w:rsidP="00797913" w:rsidRDefault="00797913" w14:paraId="3894BF94" w14:textId="5748E997">
            <w:pPr>
              <w:keepNext/>
              <w:keepLines/>
              <w:spacing w:line="240" w:lineRule="auto"/>
              <w:ind w:firstLine="0"/>
              <w:jc w:val="right"/>
              <w:rPr>
                <w:rFonts w:eastAsia="Times New Roman" w:cs="Times New Roman"/>
                <w:szCs w:val="26"/>
              </w:rPr>
            </w:pPr>
            <w:r w:rsidRPr="00797913">
              <w:rPr>
                <w:rFonts w:eastAsia="Times New Roman" w:cs="Times New Roman"/>
                <w:szCs w:val="26"/>
              </w:rPr>
              <w:t>$1</w:t>
            </w:r>
            <w:r w:rsidR="002F524F">
              <w:rPr>
                <w:rFonts w:eastAsia="Times New Roman" w:cs="Times New Roman"/>
                <w:szCs w:val="26"/>
              </w:rPr>
              <w:t>7,104</w:t>
            </w:r>
          </w:p>
        </w:tc>
      </w:tr>
      <w:tr w:rsidRPr="00797913" w:rsidR="00797913" w:rsidTr="002F00E6" w14:paraId="548A8356" w14:textId="77777777">
        <w:trPr>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797913" w:rsidP="00797913" w:rsidRDefault="00797913" w14:paraId="6786BB8F" w14:textId="77777777">
            <w:pPr>
              <w:keepNext/>
              <w:keepLines/>
              <w:spacing w:line="240" w:lineRule="auto"/>
              <w:ind w:firstLine="0"/>
              <w:rPr>
                <w:rFonts w:eastAsia="Times New Roman" w:cs="Times New Roman"/>
                <w:szCs w:val="26"/>
              </w:rPr>
            </w:pPr>
            <w:r w:rsidRPr="00797913">
              <w:rPr>
                <w:rFonts w:eastAsia="Times New Roman" w:cs="Times New Roman"/>
                <w:szCs w:val="26"/>
              </w:rPr>
              <w:t>Energy Resource Recovery Account (ERRA)</w:t>
            </w:r>
          </w:p>
        </w:tc>
        <w:tc>
          <w:tcPr>
            <w:tcW w:w="163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797913" w:rsidP="00797913" w:rsidRDefault="00797913" w14:paraId="36D6410E" w14:textId="0FA2E6D9">
            <w:pPr>
              <w:keepNext/>
              <w:keepLines/>
              <w:spacing w:line="240" w:lineRule="auto"/>
              <w:ind w:firstLine="0"/>
              <w:jc w:val="right"/>
              <w:rPr>
                <w:rFonts w:eastAsia="Times New Roman" w:cs="Times New Roman"/>
                <w:szCs w:val="26"/>
              </w:rPr>
            </w:pPr>
            <w:r w:rsidRPr="00797913">
              <w:rPr>
                <w:rFonts w:eastAsia="Times New Roman" w:cs="Times New Roman"/>
                <w:szCs w:val="26"/>
              </w:rPr>
              <w:t>$3,</w:t>
            </w:r>
            <w:r w:rsidR="00192AE7">
              <w:rPr>
                <w:rFonts w:eastAsia="Times New Roman" w:cs="Times New Roman"/>
                <w:szCs w:val="26"/>
              </w:rPr>
              <w:t>3</w:t>
            </w:r>
            <w:r w:rsidR="002F524F">
              <w:rPr>
                <w:rFonts w:eastAsia="Times New Roman" w:cs="Times New Roman"/>
                <w:szCs w:val="26"/>
              </w:rPr>
              <w:t>56,016</w:t>
            </w:r>
          </w:p>
        </w:tc>
      </w:tr>
      <w:tr w:rsidRPr="00797913" w:rsidR="00797913" w:rsidTr="002F00E6" w14:paraId="4F95912A" w14:textId="77777777">
        <w:trPr>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60DD5E7F" w14:textId="77777777">
            <w:pPr>
              <w:keepNext/>
              <w:keepLines/>
              <w:spacing w:line="240" w:lineRule="auto"/>
              <w:ind w:firstLine="0"/>
              <w:rPr>
                <w:rFonts w:eastAsia="Times New Roman" w:cs="Times New Roman"/>
                <w:szCs w:val="26"/>
              </w:rPr>
            </w:pPr>
            <w:r w:rsidRPr="00797913">
              <w:rPr>
                <w:rFonts w:eastAsia="Times New Roman" w:cs="Times New Roman"/>
                <w:szCs w:val="26"/>
              </w:rPr>
              <w:t>ERRA PCIA Financing Subaccount</w:t>
            </w:r>
          </w:p>
        </w:tc>
        <w:tc>
          <w:tcPr>
            <w:tcW w:w="163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277F0954" w14:textId="388EF5FF">
            <w:pPr>
              <w:keepNext/>
              <w:keepLines/>
              <w:spacing w:line="240" w:lineRule="auto"/>
              <w:ind w:firstLine="0"/>
              <w:jc w:val="right"/>
              <w:rPr>
                <w:rFonts w:eastAsia="Times New Roman" w:cs="Times New Roman"/>
                <w:szCs w:val="26"/>
              </w:rPr>
            </w:pPr>
            <w:r w:rsidRPr="00797913">
              <w:rPr>
                <w:rFonts w:eastAsia="Times New Roman" w:cs="Times New Roman"/>
                <w:szCs w:val="26"/>
              </w:rPr>
              <w:t>($9</w:t>
            </w:r>
            <w:r w:rsidR="002F524F">
              <w:rPr>
                <w:rFonts w:eastAsia="Times New Roman" w:cs="Times New Roman"/>
                <w:szCs w:val="26"/>
              </w:rPr>
              <w:t>5,091</w:t>
            </w:r>
            <w:r w:rsidRPr="00797913">
              <w:rPr>
                <w:rFonts w:eastAsia="Times New Roman" w:cs="Times New Roman"/>
                <w:szCs w:val="26"/>
              </w:rPr>
              <w:t>)</w:t>
            </w:r>
          </w:p>
        </w:tc>
      </w:tr>
      <w:tr w:rsidRPr="00797913" w:rsidR="00797913" w:rsidTr="002F00E6" w14:paraId="5ECE8C71" w14:textId="77777777">
        <w:trPr>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797913" w:rsidP="00797913" w:rsidRDefault="00797913" w14:paraId="37EED432" w14:textId="77777777">
            <w:pPr>
              <w:keepNext/>
              <w:keepLines/>
              <w:spacing w:line="240" w:lineRule="auto"/>
              <w:ind w:firstLine="0"/>
              <w:rPr>
                <w:rFonts w:eastAsia="Times New Roman" w:cs="Times New Roman"/>
                <w:szCs w:val="26"/>
              </w:rPr>
            </w:pPr>
            <w:r w:rsidRPr="00797913">
              <w:rPr>
                <w:rFonts w:eastAsia="Times New Roman" w:cs="Times New Roman"/>
                <w:szCs w:val="26"/>
              </w:rPr>
              <w:t xml:space="preserve">PCIA </w:t>
            </w:r>
            <w:proofErr w:type="spellStart"/>
            <w:r w:rsidRPr="00797913">
              <w:rPr>
                <w:rFonts w:eastAsia="Times New Roman" w:cs="Times New Roman"/>
                <w:szCs w:val="26"/>
              </w:rPr>
              <w:t>Undercollection</w:t>
            </w:r>
            <w:proofErr w:type="spellEnd"/>
            <w:r w:rsidRPr="00797913">
              <w:rPr>
                <w:rFonts w:eastAsia="Times New Roman" w:cs="Times New Roman"/>
                <w:szCs w:val="26"/>
              </w:rPr>
              <w:t xml:space="preserve"> Balancing Account</w:t>
            </w:r>
          </w:p>
        </w:tc>
        <w:tc>
          <w:tcPr>
            <w:tcW w:w="163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797913" w:rsidP="00797913" w:rsidRDefault="00797913" w14:paraId="604F5722" w14:textId="7EE66C03">
            <w:pPr>
              <w:keepNext/>
              <w:keepLines/>
              <w:spacing w:line="240" w:lineRule="auto"/>
              <w:ind w:firstLine="0"/>
              <w:jc w:val="right"/>
              <w:rPr>
                <w:rFonts w:eastAsia="Times New Roman" w:cs="Times New Roman"/>
                <w:szCs w:val="26"/>
              </w:rPr>
            </w:pPr>
            <w:r w:rsidRPr="00797913">
              <w:rPr>
                <w:rFonts w:eastAsia="Times New Roman" w:cs="Times New Roman"/>
                <w:szCs w:val="26"/>
              </w:rPr>
              <w:t>$91,</w:t>
            </w:r>
            <w:r w:rsidR="002F524F">
              <w:rPr>
                <w:rFonts w:eastAsia="Times New Roman" w:cs="Times New Roman"/>
                <w:szCs w:val="26"/>
              </w:rPr>
              <w:t>562</w:t>
            </w:r>
          </w:p>
        </w:tc>
      </w:tr>
      <w:tr w:rsidRPr="00797913" w:rsidR="00797913" w:rsidTr="002F00E6" w14:paraId="18EC2388" w14:textId="77777777">
        <w:trPr>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797913" w:rsidP="00797913" w:rsidRDefault="00797913" w14:paraId="34EEA3C4" w14:textId="77777777">
            <w:pPr>
              <w:keepNext/>
              <w:keepLines/>
              <w:spacing w:line="240" w:lineRule="auto"/>
              <w:ind w:firstLine="0"/>
              <w:rPr>
                <w:rFonts w:eastAsia="Times New Roman" w:cs="Times New Roman"/>
                <w:szCs w:val="26"/>
              </w:rPr>
            </w:pPr>
            <w:r w:rsidRPr="00797913">
              <w:rPr>
                <w:rFonts w:eastAsia="Times New Roman" w:cs="Times New Roman"/>
                <w:szCs w:val="26"/>
              </w:rPr>
              <w:t>Non-Vintaged PCIA</w:t>
            </w:r>
          </w:p>
        </w:tc>
        <w:tc>
          <w:tcPr>
            <w:tcW w:w="163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797913" w:rsidP="00797913" w:rsidRDefault="00797913" w14:paraId="420D7271" w14:textId="5D28FD07">
            <w:pPr>
              <w:keepNext/>
              <w:keepLines/>
              <w:spacing w:line="240" w:lineRule="auto"/>
              <w:ind w:firstLine="0"/>
              <w:jc w:val="right"/>
              <w:rPr>
                <w:rFonts w:eastAsia="Times New Roman" w:cs="Times New Roman"/>
                <w:szCs w:val="26"/>
              </w:rPr>
            </w:pPr>
            <w:r w:rsidRPr="00797913">
              <w:rPr>
                <w:rFonts w:eastAsia="Times New Roman" w:cs="Times New Roman"/>
                <w:szCs w:val="26"/>
              </w:rPr>
              <w:t>($</w:t>
            </w:r>
            <w:r w:rsidR="002F524F">
              <w:rPr>
                <w:rFonts w:eastAsia="Times New Roman" w:cs="Times New Roman"/>
                <w:szCs w:val="26"/>
              </w:rPr>
              <w:t>16</w:t>
            </w:r>
            <w:r w:rsidRPr="00797913">
              <w:rPr>
                <w:rFonts w:eastAsia="Times New Roman" w:cs="Times New Roman"/>
                <w:szCs w:val="26"/>
              </w:rPr>
              <w:t>)</w:t>
            </w:r>
          </w:p>
        </w:tc>
      </w:tr>
      <w:tr w:rsidRPr="00797913" w:rsidR="00797913" w:rsidTr="002F00E6" w14:paraId="585C207C" w14:textId="77777777">
        <w:trPr>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361BE103" w14:textId="1A86A06C">
            <w:pPr>
              <w:keepNext/>
              <w:keepLines/>
              <w:spacing w:line="240" w:lineRule="auto"/>
              <w:ind w:firstLine="0"/>
              <w:rPr>
                <w:rFonts w:eastAsia="Times New Roman" w:cs="Times New Roman"/>
                <w:szCs w:val="26"/>
              </w:rPr>
            </w:pPr>
            <w:r w:rsidRPr="00797913">
              <w:rPr>
                <w:rFonts w:eastAsia="Times New Roman" w:cs="Times New Roman"/>
                <w:szCs w:val="26"/>
              </w:rPr>
              <w:t>Tree Mortality Non</w:t>
            </w:r>
            <w:r w:rsidRPr="00797913">
              <w:rPr>
                <w:rFonts w:eastAsia="Times New Roman" w:cs="Times New Roman"/>
                <w:szCs w:val="26"/>
              </w:rPr>
              <w:noBreakHyphen/>
            </w:r>
            <w:proofErr w:type="spellStart"/>
            <w:r w:rsidRPr="00797913">
              <w:rPr>
                <w:rFonts w:eastAsia="Times New Roman" w:cs="Times New Roman"/>
                <w:szCs w:val="26"/>
              </w:rPr>
              <w:t>Bypassable</w:t>
            </w:r>
            <w:proofErr w:type="spellEnd"/>
            <w:r w:rsidRPr="00797913">
              <w:rPr>
                <w:rFonts w:eastAsia="Times New Roman" w:cs="Times New Roman"/>
                <w:szCs w:val="26"/>
              </w:rPr>
              <w:t xml:space="preserve"> Charge</w:t>
            </w:r>
            <w:r w:rsidR="00FE4141">
              <w:rPr>
                <w:rFonts w:eastAsia="Times New Roman" w:cs="Times New Roman"/>
                <w:szCs w:val="26"/>
              </w:rPr>
              <w:t xml:space="preserve"> (TM</w:t>
            </w:r>
            <w:r w:rsidR="00CD364E">
              <w:rPr>
                <w:rFonts w:eastAsia="Times New Roman" w:cs="Times New Roman"/>
                <w:szCs w:val="26"/>
              </w:rPr>
              <w:t>N</w:t>
            </w:r>
            <w:r w:rsidR="00FE4141">
              <w:rPr>
                <w:rFonts w:eastAsia="Times New Roman" w:cs="Times New Roman"/>
                <w:szCs w:val="26"/>
              </w:rPr>
              <w:t>BC)</w:t>
            </w:r>
          </w:p>
        </w:tc>
        <w:tc>
          <w:tcPr>
            <w:tcW w:w="163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66940A4D" w14:textId="2ED8C89F">
            <w:pPr>
              <w:keepNext/>
              <w:keepLines/>
              <w:spacing w:line="240" w:lineRule="auto"/>
              <w:ind w:firstLine="0"/>
              <w:jc w:val="right"/>
              <w:rPr>
                <w:rFonts w:eastAsia="Times New Roman" w:cs="Times New Roman"/>
                <w:szCs w:val="26"/>
              </w:rPr>
            </w:pPr>
            <w:r w:rsidRPr="00797913">
              <w:t xml:space="preserve"> $</w:t>
            </w:r>
            <w:r w:rsidRPr="00797913">
              <w:rPr>
                <w:rFonts w:eastAsia="Times New Roman" w:cs="Times New Roman"/>
                <w:szCs w:val="26"/>
              </w:rPr>
              <w:t>1</w:t>
            </w:r>
            <w:r w:rsidR="000000C5">
              <w:rPr>
                <w:rFonts w:eastAsia="Times New Roman" w:cs="Times New Roman"/>
                <w:szCs w:val="26"/>
              </w:rPr>
              <w:t>2,597</w:t>
            </w:r>
          </w:p>
        </w:tc>
      </w:tr>
      <w:tr w:rsidRPr="00797913" w:rsidR="00797913" w:rsidTr="002F00E6" w14:paraId="151360DA" w14:textId="77777777">
        <w:trPr>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797913" w:rsidP="00797913" w:rsidRDefault="00797913" w14:paraId="61572031" w14:textId="77777777">
            <w:pPr>
              <w:keepNext/>
              <w:keepLines/>
              <w:spacing w:line="240" w:lineRule="auto"/>
              <w:ind w:firstLine="0"/>
              <w:rPr>
                <w:rFonts w:eastAsia="Times New Roman" w:cs="Times New Roman"/>
                <w:szCs w:val="26"/>
              </w:rPr>
            </w:pPr>
            <w:r w:rsidRPr="00797913">
              <w:rPr>
                <w:rFonts w:eastAsia="Times New Roman" w:cs="Times New Roman"/>
                <w:szCs w:val="26"/>
              </w:rPr>
              <w:t>Bioenergy Market Adjusting Tariff</w:t>
            </w:r>
          </w:p>
        </w:tc>
        <w:tc>
          <w:tcPr>
            <w:tcW w:w="1630" w:type="dxa"/>
            <w:tcBorders>
              <w:top w:val="nil"/>
              <w:left w:val="single" w:color="auto" w:sz="8" w:space="0"/>
              <w:bottom w:val="double" w:color="auto" w:sz="4" w:space="0"/>
              <w:right w:val="single" w:color="auto" w:sz="8" w:space="0"/>
            </w:tcBorders>
            <w:tcMar>
              <w:top w:w="0" w:type="dxa"/>
              <w:left w:w="108" w:type="dxa"/>
              <w:bottom w:w="0" w:type="dxa"/>
              <w:right w:w="108" w:type="dxa"/>
            </w:tcMar>
          </w:tcPr>
          <w:p w:rsidRPr="00797913" w:rsidR="00797913" w:rsidP="00797913" w:rsidRDefault="00797913" w14:paraId="667AEE43" w14:textId="680546B3">
            <w:pPr>
              <w:keepNext/>
              <w:keepLines/>
              <w:spacing w:line="240" w:lineRule="auto"/>
              <w:ind w:firstLine="0"/>
              <w:jc w:val="right"/>
              <w:rPr>
                <w:rFonts w:eastAsia="Times New Roman" w:cs="Times New Roman"/>
                <w:szCs w:val="26"/>
              </w:rPr>
            </w:pPr>
            <w:r w:rsidRPr="00797913">
              <w:rPr>
                <w:rFonts w:eastAsia="Times New Roman" w:cs="Times New Roman"/>
                <w:szCs w:val="26"/>
              </w:rPr>
              <w:t>$2</w:t>
            </w:r>
            <w:r w:rsidR="000000C5">
              <w:rPr>
                <w:rFonts w:eastAsia="Times New Roman" w:cs="Times New Roman"/>
                <w:szCs w:val="26"/>
              </w:rPr>
              <w:t>7,098</w:t>
            </w:r>
          </w:p>
        </w:tc>
      </w:tr>
      <w:tr w:rsidRPr="00797913" w:rsidR="00797913" w:rsidTr="002F00E6" w14:paraId="7F73D08B" w14:textId="77777777">
        <w:trPr>
          <w:trHeight w:val="295"/>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23773CE0" w14:textId="77777777">
            <w:pPr>
              <w:keepNext/>
              <w:keepLines/>
              <w:spacing w:line="240" w:lineRule="auto"/>
              <w:ind w:firstLine="0"/>
              <w:rPr>
                <w:rFonts w:eastAsia="Times New Roman" w:cs="Times New Roman"/>
                <w:szCs w:val="26"/>
              </w:rPr>
            </w:pPr>
            <w:r w:rsidRPr="00797913">
              <w:rPr>
                <w:rFonts w:eastAsia="Times New Roman" w:cs="Times New Roman"/>
                <w:szCs w:val="26"/>
              </w:rPr>
              <w:t xml:space="preserve">Revenue Requirement for Rate Setting </w:t>
            </w:r>
          </w:p>
        </w:tc>
        <w:tc>
          <w:tcPr>
            <w:tcW w:w="1630" w:type="dxa"/>
            <w:tcBorders>
              <w:top w:val="double" w:color="auto" w:sz="4" w:space="0"/>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30672143" w14:textId="193CC6F5">
            <w:pPr>
              <w:keepNext/>
              <w:keepLines/>
              <w:spacing w:line="240" w:lineRule="auto"/>
              <w:ind w:firstLine="0"/>
              <w:jc w:val="right"/>
              <w:rPr>
                <w:rFonts w:eastAsia="Times New Roman" w:cs="Times New Roman"/>
                <w:szCs w:val="26"/>
              </w:rPr>
            </w:pPr>
            <w:r w:rsidRPr="00797913">
              <w:rPr>
                <w:rFonts w:eastAsia="Times New Roman" w:cs="Times New Roman"/>
                <w:szCs w:val="26"/>
              </w:rPr>
              <w:t>$</w:t>
            </w:r>
            <w:r w:rsidR="000000C5">
              <w:rPr>
                <w:rFonts w:eastAsia="Times New Roman" w:cs="Times New Roman"/>
                <w:szCs w:val="26"/>
              </w:rPr>
              <w:t>5,060,190</w:t>
            </w:r>
          </w:p>
        </w:tc>
      </w:tr>
      <w:tr w:rsidRPr="00797913" w:rsidR="00797913" w:rsidTr="002F00E6" w14:paraId="4019047C" w14:textId="77777777">
        <w:trPr>
          <w:trHeight w:val="295"/>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19145019" w14:textId="77777777">
            <w:pPr>
              <w:keepNext/>
              <w:keepLines/>
              <w:spacing w:line="240" w:lineRule="auto"/>
              <w:ind w:firstLine="0"/>
              <w:rPr>
                <w:rFonts w:eastAsia="Times New Roman" w:cs="Times New Roman"/>
                <w:b/>
                <w:bCs/>
                <w:szCs w:val="26"/>
              </w:rPr>
            </w:pPr>
            <w:r w:rsidRPr="00797913">
              <w:rPr>
                <w:rFonts w:eastAsia="Times New Roman" w:cs="Times New Roman"/>
                <w:b/>
                <w:bCs/>
                <w:szCs w:val="26"/>
              </w:rPr>
              <w:t>Adjustments from Other Proceedings</w:t>
            </w:r>
          </w:p>
        </w:tc>
        <w:tc>
          <w:tcPr>
            <w:tcW w:w="1630" w:type="dxa"/>
            <w:tcBorders>
              <w:top w:val="double" w:color="auto" w:sz="4" w:space="0"/>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3B517C44" w14:textId="77777777">
            <w:pPr>
              <w:keepNext/>
              <w:keepLines/>
              <w:spacing w:line="240" w:lineRule="auto"/>
              <w:ind w:firstLine="0"/>
              <w:jc w:val="right"/>
              <w:rPr>
                <w:rFonts w:eastAsia="Times New Roman" w:cs="Times New Roman"/>
                <w:szCs w:val="26"/>
              </w:rPr>
            </w:pPr>
          </w:p>
        </w:tc>
      </w:tr>
      <w:tr w:rsidRPr="00797913" w:rsidR="00797913" w:rsidTr="002F00E6" w14:paraId="2E00C373" w14:textId="77777777">
        <w:trPr>
          <w:trHeight w:val="295"/>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1ACDE357" w14:textId="407368CB">
            <w:pPr>
              <w:keepNext/>
              <w:keepLines/>
              <w:spacing w:line="240" w:lineRule="auto"/>
              <w:ind w:firstLine="0"/>
              <w:rPr>
                <w:rFonts w:eastAsia="Times New Roman" w:cs="Times New Roman"/>
                <w:szCs w:val="26"/>
              </w:rPr>
            </w:pPr>
            <w:r w:rsidRPr="00797913">
              <w:rPr>
                <w:rFonts w:eastAsia="Times New Roman" w:cs="Times New Roman"/>
                <w:szCs w:val="26"/>
              </w:rPr>
              <w:t>Utility Owned Generation Related Costs</w:t>
            </w:r>
            <w:r w:rsidR="00FE4141">
              <w:rPr>
                <w:rFonts w:eastAsia="Times New Roman" w:cs="Times New Roman"/>
                <w:szCs w:val="26"/>
              </w:rPr>
              <w:t xml:space="preserve"> (UOG)</w:t>
            </w:r>
          </w:p>
        </w:tc>
        <w:tc>
          <w:tcPr>
            <w:tcW w:w="1630" w:type="dxa"/>
            <w:tcBorders>
              <w:top w:val="double" w:color="auto" w:sz="4" w:space="0"/>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67972F5C" w14:textId="77777777">
            <w:pPr>
              <w:keepNext/>
              <w:keepLines/>
              <w:spacing w:line="240" w:lineRule="auto"/>
              <w:ind w:firstLine="0"/>
              <w:jc w:val="right"/>
              <w:rPr>
                <w:rFonts w:eastAsia="Times New Roman" w:cs="Times New Roman"/>
                <w:szCs w:val="26"/>
              </w:rPr>
            </w:pPr>
            <w:r w:rsidRPr="00797913">
              <w:rPr>
                <w:rFonts w:eastAsia="Times New Roman" w:cs="Times New Roman"/>
                <w:szCs w:val="26"/>
              </w:rPr>
              <w:t>($2,437,220)</w:t>
            </w:r>
          </w:p>
        </w:tc>
      </w:tr>
      <w:tr w:rsidRPr="00797913" w:rsidR="00797913" w:rsidTr="002F00E6" w14:paraId="6C4546AB" w14:textId="77777777">
        <w:trPr>
          <w:trHeight w:val="295"/>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6E56E33F" w14:textId="77777777">
            <w:pPr>
              <w:keepNext/>
              <w:keepLines/>
              <w:spacing w:line="240" w:lineRule="auto"/>
              <w:ind w:firstLine="0"/>
              <w:rPr>
                <w:rFonts w:eastAsia="Times New Roman" w:cs="Times New Roman"/>
                <w:szCs w:val="26"/>
              </w:rPr>
            </w:pPr>
            <w:r w:rsidRPr="00797913">
              <w:rPr>
                <w:rFonts w:eastAsia="Times New Roman" w:cs="Times New Roman"/>
                <w:szCs w:val="26"/>
              </w:rPr>
              <w:t xml:space="preserve">PCIA </w:t>
            </w:r>
            <w:proofErr w:type="spellStart"/>
            <w:r w:rsidRPr="00797913">
              <w:rPr>
                <w:rFonts w:eastAsia="Times New Roman" w:cs="Times New Roman"/>
                <w:szCs w:val="26"/>
              </w:rPr>
              <w:t>Undercollection</w:t>
            </w:r>
            <w:proofErr w:type="spellEnd"/>
            <w:r w:rsidRPr="00797913">
              <w:rPr>
                <w:rFonts w:eastAsia="Times New Roman" w:cs="Times New Roman"/>
                <w:szCs w:val="26"/>
              </w:rPr>
              <w:t xml:space="preserve"> Balancing Account (Adjustment)</w:t>
            </w:r>
          </w:p>
        </w:tc>
        <w:tc>
          <w:tcPr>
            <w:tcW w:w="1630" w:type="dxa"/>
            <w:tcBorders>
              <w:top w:val="double" w:color="auto" w:sz="4" w:space="0"/>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1658EB3D" w14:textId="4BA95EFF">
            <w:pPr>
              <w:keepNext/>
              <w:keepLines/>
              <w:spacing w:line="240" w:lineRule="auto"/>
              <w:ind w:firstLine="0"/>
              <w:jc w:val="right"/>
              <w:rPr>
                <w:rFonts w:eastAsia="Times New Roman" w:cs="Times New Roman"/>
                <w:szCs w:val="26"/>
              </w:rPr>
            </w:pPr>
            <w:r w:rsidRPr="00797913">
              <w:rPr>
                <w:rFonts w:eastAsia="Times New Roman" w:cs="Times New Roman"/>
                <w:szCs w:val="26"/>
              </w:rPr>
              <w:t>($9</w:t>
            </w:r>
            <w:r w:rsidR="000000C5">
              <w:rPr>
                <w:rFonts w:eastAsia="Times New Roman" w:cs="Times New Roman"/>
                <w:szCs w:val="26"/>
              </w:rPr>
              <w:t>1,526</w:t>
            </w:r>
            <w:r w:rsidRPr="00797913">
              <w:rPr>
                <w:rFonts w:eastAsia="Times New Roman" w:cs="Times New Roman"/>
                <w:szCs w:val="26"/>
              </w:rPr>
              <w:t>)</w:t>
            </w:r>
          </w:p>
        </w:tc>
      </w:tr>
      <w:tr w:rsidRPr="00797913" w:rsidR="00797913" w:rsidTr="002F00E6" w14:paraId="745AB02C" w14:textId="77777777">
        <w:trPr>
          <w:trHeight w:val="295"/>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38B50136" w14:textId="77777777">
            <w:pPr>
              <w:keepNext/>
              <w:keepLines/>
              <w:spacing w:line="240" w:lineRule="auto"/>
              <w:ind w:firstLine="0"/>
              <w:rPr>
                <w:rFonts w:eastAsia="Times New Roman" w:cs="Times New Roman"/>
                <w:szCs w:val="26"/>
              </w:rPr>
            </w:pPr>
            <w:r w:rsidRPr="00797913">
              <w:rPr>
                <w:rFonts w:eastAsia="Times New Roman" w:cs="Times New Roman"/>
                <w:szCs w:val="26"/>
              </w:rPr>
              <w:t>ERRA PCIA Financing Subaccount (Adjustment)</w:t>
            </w:r>
          </w:p>
        </w:tc>
        <w:tc>
          <w:tcPr>
            <w:tcW w:w="1630" w:type="dxa"/>
            <w:tcBorders>
              <w:top w:val="double" w:color="auto" w:sz="4" w:space="0"/>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12FC4E76" w14:textId="3BAE4D1B">
            <w:pPr>
              <w:keepNext/>
              <w:keepLines/>
              <w:spacing w:line="240" w:lineRule="auto"/>
              <w:ind w:firstLine="0"/>
              <w:jc w:val="right"/>
              <w:rPr>
                <w:rFonts w:eastAsia="Times New Roman" w:cs="Times New Roman"/>
                <w:szCs w:val="26"/>
              </w:rPr>
            </w:pPr>
            <w:r w:rsidRPr="00797913">
              <w:rPr>
                <w:rFonts w:eastAsia="Times New Roman" w:cs="Times New Roman"/>
                <w:szCs w:val="26"/>
              </w:rPr>
              <w:t>$ 9</w:t>
            </w:r>
            <w:r w:rsidR="000000C5">
              <w:rPr>
                <w:rFonts w:eastAsia="Times New Roman" w:cs="Times New Roman"/>
                <w:szCs w:val="26"/>
              </w:rPr>
              <w:t>5,091</w:t>
            </w:r>
          </w:p>
        </w:tc>
      </w:tr>
      <w:tr w:rsidRPr="00797913" w:rsidR="00797913" w:rsidTr="002F00E6" w14:paraId="25044F17" w14:textId="77777777">
        <w:trPr>
          <w:trHeight w:val="295"/>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562587BC" w14:textId="77777777">
            <w:pPr>
              <w:keepNext/>
              <w:keepLines/>
              <w:spacing w:line="240" w:lineRule="auto"/>
              <w:ind w:firstLine="0"/>
              <w:rPr>
                <w:rFonts w:eastAsia="Times New Roman" w:cs="Times New Roman"/>
                <w:szCs w:val="26"/>
              </w:rPr>
            </w:pPr>
            <w:r w:rsidRPr="00797913">
              <w:rPr>
                <w:rFonts w:eastAsia="Times New Roman" w:cs="Times New Roman"/>
                <w:szCs w:val="26"/>
              </w:rPr>
              <w:t>Electric Risk Transfer Balancing Account</w:t>
            </w:r>
          </w:p>
        </w:tc>
        <w:tc>
          <w:tcPr>
            <w:tcW w:w="1630" w:type="dxa"/>
            <w:tcBorders>
              <w:top w:val="double" w:color="auto" w:sz="4" w:space="0"/>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78D52BF5" w14:textId="4CD1AA74">
            <w:pPr>
              <w:keepNext/>
              <w:keepLines/>
              <w:spacing w:line="240" w:lineRule="auto"/>
              <w:ind w:firstLine="0"/>
              <w:jc w:val="right"/>
              <w:rPr>
                <w:rFonts w:eastAsia="Times New Roman" w:cs="Times New Roman"/>
                <w:szCs w:val="26"/>
              </w:rPr>
            </w:pPr>
            <w:r w:rsidRPr="00797913">
              <w:rPr>
                <w:rFonts w:eastAsia="Times New Roman" w:cs="Times New Roman"/>
                <w:szCs w:val="26"/>
              </w:rPr>
              <w:t>($</w:t>
            </w:r>
            <w:r w:rsidR="00CE30E3">
              <w:rPr>
                <w:rFonts w:eastAsia="Times New Roman" w:cs="Times New Roman"/>
                <w:szCs w:val="26"/>
              </w:rPr>
              <w:t>163,370</w:t>
            </w:r>
            <w:r w:rsidRPr="00797913">
              <w:rPr>
                <w:rFonts w:eastAsia="Times New Roman" w:cs="Times New Roman"/>
                <w:szCs w:val="26"/>
              </w:rPr>
              <w:t xml:space="preserve">) </w:t>
            </w:r>
          </w:p>
        </w:tc>
      </w:tr>
      <w:tr w:rsidRPr="00797913" w:rsidR="00797913" w:rsidTr="002F00E6" w14:paraId="42F98F5F" w14:textId="77777777">
        <w:trPr>
          <w:trHeight w:val="295"/>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315AED37" w14:textId="77777777">
            <w:pPr>
              <w:keepNext/>
              <w:keepLines/>
              <w:spacing w:line="240" w:lineRule="auto"/>
              <w:ind w:firstLine="0"/>
              <w:rPr>
                <w:rFonts w:eastAsia="Times New Roman" w:cs="Times New Roman"/>
                <w:szCs w:val="26"/>
              </w:rPr>
            </w:pPr>
            <w:r w:rsidRPr="00797913">
              <w:rPr>
                <w:rFonts w:eastAsia="Times New Roman" w:cs="Times New Roman"/>
                <w:szCs w:val="26"/>
              </w:rPr>
              <w:t>2020 and 2021 Electric Residential Uncollectible Balancing Account</w:t>
            </w:r>
          </w:p>
        </w:tc>
        <w:tc>
          <w:tcPr>
            <w:tcW w:w="1630" w:type="dxa"/>
            <w:tcBorders>
              <w:top w:val="double" w:color="auto" w:sz="4" w:space="0"/>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084B11E1" w14:textId="4A0D397F">
            <w:pPr>
              <w:keepNext/>
              <w:keepLines/>
              <w:spacing w:line="240" w:lineRule="auto"/>
              <w:ind w:firstLine="0"/>
              <w:jc w:val="right"/>
              <w:rPr>
                <w:rFonts w:eastAsia="Times New Roman" w:cs="Times New Roman"/>
                <w:szCs w:val="26"/>
              </w:rPr>
            </w:pPr>
            <w:r w:rsidRPr="00797913">
              <w:rPr>
                <w:rFonts w:eastAsia="Times New Roman" w:cs="Times New Roman"/>
                <w:szCs w:val="26"/>
              </w:rPr>
              <w:t>($</w:t>
            </w:r>
            <w:r w:rsidR="00CE30E3">
              <w:rPr>
                <w:rFonts w:eastAsia="Times New Roman" w:cs="Times New Roman"/>
                <w:szCs w:val="26"/>
              </w:rPr>
              <w:t>46,237</w:t>
            </w:r>
            <w:r w:rsidRPr="00797913">
              <w:rPr>
                <w:rFonts w:eastAsia="Times New Roman" w:cs="Times New Roman"/>
                <w:szCs w:val="26"/>
              </w:rPr>
              <w:t>)</w:t>
            </w:r>
          </w:p>
        </w:tc>
      </w:tr>
      <w:tr w:rsidRPr="00797913" w:rsidR="00797913" w:rsidTr="002F00E6" w14:paraId="282034D3" w14:textId="77777777">
        <w:trPr>
          <w:trHeight w:val="295"/>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7AFE16E9" w14:textId="77777777">
            <w:pPr>
              <w:keepNext/>
              <w:keepLines/>
              <w:spacing w:line="240" w:lineRule="auto"/>
              <w:ind w:firstLine="0"/>
              <w:rPr>
                <w:rFonts w:eastAsia="Times New Roman" w:cs="Times New Roman"/>
                <w:szCs w:val="26"/>
              </w:rPr>
            </w:pPr>
            <w:r w:rsidRPr="00797913">
              <w:rPr>
                <w:rFonts w:eastAsia="Times New Roman" w:cs="Times New Roman"/>
                <w:szCs w:val="26"/>
              </w:rPr>
              <w:t>Subtotal from Other Proceedings</w:t>
            </w:r>
          </w:p>
        </w:tc>
        <w:tc>
          <w:tcPr>
            <w:tcW w:w="1630" w:type="dxa"/>
            <w:tcBorders>
              <w:top w:val="double" w:color="auto" w:sz="4" w:space="0"/>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00C1DBF7" w14:textId="6DEC4FA4">
            <w:pPr>
              <w:keepNext/>
              <w:keepLines/>
              <w:spacing w:line="240" w:lineRule="auto"/>
              <w:ind w:firstLine="0"/>
              <w:jc w:val="right"/>
              <w:rPr>
                <w:rFonts w:eastAsia="Times New Roman" w:cs="Times New Roman"/>
                <w:szCs w:val="26"/>
              </w:rPr>
            </w:pPr>
            <w:r w:rsidRPr="00797913">
              <w:rPr>
                <w:rFonts w:eastAsia="Times New Roman" w:cs="Times New Roman"/>
                <w:szCs w:val="26"/>
              </w:rPr>
              <w:t>($2,6</w:t>
            </w:r>
            <w:r w:rsidR="000000C5">
              <w:rPr>
                <w:rFonts w:eastAsia="Times New Roman" w:cs="Times New Roman"/>
                <w:szCs w:val="26"/>
              </w:rPr>
              <w:t>43,262</w:t>
            </w:r>
            <w:r w:rsidRPr="00797913">
              <w:rPr>
                <w:rFonts w:eastAsia="Times New Roman" w:cs="Times New Roman"/>
                <w:szCs w:val="26"/>
              </w:rPr>
              <w:t>)</w:t>
            </w:r>
          </w:p>
        </w:tc>
      </w:tr>
      <w:tr w:rsidRPr="00797913" w:rsidR="00797913" w:rsidTr="002F00E6" w14:paraId="33E78FDB" w14:textId="77777777">
        <w:trPr>
          <w:trHeight w:val="295"/>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76974EED" w14:textId="77777777">
            <w:pPr>
              <w:keepNext/>
              <w:keepLines/>
              <w:spacing w:line="240" w:lineRule="auto"/>
              <w:ind w:firstLine="0"/>
              <w:rPr>
                <w:rFonts w:eastAsia="Times New Roman" w:cs="Times New Roman"/>
                <w:szCs w:val="26"/>
              </w:rPr>
            </w:pPr>
            <w:r w:rsidRPr="00797913">
              <w:rPr>
                <w:rFonts w:eastAsia="Times New Roman" w:cs="Times New Roman"/>
                <w:szCs w:val="26"/>
              </w:rPr>
              <w:t>Total Request</w:t>
            </w:r>
          </w:p>
        </w:tc>
        <w:tc>
          <w:tcPr>
            <w:tcW w:w="1630" w:type="dxa"/>
            <w:tcBorders>
              <w:top w:val="double" w:color="auto" w:sz="4" w:space="0"/>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25BBE25B" w14:textId="1DB83939">
            <w:pPr>
              <w:keepNext/>
              <w:keepLines/>
              <w:spacing w:line="240" w:lineRule="auto"/>
              <w:ind w:firstLine="0"/>
              <w:jc w:val="right"/>
              <w:rPr>
                <w:rFonts w:eastAsia="Times New Roman" w:cs="Times New Roman"/>
                <w:szCs w:val="26"/>
              </w:rPr>
            </w:pPr>
            <w:r w:rsidRPr="00797913">
              <w:rPr>
                <w:rFonts w:eastAsia="Times New Roman" w:cs="Times New Roman"/>
                <w:szCs w:val="26"/>
              </w:rPr>
              <w:t>$2,</w:t>
            </w:r>
            <w:r w:rsidR="000000C5">
              <w:rPr>
                <w:rFonts w:eastAsia="Times New Roman" w:cs="Times New Roman"/>
                <w:szCs w:val="26"/>
              </w:rPr>
              <w:t>416,928</w:t>
            </w:r>
          </w:p>
        </w:tc>
      </w:tr>
    </w:tbl>
    <w:p w:rsidRPr="00797913" w:rsidR="00797913" w:rsidP="00797913" w:rsidRDefault="00797913" w14:paraId="55869362" w14:textId="77777777"/>
    <w:tbl>
      <w:tblPr>
        <w:tblW w:w="8910" w:type="dxa"/>
        <w:jc w:val="center"/>
        <w:tblLayout w:type="fixed"/>
        <w:tblCellMar>
          <w:left w:w="0" w:type="dxa"/>
          <w:right w:w="0" w:type="dxa"/>
        </w:tblCellMar>
        <w:tblLook w:val="04A0" w:firstRow="1" w:lastRow="0" w:firstColumn="1" w:lastColumn="0" w:noHBand="0" w:noVBand="1"/>
      </w:tblPr>
      <w:tblGrid>
        <w:gridCol w:w="7010"/>
        <w:gridCol w:w="1900"/>
      </w:tblGrid>
      <w:tr w:rsidRPr="00797913" w:rsidR="00797913" w:rsidTr="002F00E6" w14:paraId="1ECDF5CA" w14:textId="77777777">
        <w:trPr>
          <w:jc w:val="center"/>
        </w:trPr>
        <w:tc>
          <w:tcPr>
            <w:tcW w:w="70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26D0F3BD" w14:textId="77777777">
            <w:pPr>
              <w:keepNext/>
              <w:keepLines/>
              <w:spacing w:line="240" w:lineRule="auto"/>
              <w:ind w:firstLine="0"/>
              <w:rPr>
                <w:rFonts w:eastAsia="Times New Roman" w:cs="Times New Roman"/>
                <w:b/>
                <w:bCs/>
                <w:szCs w:val="26"/>
              </w:rPr>
            </w:pPr>
            <w:r w:rsidRPr="00797913">
              <w:rPr>
                <w:rFonts w:eastAsia="Times New Roman" w:cs="Times New Roman"/>
                <w:b/>
                <w:bCs/>
                <w:szCs w:val="26"/>
              </w:rPr>
              <w:t>GHG Revenue Return, Costs and Set-Asides</w:t>
            </w:r>
          </w:p>
        </w:tc>
        <w:tc>
          <w:tcPr>
            <w:tcW w:w="190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39236B08" w14:textId="77777777">
            <w:pPr>
              <w:keepNext/>
              <w:keepLines/>
              <w:spacing w:line="240" w:lineRule="auto"/>
              <w:ind w:firstLine="0"/>
              <w:rPr>
                <w:rFonts w:eastAsia="Times New Roman" w:cs="Times New Roman"/>
                <w:b/>
                <w:bCs/>
                <w:szCs w:val="26"/>
              </w:rPr>
            </w:pPr>
          </w:p>
        </w:tc>
      </w:tr>
      <w:tr w:rsidRPr="00797913" w:rsidR="00797913" w:rsidTr="002F00E6" w14:paraId="4CBF0980" w14:textId="77777777">
        <w:trPr>
          <w:jc w:val="center"/>
        </w:trPr>
        <w:tc>
          <w:tcPr>
            <w:tcW w:w="701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797913" w:rsidP="00797913" w:rsidRDefault="00797913" w14:paraId="5E5AFEBA" w14:textId="77777777">
            <w:pPr>
              <w:keepNext/>
              <w:keepLines/>
              <w:spacing w:line="240" w:lineRule="auto"/>
              <w:ind w:firstLine="0"/>
              <w:rPr>
                <w:rFonts w:eastAsia="Times New Roman" w:cs="Times New Roman"/>
                <w:szCs w:val="26"/>
              </w:rPr>
            </w:pPr>
            <w:r w:rsidRPr="00797913">
              <w:rPr>
                <w:rFonts w:eastAsia="Times New Roman" w:cs="Times New Roman"/>
                <w:szCs w:val="26"/>
              </w:rPr>
              <w:t>2022 GHG Administrative and Outreach Expenses</w:t>
            </w:r>
          </w:p>
        </w:tc>
        <w:tc>
          <w:tcPr>
            <w:tcW w:w="190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797913" w:rsidP="00797913" w:rsidRDefault="00797913" w14:paraId="63EB1630" w14:textId="77777777">
            <w:pPr>
              <w:keepNext/>
              <w:keepLines/>
              <w:spacing w:line="240" w:lineRule="auto"/>
              <w:ind w:firstLine="0"/>
              <w:jc w:val="right"/>
              <w:rPr>
                <w:rFonts w:eastAsia="Times New Roman" w:cs="Times New Roman"/>
                <w:szCs w:val="26"/>
              </w:rPr>
            </w:pPr>
            <w:r w:rsidRPr="00797913">
              <w:rPr>
                <w:rFonts w:eastAsia="Times New Roman" w:cs="Times New Roman"/>
                <w:szCs w:val="26"/>
              </w:rPr>
              <w:t>$855,000</w:t>
            </w:r>
          </w:p>
        </w:tc>
      </w:tr>
      <w:tr w:rsidRPr="00797913" w:rsidR="00797913" w:rsidTr="002F00E6" w14:paraId="1891D299" w14:textId="77777777">
        <w:trPr>
          <w:jc w:val="center"/>
        </w:trPr>
        <w:tc>
          <w:tcPr>
            <w:tcW w:w="701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797913" w:rsidP="00797913" w:rsidRDefault="00797913" w14:paraId="57DC5A13" w14:textId="420DB8C6">
            <w:pPr>
              <w:keepNext/>
              <w:keepLines/>
              <w:spacing w:line="240" w:lineRule="auto"/>
              <w:ind w:firstLine="0"/>
              <w:rPr>
                <w:rFonts w:eastAsia="Times New Roman" w:cs="Times New Roman"/>
                <w:szCs w:val="26"/>
              </w:rPr>
            </w:pPr>
            <w:r w:rsidRPr="00797913">
              <w:rPr>
                <w:rFonts w:eastAsia="Times New Roman" w:cs="Times New Roman"/>
                <w:szCs w:val="26"/>
              </w:rPr>
              <w:t>2020 Recorded GHG Administrative and Outreach Expenses</w:t>
            </w:r>
          </w:p>
        </w:tc>
        <w:tc>
          <w:tcPr>
            <w:tcW w:w="190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797913" w:rsidP="00797913" w:rsidRDefault="00797913" w14:paraId="3B787E4B" w14:textId="77777777">
            <w:pPr>
              <w:keepNext/>
              <w:keepLines/>
              <w:spacing w:line="240" w:lineRule="auto"/>
              <w:ind w:firstLine="0"/>
              <w:jc w:val="right"/>
              <w:rPr>
                <w:rFonts w:eastAsia="Times New Roman" w:cs="Times New Roman"/>
                <w:szCs w:val="26"/>
              </w:rPr>
            </w:pPr>
            <w:r w:rsidRPr="00797913">
              <w:rPr>
                <w:rFonts w:eastAsia="Times New Roman" w:cs="Times New Roman"/>
                <w:szCs w:val="26"/>
              </w:rPr>
              <w:t>$598,000</w:t>
            </w:r>
          </w:p>
        </w:tc>
      </w:tr>
      <w:tr w:rsidRPr="00797913" w:rsidR="00797913" w:rsidTr="002F00E6" w14:paraId="3925E0A5" w14:textId="77777777">
        <w:trPr>
          <w:jc w:val="center"/>
        </w:trPr>
        <w:tc>
          <w:tcPr>
            <w:tcW w:w="701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797913" w:rsidP="00797913" w:rsidRDefault="00797913" w14:paraId="2D48F8C5" w14:textId="77777777">
            <w:pPr>
              <w:keepNext/>
              <w:keepLines/>
              <w:spacing w:line="240" w:lineRule="auto"/>
              <w:ind w:firstLine="0"/>
              <w:rPr>
                <w:rFonts w:eastAsia="Times New Roman" w:cs="Times New Roman"/>
                <w:szCs w:val="26"/>
              </w:rPr>
            </w:pPr>
            <w:r w:rsidRPr="00797913">
              <w:rPr>
                <w:rFonts w:eastAsia="Times New Roman" w:cs="Times New Roman"/>
                <w:szCs w:val="26"/>
              </w:rPr>
              <w:t>True-Up Set-Aside for GHG Administrative and Outreach</w:t>
            </w:r>
          </w:p>
        </w:tc>
        <w:tc>
          <w:tcPr>
            <w:tcW w:w="190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797913" w:rsidP="00797913" w:rsidRDefault="00797913" w14:paraId="637C7874" w14:textId="77777777">
            <w:pPr>
              <w:keepNext/>
              <w:keepLines/>
              <w:spacing w:line="240" w:lineRule="auto"/>
              <w:ind w:firstLine="0"/>
              <w:jc w:val="right"/>
              <w:rPr>
                <w:rFonts w:eastAsia="Times New Roman" w:cs="Times New Roman"/>
                <w:szCs w:val="26"/>
              </w:rPr>
            </w:pPr>
            <w:r w:rsidRPr="00797913">
              <w:rPr>
                <w:rFonts w:eastAsia="Times New Roman" w:cs="Times New Roman"/>
                <w:szCs w:val="26"/>
              </w:rPr>
              <w:t>$285,000</w:t>
            </w:r>
          </w:p>
        </w:tc>
      </w:tr>
      <w:tr w:rsidRPr="00797913" w:rsidR="00797913" w:rsidTr="002F00E6" w14:paraId="2AC869EC" w14:textId="77777777">
        <w:trPr>
          <w:jc w:val="center"/>
        </w:trPr>
        <w:tc>
          <w:tcPr>
            <w:tcW w:w="701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7D27DFFF" w14:textId="77777777">
            <w:pPr>
              <w:keepNext/>
              <w:keepLines/>
              <w:spacing w:line="240" w:lineRule="auto"/>
              <w:ind w:firstLine="0"/>
              <w:rPr>
                <w:rFonts w:eastAsia="Times New Roman" w:cs="Times New Roman"/>
                <w:szCs w:val="26"/>
              </w:rPr>
            </w:pPr>
            <w:r w:rsidRPr="00797913">
              <w:rPr>
                <w:rFonts w:eastAsia="Times New Roman" w:cs="Times New Roman"/>
                <w:szCs w:val="26"/>
              </w:rPr>
              <w:t>2022 Customer Generation Programs Funded by GHG Revenues</w:t>
            </w:r>
          </w:p>
        </w:tc>
        <w:tc>
          <w:tcPr>
            <w:tcW w:w="190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7DC93377" w14:textId="2161DB21">
            <w:pPr>
              <w:keepNext/>
              <w:keepLines/>
              <w:spacing w:line="240" w:lineRule="auto"/>
              <w:ind w:firstLine="0"/>
              <w:jc w:val="right"/>
              <w:rPr>
                <w:rFonts w:eastAsia="Times New Roman" w:cs="Times New Roman"/>
                <w:szCs w:val="26"/>
              </w:rPr>
            </w:pPr>
            <w:r w:rsidRPr="00797913">
              <w:rPr>
                <w:rFonts w:eastAsia="Times New Roman" w:cs="Times New Roman"/>
                <w:szCs w:val="26"/>
              </w:rPr>
              <w:t>$</w:t>
            </w:r>
            <w:r w:rsidR="007A6930">
              <w:rPr>
                <w:rFonts w:eastAsia="Times New Roman" w:cs="Times New Roman"/>
                <w:szCs w:val="26"/>
              </w:rPr>
              <w:t>56.55</w:t>
            </w:r>
            <w:r w:rsidRPr="00797913">
              <w:rPr>
                <w:rFonts w:eastAsia="Times New Roman" w:cs="Times New Roman"/>
                <w:szCs w:val="26"/>
              </w:rPr>
              <w:t>Million</w:t>
            </w:r>
          </w:p>
        </w:tc>
      </w:tr>
      <w:tr w:rsidRPr="00797913" w:rsidR="00797913" w:rsidTr="002F00E6" w14:paraId="57B99028" w14:textId="77777777">
        <w:trPr>
          <w:jc w:val="center"/>
        </w:trPr>
        <w:tc>
          <w:tcPr>
            <w:tcW w:w="701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659448CA" w14:textId="77777777">
            <w:pPr>
              <w:keepNext/>
              <w:keepLines/>
              <w:spacing w:line="240" w:lineRule="auto"/>
              <w:ind w:firstLine="0"/>
              <w:rPr>
                <w:rFonts w:eastAsia="Times New Roman" w:cs="Times New Roman"/>
                <w:szCs w:val="26"/>
              </w:rPr>
            </w:pPr>
            <w:r w:rsidRPr="00797913">
              <w:rPr>
                <w:rFonts w:eastAsia="Times New Roman" w:cs="Times New Roman"/>
                <w:szCs w:val="26"/>
              </w:rPr>
              <w:t>Net GHG Revenue Return</w:t>
            </w:r>
          </w:p>
        </w:tc>
        <w:tc>
          <w:tcPr>
            <w:tcW w:w="190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04B96738" w14:textId="77777777">
            <w:pPr>
              <w:keepNext/>
              <w:keepLines/>
              <w:spacing w:line="240" w:lineRule="auto"/>
              <w:ind w:firstLine="0"/>
              <w:jc w:val="right"/>
              <w:rPr>
                <w:rFonts w:eastAsia="Times New Roman" w:cs="Times New Roman"/>
                <w:szCs w:val="26"/>
              </w:rPr>
            </w:pPr>
            <w:r w:rsidRPr="00797913">
              <w:rPr>
                <w:rFonts w:eastAsia="Times New Roman" w:cs="Times New Roman"/>
                <w:szCs w:val="26"/>
              </w:rPr>
              <w:t>$469 Million</w:t>
            </w:r>
          </w:p>
        </w:tc>
      </w:tr>
      <w:tr w:rsidRPr="00797913" w:rsidR="00797913" w:rsidTr="002F00E6" w14:paraId="71269DCB" w14:textId="77777777">
        <w:trPr>
          <w:jc w:val="center"/>
        </w:trPr>
        <w:tc>
          <w:tcPr>
            <w:tcW w:w="70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04DC2CF2" w14:textId="77777777">
            <w:pPr>
              <w:keepNext/>
              <w:keepLines/>
              <w:spacing w:line="240" w:lineRule="auto"/>
              <w:ind w:firstLine="0"/>
              <w:rPr>
                <w:rFonts w:eastAsia="Times New Roman" w:cs="Times New Roman"/>
                <w:szCs w:val="26"/>
              </w:rPr>
            </w:pPr>
            <w:r w:rsidRPr="00797913">
              <w:rPr>
                <w:rFonts w:eastAsia="Times New Roman" w:cs="Times New Roman"/>
                <w:szCs w:val="26"/>
              </w:rPr>
              <w:t>Semi-annual Residential and Small Business California Climate Credit</w:t>
            </w:r>
          </w:p>
        </w:tc>
        <w:tc>
          <w:tcPr>
            <w:tcW w:w="190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0DB4EE4C" w14:textId="77777777">
            <w:pPr>
              <w:keepNext/>
              <w:keepLines/>
              <w:spacing w:line="240" w:lineRule="auto"/>
              <w:ind w:firstLine="0"/>
              <w:jc w:val="right"/>
              <w:rPr>
                <w:rFonts w:eastAsia="Times New Roman" w:cs="Times New Roman"/>
                <w:szCs w:val="26"/>
              </w:rPr>
            </w:pPr>
            <w:r w:rsidRPr="00797913">
              <w:rPr>
                <w:rFonts w:eastAsia="Times New Roman" w:cs="Times New Roman"/>
                <w:szCs w:val="26"/>
              </w:rPr>
              <w:t xml:space="preserve">$39.30 </w:t>
            </w:r>
          </w:p>
        </w:tc>
      </w:tr>
    </w:tbl>
    <w:p w:rsidRPr="00797913" w:rsidR="00797913" w:rsidP="00797913" w:rsidRDefault="00797913" w14:paraId="718059D2" w14:textId="77777777">
      <w:pPr>
        <w:ind w:firstLine="0"/>
      </w:pPr>
    </w:p>
    <w:p w:rsidRPr="00797913" w:rsidR="00797913" w:rsidP="00797913" w:rsidRDefault="00797913" w14:paraId="6402CED7" w14:textId="70EE3383">
      <w:pPr>
        <w:ind w:firstLine="0"/>
      </w:pPr>
      <w:r w:rsidRPr="00797913">
        <w:t xml:space="preserve">This decision adopts Pacific Gas and Electric Company’s December Update Forecast Revenue Requirements </w:t>
      </w:r>
      <w:r w:rsidR="00E52FD9">
        <w:t>served</w:t>
      </w:r>
      <w:r w:rsidRPr="00797913" w:rsidR="00E52FD9">
        <w:t xml:space="preserve"> </w:t>
      </w:r>
      <w:r w:rsidRPr="00797913">
        <w:t xml:space="preserve">on December 14, 2021. </w:t>
      </w:r>
    </w:p>
    <w:p w:rsidRPr="00797913" w:rsidR="00797913" w:rsidP="00223F6A" w:rsidRDefault="00797913" w14:paraId="5AC5EA31" w14:textId="77777777">
      <w:r w:rsidRPr="00797913">
        <w:t>The proceeding is closed.</w:t>
      </w:r>
    </w:p>
    <w:p w:rsidRPr="00797913" w:rsidR="00797913" w:rsidP="007B69FC" w:rsidRDefault="00797913" w14:paraId="75B63CB4" w14:textId="77777777">
      <w:pPr>
        <w:pStyle w:val="Heading1"/>
        <w:numPr>
          <w:ilvl w:val="0"/>
          <w:numId w:val="11"/>
        </w:numPr>
      </w:pPr>
      <w:bookmarkStart w:name="_Toc8123715" w:id="5"/>
      <w:bookmarkStart w:name="_Toc93499867" w:id="6"/>
      <w:bookmarkStart w:name="_Toc95469360" w:id="7"/>
      <w:r w:rsidRPr="00797913">
        <w:t>Background</w:t>
      </w:r>
      <w:bookmarkEnd w:id="5"/>
      <w:bookmarkEnd w:id="6"/>
      <w:bookmarkEnd w:id="7"/>
    </w:p>
    <w:p w:rsidRPr="000F78FF" w:rsidR="00797913" w:rsidP="000F78FF" w:rsidRDefault="00797913" w14:paraId="6B43BC99" w14:textId="77777777">
      <w:pPr>
        <w:pStyle w:val="Heading2"/>
      </w:pPr>
      <w:bookmarkStart w:name="_Toc93499868" w:id="8"/>
      <w:bookmarkStart w:name="_Toc95469361" w:id="9"/>
      <w:r w:rsidRPr="000F78FF">
        <w:t>Historical Background</w:t>
      </w:r>
      <w:bookmarkEnd w:id="8"/>
      <w:bookmarkEnd w:id="9"/>
    </w:p>
    <w:p w:rsidRPr="00797913" w:rsidR="00797913" w:rsidP="00797913" w:rsidRDefault="00797913" w14:paraId="20A7397D" w14:textId="3A15E06F">
      <w:r w:rsidRPr="00797913">
        <w:t xml:space="preserve">Pursuant to Decision (D.) 02-10-062, the California Public Utilities Commission (Commission) established the Energy Resource Recovery Account (ERRA) required by Public Utilities (Pub. Util.) Code 454.5(d)(3) to provide recovery of energy procurement costs, including expenses associated with fuel and purchased power, utility retained generation, California Independent System Operator related costs and costs associated with the residual net short procurement requirements to serve the bundled electric service customers of utilities, including Pacific Gas and Electric Company (PG&amp;E). The ERRA regulatory process includes (1) an annual forecast proceeding to adopt a forecast of the utility’s electric procurement cost revenue requirement and electricity sales for the upcoming year, (2) a </w:t>
      </w:r>
      <w:r w:rsidRPr="00FC1492">
        <w:t>compliance</w:t>
      </w:r>
      <w:r w:rsidRPr="00797913">
        <w:t xml:space="preserve"> proceeding in the </w:t>
      </w:r>
      <w:r w:rsidR="00D265FA">
        <w:t>following</w:t>
      </w:r>
      <w:r w:rsidRPr="00797913" w:rsidR="00D265FA">
        <w:t xml:space="preserve"> </w:t>
      </w:r>
      <w:r w:rsidRPr="00797913">
        <w:t>year regarding energy resource contract administration, least cost dispatch, and prudent maintenance of Utility Owned Generation (UOG) and the ERRA balancing account, and (3) a quarterly report in which the Commission’s Energy Division reviews procurement transactions “to ensure the prices, types of products, and quantities of each product conform to the approved plan.”</w:t>
      </w:r>
      <w:r w:rsidRPr="00797913">
        <w:rPr>
          <w:vertAlign w:val="superscript"/>
        </w:rPr>
        <w:footnoteReference w:id="2"/>
      </w:r>
      <w:r w:rsidRPr="00797913">
        <w:t xml:space="preserve">  </w:t>
      </w:r>
    </w:p>
    <w:p w:rsidRPr="00B248E2" w:rsidR="002C0EBA" w:rsidP="00B248E2" w:rsidRDefault="00797913" w14:paraId="7DA8993A" w14:textId="37A0BF05">
      <w:r w:rsidRPr="00797913">
        <w:t>Pursuant to D.12-12-033, PG&amp;E filed Advice Letter 4181-E to establish a subaccount within the ERRA to record greenhouse gas (GHG) costs. The advice letter also created the GHG Customer Outreach and Education Memorandum Account (GHGCOEMA)</w:t>
      </w:r>
      <w:r w:rsidR="006B22BF">
        <w:t>,</w:t>
      </w:r>
      <w:r w:rsidRPr="00797913">
        <w:rPr>
          <w:vertAlign w:val="superscript"/>
        </w:rPr>
        <w:footnoteReference w:id="3"/>
      </w:r>
      <w:r w:rsidR="006B22BF">
        <w:t xml:space="preserve"> </w:t>
      </w:r>
      <w:r w:rsidRPr="00797913">
        <w:t>the GHG Administrative Costs Memorandum Account (GHGACMA)</w:t>
      </w:r>
      <w:r w:rsidRPr="00797913">
        <w:rPr>
          <w:vertAlign w:val="superscript"/>
        </w:rPr>
        <w:footnoteReference w:id="4"/>
      </w:r>
      <w:r w:rsidRPr="00797913">
        <w:t xml:space="preserve"> and the GHG Revenue Balancing Account (GHGRBA). The GHG revenue balancing account is a two-way balancing account that records GHG </w:t>
      </w:r>
      <w:r w:rsidR="0042204B">
        <w:t xml:space="preserve">allowance </w:t>
      </w:r>
      <w:r w:rsidRPr="00797913">
        <w:t>revenues less revenue returns and any revenues approved to be set aside for outreach and administrative costs.</w:t>
      </w:r>
      <w:bookmarkStart w:name="_Toc8123717" w:id="10"/>
      <w:bookmarkStart w:name="_Toc93499869" w:id="11"/>
    </w:p>
    <w:p w:rsidRPr="00797913" w:rsidR="00797913" w:rsidP="000F78FF" w:rsidRDefault="00797913" w14:paraId="3FAA8900" w14:textId="77777777">
      <w:pPr>
        <w:pStyle w:val="Heading2"/>
      </w:pPr>
      <w:bookmarkStart w:name="_Toc95469362" w:id="12"/>
      <w:r w:rsidRPr="00797913">
        <w:t>Procedural Background</w:t>
      </w:r>
      <w:bookmarkEnd w:id="10"/>
      <w:bookmarkEnd w:id="11"/>
      <w:bookmarkEnd w:id="12"/>
    </w:p>
    <w:p w:rsidRPr="00797913" w:rsidR="00797913" w:rsidP="00797913" w:rsidRDefault="00797913" w14:paraId="0C568D9C" w14:textId="5219AC36">
      <w:r w:rsidRPr="00797913">
        <w:t>On June 1, 2021, PG&amp;E filed Application (A.) 21-06-001 for adoption of its 2022 ERRA and Generation Non-</w:t>
      </w:r>
      <w:proofErr w:type="spellStart"/>
      <w:r w:rsidRPr="00797913">
        <w:t>Bypassable</w:t>
      </w:r>
      <w:proofErr w:type="spellEnd"/>
      <w:r w:rsidRPr="00797913">
        <w:t xml:space="preserve"> Charges Forecast and Greenhouse Gas Forecast Revenue Return and Reconciliation (Application). PG&amp;E concurrently served prepared testimony.</w:t>
      </w:r>
    </w:p>
    <w:p w:rsidRPr="00797913" w:rsidR="00797913" w:rsidP="00797913" w:rsidRDefault="00797913" w14:paraId="6F834D85" w14:textId="77777777">
      <w:r w:rsidRPr="00797913">
        <w:t xml:space="preserve">On June 24, 2021, Resolution ALJ 176-3488 preliminarily determined that this proceeding was </w:t>
      </w:r>
      <w:proofErr w:type="spellStart"/>
      <w:r w:rsidRPr="00797913">
        <w:t>ratesetting</w:t>
      </w:r>
      <w:proofErr w:type="spellEnd"/>
      <w:r w:rsidRPr="00797913">
        <w:t xml:space="preserve"> and that hearings would be necessary.</w:t>
      </w:r>
    </w:p>
    <w:p w:rsidRPr="00797913" w:rsidR="00797913" w:rsidP="00797913" w:rsidRDefault="00797913" w14:paraId="1B41DBD5" w14:textId="77777777">
      <w:r w:rsidRPr="00797913">
        <w:t>On July 23, 2021, the Commission held a prehearing conference (PHC) to discuss the issues of law and fact, determine the necessity for hearings, and procedural matters.</w:t>
      </w:r>
    </w:p>
    <w:p w:rsidRPr="00797913" w:rsidR="00797913" w:rsidP="00797913" w:rsidRDefault="00797913" w14:paraId="489B3F3D" w14:textId="77777777">
      <w:r w:rsidRPr="00797913">
        <w:t xml:space="preserve">The following parties were granted party status on the following dates:  </w:t>
      </w:r>
    </w:p>
    <w:tbl>
      <w:tblPr>
        <w:tblStyle w:val="TableGrid"/>
        <w:tblW w:w="8820" w:type="dxa"/>
        <w:jc w:val="center"/>
        <w:tblLayout w:type="fixed"/>
        <w:tblLook w:val="04A0" w:firstRow="1" w:lastRow="0" w:firstColumn="1" w:lastColumn="0" w:noHBand="0" w:noVBand="1"/>
      </w:tblPr>
      <w:tblGrid>
        <w:gridCol w:w="2880"/>
        <w:gridCol w:w="1980"/>
        <w:gridCol w:w="1980"/>
        <w:gridCol w:w="1980"/>
      </w:tblGrid>
      <w:tr w:rsidRPr="00797913" w:rsidR="00797913" w:rsidTr="007F7DA1" w14:paraId="6D38DF0B" w14:textId="77777777">
        <w:trPr>
          <w:tblHeader/>
          <w:jc w:val="center"/>
        </w:trPr>
        <w:tc>
          <w:tcPr>
            <w:tcW w:w="2880" w:type="dxa"/>
          </w:tcPr>
          <w:p w:rsidRPr="00797913" w:rsidR="00797913" w:rsidP="00797913" w:rsidRDefault="00797913" w14:paraId="06D5DE3B" w14:textId="77777777">
            <w:pPr>
              <w:ind w:firstLine="0"/>
              <w:jc w:val="center"/>
            </w:pPr>
            <w:r w:rsidRPr="00797913">
              <w:t>Party</w:t>
            </w:r>
          </w:p>
        </w:tc>
        <w:tc>
          <w:tcPr>
            <w:tcW w:w="1980" w:type="dxa"/>
          </w:tcPr>
          <w:p w:rsidRPr="00797913" w:rsidR="00797913" w:rsidP="00797913" w:rsidRDefault="00797913" w14:paraId="55BB3375" w14:textId="77777777">
            <w:pPr>
              <w:ind w:firstLine="0"/>
              <w:jc w:val="center"/>
            </w:pPr>
            <w:r w:rsidRPr="00797913">
              <w:t>Abbreviation</w:t>
            </w:r>
          </w:p>
        </w:tc>
        <w:tc>
          <w:tcPr>
            <w:tcW w:w="1980" w:type="dxa"/>
          </w:tcPr>
          <w:p w:rsidRPr="00797913" w:rsidR="00797913" w:rsidP="00797913" w:rsidRDefault="00797913" w14:paraId="09B1E7EC" w14:textId="77777777">
            <w:pPr>
              <w:spacing w:line="240" w:lineRule="auto"/>
              <w:ind w:firstLine="0"/>
              <w:jc w:val="center"/>
            </w:pPr>
            <w:r w:rsidRPr="00797913">
              <w:t xml:space="preserve">Event </w:t>
            </w:r>
          </w:p>
        </w:tc>
        <w:tc>
          <w:tcPr>
            <w:tcW w:w="1980" w:type="dxa"/>
          </w:tcPr>
          <w:p w:rsidRPr="00797913" w:rsidR="00797913" w:rsidP="00797913" w:rsidRDefault="00797913" w14:paraId="091B091A" w14:textId="77777777">
            <w:pPr>
              <w:spacing w:line="240" w:lineRule="auto"/>
              <w:ind w:firstLine="0"/>
              <w:jc w:val="center"/>
            </w:pPr>
            <w:r w:rsidRPr="00797913">
              <w:t>Date Status Granted</w:t>
            </w:r>
          </w:p>
        </w:tc>
      </w:tr>
      <w:tr w:rsidRPr="00797913" w:rsidR="00797913" w:rsidTr="007F7DA1" w14:paraId="3D9FACF8" w14:textId="77777777">
        <w:trPr>
          <w:jc w:val="center"/>
        </w:trPr>
        <w:tc>
          <w:tcPr>
            <w:tcW w:w="2880" w:type="dxa"/>
          </w:tcPr>
          <w:p w:rsidRPr="00797913" w:rsidR="00797913" w:rsidP="00797913" w:rsidRDefault="00797913" w14:paraId="39D19678" w14:textId="77777777">
            <w:pPr>
              <w:spacing w:line="240" w:lineRule="auto"/>
              <w:ind w:firstLine="0"/>
            </w:pPr>
            <w:r w:rsidRPr="00797913">
              <w:t>Public Advocates Office of the Commission</w:t>
            </w:r>
          </w:p>
        </w:tc>
        <w:tc>
          <w:tcPr>
            <w:tcW w:w="1980" w:type="dxa"/>
          </w:tcPr>
          <w:p w:rsidRPr="00797913" w:rsidR="00797913" w:rsidP="00797913" w:rsidRDefault="00797913" w14:paraId="38863B9B" w14:textId="77777777">
            <w:pPr>
              <w:spacing w:line="240" w:lineRule="auto"/>
              <w:ind w:firstLine="0"/>
            </w:pPr>
            <w:r w:rsidRPr="00797913">
              <w:t>Cal Advocates</w:t>
            </w:r>
          </w:p>
        </w:tc>
        <w:tc>
          <w:tcPr>
            <w:tcW w:w="1980" w:type="dxa"/>
          </w:tcPr>
          <w:p w:rsidRPr="00797913" w:rsidR="00797913" w:rsidP="00797913" w:rsidRDefault="00797913" w14:paraId="523E78CB" w14:textId="16BFC5F4">
            <w:pPr>
              <w:spacing w:line="240" w:lineRule="auto"/>
              <w:ind w:firstLine="0"/>
            </w:pPr>
            <w:r w:rsidRPr="00797913">
              <w:t>Protest filed Jul. 6, 2021</w:t>
            </w:r>
          </w:p>
          <w:p w:rsidRPr="00797913" w:rsidR="00797913" w:rsidP="00797913" w:rsidRDefault="00797913" w14:paraId="41ACF44A" w14:textId="77777777">
            <w:pPr>
              <w:spacing w:line="240" w:lineRule="auto"/>
              <w:ind w:firstLine="0"/>
            </w:pPr>
          </w:p>
        </w:tc>
        <w:tc>
          <w:tcPr>
            <w:tcW w:w="1980" w:type="dxa"/>
          </w:tcPr>
          <w:p w:rsidRPr="00797913" w:rsidR="00797913" w:rsidP="00797913" w:rsidRDefault="00797913" w14:paraId="23248DFB" w14:textId="77777777">
            <w:pPr>
              <w:spacing w:line="240" w:lineRule="auto"/>
              <w:ind w:firstLine="0"/>
            </w:pPr>
            <w:r w:rsidRPr="00797913">
              <w:t>Rule</w:t>
            </w:r>
            <w:r w:rsidRPr="00797913">
              <w:rPr>
                <w:vertAlign w:val="superscript"/>
              </w:rPr>
              <w:footnoteReference w:id="5"/>
            </w:r>
            <w:r w:rsidRPr="00797913">
              <w:t xml:space="preserve"> 1.4(a)(2)</w:t>
            </w:r>
          </w:p>
          <w:p w:rsidRPr="00797913" w:rsidR="00797913" w:rsidP="00797913" w:rsidRDefault="00797913" w14:paraId="4C679A85" w14:textId="77777777">
            <w:pPr>
              <w:spacing w:line="240" w:lineRule="auto"/>
              <w:ind w:firstLine="0"/>
            </w:pPr>
            <w:r w:rsidRPr="00797913">
              <w:t>Jul. 6, 2021</w:t>
            </w:r>
          </w:p>
        </w:tc>
      </w:tr>
      <w:tr w:rsidRPr="00797913" w:rsidR="00797913" w:rsidTr="007F7DA1" w14:paraId="4885533A" w14:textId="77777777">
        <w:trPr>
          <w:jc w:val="center"/>
        </w:trPr>
        <w:tc>
          <w:tcPr>
            <w:tcW w:w="2880" w:type="dxa"/>
          </w:tcPr>
          <w:p w:rsidRPr="00797913" w:rsidR="00797913" w:rsidP="00797913" w:rsidRDefault="00797913" w14:paraId="31BB78F7" w14:textId="77777777">
            <w:pPr>
              <w:spacing w:line="240" w:lineRule="auto"/>
              <w:ind w:firstLine="0"/>
            </w:pPr>
            <w:r w:rsidRPr="00797913">
              <w:t>The Joint Community Choice Aggregators: East Bay Community Energy, Marin Clean Energy, Sonoma Clean Power Authority, Central Coast Community Energy, San Jose Clean Energy, Pioneer Community Energy, City and County of San Francisco, Peninsula Clean Energy Authority, and Silicon Valley Clean Energy Authority</w:t>
            </w:r>
          </w:p>
        </w:tc>
        <w:tc>
          <w:tcPr>
            <w:tcW w:w="1980" w:type="dxa"/>
          </w:tcPr>
          <w:p w:rsidRPr="00797913" w:rsidR="00797913" w:rsidP="00797913" w:rsidRDefault="00797913" w14:paraId="001C7187" w14:textId="77777777">
            <w:pPr>
              <w:spacing w:line="240" w:lineRule="auto"/>
              <w:ind w:firstLine="0"/>
            </w:pPr>
            <w:r w:rsidRPr="00797913">
              <w:t>The Joint CCAs</w:t>
            </w:r>
          </w:p>
        </w:tc>
        <w:tc>
          <w:tcPr>
            <w:tcW w:w="1980" w:type="dxa"/>
          </w:tcPr>
          <w:p w:rsidRPr="00797913" w:rsidR="00797913" w:rsidP="00797913" w:rsidRDefault="00797913" w14:paraId="5E3BFAB1" w14:textId="77777777">
            <w:pPr>
              <w:spacing w:line="240" w:lineRule="auto"/>
              <w:ind w:firstLine="0"/>
            </w:pPr>
            <w:r w:rsidRPr="00797913">
              <w:t xml:space="preserve">Protest filed </w:t>
            </w:r>
          </w:p>
          <w:p w:rsidRPr="00797913" w:rsidR="00797913" w:rsidP="00797913" w:rsidRDefault="00797913" w14:paraId="3E0D506A" w14:textId="77777777">
            <w:pPr>
              <w:spacing w:line="240" w:lineRule="auto"/>
              <w:ind w:firstLine="0"/>
            </w:pPr>
          </w:p>
        </w:tc>
        <w:tc>
          <w:tcPr>
            <w:tcW w:w="1980" w:type="dxa"/>
          </w:tcPr>
          <w:p w:rsidRPr="00797913" w:rsidR="00797913" w:rsidP="00797913" w:rsidRDefault="00797913" w14:paraId="1FD2BAE4" w14:textId="77777777">
            <w:pPr>
              <w:spacing w:line="240" w:lineRule="auto"/>
              <w:ind w:firstLine="0"/>
            </w:pPr>
            <w:r w:rsidRPr="00797913">
              <w:t>Rule 1.4(a)(2)</w:t>
            </w:r>
          </w:p>
          <w:p w:rsidRPr="00797913" w:rsidR="00797913" w:rsidP="00797913" w:rsidRDefault="00797913" w14:paraId="72588222" w14:textId="77777777">
            <w:pPr>
              <w:spacing w:line="240" w:lineRule="auto"/>
              <w:ind w:firstLine="0"/>
            </w:pPr>
            <w:r w:rsidRPr="00797913">
              <w:t>Jul. 6, 2021</w:t>
            </w:r>
          </w:p>
        </w:tc>
      </w:tr>
      <w:tr w:rsidRPr="00797913" w:rsidR="00797913" w:rsidTr="007F7DA1" w14:paraId="1D332991" w14:textId="77777777">
        <w:trPr>
          <w:jc w:val="center"/>
        </w:trPr>
        <w:tc>
          <w:tcPr>
            <w:tcW w:w="2880" w:type="dxa"/>
          </w:tcPr>
          <w:p w:rsidRPr="00797913" w:rsidR="00797913" w:rsidP="00797913" w:rsidRDefault="00797913" w14:paraId="3DD6C218" w14:textId="77777777">
            <w:pPr>
              <w:spacing w:line="240" w:lineRule="auto"/>
              <w:ind w:firstLine="0"/>
            </w:pPr>
            <w:r w:rsidRPr="00797913">
              <w:t xml:space="preserve">Direct Access Customer Coalition </w:t>
            </w:r>
          </w:p>
        </w:tc>
        <w:tc>
          <w:tcPr>
            <w:tcW w:w="1980" w:type="dxa"/>
          </w:tcPr>
          <w:p w:rsidRPr="00797913" w:rsidR="00797913" w:rsidP="00797913" w:rsidRDefault="00797913" w14:paraId="72E0ED61" w14:textId="77777777">
            <w:pPr>
              <w:spacing w:line="240" w:lineRule="auto"/>
              <w:ind w:firstLine="0"/>
            </w:pPr>
            <w:r w:rsidRPr="00797913">
              <w:t>DACC</w:t>
            </w:r>
          </w:p>
        </w:tc>
        <w:tc>
          <w:tcPr>
            <w:tcW w:w="1980" w:type="dxa"/>
          </w:tcPr>
          <w:p w:rsidRPr="00797913" w:rsidR="00797913" w:rsidP="00797913" w:rsidRDefault="00797913" w14:paraId="39FF9A33" w14:textId="77777777">
            <w:pPr>
              <w:spacing w:line="240" w:lineRule="auto"/>
              <w:ind w:firstLine="0"/>
            </w:pPr>
            <w:r w:rsidRPr="00797913">
              <w:t>Response filed</w:t>
            </w:r>
          </w:p>
          <w:p w:rsidRPr="00797913" w:rsidR="00797913" w:rsidP="00797913" w:rsidRDefault="00797913" w14:paraId="1DCB6907" w14:textId="77777777">
            <w:pPr>
              <w:spacing w:line="240" w:lineRule="auto"/>
              <w:ind w:firstLine="0"/>
            </w:pPr>
            <w:r w:rsidRPr="00797913">
              <w:t>Jul. 6, 2021</w:t>
            </w:r>
          </w:p>
        </w:tc>
        <w:tc>
          <w:tcPr>
            <w:tcW w:w="1980" w:type="dxa"/>
          </w:tcPr>
          <w:p w:rsidRPr="00797913" w:rsidR="00797913" w:rsidP="00797913" w:rsidRDefault="00797913" w14:paraId="1F88E47F" w14:textId="77777777">
            <w:pPr>
              <w:spacing w:line="240" w:lineRule="auto"/>
              <w:ind w:firstLine="0"/>
            </w:pPr>
            <w:r w:rsidRPr="00797913">
              <w:t xml:space="preserve">Rule 1.4(a)(2) </w:t>
            </w:r>
          </w:p>
          <w:p w:rsidRPr="00797913" w:rsidR="00797913" w:rsidP="00797913" w:rsidRDefault="00797913" w14:paraId="61B2A364" w14:textId="36778FE2">
            <w:pPr>
              <w:spacing w:line="240" w:lineRule="auto"/>
              <w:ind w:firstLine="0"/>
            </w:pPr>
            <w:r w:rsidRPr="00797913">
              <w:t>Jul</w:t>
            </w:r>
            <w:r w:rsidR="00E86B48">
              <w:t>.</w:t>
            </w:r>
            <w:r w:rsidRPr="00797913">
              <w:t xml:space="preserve"> 6, 2021</w:t>
            </w:r>
          </w:p>
        </w:tc>
      </w:tr>
      <w:tr w:rsidRPr="00797913" w:rsidR="00797913" w:rsidTr="007F7DA1" w14:paraId="18E588CB" w14:textId="77777777">
        <w:trPr>
          <w:jc w:val="center"/>
        </w:trPr>
        <w:tc>
          <w:tcPr>
            <w:tcW w:w="2880" w:type="dxa"/>
          </w:tcPr>
          <w:p w:rsidRPr="00797913" w:rsidR="00797913" w:rsidP="00797913" w:rsidRDefault="00797913" w14:paraId="4ECE6B47" w14:textId="77777777">
            <w:pPr>
              <w:spacing w:line="240" w:lineRule="auto"/>
              <w:ind w:firstLine="0"/>
            </w:pPr>
            <w:r w:rsidRPr="00797913">
              <w:t xml:space="preserve">California Community Choice Association </w:t>
            </w:r>
          </w:p>
        </w:tc>
        <w:tc>
          <w:tcPr>
            <w:tcW w:w="1980" w:type="dxa"/>
          </w:tcPr>
          <w:p w:rsidRPr="00797913" w:rsidR="00797913" w:rsidP="00797913" w:rsidRDefault="00797913" w14:paraId="5FF66732" w14:textId="77777777">
            <w:pPr>
              <w:spacing w:line="240" w:lineRule="auto"/>
              <w:ind w:firstLine="0"/>
            </w:pPr>
            <w:r w:rsidRPr="00797913">
              <w:t>Cal CCA</w:t>
            </w:r>
          </w:p>
        </w:tc>
        <w:tc>
          <w:tcPr>
            <w:tcW w:w="1980" w:type="dxa"/>
          </w:tcPr>
          <w:p w:rsidRPr="00797913" w:rsidR="00797913" w:rsidP="00797913" w:rsidRDefault="00797913" w14:paraId="0AE1D24B" w14:textId="77777777">
            <w:pPr>
              <w:spacing w:line="240" w:lineRule="auto"/>
              <w:ind w:firstLine="0"/>
            </w:pPr>
            <w:r w:rsidRPr="00797913">
              <w:t xml:space="preserve">Oral Motion made at PHC  </w:t>
            </w:r>
          </w:p>
          <w:p w:rsidRPr="00797913" w:rsidR="00797913" w:rsidP="00797913" w:rsidRDefault="00797913" w14:paraId="144D34A8" w14:textId="77777777">
            <w:pPr>
              <w:spacing w:line="240" w:lineRule="auto"/>
              <w:ind w:firstLine="0"/>
            </w:pPr>
            <w:r w:rsidRPr="00797913">
              <w:t>Jul. 23, 2021</w:t>
            </w:r>
          </w:p>
        </w:tc>
        <w:tc>
          <w:tcPr>
            <w:tcW w:w="1980" w:type="dxa"/>
          </w:tcPr>
          <w:p w:rsidRPr="00797913" w:rsidR="00797913" w:rsidP="00797913" w:rsidRDefault="00797913" w14:paraId="70E9C75A" w14:textId="77777777">
            <w:pPr>
              <w:spacing w:line="240" w:lineRule="auto"/>
              <w:ind w:firstLine="0"/>
            </w:pPr>
            <w:r w:rsidRPr="00797913">
              <w:t xml:space="preserve">Granted at PHC </w:t>
            </w:r>
          </w:p>
          <w:p w:rsidRPr="00797913" w:rsidR="00797913" w:rsidP="00797913" w:rsidRDefault="00797913" w14:paraId="5391BBFC" w14:textId="77777777">
            <w:pPr>
              <w:spacing w:line="240" w:lineRule="auto"/>
              <w:ind w:firstLine="0"/>
            </w:pPr>
            <w:r w:rsidRPr="00797913">
              <w:t>Jul. 23, 2021</w:t>
            </w:r>
          </w:p>
        </w:tc>
      </w:tr>
      <w:tr w:rsidRPr="00797913" w:rsidR="00797913" w:rsidTr="007F7DA1" w14:paraId="34A6D24B" w14:textId="77777777">
        <w:trPr>
          <w:jc w:val="center"/>
        </w:trPr>
        <w:tc>
          <w:tcPr>
            <w:tcW w:w="2880" w:type="dxa"/>
          </w:tcPr>
          <w:p w:rsidRPr="00797913" w:rsidR="00797913" w:rsidP="00797913" w:rsidRDefault="00797913" w14:paraId="38BD89D8" w14:textId="77777777">
            <w:pPr>
              <w:spacing w:line="240" w:lineRule="auto"/>
              <w:ind w:firstLine="0"/>
            </w:pPr>
            <w:r w:rsidRPr="00797913">
              <w:t>Agricultural Energy Consumer Coalition</w:t>
            </w:r>
          </w:p>
        </w:tc>
        <w:tc>
          <w:tcPr>
            <w:tcW w:w="1980" w:type="dxa"/>
          </w:tcPr>
          <w:p w:rsidRPr="00797913" w:rsidR="00797913" w:rsidP="00797913" w:rsidRDefault="00797913" w14:paraId="5A5E02DA" w14:textId="77777777">
            <w:pPr>
              <w:spacing w:line="240" w:lineRule="auto"/>
              <w:ind w:firstLine="0"/>
            </w:pPr>
            <w:r w:rsidRPr="00797913">
              <w:t>AECA</w:t>
            </w:r>
          </w:p>
        </w:tc>
        <w:tc>
          <w:tcPr>
            <w:tcW w:w="1980" w:type="dxa"/>
          </w:tcPr>
          <w:p w:rsidRPr="00797913" w:rsidR="00797913" w:rsidP="00797913" w:rsidRDefault="00797913" w14:paraId="63A047CD" w14:textId="77777777">
            <w:pPr>
              <w:spacing w:line="240" w:lineRule="auto"/>
              <w:ind w:firstLine="0"/>
            </w:pPr>
            <w:r w:rsidRPr="00797913">
              <w:t>Motion filed on Aug. 23, 2021</w:t>
            </w:r>
          </w:p>
        </w:tc>
        <w:tc>
          <w:tcPr>
            <w:tcW w:w="1980" w:type="dxa"/>
          </w:tcPr>
          <w:p w:rsidRPr="00797913" w:rsidR="00797913" w:rsidP="00797913" w:rsidRDefault="00797913" w14:paraId="16EF5ED0" w14:textId="77777777">
            <w:pPr>
              <w:spacing w:line="240" w:lineRule="auto"/>
              <w:ind w:firstLine="0"/>
            </w:pPr>
            <w:r w:rsidRPr="00797913">
              <w:t xml:space="preserve">Granted </w:t>
            </w:r>
          </w:p>
          <w:p w:rsidRPr="00797913" w:rsidR="00797913" w:rsidP="00797913" w:rsidRDefault="00797913" w14:paraId="78151525" w14:textId="77777777">
            <w:pPr>
              <w:spacing w:line="240" w:lineRule="auto"/>
              <w:ind w:firstLine="0"/>
            </w:pPr>
            <w:r w:rsidRPr="00797913">
              <w:t>Ruling</w:t>
            </w:r>
          </w:p>
          <w:p w:rsidRPr="00797913" w:rsidR="00797913" w:rsidP="00797913" w:rsidRDefault="00797913" w14:paraId="5BD92680" w14:textId="77777777">
            <w:pPr>
              <w:spacing w:line="240" w:lineRule="auto"/>
              <w:ind w:firstLine="0"/>
            </w:pPr>
            <w:r w:rsidRPr="00797913">
              <w:t>Sept. 17, 2021</w:t>
            </w:r>
          </w:p>
        </w:tc>
      </w:tr>
      <w:tr w:rsidRPr="00797913" w:rsidR="00797913" w:rsidTr="007F7DA1" w14:paraId="1A636EAE" w14:textId="77777777">
        <w:trPr>
          <w:jc w:val="center"/>
        </w:trPr>
        <w:tc>
          <w:tcPr>
            <w:tcW w:w="2880" w:type="dxa"/>
          </w:tcPr>
          <w:p w:rsidRPr="00797913" w:rsidR="00797913" w:rsidP="00797913" w:rsidRDefault="00797913" w14:paraId="7EDE6042" w14:textId="77777777">
            <w:pPr>
              <w:spacing w:line="240" w:lineRule="auto"/>
              <w:ind w:firstLine="0"/>
            </w:pPr>
            <w:r w:rsidRPr="00797913">
              <w:t xml:space="preserve">California Large Energy Consumers Association </w:t>
            </w:r>
          </w:p>
        </w:tc>
        <w:tc>
          <w:tcPr>
            <w:tcW w:w="1980" w:type="dxa"/>
          </w:tcPr>
          <w:p w:rsidRPr="00797913" w:rsidR="00797913" w:rsidP="00797913" w:rsidRDefault="00797913" w14:paraId="341FBC16" w14:textId="77777777">
            <w:pPr>
              <w:spacing w:line="240" w:lineRule="auto"/>
              <w:ind w:firstLine="0"/>
            </w:pPr>
            <w:r w:rsidRPr="00797913">
              <w:t>CLECA</w:t>
            </w:r>
          </w:p>
        </w:tc>
        <w:tc>
          <w:tcPr>
            <w:tcW w:w="1980" w:type="dxa"/>
          </w:tcPr>
          <w:p w:rsidRPr="00797913" w:rsidR="00797913" w:rsidP="00797913" w:rsidRDefault="00797913" w14:paraId="407F786D" w14:textId="77777777">
            <w:pPr>
              <w:spacing w:line="240" w:lineRule="auto"/>
              <w:ind w:firstLine="0"/>
            </w:pPr>
            <w:r w:rsidRPr="00797913">
              <w:t>Motion filed  Dec. 16, 2021</w:t>
            </w:r>
          </w:p>
        </w:tc>
        <w:tc>
          <w:tcPr>
            <w:tcW w:w="1980" w:type="dxa"/>
          </w:tcPr>
          <w:p w:rsidRPr="00797913" w:rsidR="00797913" w:rsidP="00797913" w:rsidRDefault="00797913" w14:paraId="753BBEAB" w14:textId="77777777">
            <w:pPr>
              <w:spacing w:line="240" w:lineRule="auto"/>
              <w:ind w:firstLine="0"/>
            </w:pPr>
            <w:r w:rsidRPr="00797913">
              <w:t>Granted Ruling</w:t>
            </w:r>
          </w:p>
          <w:p w:rsidRPr="00797913" w:rsidR="00797913" w:rsidP="00797913" w:rsidRDefault="00797913" w14:paraId="100E947E" w14:textId="77777777">
            <w:pPr>
              <w:spacing w:line="240" w:lineRule="auto"/>
              <w:ind w:firstLine="0"/>
            </w:pPr>
            <w:r w:rsidRPr="00797913">
              <w:t>Dec. 17, 2021</w:t>
            </w:r>
          </w:p>
        </w:tc>
      </w:tr>
      <w:tr w:rsidRPr="00797913" w:rsidR="00797913" w:rsidTr="007F7DA1" w14:paraId="7AE89E41" w14:textId="77777777">
        <w:trPr>
          <w:jc w:val="center"/>
        </w:trPr>
        <w:tc>
          <w:tcPr>
            <w:tcW w:w="2880" w:type="dxa"/>
          </w:tcPr>
          <w:p w:rsidRPr="00797913" w:rsidR="00797913" w:rsidP="00797913" w:rsidRDefault="00797913" w14:paraId="7399D8EF" w14:textId="77777777">
            <w:pPr>
              <w:spacing w:line="240" w:lineRule="auto"/>
              <w:ind w:firstLine="0"/>
            </w:pPr>
            <w:r w:rsidRPr="00797913">
              <w:t>California Farm Bureau Federation</w:t>
            </w:r>
          </w:p>
        </w:tc>
        <w:tc>
          <w:tcPr>
            <w:tcW w:w="1980" w:type="dxa"/>
          </w:tcPr>
          <w:p w:rsidRPr="00797913" w:rsidR="00797913" w:rsidP="00797913" w:rsidRDefault="00797913" w14:paraId="70242CDA" w14:textId="77777777">
            <w:pPr>
              <w:spacing w:line="240" w:lineRule="auto"/>
              <w:ind w:firstLine="0"/>
            </w:pPr>
            <w:r w:rsidRPr="00797913">
              <w:t>Farm Bureau</w:t>
            </w:r>
          </w:p>
        </w:tc>
        <w:tc>
          <w:tcPr>
            <w:tcW w:w="1980" w:type="dxa"/>
          </w:tcPr>
          <w:p w:rsidRPr="00797913" w:rsidR="00797913" w:rsidP="00797913" w:rsidRDefault="00797913" w14:paraId="36D993EB" w14:textId="77777777">
            <w:pPr>
              <w:spacing w:line="240" w:lineRule="auto"/>
              <w:ind w:firstLine="0"/>
            </w:pPr>
            <w:r w:rsidRPr="00797913">
              <w:t>Motion filed  Dec. 22, 2021</w:t>
            </w:r>
          </w:p>
        </w:tc>
        <w:tc>
          <w:tcPr>
            <w:tcW w:w="1980" w:type="dxa"/>
          </w:tcPr>
          <w:p w:rsidRPr="00797913" w:rsidR="00797913" w:rsidP="00797913" w:rsidRDefault="00797913" w14:paraId="540C676D" w14:textId="77777777">
            <w:pPr>
              <w:spacing w:line="240" w:lineRule="auto"/>
              <w:ind w:firstLine="0"/>
            </w:pPr>
            <w:r w:rsidRPr="00797913">
              <w:t>Granted Ruling Dec. 22, 2021</w:t>
            </w:r>
          </w:p>
        </w:tc>
      </w:tr>
    </w:tbl>
    <w:p w:rsidRPr="00797913" w:rsidR="00797913" w:rsidP="009B0154" w:rsidRDefault="00797913" w14:paraId="490C25C3" w14:textId="77777777">
      <w:pPr>
        <w:spacing w:line="240" w:lineRule="auto"/>
      </w:pPr>
    </w:p>
    <w:p w:rsidRPr="00797913" w:rsidR="00797913" w:rsidP="00797913" w:rsidRDefault="00797913" w14:paraId="7211974F" w14:textId="77777777">
      <w:pPr>
        <w:rPr>
          <w:szCs w:val="26"/>
        </w:rPr>
      </w:pPr>
      <w:r w:rsidRPr="00797913">
        <w:rPr>
          <w:szCs w:val="26"/>
        </w:rPr>
        <w:t xml:space="preserve">On August 11, 2021, Commissioner Guzman Aceves issued the Scoping Memo and Ruling. </w:t>
      </w:r>
    </w:p>
    <w:p w:rsidRPr="00797913" w:rsidR="00797913" w:rsidP="00797913" w:rsidRDefault="00797913" w14:paraId="27E69A00" w14:textId="1E4E1E9C">
      <w:pPr>
        <w:rPr>
          <w:szCs w:val="26"/>
        </w:rPr>
      </w:pPr>
      <w:r w:rsidRPr="00797913">
        <w:rPr>
          <w:szCs w:val="26"/>
        </w:rPr>
        <w:t>On August 25, 2021, PG&amp;E served Revised Prepared Testimony. On September 2, 2021, PG&amp;E served Supplemental Testimony. On September</w:t>
      </w:r>
      <w:r w:rsidR="00160B90">
        <w:rPr>
          <w:szCs w:val="26"/>
        </w:rPr>
        <w:t> </w:t>
      </w:r>
      <w:r w:rsidRPr="00797913">
        <w:rPr>
          <w:szCs w:val="26"/>
        </w:rPr>
        <w:t>16,</w:t>
      </w:r>
      <w:r w:rsidR="00160B90">
        <w:rPr>
          <w:szCs w:val="26"/>
        </w:rPr>
        <w:t> </w:t>
      </w:r>
      <w:r w:rsidRPr="00797913">
        <w:rPr>
          <w:szCs w:val="26"/>
        </w:rPr>
        <w:t>2021, PG&amp;E served an email correcting portions of the Revised and Supplemental Testimony.</w:t>
      </w:r>
    </w:p>
    <w:p w:rsidRPr="00797913" w:rsidR="00797913" w:rsidP="00797913" w:rsidRDefault="00797913" w14:paraId="54AEC5D8" w14:textId="364B4310">
      <w:r w:rsidRPr="00797913">
        <w:t>On August 31, 2021, the Joint CCAs filed a motion to compel discovery and shorten time to produce documents. PG&amp;E filed a reply on September</w:t>
      </w:r>
      <w:r w:rsidR="009B0154">
        <w:t> </w:t>
      </w:r>
      <w:r w:rsidRPr="00797913">
        <w:t>3,</w:t>
      </w:r>
      <w:r w:rsidR="009B0154">
        <w:t> </w:t>
      </w:r>
      <w:r w:rsidRPr="00797913">
        <w:t xml:space="preserve">2021. On September 30, 2021, the assigned Administrative Law Judge (ALJ) issued a ruling asking for more details about the data requests, </w:t>
      </w:r>
      <w:r w:rsidR="006D40B4">
        <w:t xml:space="preserve">including, </w:t>
      </w:r>
      <w:r w:rsidRPr="00797913">
        <w:t>who had possession of the workpapers and if the workpapers were being prohibited from release by a non-disclosure agreement. On October</w:t>
      </w:r>
      <w:r w:rsidR="00160B90">
        <w:t> </w:t>
      </w:r>
      <w:r w:rsidRPr="00797913">
        <w:t>4,</w:t>
      </w:r>
      <w:r w:rsidR="00160B90">
        <w:t> </w:t>
      </w:r>
      <w:r w:rsidRPr="00797913">
        <w:t>2021, PG&amp;E and the Joint CCAs each filed a response to the ruling.</w:t>
      </w:r>
    </w:p>
    <w:p w:rsidRPr="001F2E29" w:rsidR="00797913" w:rsidP="00797913" w:rsidRDefault="00797913" w14:paraId="4FE8D31F" w14:textId="603F65DB">
      <w:r w:rsidRPr="00797913">
        <w:t xml:space="preserve">On October 5, 2021, the ALJ issued a ruling granting the Joint CCAs’ motion to compel, finding that the information was important </w:t>
      </w:r>
      <w:r w:rsidRPr="001F2E29">
        <w:t xml:space="preserve">since the 2021 PCIA rates are integral to the calculation of the year-end </w:t>
      </w:r>
      <w:r w:rsidRPr="001F2E29" w:rsidR="008859CA">
        <w:t>Portfolio Allocation Balancing Account (</w:t>
      </w:r>
      <w:r w:rsidRPr="001F2E29">
        <w:t>PABA</w:t>
      </w:r>
      <w:r w:rsidRPr="001F2E29" w:rsidR="008859CA">
        <w:t>)</w:t>
      </w:r>
      <w:r w:rsidRPr="001F2E29">
        <w:t xml:space="preserve"> balance that is being used to set the PCIA rates for 2022. The ALJ found the ability to compare the workpapers between the two</w:t>
      </w:r>
      <w:r w:rsidR="00160B90">
        <w:t> </w:t>
      </w:r>
      <w:r w:rsidRPr="001F2E29">
        <w:t>proceedings is critical to the current proceeding and the 2021 workpapers merit scrutiny in that context.</w:t>
      </w:r>
    </w:p>
    <w:p w:rsidRPr="001F2E29" w:rsidR="00797913" w:rsidP="00797913" w:rsidRDefault="00797913" w14:paraId="31F83C6E" w14:textId="77777777">
      <w:r w:rsidRPr="001F2E29">
        <w:t>On October 6, 2021, PG&amp;E served Rebuttal Testimony and an email correcting portions of the Revised Testimony and Supplemental Testimony.</w:t>
      </w:r>
    </w:p>
    <w:p w:rsidRPr="00797913" w:rsidR="00797913" w:rsidP="00797913" w:rsidRDefault="00797913" w14:paraId="1B331E95" w14:textId="525B0B58">
      <w:bookmarkStart w:name="_Hlk91691832" w:id="13"/>
      <w:r w:rsidRPr="00797913">
        <w:t>On October 8, 2021, the assigned ALJ held a status conference</w:t>
      </w:r>
      <w:bookmarkEnd w:id="13"/>
      <w:r w:rsidRPr="00797913">
        <w:t>. Four of the five parties waived evidentiary hearing. The Joint CCAs could not waive evidentiary hearing until PG&amp;E proffered outstanding data requests. At the status conference, Exhibits PGE-1, PGE-1C, PGE-2, PGE-2C, PGE-3, JCCA-01, and JCCA-01-C were entered into evidence.</w:t>
      </w:r>
    </w:p>
    <w:p w:rsidRPr="00797913" w:rsidR="00797913" w:rsidP="00797913" w:rsidRDefault="00797913" w14:paraId="1328ECB5" w14:textId="77777777">
      <w:r w:rsidRPr="00797913">
        <w:t xml:space="preserve">On October 11, 2021, PG&amp;E, on behalf of all parties, notified the service list that an evidentiary hearing was not needed. </w:t>
      </w:r>
    </w:p>
    <w:p w:rsidRPr="00797913" w:rsidR="00797913" w:rsidP="00797913" w:rsidRDefault="00797913" w14:paraId="240DA689" w14:textId="67439CFC">
      <w:r w:rsidRPr="00797913">
        <w:t>On November 8, 2021, PG&amp;E filed its Update to Prepared Testimony, 2022</w:t>
      </w:r>
      <w:r w:rsidR="009B0154">
        <w:t> </w:t>
      </w:r>
      <w:r w:rsidRPr="00797913">
        <w:t>E</w:t>
      </w:r>
      <w:r w:rsidR="00625E4D">
        <w:t>RRA</w:t>
      </w:r>
      <w:r w:rsidRPr="00797913">
        <w:t xml:space="preserve"> and Generation Non-</w:t>
      </w:r>
      <w:proofErr w:type="spellStart"/>
      <w:r w:rsidRPr="00797913">
        <w:t>Bypassable</w:t>
      </w:r>
      <w:proofErr w:type="spellEnd"/>
      <w:r w:rsidRPr="00797913">
        <w:t xml:space="preserve"> Charges Forecast and Greenhouse Gas Forecast Revenue Return and Reconciliation, Public Version. This filing is commonly referred to as “the November Update” in ERRA proceedings. PG&amp;E filed an Errata to the November Update on November 17, 2021.</w:t>
      </w:r>
    </w:p>
    <w:p w:rsidRPr="00797913" w:rsidR="00797913" w:rsidP="00797913" w:rsidRDefault="00797913" w14:paraId="3ABA93E3" w14:textId="77777777">
      <w:r w:rsidRPr="00797913">
        <w:t xml:space="preserve">On November 24, 2021, the assigned ALJ issued a ruling, ordering PG&amp;E to provide additional information to allow the Commission to better evaluate the November Update. Using the November Update as a model, PG&amp;E was directed to submit the following: </w:t>
      </w:r>
    </w:p>
    <w:p w:rsidRPr="00797913" w:rsidR="00797913" w:rsidP="003213D1" w:rsidRDefault="00797913" w14:paraId="22C83532" w14:textId="2153AD9F">
      <w:pPr>
        <w:numPr>
          <w:ilvl w:val="0"/>
          <w:numId w:val="3"/>
        </w:numPr>
        <w:tabs>
          <w:tab w:val="clear" w:pos="360"/>
        </w:tabs>
        <w:spacing w:after="120" w:line="240" w:lineRule="auto"/>
        <w:ind w:left="1080" w:right="1440"/>
      </w:pPr>
      <w:r w:rsidRPr="00797913">
        <w:t>October Update:</w:t>
      </w:r>
      <w:r w:rsidR="00275DE2">
        <w:t xml:space="preserve"> </w:t>
      </w:r>
      <w:r w:rsidRPr="00797913">
        <w:t xml:space="preserve"> based on accounting close balances and </w:t>
      </w:r>
      <w:r w:rsidR="006D40B4">
        <w:t xml:space="preserve">energy </w:t>
      </w:r>
      <w:r w:rsidRPr="00797913">
        <w:t xml:space="preserve">market information as of September 30, 2021.  </w:t>
      </w:r>
    </w:p>
    <w:p w:rsidRPr="00797913" w:rsidR="00797913" w:rsidP="003213D1" w:rsidRDefault="00797913" w14:paraId="75AD8ECF" w14:textId="255957DE">
      <w:pPr>
        <w:numPr>
          <w:ilvl w:val="0"/>
          <w:numId w:val="3"/>
        </w:numPr>
        <w:tabs>
          <w:tab w:val="clear" w:pos="360"/>
        </w:tabs>
        <w:spacing w:after="120" w:line="240" w:lineRule="auto"/>
        <w:ind w:left="1080" w:right="1440"/>
      </w:pPr>
      <w:bookmarkStart w:name="_Hlk93479781" w:id="14"/>
      <w:r w:rsidRPr="00797913">
        <w:t xml:space="preserve">December Update: </w:t>
      </w:r>
      <w:r w:rsidR="00275DE2">
        <w:t xml:space="preserve"> </w:t>
      </w:r>
      <w:r w:rsidRPr="00797913">
        <w:t xml:space="preserve">based on accounting close balances as of November 30, 2021 and the most recent energy market value at the time of filing.  </w:t>
      </w:r>
    </w:p>
    <w:bookmarkEnd w:id="14"/>
    <w:p w:rsidRPr="00797913" w:rsidR="00797913" w:rsidP="00797913" w:rsidRDefault="00797913" w14:paraId="1E4C9EA0" w14:textId="0B6F0F32">
      <w:r w:rsidRPr="00797913">
        <w:t xml:space="preserve">The October Update and the December Update were filed as the Fourth Supplemental Testimony. Replies were filed on December 23, 2021 by the Joint CCAs and jointly by </w:t>
      </w:r>
      <w:r w:rsidRPr="00AC04DB" w:rsidR="00AC04DB">
        <w:t xml:space="preserve">California Large Energy Consumers Association </w:t>
      </w:r>
      <w:r w:rsidR="00AC04DB">
        <w:t>(</w:t>
      </w:r>
      <w:r w:rsidRPr="00797913">
        <w:t>CLECA</w:t>
      </w:r>
      <w:r w:rsidR="00AC04DB">
        <w:t>)</w:t>
      </w:r>
      <w:r w:rsidRPr="00797913">
        <w:t xml:space="preserve"> and </w:t>
      </w:r>
      <w:r w:rsidRPr="00410D2F" w:rsidR="00410D2F">
        <w:t xml:space="preserve">Agricultural Energy Consumer Association </w:t>
      </w:r>
      <w:r w:rsidR="00410D2F">
        <w:t>(</w:t>
      </w:r>
      <w:r w:rsidRPr="00797913">
        <w:t>AECA</w:t>
      </w:r>
      <w:r w:rsidR="00410D2F">
        <w:t>).</w:t>
      </w:r>
      <w:r w:rsidRPr="00797913">
        <w:t xml:space="preserve"> PG&amp;E filed Reply Comments on January 4, 2022.</w:t>
      </w:r>
    </w:p>
    <w:p w:rsidRPr="00797913" w:rsidR="00797913" w:rsidP="00797913" w:rsidRDefault="00797913" w14:paraId="7C6E2AAD" w14:textId="2FCF91FF">
      <w:r w:rsidRPr="00797913">
        <w:t xml:space="preserve">On December 20, 2021, the assigned ALJ issued a ruling ordering PG&amp;E to provide analysis concerning the ERRA balance in the December Update given two scenarios: </w:t>
      </w:r>
      <w:r w:rsidR="00275DE2">
        <w:t xml:space="preserve"> </w:t>
      </w:r>
      <w:r w:rsidRPr="00797913">
        <w:t xml:space="preserve">amortizing the 2021 ERRA balance over an 18-month period and over a 24-month period. The parties were also ordered to meet and confer on the amortization periods and submit </w:t>
      </w:r>
      <w:r w:rsidR="00216F5C">
        <w:t xml:space="preserve">a </w:t>
      </w:r>
      <w:r w:rsidRPr="00797913">
        <w:t>joint or individual statements.</w:t>
      </w:r>
    </w:p>
    <w:p w:rsidRPr="00797913" w:rsidR="00797913" w:rsidP="00797913" w:rsidRDefault="00797913" w14:paraId="296824C9" w14:textId="7EB30EC8">
      <w:pPr>
        <w:rPr>
          <w:szCs w:val="26"/>
        </w:rPr>
      </w:pPr>
      <w:r w:rsidRPr="00797913">
        <w:rPr>
          <w:szCs w:val="26"/>
        </w:rPr>
        <w:t>On December 21, 2021, the proceeding was reassigned to Commission</w:t>
      </w:r>
      <w:r w:rsidR="00216F5C">
        <w:rPr>
          <w:szCs w:val="26"/>
        </w:rPr>
        <w:t xml:space="preserve">er </w:t>
      </w:r>
      <w:r w:rsidRPr="00797913">
        <w:rPr>
          <w:szCs w:val="26"/>
        </w:rPr>
        <w:t xml:space="preserve">Genevieve Shiroma.  </w:t>
      </w:r>
    </w:p>
    <w:p w:rsidRPr="00797913" w:rsidR="00797913" w:rsidP="00797913" w:rsidRDefault="00797913" w14:paraId="1B580944" w14:textId="77777777">
      <w:pPr>
        <w:rPr>
          <w:szCs w:val="26"/>
        </w:rPr>
      </w:pPr>
      <w:r w:rsidRPr="00797913">
        <w:rPr>
          <w:szCs w:val="26"/>
        </w:rPr>
        <w:t xml:space="preserve">On December 28, 2021, PG&amp;E served its Fifth Supplemental Testimony with analysis for the two amortization periods.  </w:t>
      </w:r>
    </w:p>
    <w:p w:rsidRPr="00797913" w:rsidR="00797913" w:rsidP="00797913" w:rsidRDefault="00797913" w14:paraId="1B682BCE" w14:textId="2082FC97">
      <w:pPr>
        <w:rPr>
          <w:szCs w:val="26"/>
        </w:rPr>
      </w:pPr>
      <w:r w:rsidRPr="00797913">
        <w:rPr>
          <w:szCs w:val="26"/>
        </w:rPr>
        <w:t xml:space="preserve">On January 6, 2022, joint statements regarding the analysis on the amortization periods were filed by two groups: </w:t>
      </w:r>
      <w:r w:rsidR="00275DE2">
        <w:rPr>
          <w:szCs w:val="26"/>
        </w:rPr>
        <w:t xml:space="preserve"> </w:t>
      </w:r>
      <w:r w:rsidR="00216F5C">
        <w:rPr>
          <w:szCs w:val="26"/>
        </w:rPr>
        <w:t>1</w:t>
      </w:r>
      <w:r w:rsidRPr="00797913">
        <w:rPr>
          <w:szCs w:val="26"/>
        </w:rPr>
        <w:t>) PG&amp;E, the Joint CCAs, Cal</w:t>
      </w:r>
      <w:r w:rsidR="009B0154">
        <w:rPr>
          <w:szCs w:val="26"/>
        </w:rPr>
        <w:t> </w:t>
      </w:r>
      <w:r w:rsidRPr="00797913">
        <w:rPr>
          <w:szCs w:val="26"/>
        </w:rPr>
        <w:t xml:space="preserve">CCA, DACC and Cal Advocates, and </w:t>
      </w:r>
      <w:r w:rsidR="00216F5C">
        <w:rPr>
          <w:szCs w:val="26"/>
        </w:rPr>
        <w:t>2</w:t>
      </w:r>
      <w:r w:rsidRPr="00797913">
        <w:rPr>
          <w:szCs w:val="26"/>
        </w:rPr>
        <w:t>) CLECA, AECA and Farm Bureau.</w:t>
      </w:r>
    </w:p>
    <w:p w:rsidRPr="00E8477B" w:rsidR="00C93BA3" w:rsidP="00C93BA3" w:rsidRDefault="00C93BA3" w14:paraId="5BA1603E" w14:textId="03667C92">
      <w:pPr>
        <w:rPr>
          <w:szCs w:val="26"/>
        </w:rPr>
      </w:pPr>
      <w:r w:rsidRPr="005B1F5A">
        <w:rPr>
          <w:szCs w:val="26"/>
        </w:rPr>
        <w:t>On January 7, 2022, the ALJ emailed a procedural communication to the parties to stipulate to a seven</w:t>
      </w:r>
      <w:r w:rsidR="00763984">
        <w:rPr>
          <w:szCs w:val="26"/>
        </w:rPr>
        <w:t>-</w:t>
      </w:r>
      <w:r w:rsidRPr="005B1F5A">
        <w:rPr>
          <w:szCs w:val="26"/>
        </w:rPr>
        <w:t>day comment period and a three</w:t>
      </w:r>
      <w:r w:rsidR="00763984">
        <w:rPr>
          <w:szCs w:val="26"/>
        </w:rPr>
        <w:t>-</w:t>
      </w:r>
      <w:r w:rsidRPr="005B1F5A">
        <w:rPr>
          <w:szCs w:val="26"/>
        </w:rPr>
        <w:t xml:space="preserve">day reply period after the proposed decision is mailed. On January 7, 2022, DACC stipulated to the shortened comment periods. On January 8, 2022, the Joint CCAs so stipulated. On January 10, 2022, PG&amp;E and Cal Advocates agreed to the shortened comment periods. On January 11, 2022, AECA, Farm Bureau, CLECA and Cal CCA stipulated to the shortened comment period.  </w:t>
      </w:r>
    </w:p>
    <w:p w:rsidRPr="00797913" w:rsidR="00797913" w:rsidP="00797913" w:rsidRDefault="00797913" w14:paraId="73F65229" w14:textId="23C89118">
      <w:pPr>
        <w:rPr>
          <w:szCs w:val="26"/>
        </w:rPr>
      </w:pPr>
      <w:r w:rsidRPr="00797913">
        <w:rPr>
          <w:szCs w:val="26"/>
        </w:rPr>
        <w:t xml:space="preserve">All motions to enter exhibits into evidence, including requests to file documents under seal, were granted in a ruling on January </w:t>
      </w:r>
      <w:r w:rsidR="00216F5C">
        <w:rPr>
          <w:szCs w:val="26"/>
        </w:rPr>
        <w:t>2</w:t>
      </w:r>
      <w:r w:rsidR="0031060B">
        <w:rPr>
          <w:szCs w:val="26"/>
        </w:rPr>
        <w:t>6</w:t>
      </w:r>
      <w:r w:rsidRPr="00797913">
        <w:rPr>
          <w:szCs w:val="26"/>
        </w:rPr>
        <w:t>, 202</w:t>
      </w:r>
      <w:r w:rsidR="00BD2082">
        <w:rPr>
          <w:szCs w:val="26"/>
        </w:rPr>
        <w:t>2</w:t>
      </w:r>
      <w:r w:rsidRPr="00797913">
        <w:rPr>
          <w:szCs w:val="26"/>
        </w:rPr>
        <w:t>. The same ruling granted all parties’ requests to seal portions of the evidentiary record</w:t>
      </w:r>
      <w:r w:rsidR="00216F5C">
        <w:rPr>
          <w:szCs w:val="26"/>
        </w:rPr>
        <w:t xml:space="preserve"> and to file confidential materials under seal.</w:t>
      </w:r>
      <w:r w:rsidRPr="00797913">
        <w:rPr>
          <w:szCs w:val="26"/>
        </w:rPr>
        <w:t xml:space="preserve"> </w:t>
      </w:r>
    </w:p>
    <w:p w:rsidRPr="00797913" w:rsidR="00797913" w:rsidP="007B69FC" w:rsidRDefault="00797913" w14:paraId="4BBAF098" w14:textId="77777777">
      <w:pPr>
        <w:pStyle w:val="Heading1"/>
        <w:numPr>
          <w:ilvl w:val="0"/>
          <w:numId w:val="11"/>
        </w:numPr>
      </w:pPr>
      <w:bookmarkStart w:name="_Toc8123719" w:id="15"/>
      <w:bookmarkStart w:name="_Toc93499870" w:id="16"/>
      <w:bookmarkStart w:name="_Toc95469363" w:id="17"/>
      <w:r w:rsidRPr="00797913">
        <w:t>Issues Before the Commission</w:t>
      </w:r>
      <w:bookmarkEnd w:id="15"/>
      <w:bookmarkEnd w:id="16"/>
      <w:bookmarkEnd w:id="17"/>
    </w:p>
    <w:p w:rsidRPr="00797913" w:rsidR="00797913" w:rsidP="00797913" w:rsidRDefault="00797913" w14:paraId="5DACE13E" w14:textId="77777777">
      <w:r w:rsidRPr="00797913">
        <w:t xml:space="preserve">The PG&amp;E ERRA Forecast application is filed annually to adjust electricity rates for the coming year. The issues before the Commission include:  </w:t>
      </w:r>
    </w:p>
    <w:p w:rsidRPr="00797913" w:rsidR="00797913" w:rsidP="003213D1" w:rsidRDefault="00797913" w14:paraId="4C49E230" w14:textId="33335112">
      <w:pPr>
        <w:numPr>
          <w:ilvl w:val="7"/>
          <w:numId w:val="4"/>
        </w:numPr>
        <w:spacing w:after="120" w:line="240" w:lineRule="auto"/>
        <w:ind w:right="1440"/>
      </w:pPr>
      <w:r w:rsidRPr="00797913">
        <w:t>Whether PG&amp;E’s requested 2022 ERRA Forecast revenue requirement, Cost Allocation Mechanism/New System Generation Charge</w:t>
      </w:r>
      <w:r w:rsidR="002D2968">
        <w:t xml:space="preserve"> (NSGC)</w:t>
      </w:r>
      <w:r w:rsidRPr="00797913">
        <w:t>, PCIA, Ongoing Competition Transmission Charge, and Tree Mortality Non-</w:t>
      </w:r>
      <w:proofErr w:type="spellStart"/>
      <w:r w:rsidRPr="00797913">
        <w:t>Bypassable</w:t>
      </w:r>
      <w:proofErr w:type="spellEnd"/>
      <w:r w:rsidRPr="00797913">
        <w:t xml:space="preserve"> Charge are reasonable and should be adopted;</w:t>
      </w:r>
    </w:p>
    <w:p w:rsidRPr="00797913" w:rsidR="00797913" w:rsidP="003213D1" w:rsidRDefault="00797913" w14:paraId="49771D09" w14:textId="77777777">
      <w:pPr>
        <w:numPr>
          <w:ilvl w:val="7"/>
          <w:numId w:val="4"/>
        </w:numPr>
        <w:spacing w:after="120" w:line="240" w:lineRule="auto"/>
        <w:ind w:right="1440"/>
      </w:pPr>
      <w:r w:rsidRPr="00275DE2">
        <w:t>Whether the Commission should adopt PG&amp;E’s 2022 electric sales forecast;</w:t>
      </w:r>
    </w:p>
    <w:p w:rsidRPr="00797913" w:rsidR="00797913" w:rsidP="003213D1" w:rsidRDefault="00797913" w14:paraId="79A1B4B0" w14:textId="77777777">
      <w:pPr>
        <w:numPr>
          <w:ilvl w:val="7"/>
          <w:numId w:val="4"/>
        </w:numPr>
        <w:spacing w:after="120" w:line="240" w:lineRule="auto"/>
        <w:ind w:right="1440"/>
      </w:pPr>
      <w:r w:rsidRPr="00275DE2">
        <w:t>Whether the Commission should adopt PG&amp;E’s 2022 Greenhouse Gas (GHG) Related Forecast and Expenses, including Administrative and Outreach Expenses, Customer Generation Programs costs, Net GHG revenue return, and Semi-Annual Residential California Climate Credit;</w:t>
      </w:r>
    </w:p>
    <w:p w:rsidRPr="00797913" w:rsidR="00797913" w:rsidP="003213D1" w:rsidRDefault="00797913" w14:paraId="4B9DBCA6" w14:textId="77777777">
      <w:pPr>
        <w:numPr>
          <w:ilvl w:val="7"/>
          <w:numId w:val="4"/>
        </w:numPr>
        <w:spacing w:after="120" w:line="240" w:lineRule="auto"/>
        <w:ind w:right="1440"/>
      </w:pPr>
      <w:r w:rsidRPr="00275DE2">
        <w:t>Whether PG&amp;E’s recorded 2020 GHG administrative and outreach expenses of $598,000 are reasonable;</w:t>
      </w:r>
    </w:p>
    <w:p w:rsidRPr="00797913" w:rsidR="00797913" w:rsidP="003213D1" w:rsidRDefault="00797913" w14:paraId="7D5AF7C1" w14:textId="183179AE">
      <w:pPr>
        <w:numPr>
          <w:ilvl w:val="7"/>
          <w:numId w:val="4"/>
        </w:numPr>
        <w:spacing w:after="120" w:line="240" w:lineRule="auto"/>
        <w:ind w:right="1440"/>
      </w:pPr>
      <w:r w:rsidRPr="00275DE2">
        <w:t>Whether all calculations and entries, including but not limited to Cost Allocation Mechanism/</w:t>
      </w:r>
      <w:r w:rsidR="001F2E29">
        <w:t>NSGC</w:t>
      </w:r>
      <w:r w:rsidRPr="00275DE2">
        <w:t>, PCIA, Ongoing CTC, ERRA, ERRA</w:t>
      </w:r>
      <w:r w:rsidR="00275DE2">
        <w:noBreakHyphen/>
      </w:r>
      <w:r w:rsidRPr="00275DE2">
        <w:t xml:space="preserve">PCIA Financing Subaccount, PCIA Under-Collection Balancing Account, Non-Vintage PCIA, </w:t>
      </w:r>
      <w:r w:rsidRPr="00797913">
        <w:t>Tree Mortality Non-</w:t>
      </w:r>
      <w:proofErr w:type="spellStart"/>
      <w:r w:rsidRPr="00797913">
        <w:t>Bypassable</w:t>
      </w:r>
      <w:proofErr w:type="spellEnd"/>
      <w:r w:rsidRPr="00797913">
        <w:t xml:space="preserve"> Charge</w:t>
      </w:r>
      <w:r w:rsidRPr="00275DE2">
        <w:t>, Bioenergy Market Adjusting Tariff, and GHG related items, including the funding of GHG clean energy programs, are in compliance with all applicable rules, regulations, resolutions and decisions for all customer classes;</w:t>
      </w:r>
    </w:p>
    <w:p w:rsidRPr="00797913" w:rsidR="00797913" w:rsidP="003213D1" w:rsidRDefault="00797913" w14:paraId="25DFA3F2" w14:textId="77777777">
      <w:pPr>
        <w:numPr>
          <w:ilvl w:val="7"/>
          <w:numId w:val="4"/>
        </w:numPr>
        <w:spacing w:after="120" w:line="240" w:lineRule="auto"/>
        <w:ind w:right="1440"/>
      </w:pPr>
      <w:r w:rsidRPr="00275DE2">
        <w:t>Whether the Commission should approve the rate proposal associated with PG&amp;E’s proposed electric-procurement related revenue requirements, including its 2022 Green Tariff Shared Renewables rate proposal;</w:t>
      </w:r>
    </w:p>
    <w:p w:rsidRPr="00797913" w:rsidR="00797913" w:rsidP="003213D1" w:rsidRDefault="00797913" w14:paraId="0FA14612" w14:textId="0EC398CB">
      <w:pPr>
        <w:numPr>
          <w:ilvl w:val="7"/>
          <w:numId w:val="4"/>
        </w:numPr>
        <w:spacing w:after="120" w:line="240" w:lineRule="auto"/>
        <w:ind w:right="1440"/>
      </w:pPr>
      <w:r w:rsidRPr="00275DE2">
        <w:t>Whether the Commission should approve PG&amp;E’s disposition of year-end 2021 ERRA balance, excluding deferred revenue resulting from capped vintage 2020 PCIA rates, to the 2021 vintage subaccount of the PABA;</w:t>
      </w:r>
    </w:p>
    <w:p w:rsidRPr="00797913" w:rsidR="00797913" w:rsidP="003213D1" w:rsidRDefault="00797913" w14:paraId="3909DB22" w14:textId="0BF419E6">
      <w:pPr>
        <w:numPr>
          <w:ilvl w:val="7"/>
          <w:numId w:val="4"/>
        </w:numPr>
        <w:spacing w:after="120" w:line="240" w:lineRule="auto"/>
        <w:ind w:right="1440"/>
      </w:pPr>
      <w:r w:rsidRPr="00275DE2">
        <w:t xml:space="preserve">Whether the Commission should approve PG&amp;E’s proposal to transfer certain public-policy procurement costs from its PABA non-vintaged subaccount to a new subaccount in the Public Policy Charge Balancing Account for recovery from all customers through the Public Purpose Program </w:t>
      </w:r>
      <w:r w:rsidR="000D4F6F">
        <w:t xml:space="preserve">(PPP) </w:t>
      </w:r>
      <w:r w:rsidRPr="00275DE2">
        <w:t>charge on a going forward basis;</w:t>
      </w:r>
    </w:p>
    <w:p w:rsidRPr="00797913" w:rsidR="00797913" w:rsidP="003213D1" w:rsidRDefault="00797913" w14:paraId="4A2882D7" w14:textId="77777777">
      <w:pPr>
        <w:numPr>
          <w:ilvl w:val="7"/>
          <w:numId w:val="4"/>
        </w:numPr>
        <w:spacing w:after="120" w:line="240" w:lineRule="auto"/>
        <w:ind w:right="1440"/>
      </w:pPr>
      <w:r w:rsidRPr="00275DE2">
        <w:t>Whether PG&amp;E’s proposal to transfer the year-end 2021 ERRA account balance, less amounts associated with the ERRA-PCIA Financing Subaccount, to the latest vintage of the PABA is reasonable;</w:t>
      </w:r>
    </w:p>
    <w:p w:rsidRPr="00797913" w:rsidR="00797913" w:rsidP="003213D1" w:rsidRDefault="00797913" w14:paraId="0F3043A1" w14:textId="77777777">
      <w:pPr>
        <w:numPr>
          <w:ilvl w:val="7"/>
          <w:numId w:val="4"/>
        </w:numPr>
        <w:spacing w:after="120" w:line="240" w:lineRule="auto"/>
        <w:ind w:right="1440"/>
      </w:pPr>
      <w:r w:rsidRPr="00275DE2">
        <w:t>Whether the Commission should allow PG&amp;E to correct an error related to the 2021 Community Green Solar Tariff program set aside amount in Decision 20-12-038 in this proceeding;</w:t>
      </w:r>
    </w:p>
    <w:p w:rsidRPr="00797913" w:rsidR="00797913" w:rsidP="003213D1" w:rsidRDefault="00797913" w14:paraId="499F42F1" w14:textId="77777777">
      <w:pPr>
        <w:numPr>
          <w:ilvl w:val="7"/>
          <w:numId w:val="4"/>
        </w:numPr>
        <w:spacing w:after="120" w:line="240" w:lineRule="auto"/>
        <w:ind w:right="1440"/>
      </w:pPr>
      <w:r w:rsidRPr="00275DE2">
        <w:t>Whether there are any safety considerations raised by this application; and</w:t>
      </w:r>
    </w:p>
    <w:p w:rsidR="00797913" w:rsidP="003213D1" w:rsidRDefault="00797913" w14:paraId="7DD7EE04" w14:textId="5A0D283C">
      <w:pPr>
        <w:numPr>
          <w:ilvl w:val="7"/>
          <w:numId w:val="4"/>
        </w:numPr>
        <w:spacing w:after="120" w:line="240" w:lineRule="auto"/>
        <w:ind w:right="1440"/>
      </w:pPr>
      <w:r w:rsidRPr="00275DE2">
        <w:t>Whether the Application aligns with or impacts the achievement of any of the nine goals of the Commission’s Environmental and Social Justice Action Plan.</w:t>
      </w:r>
    </w:p>
    <w:p w:rsidRPr="00797913" w:rsidR="00797913" w:rsidP="007B69FC" w:rsidRDefault="00797913" w14:paraId="5FD300D1" w14:textId="35DF3FB0">
      <w:pPr>
        <w:pStyle w:val="Heading1"/>
        <w:numPr>
          <w:ilvl w:val="0"/>
          <w:numId w:val="11"/>
        </w:numPr>
      </w:pPr>
      <w:bookmarkStart w:name="_Toc93499871" w:id="18"/>
      <w:bookmarkStart w:name="_Toc95469364" w:id="19"/>
      <w:r w:rsidRPr="00797913">
        <w:t>Overview of PG&amp;E’s 2022 Forecast</w:t>
      </w:r>
      <w:r w:rsidR="00CF4768">
        <w:br/>
      </w:r>
      <w:r w:rsidRPr="00797913">
        <w:t>and Revenue Requirement Requests</w:t>
      </w:r>
      <w:bookmarkEnd w:id="18"/>
      <w:bookmarkEnd w:id="19"/>
    </w:p>
    <w:p w:rsidRPr="00797913" w:rsidR="00797913" w:rsidP="00797913" w:rsidRDefault="00797913" w14:paraId="3CD34B63" w14:textId="3ADF2A83">
      <w:r w:rsidRPr="00797913">
        <w:t xml:space="preserve">PG&amp;E’s application requests Commission approval of several procurement-related revenue requirement forecasts: </w:t>
      </w:r>
      <w:r w:rsidR="0050313D">
        <w:t xml:space="preserve"> </w:t>
      </w:r>
      <w:r w:rsidRPr="00797913">
        <w:t xml:space="preserve">1) adoption of its 2022 electric procurement revenue requirement forecast to become effective in rates on </w:t>
      </w:r>
      <w:r w:rsidR="009C0FB4">
        <w:t>March</w:t>
      </w:r>
      <w:r w:rsidRPr="00797913">
        <w:t xml:space="preserve"> 1, 2022; 2) adoption of its forecasted electric sales for 202</w:t>
      </w:r>
      <w:r w:rsidR="00FF40AB">
        <w:t>2</w:t>
      </w:r>
      <w:r w:rsidRPr="00797913">
        <w:t>, and 3) adoption of its forecast of GHG revenues, revenue return, and administrative and customer outreach costs for 2022 and approval of PG&amp;E’s 2020 GHG administrative and customer outreach costs as reasonable.</w:t>
      </w:r>
    </w:p>
    <w:p w:rsidRPr="00797913" w:rsidR="00797913" w:rsidP="000F78FF" w:rsidRDefault="00797913" w14:paraId="10FFD94D" w14:textId="31E691C1">
      <w:pPr>
        <w:pStyle w:val="Heading2"/>
      </w:pPr>
      <w:bookmarkStart w:name="_Toc93499872" w:id="20"/>
      <w:bookmarkStart w:name="_Toc95469365" w:id="21"/>
      <w:r w:rsidRPr="00797913">
        <w:t>November Update</w:t>
      </w:r>
      <w:bookmarkEnd w:id="20"/>
      <w:bookmarkEnd w:id="21"/>
    </w:p>
    <w:p w:rsidRPr="00797913" w:rsidR="00797913" w:rsidP="00797913" w:rsidRDefault="00797913" w14:paraId="42402BA0" w14:textId="2BA2CD87">
      <w:pPr>
        <w:rPr>
          <w:color w:val="000000"/>
          <w:szCs w:val="26"/>
          <w:shd w:val="clear" w:color="auto" w:fill="FFFFFF"/>
        </w:rPr>
      </w:pPr>
      <w:r w:rsidRPr="00797913">
        <w:t>As in prior years, the procedural schedule require</w:t>
      </w:r>
      <w:r w:rsidR="00B66195">
        <w:t>s</w:t>
      </w:r>
      <w:r w:rsidRPr="00797913">
        <w:t xml:space="preserve"> PG&amp;E to provide an update to its calculations in November. </w:t>
      </w:r>
      <w:r w:rsidRPr="00797913">
        <w:rPr>
          <w:color w:val="000000"/>
          <w:szCs w:val="26"/>
          <w:shd w:val="clear" w:color="auto" w:fill="FFFFFF"/>
        </w:rPr>
        <w:t>The November Update includes refreshe</w:t>
      </w:r>
      <w:r w:rsidR="002E092D">
        <w:rPr>
          <w:color w:val="000000"/>
          <w:szCs w:val="26"/>
          <w:shd w:val="clear" w:color="auto" w:fill="FFFFFF"/>
        </w:rPr>
        <w:t>s</w:t>
      </w:r>
      <w:r w:rsidRPr="00797913">
        <w:rPr>
          <w:color w:val="000000"/>
          <w:szCs w:val="26"/>
          <w:shd w:val="clear" w:color="auto" w:fill="FFFFFF"/>
        </w:rPr>
        <w:t xml:space="preserve"> data based on recent energy market information and actual costs incurred by the utility. The November Update is intended to allow parties and the Commission to evaluate the ERRA forecast application using</w:t>
      </w:r>
      <w:r w:rsidR="004843B4">
        <w:rPr>
          <w:color w:val="000000"/>
          <w:szCs w:val="26"/>
          <w:shd w:val="clear" w:color="auto" w:fill="FFFFFF"/>
        </w:rPr>
        <w:t xml:space="preserve"> </w:t>
      </w:r>
      <w:r w:rsidRPr="00797913">
        <w:rPr>
          <w:color w:val="000000"/>
          <w:szCs w:val="26"/>
          <w:shd w:val="clear" w:color="auto" w:fill="FFFFFF"/>
        </w:rPr>
        <w:t>updated</w:t>
      </w:r>
      <w:r w:rsidR="004843B4">
        <w:rPr>
          <w:color w:val="000000"/>
          <w:szCs w:val="26"/>
          <w:shd w:val="clear" w:color="auto" w:fill="FFFFFF"/>
        </w:rPr>
        <w:t> </w:t>
      </w:r>
      <w:r w:rsidRPr="00797913">
        <w:rPr>
          <w:color w:val="000000"/>
          <w:szCs w:val="26"/>
          <w:shd w:val="clear" w:color="auto" w:fill="FFFFFF"/>
        </w:rPr>
        <w:t>data.</w:t>
      </w:r>
    </w:p>
    <w:p w:rsidRPr="00797913" w:rsidR="00797913" w:rsidP="00797913" w:rsidRDefault="00797913" w14:paraId="32D66BFF" w14:textId="226232FB">
      <w:r w:rsidRPr="00797913">
        <w:rPr>
          <w:color w:val="000000"/>
          <w:szCs w:val="26"/>
          <w:shd w:val="clear" w:color="auto" w:fill="FFFFFF"/>
        </w:rPr>
        <w:t>This year the November Update reflected a significant increase</w:t>
      </w:r>
      <w:r w:rsidR="004843B4">
        <w:rPr>
          <w:color w:val="000000"/>
          <w:szCs w:val="26"/>
          <w:shd w:val="clear" w:color="auto" w:fill="FFFFFF"/>
        </w:rPr>
        <w:t xml:space="preserve"> </w:t>
      </w:r>
      <w:r w:rsidRPr="00797913">
        <w:rPr>
          <w:color w:val="000000"/>
          <w:szCs w:val="26"/>
          <w:shd w:val="clear" w:color="auto" w:fill="FFFFFF"/>
        </w:rPr>
        <w:t>in</w:t>
      </w:r>
      <w:r w:rsidR="004843B4">
        <w:rPr>
          <w:color w:val="000000"/>
          <w:szCs w:val="26"/>
          <w:shd w:val="clear" w:color="auto" w:fill="FFFFFF"/>
        </w:rPr>
        <w:t xml:space="preserve"> </w:t>
      </w:r>
      <w:r w:rsidRPr="00797913">
        <w:rPr>
          <w:color w:val="000000"/>
          <w:szCs w:val="26"/>
          <w:shd w:val="clear" w:color="auto" w:fill="FFFFFF"/>
        </w:rPr>
        <w:t>energy prices, caused by increased natural gas prices world-wide.</w:t>
      </w:r>
      <w:r w:rsidR="004843B4">
        <w:rPr>
          <w:color w:val="000000"/>
          <w:szCs w:val="26"/>
          <w:shd w:val="clear" w:color="auto" w:fill="FFFFFF"/>
        </w:rPr>
        <w:t xml:space="preserve"> </w:t>
      </w:r>
      <w:r w:rsidRPr="00797913">
        <w:rPr>
          <w:color w:val="000000"/>
          <w:szCs w:val="26"/>
          <w:shd w:val="clear" w:color="auto" w:fill="FFFFFF"/>
        </w:rPr>
        <w:t>As a</w:t>
      </w:r>
      <w:r w:rsidR="004843B4">
        <w:rPr>
          <w:color w:val="000000"/>
          <w:szCs w:val="26"/>
          <w:shd w:val="clear" w:color="auto" w:fill="FFFFFF"/>
        </w:rPr>
        <w:t xml:space="preserve"> </w:t>
      </w:r>
      <w:r w:rsidRPr="00797913">
        <w:rPr>
          <w:color w:val="000000"/>
          <w:szCs w:val="26"/>
          <w:shd w:val="clear" w:color="auto" w:fill="FFFFFF"/>
        </w:rPr>
        <w:t>result</w:t>
      </w:r>
      <w:r w:rsidR="00B66195">
        <w:rPr>
          <w:color w:val="000000"/>
          <w:szCs w:val="26"/>
          <w:shd w:val="clear" w:color="auto" w:fill="FFFFFF"/>
        </w:rPr>
        <w:t>,</w:t>
      </w:r>
      <w:r w:rsidR="004843B4">
        <w:rPr>
          <w:color w:val="000000"/>
          <w:szCs w:val="26"/>
          <w:shd w:val="clear" w:color="auto" w:fill="FFFFFF"/>
        </w:rPr>
        <w:t xml:space="preserve"> </w:t>
      </w:r>
      <w:r w:rsidRPr="00797913">
        <w:rPr>
          <w:color w:val="000000"/>
          <w:szCs w:val="26"/>
          <w:shd w:val="clear" w:color="auto" w:fill="FFFFFF"/>
        </w:rPr>
        <w:t>the</w:t>
      </w:r>
      <w:r w:rsidR="004843B4">
        <w:rPr>
          <w:color w:val="000000"/>
          <w:szCs w:val="26"/>
          <w:shd w:val="clear" w:color="auto" w:fill="FFFFFF"/>
        </w:rPr>
        <w:t xml:space="preserve"> </w:t>
      </w:r>
      <w:r w:rsidRPr="00797913">
        <w:rPr>
          <w:color w:val="000000"/>
          <w:szCs w:val="26"/>
          <w:shd w:val="clear" w:color="auto" w:fill="FFFFFF"/>
        </w:rPr>
        <w:t>November Update</w:t>
      </w:r>
      <w:r w:rsidR="00B66195">
        <w:rPr>
          <w:color w:val="000000"/>
          <w:szCs w:val="26"/>
          <w:shd w:val="clear" w:color="auto" w:fill="FFFFFF"/>
        </w:rPr>
        <w:t xml:space="preserve"> </w:t>
      </w:r>
      <w:r w:rsidRPr="00797913">
        <w:rPr>
          <w:color w:val="000000"/>
          <w:szCs w:val="26"/>
          <w:shd w:val="clear" w:color="auto" w:fill="FFFFFF"/>
        </w:rPr>
        <w:t>forecast</w:t>
      </w:r>
      <w:r w:rsidR="0035236C">
        <w:rPr>
          <w:color w:val="000000"/>
          <w:szCs w:val="26"/>
          <w:shd w:val="clear" w:color="auto" w:fill="FFFFFF"/>
        </w:rPr>
        <w:t xml:space="preserve"> </w:t>
      </w:r>
      <w:r w:rsidRPr="00797913">
        <w:rPr>
          <w:color w:val="000000"/>
          <w:szCs w:val="26"/>
          <w:shd w:val="clear" w:color="auto" w:fill="FFFFFF"/>
        </w:rPr>
        <w:t>a</w:t>
      </w:r>
      <w:r w:rsidR="0093463F">
        <w:rPr>
          <w:color w:val="000000"/>
          <w:szCs w:val="26"/>
          <w:shd w:val="clear" w:color="auto" w:fill="FFFFFF"/>
        </w:rPr>
        <w:t xml:space="preserve"> </w:t>
      </w:r>
      <w:r w:rsidRPr="00797913">
        <w:rPr>
          <w:color w:val="000000"/>
          <w:szCs w:val="26"/>
          <w:shd w:val="clear" w:color="auto" w:fill="FFFFFF"/>
        </w:rPr>
        <w:t>roughly</w:t>
      </w:r>
      <w:r w:rsidR="0093463F">
        <w:rPr>
          <w:color w:val="000000"/>
          <w:szCs w:val="26"/>
          <w:shd w:val="clear" w:color="auto" w:fill="FFFFFF"/>
        </w:rPr>
        <w:t xml:space="preserve"> </w:t>
      </w:r>
      <w:r w:rsidRPr="00797913">
        <w:rPr>
          <w:color w:val="000000"/>
          <w:szCs w:val="26"/>
          <w:shd w:val="clear" w:color="auto" w:fill="FFFFFF"/>
        </w:rPr>
        <w:t>$630 million</w:t>
      </w:r>
      <w:r w:rsidR="0093463F">
        <w:rPr>
          <w:color w:val="000000"/>
          <w:szCs w:val="26"/>
          <w:shd w:val="clear" w:color="auto" w:fill="FFFFFF"/>
        </w:rPr>
        <w:t xml:space="preserve"> </w:t>
      </w:r>
      <w:proofErr w:type="spellStart"/>
      <w:r w:rsidRPr="00797913">
        <w:rPr>
          <w:color w:val="000000"/>
          <w:szCs w:val="26"/>
          <w:shd w:val="clear" w:color="auto" w:fill="FFFFFF"/>
        </w:rPr>
        <w:t>undercollection</w:t>
      </w:r>
      <w:proofErr w:type="spellEnd"/>
      <w:r w:rsidR="000A7996">
        <w:rPr>
          <w:color w:val="000000"/>
          <w:szCs w:val="26"/>
          <w:shd w:val="clear" w:color="auto" w:fill="FFFFFF"/>
        </w:rPr>
        <w:t xml:space="preserve"> in 2021</w:t>
      </w:r>
      <w:r w:rsidR="0035236C">
        <w:rPr>
          <w:color w:val="000000"/>
          <w:szCs w:val="26"/>
          <w:shd w:val="clear" w:color="auto" w:fill="FFFFFF"/>
        </w:rPr>
        <w:t xml:space="preserve"> </w:t>
      </w:r>
      <w:r w:rsidRPr="00797913">
        <w:rPr>
          <w:color w:val="000000"/>
          <w:szCs w:val="26"/>
          <w:shd w:val="clear" w:color="auto" w:fill="FFFFFF"/>
        </w:rPr>
        <w:t>that would</w:t>
      </w:r>
      <w:r w:rsidR="004843B4">
        <w:rPr>
          <w:color w:val="000000"/>
          <w:szCs w:val="26"/>
          <w:shd w:val="clear" w:color="auto" w:fill="FFFFFF"/>
        </w:rPr>
        <w:t xml:space="preserve"> </w:t>
      </w:r>
      <w:r w:rsidRPr="00797913">
        <w:rPr>
          <w:color w:val="000000"/>
          <w:szCs w:val="26"/>
          <w:shd w:val="clear" w:color="auto" w:fill="FFFFFF"/>
        </w:rPr>
        <w:t>contribute to</w:t>
      </w:r>
      <w:r w:rsidR="004843B4">
        <w:rPr>
          <w:color w:val="000000"/>
          <w:szCs w:val="26"/>
          <w:shd w:val="clear" w:color="auto" w:fill="FFFFFF"/>
        </w:rPr>
        <w:t xml:space="preserve"> </w:t>
      </w:r>
      <w:r w:rsidRPr="00797913">
        <w:rPr>
          <w:color w:val="000000"/>
          <w:szCs w:val="26"/>
          <w:shd w:val="clear" w:color="auto" w:fill="FFFFFF"/>
        </w:rPr>
        <w:t>a rate increase of</w:t>
      </w:r>
      <w:r w:rsidR="004843B4">
        <w:rPr>
          <w:color w:val="000000"/>
          <w:szCs w:val="26"/>
          <w:shd w:val="clear" w:color="auto" w:fill="FFFFFF"/>
        </w:rPr>
        <w:t xml:space="preserve"> </w:t>
      </w:r>
      <w:r w:rsidRPr="00797913">
        <w:rPr>
          <w:color w:val="000000"/>
          <w:szCs w:val="26"/>
          <w:shd w:val="clear" w:color="auto" w:fill="FFFFFF"/>
        </w:rPr>
        <w:t>approximately 13.8% for bundled</w:t>
      </w:r>
      <w:r w:rsidR="004843B4">
        <w:rPr>
          <w:color w:val="000000"/>
          <w:szCs w:val="26"/>
          <w:shd w:val="clear" w:color="auto" w:fill="FFFFFF"/>
        </w:rPr>
        <w:t xml:space="preserve"> </w:t>
      </w:r>
      <w:r w:rsidRPr="00797913">
        <w:rPr>
          <w:color w:val="000000"/>
          <w:szCs w:val="26"/>
          <w:shd w:val="clear" w:color="auto" w:fill="FFFFFF"/>
        </w:rPr>
        <w:t>customers.</w:t>
      </w:r>
      <w:r w:rsidR="004843B4">
        <w:rPr>
          <w:color w:val="000000"/>
          <w:szCs w:val="26"/>
          <w:shd w:val="clear" w:color="auto" w:fill="FFFFFF"/>
        </w:rPr>
        <w:t xml:space="preserve"> </w:t>
      </w:r>
      <w:r w:rsidRPr="00797913">
        <w:rPr>
          <w:color w:val="000000"/>
          <w:szCs w:val="26"/>
          <w:shd w:val="clear" w:color="auto" w:fill="FFFFFF"/>
        </w:rPr>
        <w:t xml:space="preserve">PG&amp;E was ordered to provide an October Update using accounting close balances and </w:t>
      </w:r>
      <w:r w:rsidR="00B66195">
        <w:rPr>
          <w:color w:val="000000"/>
          <w:szCs w:val="26"/>
          <w:shd w:val="clear" w:color="auto" w:fill="FFFFFF"/>
        </w:rPr>
        <w:t xml:space="preserve">energy </w:t>
      </w:r>
      <w:r w:rsidRPr="00797913">
        <w:rPr>
          <w:color w:val="000000"/>
          <w:szCs w:val="26"/>
          <w:shd w:val="clear" w:color="auto" w:fill="FFFFFF"/>
        </w:rPr>
        <w:t>market information up to and including</w:t>
      </w:r>
      <w:r w:rsidR="004843B4">
        <w:rPr>
          <w:color w:val="000000"/>
          <w:szCs w:val="26"/>
          <w:shd w:val="clear" w:color="auto" w:fill="FFFFFF"/>
        </w:rPr>
        <w:t xml:space="preserve"> </w:t>
      </w:r>
      <w:r w:rsidRPr="00797913">
        <w:rPr>
          <w:color w:val="000000"/>
          <w:szCs w:val="26"/>
          <w:shd w:val="clear" w:color="auto" w:fill="FFFFFF"/>
        </w:rPr>
        <w:t>September</w:t>
      </w:r>
      <w:r w:rsidR="004843B4">
        <w:rPr>
          <w:color w:val="000000"/>
          <w:szCs w:val="26"/>
          <w:shd w:val="clear" w:color="auto" w:fill="FFFFFF"/>
        </w:rPr>
        <w:t> </w:t>
      </w:r>
      <w:r w:rsidRPr="00797913">
        <w:rPr>
          <w:color w:val="000000"/>
          <w:szCs w:val="26"/>
          <w:shd w:val="clear" w:color="auto" w:fill="FFFFFF"/>
        </w:rPr>
        <w:t>30,</w:t>
      </w:r>
      <w:r w:rsidR="004843B4">
        <w:rPr>
          <w:color w:val="000000"/>
          <w:szCs w:val="26"/>
          <w:shd w:val="clear" w:color="auto" w:fill="FFFFFF"/>
        </w:rPr>
        <w:t> </w:t>
      </w:r>
      <w:r w:rsidRPr="00797913">
        <w:rPr>
          <w:color w:val="000000"/>
          <w:szCs w:val="26"/>
          <w:shd w:val="clear" w:color="auto" w:fill="FFFFFF"/>
        </w:rPr>
        <w:t>2021, and a December Update using accounting close balances</w:t>
      </w:r>
      <w:r w:rsidR="004843B4">
        <w:rPr>
          <w:color w:val="000000"/>
          <w:szCs w:val="26"/>
          <w:shd w:val="clear" w:color="auto" w:fill="FFFFFF"/>
        </w:rPr>
        <w:t xml:space="preserve"> </w:t>
      </w:r>
      <w:r w:rsidRPr="00797913">
        <w:rPr>
          <w:color w:val="000000"/>
          <w:szCs w:val="26"/>
          <w:shd w:val="clear" w:color="auto" w:fill="FFFFFF"/>
        </w:rPr>
        <w:t>up to and including</w:t>
      </w:r>
      <w:r w:rsidR="004843B4">
        <w:rPr>
          <w:color w:val="000000"/>
          <w:szCs w:val="26"/>
          <w:shd w:val="clear" w:color="auto" w:fill="FFFFFF"/>
        </w:rPr>
        <w:t xml:space="preserve"> </w:t>
      </w:r>
      <w:r w:rsidRPr="00797913">
        <w:rPr>
          <w:color w:val="000000"/>
          <w:szCs w:val="26"/>
          <w:shd w:val="clear" w:color="auto" w:fill="FFFFFF"/>
        </w:rPr>
        <w:t>November 30,</w:t>
      </w:r>
      <w:r w:rsidR="004843B4">
        <w:rPr>
          <w:color w:val="000000"/>
          <w:szCs w:val="26"/>
          <w:shd w:val="clear" w:color="auto" w:fill="FFFFFF"/>
        </w:rPr>
        <w:t xml:space="preserve"> </w:t>
      </w:r>
      <w:r w:rsidRPr="00797913">
        <w:rPr>
          <w:color w:val="000000"/>
          <w:szCs w:val="26"/>
          <w:shd w:val="clear" w:color="auto" w:fill="FFFFFF"/>
        </w:rPr>
        <w:t>2021</w:t>
      </w:r>
      <w:r w:rsidR="004843B4">
        <w:rPr>
          <w:color w:val="000000"/>
          <w:szCs w:val="26"/>
          <w:shd w:val="clear" w:color="auto" w:fill="FFFFFF"/>
        </w:rPr>
        <w:t xml:space="preserve"> </w:t>
      </w:r>
      <w:r w:rsidRPr="00797913">
        <w:rPr>
          <w:color w:val="000000"/>
          <w:szCs w:val="26"/>
          <w:shd w:val="clear" w:color="auto" w:fill="FFFFFF"/>
        </w:rPr>
        <w:t>and the</w:t>
      </w:r>
      <w:r w:rsidR="004843B4">
        <w:rPr>
          <w:color w:val="000000"/>
          <w:szCs w:val="26"/>
          <w:shd w:val="clear" w:color="auto" w:fill="FFFFFF"/>
        </w:rPr>
        <w:t xml:space="preserve"> </w:t>
      </w:r>
      <w:r w:rsidRPr="00797913">
        <w:rPr>
          <w:color w:val="000000"/>
          <w:szCs w:val="26"/>
          <w:shd w:val="clear" w:color="auto" w:fill="FFFFFF"/>
        </w:rPr>
        <w:t>most</w:t>
      </w:r>
      <w:r w:rsidR="004843B4">
        <w:rPr>
          <w:color w:val="000000"/>
          <w:szCs w:val="26"/>
          <w:shd w:val="clear" w:color="auto" w:fill="FFFFFF"/>
        </w:rPr>
        <w:t xml:space="preserve"> </w:t>
      </w:r>
      <w:r w:rsidRPr="00797913">
        <w:rPr>
          <w:color w:val="000000"/>
          <w:szCs w:val="26"/>
          <w:shd w:val="clear" w:color="auto" w:fill="FFFFFF"/>
        </w:rPr>
        <w:t xml:space="preserve">recent </w:t>
      </w:r>
      <w:r w:rsidR="00B66195">
        <w:rPr>
          <w:color w:val="000000"/>
          <w:szCs w:val="26"/>
          <w:shd w:val="clear" w:color="auto" w:fill="FFFFFF"/>
        </w:rPr>
        <w:t xml:space="preserve">energy </w:t>
      </w:r>
      <w:r w:rsidRPr="00797913">
        <w:rPr>
          <w:color w:val="000000"/>
          <w:szCs w:val="26"/>
          <w:shd w:val="clear" w:color="auto" w:fill="FFFFFF"/>
        </w:rPr>
        <w:t>market values to calculate the forecast year-end balance.</w:t>
      </w:r>
      <w:r w:rsidR="004843B4">
        <w:rPr>
          <w:color w:val="000000"/>
          <w:szCs w:val="26"/>
          <w:shd w:val="clear" w:color="auto" w:fill="FFFFFF"/>
        </w:rPr>
        <w:t xml:space="preserve"> </w:t>
      </w:r>
      <w:r w:rsidRPr="00797913">
        <w:rPr>
          <w:color w:val="000000"/>
          <w:szCs w:val="26"/>
          <w:shd w:val="clear" w:color="auto" w:fill="FFFFFF"/>
        </w:rPr>
        <w:t>The forecast</w:t>
      </w:r>
      <w:r w:rsidR="004843B4">
        <w:rPr>
          <w:color w:val="000000"/>
          <w:szCs w:val="26"/>
          <w:shd w:val="clear" w:color="auto" w:fill="FFFFFF"/>
        </w:rPr>
        <w:t xml:space="preserve"> </w:t>
      </w:r>
      <w:r w:rsidRPr="00797913">
        <w:rPr>
          <w:color w:val="000000"/>
          <w:szCs w:val="26"/>
          <w:shd w:val="clear" w:color="auto" w:fill="FFFFFF"/>
        </w:rPr>
        <w:t>year</w:t>
      </w:r>
      <w:r w:rsidR="0091724A">
        <w:rPr>
          <w:color w:val="000000"/>
          <w:szCs w:val="26"/>
          <w:shd w:val="clear" w:color="auto" w:fill="FFFFFF"/>
        </w:rPr>
        <w:t>-</w:t>
      </w:r>
      <w:r w:rsidRPr="00797913">
        <w:rPr>
          <w:color w:val="000000"/>
          <w:szCs w:val="26"/>
          <w:shd w:val="clear" w:color="auto" w:fill="FFFFFF"/>
        </w:rPr>
        <w:t>end</w:t>
      </w:r>
      <w:r w:rsidR="004843B4">
        <w:rPr>
          <w:color w:val="000000"/>
          <w:szCs w:val="26"/>
          <w:shd w:val="clear" w:color="auto" w:fill="FFFFFF"/>
        </w:rPr>
        <w:t xml:space="preserve"> </w:t>
      </w:r>
      <w:r w:rsidRPr="00797913">
        <w:rPr>
          <w:color w:val="000000"/>
          <w:szCs w:val="26"/>
          <w:shd w:val="clear" w:color="auto" w:fill="FFFFFF"/>
        </w:rPr>
        <w:t>balance in the December</w:t>
      </w:r>
      <w:r w:rsidR="004843B4">
        <w:rPr>
          <w:color w:val="000000"/>
          <w:szCs w:val="26"/>
          <w:shd w:val="clear" w:color="auto" w:fill="FFFFFF"/>
        </w:rPr>
        <w:t xml:space="preserve"> </w:t>
      </w:r>
      <w:r w:rsidRPr="00797913">
        <w:rPr>
          <w:color w:val="000000"/>
          <w:szCs w:val="26"/>
          <w:shd w:val="clear" w:color="auto" w:fill="FFFFFF"/>
        </w:rPr>
        <w:t>Update is both</w:t>
      </w:r>
      <w:r w:rsidR="004843B4">
        <w:rPr>
          <w:color w:val="000000"/>
          <w:szCs w:val="26"/>
          <w:shd w:val="clear" w:color="auto" w:fill="FFFFFF"/>
        </w:rPr>
        <w:t xml:space="preserve"> </w:t>
      </w:r>
      <w:r w:rsidRPr="00797913">
        <w:rPr>
          <w:color w:val="000000"/>
          <w:szCs w:val="26"/>
          <w:shd w:val="clear" w:color="auto" w:fill="FFFFFF"/>
        </w:rPr>
        <w:t>lower and more accurate, reflecting two additional months of real data and updated forecast costs</w:t>
      </w:r>
      <w:r w:rsidR="00B66195">
        <w:rPr>
          <w:color w:val="000000"/>
          <w:szCs w:val="26"/>
          <w:shd w:val="clear" w:color="auto" w:fill="FFFFFF"/>
        </w:rPr>
        <w:t xml:space="preserve"> </w:t>
      </w:r>
      <w:r w:rsidRPr="00797913">
        <w:rPr>
          <w:color w:val="000000"/>
          <w:szCs w:val="26"/>
          <w:shd w:val="clear" w:color="auto" w:fill="FFFFFF"/>
        </w:rPr>
        <w:t>for December</w:t>
      </w:r>
      <w:r w:rsidR="00620D61">
        <w:rPr>
          <w:color w:val="000000"/>
          <w:szCs w:val="26"/>
          <w:shd w:val="clear" w:color="auto" w:fill="FFFFFF"/>
        </w:rPr>
        <w:t xml:space="preserve"> of</w:t>
      </w:r>
      <w:r w:rsidR="004843B4">
        <w:rPr>
          <w:color w:val="000000"/>
          <w:szCs w:val="26"/>
          <w:shd w:val="clear" w:color="auto" w:fill="FFFFFF"/>
        </w:rPr>
        <w:t xml:space="preserve"> </w:t>
      </w:r>
      <w:r w:rsidRPr="00797913">
        <w:rPr>
          <w:color w:val="000000"/>
          <w:szCs w:val="26"/>
          <w:shd w:val="clear" w:color="auto" w:fill="FFFFFF"/>
        </w:rPr>
        <w:t>2021.</w:t>
      </w:r>
      <w:r w:rsidR="004843B4">
        <w:rPr>
          <w:color w:val="000000"/>
          <w:szCs w:val="26"/>
          <w:shd w:val="clear" w:color="auto" w:fill="FFFFFF"/>
        </w:rPr>
        <w:t xml:space="preserve"> </w:t>
      </w:r>
      <w:r w:rsidRPr="00797913">
        <w:rPr>
          <w:color w:val="000000"/>
          <w:szCs w:val="26"/>
          <w:shd w:val="clear" w:color="auto" w:fill="FFFFFF"/>
        </w:rPr>
        <w:t>Therefore,</w:t>
      </w:r>
      <w:r w:rsidR="004843B4">
        <w:rPr>
          <w:color w:val="000000"/>
          <w:szCs w:val="26"/>
          <w:shd w:val="clear" w:color="auto" w:fill="FFFFFF"/>
        </w:rPr>
        <w:t xml:space="preserve"> </w:t>
      </w:r>
      <w:r w:rsidRPr="00797913">
        <w:rPr>
          <w:color w:val="000000"/>
          <w:szCs w:val="26"/>
          <w:shd w:val="clear" w:color="auto" w:fill="FFFFFF"/>
        </w:rPr>
        <w:t>this decision</w:t>
      </w:r>
      <w:r w:rsidR="004843B4">
        <w:rPr>
          <w:color w:val="000000"/>
          <w:szCs w:val="26"/>
          <w:shd w:val="clear" w:color="auto" w:fill="FFFFFF"/>
        </w:rPr>
        <w:t xml:space="preserve"> </w:t>
      </w:r>
      <w:r w:rsidRPr="00797913">
        <w:rPr>
          <w:color w:val="000000"/>
          <w:szCs w:val="26"/>
          <w:shd w:val="clear" w:color="auto" w:fill="FFFFFF"/>
        </w:rPr>
        <w:t>adopts</w:t>
      </w:r>
      <w:r w:rsidR="004843B4">
        <w:rPr>
          <w:color w:val="000000"/>
          <w:szCs w:val="26"/>
          <w:shd w:val="clear" w:color="auto" w:fill="FFFFFF"/>
        </w:rPr>
        <w:t xml:space="preserve"> </w:t>
      </w:r>
      <w:r w:rsidRPr="00797913">
        <w:rPr>
          <w:color w:val="000000"/>
          <w:szCs w:val="26"/>
          <w:shd w:val="clear" w:color="auto" w:fill="FFFFFF"/>
        </w:rPr>
        <w:t>PG&amp;E’s</w:t>
      </w:r>
      <w:r w:rsidR="004843B4">
        <w:rPr>
          <w:color w:val="000000"/>
          <w:szCs w:val="26"/>
          <w:shd w:val="clear" w:color="auto" w:fill="FFFFFF"/>
        </w:rPr>
        <w:t xml:space="preserve"> </w:t>
      </w:r>
      <w:r w:rsidRPr="00797913">
        <w:rPr>
          <w:color w:val="000000"/>
          <w:szCs w:val="26"/>
          <w:shd w:val="clear" w:color="auto" w:fill="FFFFFF"/>
        </w:rPr>
        <w:t>December Update</w:t>
      </w:r>
      <w:r w:rsidR="004843B4">
        <w:rPr>
          <w:color w:val="000000"/>
          <w:szCs w:val="26"/>
          <w:shd w:val="clear" w:color="auto" w:fill="FFFFFF"/>
        </w:rPr>
        <w:t xml:space="preserve"> </w:t>
      </w:r>
      <w:r w:rsidRPr="00797913">
        <w:rPr>
          <w:color w:val="000000"/>
          <w:szCs w:val="26"/>
          <w:shd w:val="clear" w:color="auto" w:fill="FFFFFF"/>
        </w:rPr>
        <w:t>for</w:t>
      </w:r>
      <w:r w:rsidR="004843B4">
        <w:rPr>
          <w:color w:val="000000"/>
          <w:szCs w:val="26"/>
          <w:shd w:val="clear" w:color="auto" w:fill="FFFFFF"/>
        </w:rPr>
        <w:t xml:space="preserve"> </w:t>
      </w:r>
      <w:r w:rsidRPr="00797913">
        <w:rPr>
          <w:color w:val="000000"/>
          <w:szCs w:val="26"/>
          <w:shd w:val="clear" w:color="auto" w:fill="FFFFFF"/>
        </w:rPr>
        <w:t>the year-end forecast values and</w:t>
      </w:r>
      <w:r w:rsidR="004843B4">
        <w:rPr>
          <w:color w:val="000000"/>
          <w:szCs w:val="26"/>
          <w:shd w:val="clear" w:color="auto" w:fill="FFFFFF"/>
        </w:rPr>
        <w:t xml:space="preserve"> </w:t>
      </w:r>
      <w:r w:rsidRPr="00797913">
        <w:rPr>
          <w:color w:val="000000"/>
          <w:szCs w:val="26"/>
          <w:shd w:val="clear" w:color="auto" w:fill="FFFFFF"/>
        </w:rPr>
        <w:t>other elements of the application that it updates</w:t>
      </w:r>
      <w:r w:rsidR="0091724A">
        <w:rPr>
          <w:color w:val="000000"/>
          <w:szCs w:val="26"/>
          <w:shd w:val="clear" w:color="auto" w:fill="FFFFFF"/>
        </w:rPr>
        <w:t>.</w:t>
      </w:r>
      <w:r w:rsidR="0099077C">
        <w:rPr>
          <w:color w:val="000000"/>
          <w:szCs w:val="26"/>
          <w:shd w:val="clear" w:color="auto" w:fill="FFFFFF"/>
        </w:rPr>
        <w:t xml:space="preserve"> However, due to procedural delay, PG&amp;E can now provide the actual year-end account balance for the ERRA-main balancing account. Therefore, we adopt the actual year-end account balance in the ERRA-main.</w:t>
      </w:r>
    </w:p>
    <w:p w:rsidR="00797913" w:rsidP="00797913" w:rsidRDefault="00797913" w14:paraId="66F9EB6D" w14:textId="41EB9013">
      <w:r w:rsidRPr="00797913">
        <w:t xml:space="preserve">In its December Update, PG&amp;E’s total 2022 electric procurement forecast for rate setting purposes consists of a total request of </w:t>
      </w:r>
      <w:r w:rsidRPr="33D500B9">
        <w:rPr>
          <w:rFonts w:eastAsia="Times New Roman" w:cs="Times New Roman"/>
        </w:rPr>
        <w:t>$2,416,92</w:t>
      </w:r>
      <w:r w:rsidR="00451F0C">
        <w:rPr>
          <w:rFonts w:eastAsia="Times New Roman" w:cs="Times New Roman"/>
        </w:rPr>
        <w:t>8</w:t>
      </w:r>
      <w:r w:rsidRPr="33D500B9">
        <w:rPr>
          <w:rFonts w:eastAsia="Times New Roman" w:cs="Times New Roman"/>
        </w:rPr>
        <w:t>,000. T</w:t>
      </w:r>
      <w:r w:rsidRPr="00797913">
        <w:t xml:space="preserve">he system average bundled rate—including the impact of the change in the GHG revenue return—would increase by approximately 12.6 percent to 26.2 </w:t>
      </w:r>
      <w:r w:rsidR="00B66195">
        <w:t>cents per kilowatt</w:t>
      </w:r>
      <w:r w:rsidR="004843B4">
        <w:noBreakHyphen/>
      </w:r>
      <w:r w:rsidR="00B66195">
        <w:t>hour (</w:t>
      </w:r>
      <w:r w:rsidRPr="00797913">
        <w:t>¢/</w:t>
      </w:r>
      <w:r w:rsidR="00451F0C">
        <w:t>kWh</w:t>
      </w:r>
      <w:r w:rsidR="00B66195">
        <w:t>)</w:t>
      </w:r>
      <w:r w:rsidRPr="00797913">
        <w:t>, when compared to the system average bundled rate of 23.3 ¢/</w:t>
      </w:r>
      <w:r w:rsidR="00451F0C">
        <w:t>kWh</w:t>
      </w:r>
      <w:r w:rsidRPr="00797913">
        <w:t xml:space="preserve">, which was effective October 1, 2021. The system average rate for </w:t>
      </w:r>
      <w:r w:rsidR="00210E27">
        <w:t>Direct Access (</w:t>
      </w:r>
      <w:r w:rsidRPr="00797913">
        <w:t>DA</w:t>
      </w:r>
      <w:r w:rsidR="00210E27">
        <w:t>)</w:t>
      </w:r>
      <w:r w:rsidRPr="00797913">
        <w:t xml:space="preserve"> and </w:t>
      </w:r>
      <w:r w:rsidR="0008071E">
        <w:t xml:space="preserve">community choice aggregation (CCA) </w:t>
      </w:r>
      <w:r w:rsidRPr="00797913">
        <w:t>customers, whose average rates exclude commodity charges that are provided by third-party service providers, would decrease by approximately 15.9 percent to 13.1 ¢/</w:t>
      </w:r>
      <w:r w:rsidR="00451F0C">
        <w:t>kWh</w:t>
      </w:r>
      <w:r w:rsidRPr="00797913">
        <w:t>, when compared to the system average rate for DA and CCA customers of 15.5</w:t>
      </w:r>
      <w:r w:rsidR="0091724A">
        <w:t> </w:t>
      </w:r>
      <w:r w:rsidRPr="00797913">
        <w:t>¢/</w:t>
      </w:r>
      <w:r w:rsidR="00451F0C">
        <w:t>kWh</w:t>
      </w:r>
      <w:r w:rsidRPr="00797913">
        <w:t>, which was effective October 1, 2021.</w:t>
      </w:r>
      <w:r w:rsidRPr="00797913">
        <w:rPr>
          <w:vertAlign w:val="superscript"/>
        </w:rPr>
        <w:footnoteReference w:id="6"/>
      </w:r>
    </w:p>
    <w:p w:rsidR="00BA181A" w:rsidP="00797913" w:rsidRDefault="00BA181A" w14:paraId="4971DBE1" w14:textId="77777777"/>
    <w:tbl>
      <w:tblPr>
        <w:tblW w:w="10183" w:type="dxa"/>
        <w:jc w:val="center"/>
        <w:tblLook w:val="04A0" w:firstRow="1" w:lastRow="0" w:firstColumn="1" w:lastColumn="0" w:noHBand="0" w:noVBand="1"/>
      </w:tblPr>
      <w:tblGrid>
        <w:gridCol w:w="3988"/>
        <w:gridCol w:w="1443"/>
        <w:gridCol w:w="1645"/>
        <w:gridCol w:w="1706"/>
        <w:gridCol w:w="1401"/>
      </w:tblGrid>
      <w:tr w:rsidRPr="009C0BA5" w:rsidR="00E17746" w:rsidTr="00A94322" w14:paraId="008139B1" w14:textId="77777777">
        <w:trPr>
          <w:gridBefore w:val="1"/>
          <w:wBefore w:w="3988" w:type="dxa"/>
          <w:trHeight w:val="310"/>
          <w:jc w:val="center"/>
        </w:trPr>
        <w:tc>
          <w:tcPr>
            <w:tcW w:w="1443" w:type="dxa"/>
            <w:tcBorders>
              <w:top w:val="single" w:color="auto" w:sz="4" w:space="0"/>
              <w:left w:val="single" w:color="auto" w:sz="4" w:space="0"/>
              <w:bottom w:val="single" w:color="auto" w:sz="8" w:space="0"/>
              <w:right w:val="single" w:color="auto" w:sz="8" w:space="0"/>
            </w:tcBorders>
            <w:shd w:val="clear" w:color="auto" w:fill="auto"/>
            <w:noWrap/>
            <w:vAlign w:val="center"/>
            <w:hideMark/>
          </w:tcPr>
          <w:p w:rsidRPr="009C0BA5" w:rsidR="00E17746" w:rsidP="00597F70" w:rsidRDefault="00E17746" w14:paraId="61420465" w14:textId="77777777">
            <w:pPr>
              <w:spacing w:line="240" w:lineRule="auto"/>
              <w:ind w:firstLine="0"/>
              <w:jc w:val="right"/>
              <w:rPr>
                <w:rFonts w:eastAsia="Times New Roman" w:cs="Calibri"/>
                <w:b/>
                <w:bCs/>
                <w:color w:val="0000FF"/>
                <w:sz w:val="22"/>
              </w:rPr>
            </w:pPr>
            <w:bookmarkStart w:name="_Hlk93928176" w:id="22"/>
            <w:r>
              <w:rPr>
                <w:rFonts w:eastAsia="Times New Roman" w:cs="Arial"/>
                <w:b/>
                <w:bCs/>
                <w:color w:val="0000FF"/>
                <w:sz w:val="22"/>
              </w:rPr>
              <w:t>10/1/2021</w:t>
            </w:r>
          </w:p>
        </w:tc>
        <w:tc>
          <w:tcPr>
            <w:tcW w:w="1645" w:type="dxa"/>
            <w:tcBorders>
              <w:top w:val="single" w:color="auto" w:sz="4" w:space="0"/>
              <w:left w:val="nil"/>
              <w:bottom w:val="single" w:color="auto" w:sz="8" w:space="0"/>
              <w:right w:val="single" w:color="auto" w:sz="8" w:space="0"/>
            </w:tcBorders>
            <w:shd w:val="clear" w:color="auto" w:fill="auto"/>
            <w:noWrap/>
            <w:vAlign w:val="center"/>
            <w:hideMark/>
          </w:tcPr>
          <w:p w:rsidRPr="009C0BA5" w:rsidR="00E17746" w:rsidP="00597F70" w:rsidRDefault="00E17746" w14:paraId="3CAF8C67" w14:textId="77777777">
            <w:pPr>
              <w:spacing w:line="240" w:lineRule="auto"/>
              <w:ind w:firstLine="0"/>
              <w:jc w:val="right"/>
              <w:rPr>
                <w:rFonts w:eastAsia="Times New Roman" w:cs="Calibri"/>
                <w:b/>
                <w:bCs/>
                <w:color w:val="0000FF"/>
                <w:sz w:val="22"/>
              </w:rPr>
            </w:pPr>
            <w:r w:rsidRPr="009C0BA5">
              <w:rPr>
                <w:rFonts w:eastAsia="Times New Roman" w:cs="Arial"/>
                <w:b/>
                <w:bCs/>
                <w:color w:val="0000FF"/>
                <w:sz w:val="22"/>
              </w:rPr>
              <w:t>1/1/2022</w:t>
            </w:r>
          </w:p>
        </w:tc>
        <w:tc>
          <w:tcPr>
            <w:tcW w:w="1706" w:type="dxa"/>
            <w:vMerge w:val="restart"/>
            <w:tcBorders>
              <w:top w:val="single" w:color="auto" w:sz="4" w:space="0"/>
              <w:left w:val="nil"/>
              <w:right w:val="single" w:color="auto" w:sz="8" w:space="0"/>
            </w:tcBorders>
            <w:shd w:val="clear" w:color="auto" w:fill="auto"/>
            <w:noWrap/>
            <w:vAlign w:val="center"/>
            <w:hideMark/>
          </w:tcPr>
          <w:p w:rsidRPr="009C0BA5" w:rsidR="00E17746" w:rsidP="00E17746" w:rsidRDefault="00E17746" w14:paraId="35AA32F8" w14:textId="7FF8527C">
            <w:pPr>
              <w:spacing w:line="240" w:lineRule="auto"/>
              <w:ind w:firstLine="0"/>
              <w:jc w:val="center"/>
              <w:rPr>
                <w:rFonts w:eastAsia="Times New Roman" w:cs="Calibri"/>
                <w:b/>
                <w:bCs/>
                <w:color w:val="000000"/>
                <w:sz w:val="22"/>
              </w:rPr>
            </w:pPr>
            <w:r w:rsidRPr="009C0BA5">
              <w:rPr>
                <w:rFonts w:eastAsia="Times New Roman" w:cs="Arial"/>
                <w:b/>
                <w:bCs/>
                <w:color w:val="000000"/>
                <w:sz w:val="22"/>
              </w:rPr>
              <w:t>Rate</w:t>
            </w:r>
            <w:r>
              <w:rPr>
                <w:rFonts w:eastAsia="Times New Roman" w:cs="Arial"/>
                <w:b/>
                <w:bCs/>
                <w:color w:val="000000"/>
                <w:sz w:val="22"/>
              </w:rPr>
              <w:t xml:space="preserve"> </w:t>
            </w:r>
            <w:r w:rsidRPr="009C0BA5">
              <w:rPr>
                <w:rFonts w:eastAsia="Times New Roman" w:cs="Arial"/>
                <w:b/>
                <w:bCs/>
                <w:color w:val="000000"/>
                <w:sz w:val="22"/>
              </w:rPr>
              <w:t>Change</w:t>
            </w:r>
          </w:p>
        </w:tc>
        <w:tc>
          <w:tcPr>
            <w:tcW w:w="1401" w:type="dxa"/>
            <w:vMerge w:val="restart"/>
            <w:tcBorders>
              <w:top w:val="single" w:color="auto" w:sz="4" w:space="0"/>
              <w:left w:val="nil"/>
              <w:right w:val="single" w:color="auto" w:sz="8" w:space="0"/>
            </w:tcBorders>
            <w:shd w:val="clear" w:color="auto" w:fill="auto"/>
            <w:noWrap/>
            <w:vAlign w:val="center"/>
            <w:hideMark/>
          </w:tcPr>
          <w:p w:rsidRPr="009C0BA5" w:rsidR="00E17746" w:rsidP="00E17746" w:rsidRDefault="00E17746" w14:paraId="5D722EFB" w14:textId="39E4BF48">
            <w:pPr>
              <w:spacing w:line="240" w:lineRule="auto"/>
              <w:ind w:firstLine="0"/>
              <w:jc w:val="center"/>
              <w:rPr>
                <w:rFonts w:eastAsia="Times New Roman" w:cs="Calibri"/>
                <w:b/>
                <w:bCs/>
                <w:color w:val="000000"/>
                <w:sz w:val="22"/>
              </w:rPr>
            </w:pPr>
            <w:r w:rsidRPr="009C0BA5">
              <w:rPr>
                <w:rFonts w:eastAsia="Times New Roman" w:cs="Arial"/>
                <w:b/>
                <w:bCs/>
                <w:color w:val="000000"/>
                <w:sz w:val="22"/>
              </w:rPr>
              <w:t>%</w:t>
            </w:r>
            <w:r>
              <w:rPr>
                <w:rFonts w:eastAsia="Times New Roman" w:cs="Arial"/>
                <w:b/>
                <w:bCs/>
                <w:color w:val="000000"/>
                <w:sz w:val="22"/>
              </w:rPr>
              <w:t xml:space="preserve"> </w:t>
            </w:r>
            <w:r w:rsidRPr="009C0BA5">
              <w:rPr>
                <w:rFonts w:eastAsia="Times New Roman" w:cs="Arial"/>
                <w:b/>
                <w:bCs/>
                <w:color w:val="000000"/>
                <w:sz w:val="22"/>
              </w:rPr>
              <w:t>Change</w:t>
            </w:r>
          </w:p>
        </w:tc>
      </w:tr>
      <w:tr w:rsidRPr="009C0BA5" w:rsidR="00E17746" w:rsidTr="00A94322" w14:paraId="15BE672A" w14:textId="77777777">
        <w:trPr>
          <w:trHeight w:val="592"/>
          <w:jc w:val="center"/>
        </w:trPr>
        <w:tc>
          <w:tcPr>
            <w:tcW w:w="3988" w:type="dxa"/>
            <w:tcBorders>
              <w:top w:val="single" w:color="auto" w:sz="4" w:space="0"/>
              <w:left w:val="single" w:color="auto" w:sz="4" w:space="0"/>
              <w:bottom w:val="nil"/>
              <w:right w:val="single" w:color="auto" w:sz="8" w:space="0"/>
            </w:tcBorders>
            <w:shd w:val="clear" w:color="auto" w:fill="auto"/>
            <w:noWrap/>
            <w:hideMark/>
          </w:tcPr>
          <w:p w:rsidRPr="009C0BA5" w:rsidR="00E17746" w:rsidP="00597F70" w:rsidRDefault="00E17746" w14:paraId="788EDAFE" w14:textId="77777777">
            <w:pPr>
              <w:spacing w:line="240" w:lineRule="auto"/>
              <w:ind w:firstLine="0"/>
              <w:rPr>
                <w:rFonts w:ascii="Calibri" w:hAnsi="Calibri" w:eastAsia="Times New Roman" w:cs="Calibri"/>
                <w:color w:val="000000"/>
                <w:sz w:val="22"/>
              </w:rPr>
            </w:pPr>
            <w:r w:rsidRPr="009C0BA5">
              <w:rPr>
                <w:rFonts w:ascii="Calibri" w:hAnsi="Calibri" w:eastAsia="Times New Roman" w:cs="Calibri"/>
                <w:color w:val="000000"/>
                <w:sz w:val="22"/>
              </w:rPr>
              <w:t> </w:t>
            </w:r>
          </w:p>
        </w:tc>
        <w:tc>
          <w:tcPr>
            <w:tcW w:w="1443" w:type="dxa"/>
            <w:tcBorders>
              <w:top w:val="nil"/>
              <w:left w:val="nil"/>
              <w:bottom w:val="nil"/>
              <w:right w:val="single" w:color="auto" w:sz="8" w:space="0"/>
            </w:tcBorders>
            <w:shd w:val="clear" w:color="auto" w:fill="auto"/>
            <w:vAlign w:val="center"/>
            <w:hideMark/>
          </w:tcPr>
          <w:p w:rsidRPr="009C0BA5" w:rsidR="00E17746" w:rsidP="00597F70" w:rsidRDefault="00E17746" w14:paraId="1B743C1C" w14:textId="77777777">
            <w:pPr>
              <w:spacing w:line="240" w:lineRule="auto"/>
              <w:ind w:firstLine="0"/>
              <w:jc w:val="right"/>
              <w:rPr>
                <w:rFonts w:eastAsia="Times New Roman" w:cs="Calibri"/>
                <w:b/>
                <w:bCs/>
                <w:color w:val="000000"/>
                <w:sz w:val="22"/>
              </w:rPr>
            </w:pPr>
            <w:r w:rsidRPr="009C0BA5">
              <w:rPr>
                <w:rFonts w:eastAsia="Times New Roman" w:cs="Arial"/>
                <w:b/>
                <w:bCs/>
                <w:color w:val="000000"/>
                <w:sz w:val="22"/>
              </w:rPr>
              <w:t>Present</w:t>
            </w:r>
          </w:p>
        </w:tc>
        <w:tc>
          <w:tcPr>
            <w:tcW w:w="1645" w:type="dxa"/>
            <w:tcBorders>
              <w:top w:val="nil"/>
              <w:left w:val="nil"/>
              <w:bottom w:val="nil"/>
              <w:right w:val="single" w:color="auto" w:sz="8" w:space="0"/>
            </w:tcBorders>
            <w:shd w:val="clear" w:color="auto" w:fill="auto"/>
            <w:vAlign w:val="center"/>
            <w:hideMark/>
          </w:tcPr>
          <w:p w:rsidRPr="009C0BA5" w:rsidR="00E17746" w:rsidP="00597F70" w:rsidRDefault="00E17746" w14:paraId="5532CA86" w14:textId="77777777">
            <w:pPr>
              <w:spacing w:line="240" w:lineRule="auto"/>
              <w:ind w:firstLine="0"/>
              <w:jc w:val="right"/>
              <w:rPr>
                <w:rFonts w:eastAsia="Times New Roman" w:cs="Calibri"/>
                <w:b/>
                <w:bCs/>
                <w:color w:val="000000"/>
                <w:sz w:val="22"/>
              </w:rPr>
            </w:pPr>
            <w:r w:rsidRPr="009C0BA5">
              <w:rPr>
                <w:rFonts w:eastAsia="Times New Roman" w:cs="Arial"/>
                <w:b/>
                <w:bCs/>
                <w:color w:val="000000"/>
                <w:sz w:val="22"/>
              </w:rPr>
              <w:t>Proposed</w:t>
            </w:r>
          </w:p>
        </w:tc>
        <w:tc>
          <w:tcPr>
            <w:tcW w:w="1706" w:type="dxa"/>
            <w:vMerge/>
            <w:tcBorders>
              <w:left w:val="nil"/>
              <w:bottom w:val="nil"/>
              <w:right w:val="single" w:color="auto" w:sz="8" w:space="0"/>
            </w:tcBorders>
            <w:shd w:val="clear" w:color="auto" w:fill="auto"/>
            <w:vAlign w:val="center"/>
            <w:hideMark/>
          </w:tcPr>
          <w:p w:rsidRPr="009C0BA5" w:rsidR="00E17746" w:rsidP="00597F70" w:rsidRDefault="00E17746" w14:paraId="1890540B" w14:textId="6CB51798">
            <w:pPr>
              <w:spacing w:line="240" w:lineRule="auto"/>
              <w:ind w:firstLine="0"/>
              <w:jc w:val="right"/>
              <w:rPr>
                <w:rFonts w:eastAsia="Times New Roman" w:cs="Calibri"/>
                <w:b/>
                <w:bCs/>
                <w:color w:val="000000"/>
                <w:sz w:val="22"/>
              </w:rPr>
            </w:pPr>
          </w:p>
        </w:tc>
        <w:tc>
          <w:tcPr>
            <w:tcW w:w="1401" w:type="dxa"/>
            <w:vMerge/>
            <w:tcBorders>
              <w:left w:val="single" w:color="auto" w:sz="8" w:space="0"/>
              <w:right w:val="single" w:color="auto" w:sz="8" w:space="0"/>
            </w:tcBorders>
            <w:shd w:val="clear" w:color="auto" w:fill="auto"/>
            <w:vAlign w:val="center"/>
            <w:hideMark/>
          </w:tcPr>
          <w:p w:rsidRPr="009C0BA5" w:rsidR="00E17746" w:rsidP="00597F70" w:rsidRDefault="00E17746" w14:paraId="73F4E9E8" w14:textId="183DEE42">
            <w:pPr>
              <w:spacing w:line="240" w:lineRule="auto"/>
              <w:ind w:firstLine="0"/>
              <w:jc w:val="right"/>
              <w:rPr>
                <w:rFonts w:eastAsia="Times New Roman" w:cs="Calibri"/>
                <w:b/>
                <w:bCs/>
                <w:color w:val="000000"/>
                <w:sz w:val="22"/>
              </w:rPr>
            </w:pPr>
          </w:p>
        </w:tc>
      </w:tr>
      <w:tr w:rsidRPr="009C0BA5" w:rsidR="00E17746" w:rsidTr="00A94322" w14:paraId="3708D091" w14:textId="77777777">
        <w:trPr>
          <w:trHeight w:val="310"/>
          <w:jc w:val="center"/>
        </w:trPr>
        <w:tc>
          <w:tcPr>
            <w:tcW w:w="3988" w:type="dxa"/>
            <w:tcBorders>
              <w:top w:val="nil"/>
              <w:left w:val="single" w:color="auto" w:sz="4" w:space="0"/>
              <w:bottom w:val="single" w:color="auto" w:sz="8" w:space="0"/>
              <w:right w:val="single" w:color="auto" w:sz="8" w:space="0"/>
            </w:tcBorders>
            <w:shd w:val="clear" w:color="auto" w:fill="auto"/>
            <w:noWrap/>
            <w:hideMark/>
          </w:tcPr>
          <w:p w:rsidRPr="009C0BA5" w:rsidR="00E17746" w:rsidP="00597F70" w:rsidRDefault="00E17746" w14:paraId="44886FBA" w14:textId="77777777">
            <w:pPr>
              <w:spacing w:line="240" w:lineRule="auto"/>
              <w:ind w:firstLine="0"/>
              <w:rPr>
                <w:rFonts w:ascii="Calibri" w:hAnsi="Calibri" w:eastAsia="Times New Roman" w:cs="Calibri"/>
                <w:color w:val="000000"/>
                <w:sz w:val="22"/>
              </w:rPr>
            </w:pPr>
            <w:r w:rsidRPr="009C0BA5">
              <w:rPr>
                <w:rFonts w:ascii="Calibri" w:hAnsi="Calibri" w:eastAsia="Times New Roman" w:cs="Calibri"/>
                <w:color w:val="000000"/>
                <w:sz w:val="22"/>
              </w:rPr>
              <w:t> </w:t>
            </w:r>
          </w:p>
        </w:tc>
        <w:tc>
          <w:tcPr>
            <w:tcW w:w="1443" w:type="dxa"/>
            <w:tcBorders>
              <w:top w:val="nil"/>
              <w:left w:val="nil"/>
              <w:bottom w:val="single" w:color="auto" w:sz="8" w:space="0"/>
              <w:right w:val="single" w:color="auto" w:sz="8" w:space="0"/>
            </w:tcBorders>
            <w:shd w:val="clear" w:color="auto" w:fill="auto"/>
            <w:vAlign w:val="center"/>
            <w:hideMark/>
          </w:tcPr>
          <w:p w:rsidRPr="009C0BA5" w:rsidR="00E17746" w:rsidP="00597F70" w:rsidRDefault="00E17746" w14:paraId="4133189F" w14:textId="77777777">
            <w:pPr>
              <w:spacing w:line="240" w:lineRule="auto"/>
              <w:ind w:firstLine="0"/>
              <w:jc w:val="right"/>
              <w:rPr>
                <w:rFonts w:eastAsia="Times New Roman" w:cs="Calibri"/>
                <w:b/>
                <w:bCs/>
                <w:color w:val="000000"/>
                <w:sz w:val="22"/>
              </w:rPr>
            </w:pPr>
            <w:r w:rsidRPr="009C0BA5">
              <w:rPr>
                <w:rFonts w:eastAsia="Times New Roman" w:cs="Calibri"/>
                <w:b/>
                <w:bCs/>
                <w:color w:val="000000"/>
                <w:sz w:val="22"/>
              </w:rPr>
              <w:t>(A)</w:t>
            </w:r>
          </w:p>
        </w:tc>
        <w:tc>
          <w:tcPr>
            <w:tcW w:w="1645" w:type="dxa"/>
            <w:tcBorders>
              <w:top w:val="nil"/>
              <w:left w:val="nil"/>
              <w:bottom w:val="single" w:color="auto" w:sz="8" w:space="0"/>
              <w:right w:val="single" w:color="auto" w:sz="8" w:space="0"/>
            </w:tcBorders>
            <w:shd w:val="clear" w:color="auto" w:fill="auto"/>
            <w:vAlign w:val="center"/>
            <w:hideMark/>
          </w:tcPr>
          <w:p w:rsidRPr="009C0BA5" w:rsidR="00E17746" w:rsidP="00597F70" w:rsidRDefault="00E17746" w14:paraId="604474BC" w14:textId="77777777">
            <w:pPr>
              <w:spacing w:line="240" w:lineRule="auto"/>
              <w:ind w:firstLine="0"/>
              <w:jc w:val="right"/>
              <w:rPr>
                <w:rFonts w:eastAsia="Times New Roman" w:cs="Calibri"/>
                <w:b/>
                <w:bCs/>
                <w:color w:val="000000"/>
                <w:sz w:val="22"/>
              </w:rPr>
            </w:pPr>
            <w:r w:rsidRPr="009C0BA5">
              <w:rPr>
                <w:rFonts w:eastAsia="Times New Roman" w:cs="Calibri"/>
                <w:b/>
                <w:bCs/>
                <w:color w:val="000000"/>
                <w:sz w:val="22"/>
              </w:rPr>
              <w:t>(B)</w:t>
            </w:r>
          </w:p>
        </w:tc>
        <w:tc>
          <w:tcPr>
            <w:tcW w:w="1706" w:type="dxa"/>
            <w:tcBorders>
              <w:top w:val="nil"/>
              <w:left w:val="nil"/>
              <w:bottom w:val="single" w:color="auto" w:sz="8" w:space="0"/>
              <w:right w:val="single" w:color="auto" w:sz="8" w:space="0"/>
            </w:tcBorders>
            <w:shd w:val="clear" w:color="auto" w:fill="auto"/>
            <w:vAlign w:val="center"/>
            <w:hideMark/>
          </w:tcPr>
          <w:p w:rsidRPr="009C0BA5" w:rsidR="00E17746" w:rsidP="00597F70" w:rsidRDefault="00E17746" w14:paraId="3D3F3C7E" w14:textId="77777777">
            <w:pPr>
              <w:spacing w:line="240" w:lineRule="auto"/>
              <w:ind w:firstLine="0"/>
              <w:jc w:val="right"/>
              <w:rPr>
                <w:rFonts w:eastAsia="Times New Roman" w:cs="Calibri"/>
                <w:b/>
                <w:bCs/>
                <w:color w:val="000000"/>
                <w:sz w:val="22"/>
              </w:rPr>
            </w:pPr>
            <w:r w:rsidRPr="009C0BA5">
              <w:rPr>
                <w:rFonts w:eastAsia="Times New Roman" w:cs="Calibri"/>
                <w:b/>
                <w:bCs/>
                <w:color w:val="000000"/>
                <w:sz w:val="22"/>
              </w:rPr>
              <w:t>(B) - (A)</w:t>
            </w:r>
          </w:p>
        </w:tc>
        <w:tc>
          <w:tcPr>
            <w:tcW w:w="1401" w:type="dxa"/>
            <w:vMerge/>
            <w:tcBorders>
              <w:left w:val="single" w:color="auto" w:sz="8" w:space="0"/>
              <w:bottom w:val="single" w:color="000000" w:sz="8" w:space="0"/>
              <w:right w:val="single" w:color="auto" w:sz="8" w:space="0"/>
            </w:tcBorders>
            <w:vAlign w:val="center"/>
            <w:hideMark/>
          </w:tcPr>
          <w:p w:rsidRPr="009C0BA5" w:rsidR="00E17746" w:rsidP="00597F70" w:rsidRDefault="00E17746" w14:paraId="3E0092B4" w14:textId="77777777">
            <w:pPr>
              <w:spacing w:line="240" w:lineRule="auto"/>
              <w:ind w:firstLine="0"/>
              <w:rPr>
                <w:rFonts w:eastAsia="Times New Roman" w:cs="Calibri"/>
                <w:b/>
                <w:bCs/>
                <w:color w:val="000000"/>
                <w:sz w:val="22"/>
              </w:rPr>
            </w:pPr>
          </w:p>
        </w:tc>
      </w:tr>
      <w:tr w:rsidRPr="009C0BA5" w:rsidR="00EF4F53" w:rsidTr="00A94322" w14:paraId="741C851D" w14:textId="77777777">
        <w:trPr>
          <w:trHeight w:val="310"/>
          <w:jc w:val="center"/>
        </w:trPr>
        <w:tc>
          <w:tcPr>
            <w:tcW w:w="3988" w:type="dxa"/>
            <w:tcBorders>
              <w:top w:val="nil"/>
              <w:left w:val="single" w:color="auto" w:sz="4" w:space="0"/>
              <w:bottom w:val="single" w:color="auto" w:sz="8" w:space="0"/>
              <w:right w:val="single" w:color="auto" w:sz="8" w:space="0"/>
            </w:tcBorders>
            <w:shd w:val="clear" w:color="auto" w:fill="auto"/>
            <w:noWrap/>
            <w:vAlign w:val="center"/>
            <w:hideMark/>
          </w:tcPr>
          <w:p w:rsidRPr="009C0BA5" w:rsidR="00EF4F53" w:rsidP="00597F70" w:rsidRDefault="00EF4F53" w14:paraId="683627F6" w14:textId="77777777">
            <w:pPr>
              <w:spacing w:line="240" w:lineRule="auto"/>
              <w:ind w:firstLine="0"/>
              <w:rPr>
                <w:rFonts w:eastAsia="Times New Roman" w:cs="Calibri"/>
                <w:b/>
                <w:bCs/>
                <w:color w:val="000000"/>
                <w:sz w:val="22"/>
              </w:rPr>
            </w:pPr>
            <w:r w:rsidRPr="009C0BA5">
              <w:rPr>
                <w:rFonts w:eastAsia="Times New Roman" w:cs="Arial"/>
                <w:b/>
                <w:bCs/>
                <w:color w:val="000000"/>
                <w:sz w:val="22"/>
              </w:rPr>
              <w:t>Customer Class</w:t>
            </w:r>
          </w:p>
        </w:tc>
        <w:tc>
          <w:tcPr>
            <w:tcW w:w="1443" w:type="dxa"/>
            <w:tcBorders>
              <w:top w:val="nil"/>
              <w:left w:val="nil"/>
              <w:bottom w:val="single" w:color="auto" w:sz="8" w:space="0"/>
              <w:right w:val="single" w:color="auto" w:sz="8" w:space="0"/>
            </w:tcBorders>
            <w:shd w:val="clear" w:color="auto" w:fill="auto"/>
            <w:noWrap/>
            <w:hideMark/>
          </w:tcPr>
          <w:p w:rsidRPr="009C0BA5" w:rsidR="00EF4F53" w:rsidP="00597F70" w:rsidRDefault="00EF4F53" w14:paraId="00A7E7AE" w14:textId="77777777">
            <w:pPr>
              <w:spacing w:line="240" w:lineRule="auto"/>
              <w:ind w:firstLine="0"/>
              <w:rPr>
                <w:rFonts w:ascii="Calibri" w:hAnsi="Calibri" w:eastAsia="Times New Roman" w:cs="Calibri"/>
                <w:color w:val="000000"/>
                <w:sz w:val="22"/>
              </w:rPr>
            </w:pPr>
            <w:r w:rsidRPr="009C0BA5">
              <w:rPr>
                <w:rFonts w:ascii="Calibri" w:hAnsi="Calibri" w:eastAsia="Times New Roman" w:cs="Calibri"/>
                <w:color w:val="000000"/>
                <w:sz w:val="22"/>
              </w:rPr>
              <w:t> </w:t>
            </w:r>
          </w:p>
        </w:tc>
        <w:tc>
          <w:tcPr>
            <w:tcW w:w="1645" w:type="dxa"/>
            <w:tcBorders>
              <w:top w:val="nil"/>
              <w:left w:val="nil"/>
              <w:bottom w:val="single" w:color="auto" w:sz="8" w:space="0"/>
              <w:right w:val="single" w:color="auto" w:sz="8" w:space="0"/>
            </w:tcBorders>
            <w:shd w:val="clear" w:color="auto" w:fill="auto"/>
            <w:noWrap/>
            <w:hideMark/>
          </w:tcPr>
          <w:p w:rsidRPr="009C0BA5" w:rsidR="00EF4F53" w:rsidP="00597F70" w:rsidRDefault="00EF4F53" w14:paraId="446FB37C" w14:textId="77777777">
            <w:pPr>
              <w:spacing w:line="240" w:lineRule="auto"/>
              <w:ind w:firstLine="0"/>
              <w:rPr>
                <w:rFonts w:ascii="Calibri" w:hAnsi="Calibri" w:eastAsia="Times New Roman" w:cs="Calibri"/>
                <w:color w:val="000000"/>
                <w:sz w:val="22"/>
              </w:rPr>
            </w:pPr>
            <w:r w:rsidRPr="009C0BA5">
              <w:rPr>
                <w:rFonts w:ascii="Calibri" w:hAnsi="Calibri" w:eastAsia="Times New Roman" w:cs="Calibri"/>
                <w:color w:val="000000"/>
                <w:sz w:val="22"/>
              </w:rPr>
              <w:t> </w:t>
            </w:r>
          </w:p>
        </w:tc>
        <w:tc>
          <w:tcPr>
            <w:tcW w:w="1706" w:type="dxa"/>
            <w:tcBorders>
              <w:top w:val="nil"/>
              <w:left w:val="nil"/>
              <w:bottom w:val="single" w:color="auto" w:sz="8" w:space="0"/>
              <w:right w:val="single" w:color="auto" w:sz="8" w:space="0"/>
            </w:tcBorders>
            <w:shd w:val="clear" w:color="auto" w:fill="auto"/>
            <w:noWrap/>
            <w:hideMark/>
          </w:tcPr>
          <w:p w:rsidRPr="009C0BA5" w:rsidR="00EF4F53" w:rsidP="00597F70" w:rsidRDefault="00EF4F53" w14:paraId="0C457B83" w14:textId="77777777">
            <w:pPr>
              <w:spacing w:line="240" w:lineRule="auto"/>
              <w:ind w:firstLine="0"/>
              <w:rPr>
                <w:rFonts w:ascii="Calibri" w:hAnsi="Calibri" w:eastAsia="Times New Roman" w:cs="Calibri"/>
                <w:color w:val="000000"/>
                <w:sz w:val="22"/>
              </w:rPr>
            </w:pPr>
            <w:r w:rsidRPr="009C0BA5">
              <w:rPr>
                <w:rFonts w:ascii="Calibri" w:hAnsi="Calibri" w:eastAsia="Times New Roman" w:cs="Calibri"/>
                <w:color w:val="000000"/>
                <w:sz w:val="22"/>
              </w:rPr>
              <w:t> </w:t>
            </w:r>
          </w:p>
        </w:tc>
        <w:tc>
          <w:tcPr>
            <w:tcW w:w="1401" w:type="dxa"/>
            <w:tcBorders>
              <w:top w:val="nil"/>
              <w:left w:val="nil"/>
              <w:bottom w:val="single" w:color="auto" w:sz="8" w:space="0"/>
              <w:right w:val="single" w:color="auto" w:sz="8" w:space="0"/>
            </w:tcBorders>
            <w:shd w:val="clear" w:color="auto" w:fill="auto"/>
            <w:noWrap/>
            <w:hideMark/>
          </w:tcPr>
          <w:p w:rsidRPr="009C0BA5" w:rsidR="00EF4F53" w:rsidP="00597F70" w:rsidRDefault="00EF4F53" w14:paraId="609FF8E6" w14:textId="77777777">
            <w:pPr>
              <w:spacing w:line="240" w:lineRule="auto"/>
              <w:ind w:firstLine="0"/>
              <w:rPr>
                <w:rFonts w:ascii="Calibri" w:hAnsi="Calibri" w:eastAsia="Times New Roman" w:cs="Calibri"/>
                <w:color w:val="000000"/>
                <w:sz w:val="22"/>
              </w:rPr>
            </w:pPr>
            <w:r w:rsidRPr="009C0BA5">
              <w:rPr>
                <w:rFonts w:ascii="Calibri" w:hAnsi="Calibri" w:eastAsia="Times New Roman" w:cs="Calibri"/>
                <w:color w:val="000000"/>
                <w:sz w:val="22"/>
              </w:rPr>
              <w:t> </w:t>
            </w:r>
          </w:p>
        </w:tc>
      </w:tr>
      <w:tr w:rsidRPr="009C0BA5" w:rsidR="00EF4F53" w:rsidTr="00A94322" w14:paraId="163EF00B" w14:textId="77777777">
        <w:trPr>
          <w:trHeight w:val="340"/>
          <w:jc w:val="center"/>
        </w:trPr>
        <w:tc>
          <w:tcPr>
            <w:tcW w:w="3988" w:type="dxa"/>
            <w:tcBorders>
              <w:top w:val="nil"/>
              <w:left w:val="single" w:color="auto" w:sz="4" w:space="0"/>
              <w:bottom w:val="single" w:color="auto" w:sz="8" w:space="0"/>
              <w:right w:val="single" w:color="auto" w:sz="8" w:space="0"/>
            </w:tcBorders>
            <w:shd w:val="clear" w:color="auto" w:fill="auto"/>
            <w:noWrap/>
            <w:vAlign w:val="center"/>
            <w:hideMark/>
          </w:tcPr>
          <w:p w:rsidRPr="009C0BA5" w:rsidR="00EF4F53" w:rsidP="00597F70" w:rsidRDefault="00EF4F53" w14:paraId="052BA984" w14:textId="77777777">
            <w:pPr>
              <w:spacing w:line="240" w:lineRule="auto"/>
              <w:ind w:firstLine="220" w:firstLineChars="100"/>
              <w:rPr>
                <w:rFonts w:eastAsia="Times New Roman" w:cs="Calibri"/>
                <w:color w:val="000000"/>
                <w:sz w:val="22"/>
              </w:rPr>
            </w:pPr>
            <w:r w:rsidRPr="009C0BA5">
              <w:rPr>
                <w:rFonts w:eastAsia="Times New Roman" w:cs="Arial"/>
                <w:color w:val="000000"/>
                <w:sz w:val="22"/>
              </w:rPr>
              <w:t>Residential</w:t>
            </w:r>
          </w:p>
        </w:tc>
        <w:tc>
          <w:tcPr>
            <w:tcW w:w="1443"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7712E9B8" w14:textId="77777777">
            <w:pPr>
              <w:spacing w:line="240" w:lineRule="auto"/>
              <w:ind w:firstLine="0"/>
              <w:jc w:val="right"/>
              <w:rPr>
                <w:rFonts w:eastAsia="Times New Roman" w:cs="Calibri"/>
                <w:color w:val="0000FF"/>
                <w:sz w:val="22"/>
              </w:rPr>
            </w:pPr>
            <w:r w:rsidRPr="009C0BA5">
              <w:rPr>
                <w:rFonts w:eastAsia="Times New Roman" w:cs="Arial"/>
                <w:color w:val="0000FF"/>
                <w:sz w:val="22"/>
              </w:rPr>
              <w:t>24.73</w:t>
            </w:r>
          </w:p>
        </w:tc>
        <w:tc>
          <w:tcPr>
            <w:tcW w:w="1645"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2B9D1D99" w14:textId="77777777">
            <w:pPr>
              <w:spacing w:line="240" w:lineRule="auto"/>
              <w:ind w:firstLine="0"/>
              <w:jc w:val="right"/>
              <w:rPr>
                <w:rFonts w:eastAsia="Times New Roman" w:cs="Calibri"/>
                <w:color w:val="0000FF"/>
                <w:sz w:val="22"/>
              </w:rPr>
            </w:pPr>
            <w:r w:rsidRPr="009C0BA5">
              <w:rPr>
                <w:rFonts w:eastAsia="Times New Roman" w:cs="Arial"/>
                <w:color w:val="0000FF"/>
                <w:sz w:val="22"/>
              </w:rPr>
              <w:t>27.15</w:t>
            </w:r>
          </w:p>
        </w:tc>
        <w:tc>
          <w:tcPr>
            <w:tcW w:w="1706"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458543D5" w14:textId="77777777">
            <w:pPr>
              <w:spacing w:line="240" w:lineRule="auto"/>
              <w:ind w:firstLine="0"/>
              <w:jc w:val="right"/>
              <w:rPr>
                <w:rFonts w:eastAsia="Times New Roman" w:cs="Calibri"/>
                <w:color w:val="000000"/>
                <w:sz w:val="22"/>
              </w:rPr>
            </w:pPr>
            <w:r w:rsidRPr="009C0BA5">
              <w:rPr>
                <w:rFonts w:eastAsia="Times New Roman" w:cs="Calibri"/>
                <w:color w:val="000000"/>
                <w:sz w:val="22"/>
              </w:rPr>
              <w:t>2.42</w:t>
            </w:r>
          </w:p>
        </w:tc>
        <w:tc>
          <w:tcPr>
            <w:tcW w:w="1401"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248826A3" w14:textId="77777777">
            <w:pPr>
              <w:spacing w:line="240" w:lineRule="auto"/>
              <w:ind w:firstLine="0"/>
              <w:jc w:val="right"/>
              <w:rPr>
                <w:rFonts w:eastAsia="Times New Roman" w:cs="Calibri"/>
                <w:color w:val="000000"/>
                <w:sz w:val="22"/>
              </w:rPr>
            </w:pPr>
            <w:r w:rsidRPr="009C0BA5">
              <w:rPr>
                <w:rFonts w:eastAsia="Times New Roman" w:cs="Arial"/>
                <w:color w:val="000000"/>
                <w:sz w:val="22"/>
              </w:rPr>
              <w:t>9.79%</w:t>
            </w:r>
          </w:p>
        </w:tc>
      </w:tr>
      <w:tr w:rsidRPr="009C0BA5" w:rsidR="00EF4F53" w:rsidTr="00A94322" w14:paraId="2F52AA50" w14:textId="77777777">
        <w:trPr>
          <w:trHeight w:val="340"/>
          <w:jc w:val="center"/>
        </w:trPr>
        <w:tc>
          <w:tcPr>
            <w:tcW w:w="3988" w:type="dxa"/>
            <w:tcBorders>
              <w:top w:val="nil"/>
              <w:left w:val="single" w:color="auto" w:sz="4" w:space="0"/>
              <w:bottom w:val="single" w:color="auto" w:sz="8" w:space="0"/>
              <w:right w:val="single" w:color="auto" w:sz="8" w:space="0"/>
            </w:tcBorders>
            <w:shd w:val="clear" w:color="auto" w:fill="auto"/>
            <w:noWrap/>
            <w:vAlign w:val="center"/>
            <w:hideMark/>
          </w:tcPr>
          <w:p w:rsidRPr="009C0BA5" w:rsidR="00EF4F53" w:rsidP="00597F70" w:rsidRDefault="00EF4F53" w14:paraId="078B8BA6" w14:textId="77777777">
            <w:pPr>
              <w:spacing w:line="240" w:lineRule="auto"/>
              <w:ind w:firstLine="660" w:firstLineChars="300"/>
              <w:rPr>
                <w:rFonts w:eastAsia="Times New Roman" w:cs="Calibri"/>
                <w:color w:val="000000"/>
                <w:sz w:val="22"/>
              </w:rPr>
            </w:pPr>
            <w:r w:rsidRPr="009C0BA5">
              <w:rPr>
                <w:rFonts w:eastAsia="Times New Roman" w:cs="Arial"/>
                <w:color w:val="000000"/>
                <w:sz w:val="22"/>
              </w:rPr>
              <w:t>CARE</w:t>
            </w:r>
          </w:p>
        </w:tc>
        <w:tc>
          <w:tcPr>
            <w:tcW w:w="1443"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0F7914E2" w14:textId="77777777">
            <w:pPr>
              <w:spacing w:line="240" w:lineRule="auto"/>
              <w:ind w:firstLine="0"/>
              <w:jc w:val="right"/>
              <w:rPr>
                <w:rFonts w:eastAsia="Times New Roman" w:cs="Calibri"/>
                <w:color w:val="0000FF"/>
                <w:sz w:val="22"/>
              </w:rPr>
            </w:pPr>
            <w:r w:rsidRPr="009C0BA5">
              <w:rPr>
                <w:rFonts w:eastAsia="Times New Roman" w:cs="Arial"/>
                <w:color w:val="0000FF"/>
                <w:sz w:val="22"/>
              </w:rPr>
              <w:t>17.84</w:t>
            </w:r>
          </w:p>
        </w:tc>
        <w:tc>
          <w:tcPr>
            <w:tcW w:w="1645"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3322D0B5" w14:textId="77777777">
            <w:pPr>
              <w:spacing w:line="240" w:lineRule="auto"/>
              <w:ind w:firstLine="0"/>
              <w:jc w:val="right"/>
              <w:rPr>
                <w:rFonts w:eastAsia="Times New Roman" w:cs="Calibri"/>
                <w:color w:val="0000FF"/>
                <w:sz w:val="22"/>
              </w:rPr>
            </w:pPr>
            <w:r w:rsidRPr="009C0BA5">
              <w:rPr>
                <w:rFonts w:eastAsia="Times New Roman" w:cs="Arial"/>
                <w:color w:val="0000FF"/>
                <w:sz w:val="22"/>
              </w:rPr>
              <w:t>19.45</w:t>
            </w:r>
          </w:p>
        </w:tc>
        <w:tc>
          <w:tcPr>
            <w:tcW w:w="1706"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59AD88D8" w14:textId="77777777">
            <w:pPr>
              <w:spacing w:line="240" w:lineRule="auto"/>
              <w:ind w:firstLine="0"/>
              <w:jc w:val="right"/>
              <w:rPr>
                <w:rFonts w:eastAsia="Times New Roman" w:cs="Calibri"/>
                <w:color w:val="000000"/>
                <w:sz w:val="22"/>
              </w:rPr>
            </w:pPr>
            <w:r w:rsidRPr="009C0BA5">
              <w:rPr>
                <w:rFonts w:eastAsia="Times New Roman" w:cs="Calibri"/>
                <w:color w:val="000000"/>
                <w:sz w:val="22"/>
              </w:rPr>
              <w:t>1.61</w:t>
            </w:r>
          </w:p>
        </w:tc>
        <w:tc>
          <w:tcPr>
            <w:tcW w:w="1401"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71679F2E" w14:textId="77777777">
            <w:pPr>
              <w:spacing w:line="240" w:lineRule="auto"/>
              <w:ind w:firstLine="0"/>
              <w:jc w:val="right"/>
              <w:rPr>
                <w:rFonts w:eastAsia="Times New Roman" w:cs="Calibri"/>
                <w:color w:val="000000"/>
                <w:sz w:val="22"/>
              </w:rPr>
            </w:pPr>
            <w:r w:rsidRPr="009C0BA5">
              <w:rPr>
                <w:rFonts w:eastAsia="Times New Roman" w:cs="Arial"/>
                <w:color w:val="000000"/>
                <w:sz w:val="22"/>
              </w:rPr>
              <w:t>9.02%</w:t>
            </w:r>
          </w:p>
        </w:tc>
      </w:tr>
      <w:tr w:rsidRPr="009C0BA5" w:rsidR="00EF4F53" w:rsidTr="00A94322" w14:paraId="52E3D5F2" w14:textId="77777777">
        <w:trPr>
          <w:trHeight w:val="340"/>
          <w:jc w:val="center"/>
        </w:trPr>
        <w:tc>
          <w:tcPr>
            <w:tcW w:w="3988" w:type="dxa"/>
            <w:tcBorders>
              <w:top w:val="nil"/>
              <w:left w:val="single" w:color="auto" w:sz="4" w:space="0"/>
              <w:bottom w:val="single" w:color="auto" w:sz="8" w:space="0"/>
              <w:right w:val="single" w:color="auto" w:sz="8" w:space="0"/>
            </w:tcBorders>
            <w:shd w:val="clear" w:color="auto" w:fill="auto"/>
            <w:noWrap/>
            <w:vAlign w:val="center"/>
            <w:hideMark/>
          </w:tcPr>
          <w:p w:rsidRPr="009C0BA5" w:rsidR="00EF4F53" w:rsidP="00597F70" w:rsidRDefault="00EF4F53" w14:paraId="115C899F" w14:textId="77777777">
            <w:pPr>
              <w:spacing w:line="240" w:lineRule="auto"/>
              <w:ind w:firstLine="660" w:firstLineChars="300"/>
              <w:rPr>
                <w:rFonts w:eastAsia="Times New Roman" w:cs="Calibri"/>
                <w:color w:val="000000"/>
                <w:sz w:val="22"/>
              </w:rPr>
            </w:pPr>
            <w:r w:rsidRPr="009C0BA5">
              <w:rPr>
                <w:rFonts w:eastAsia="Times New Roman" w:cs="Arial"/>
                <w:color w:val="000000"/>
                <w:sz w:val="22"/>
              </w:rPr>
              <w:t>Non-CARE</w:t>
            </w:r>
          </w:p>
        </w:tc>
        <w:tc>
          <w:tcPr>
            <w:tcW w:w="1443"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261841F9" w14:textId="77777777">
            <w:pPr>
              <w:spacing w:line="240" w:lineRule="auto"/>
              <w:ind w:firstLine="0"/>
              <w:jc w:val="right"/>
              <w:rPr>
                <w:rFonts w:eastAsia="Times New Roman" w:cs="Calibri"/>
                <w:color w:val="0000FF"/>
                <w:sz w:val="22"/>
              </w:rPr>
            </w:pPr>
            <w:r w:rsidRPr="009C0BA5">
              <w:rPr>
                <w:rFonts w:eastAsia="Times New Roman" w:cs="Arial"/>
                <w:color w:val="0000FF"/>
                <w:sz w:val="22"/>
              </w:rPr>
              <w:t>28.47</w:t>
            </w:r>
          </w:p>
        </w:tc>
        <w:tc>
          <w:tcPr>
            <w:tcW w:w="1645"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0BA7C38E" w14:textId="77777777">
            <w:pPr>
              <w:spacing w:line="240" w:lineRule="auto"/>
              <w:ind w:firstLine="0"/>
              <w:jc w:val="right"/>
              <w:rPr>
                <w:rFonts w:eastAsia="Times New Roman" w:cs="Calibri"/>
                <w:color w:val="0000FF"/>
                <w:sz w:val="22"/>
              </w:rPr>
            </w:pPr>
            <w:r w:rsidRPr="009C0BA5">
              <w:rPr>
                <w:rFonts w:eastAsia="Times New Roman" w:cs="Arial"/>
                <w:color w:val="0000FF"/>
                <w:sz w:val="22"/>
              </w:rPr>
              <w:t>31.26</w:t>
            </w:r>
          </w:p>
        </w:tc>
        <w:tc>
          <w:tcPr>
            <w:tcW w:w="1706"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3E05C6BF" w14:textId="77777777">
            <w:pPr>
              <w:spacing w:line="240" w:lineRule="auto"/>
              <w:ind w:firstLine="0"/>
              <w:jc w:val="right"/>
              <w:rPr>
                <w:rFonts w:eastAsia="Times New Roman" w:cs="Calibri"/>
                <w:color w:val="000000"/>
                <w:sz w:val="22"/>
              </w:rPr>
            </w:pPr>
            <w:r w:rsidRPr="009C0BA5">
              <w:rPr>
                <w:rFonts w:eastAsia="Times New Roman" w:cs="Calibri"/>
                <w:color w:val="000000"/>
                <w:sz w:val="22"/>
              </w:rPr>
              <w:t>2.79</w:t>
            </w:r>
          </w:p>
        </w:tc>
        <w:tc>
          <w:tcPr>
            <w:tcW w:w="1401"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7EA67502" w14:textId="77777777">
            <w:pPr>
              <w:spacing w:line="240" w:lineRule="auto"/>
              <w:ind w:firstLine="0"/>
              <w:jc w:val="right"/>
              <w:rPr>
                <w:rFonts w:eastAsia="Times New Roman" w:cs="Calibri"/>
                <w:color w:val="000000"/>
                <w:sz w:val="22"/>
              </w:rPr>
            </w:pPr>
            <w:r w:rsidRPr="009C0BA5">
              <w:rPr>
                <w:rFonts w:eastAsia="Times New Roman" w:cs="Arial"/>
                <w:color w:val="000000"/>
                <w:sz w:val="22"/>
              </w:rPr>
              <w:t>9.80%</w:t>
            </w:r>
          </w:p>
        </w:tc>
      </w:tr>
      <w:tr w:rsidRPr="009C0BA5" w:rsidR="00EF4F53" w:rsidTr="00A94322" w14:paraId="70C8C4B7" w14:textId="77777777">
        <w:trPr>
          <w:trHeight w:val="340"/>
          <w:jc w:val="center"/>
        </w:trPr>
        <w:tc>
          <w:tcPr>
            <w:tcW w:w="3988" w:type="dxa"/>
            <w:tcBorders>
              <w:top w:val="nil"/>
              <w:left w:val="single" w:color="auto" w:sz="4" w:space="0"/>
              <w:bottom w:val="single" w:color="auto" w:sz="8" w:space="0"/>
              <w:right w:val="single" w:color="auto" w:sz="8" w:space="0"/>
            </w:tcBorders>
            <w:shd w:val="clear" w:color="auto" w:fill="auto"/>
            <w:noWrap/>
            <w:vAlign w:val="center"/>
            <w:hideMark/>
          </w:tcPr>
          <w:p w:rsidRPr="009C0BA5" w:rsidR="00EF4F53" w:rsidP="00597F70" w:rsidRDefault="00EF4F53" w14:paraId="09938773" w14:textId="77777777">
            <w:pPr>
              <w:spacing w:line="240" w:lineRule="auto"/>
              <w:ind w:firstLine="220" w:firstLineChars="100"/>
              <w:rPr>
                <w:rFonts w:eastAsia="Times New Roman" w:cs="Calibri"/>
                <w:color w:val="000000"/>
                <w:sz w:val="22"/>
              </w:rPr>
            </w:pPr>
            <w:r w:rsidRPr="009C0BA5">
              <w:rPr>
                <w:rFonts w:eastAsia="Times New Roman" w:cs="Arial"/>
                <w:color w:val="000000"/>
                <w:sz w:val="22"/>
              </w:rPr>
              <w:t>Small Commercial</w:t>
            </w:r>
          </w:p>
        </w:tc>
        <w:tc>
          <w:tcPr>
            <w:tcW w:w="1443"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7BBFF4C8" w14:textId="77777777">
            <w:pPr>
              <w:spacing w:line="240" w:lineRule="auto"/>
              <w:ind w:firstLine="0"/>
              <w:jc w:val="right"/>
              <w:rPr>
                <w:rFonts w:eastAsia="Times New Roman" w:cs="Calibri"/>
                <w:color w:val="0000FF"/>
                <w:sz w:val="22"/>
              </w:rPr>
            </w:pPr>
            <w:r w:rsidRPr="009C0BA5">
              <w:rPr>
                <w:rFonts w:eastAsia="Times New Roman" w:cs="Arial"/>
                <w:color w:val="0000FF"/>
                <w:sz w:val="22"/>
              </w:rPr>
              <w:t>27.49</w:t>
            </w:r>
          </w:p>
        </w:tc>
        <w:tc>
          <w:tcPr>
            <w:tcW w:w="1645"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0E1E8ABB" w14:textId="77777777">
            <w:pPr>
              <w:spacing w:line="240" w:lineRule="auto"/>
              <w:ind w:firstLine="0"/>
              <w:jc w:val="right"/>
              <w:rPr>
                <w:rFonts w:eastAsia="Times New Roman" w:cs="Calibri"/>
                <w:color w:val="0000FF"/>
                <w:sz w:val="22"/>
              </w:rPr>
            </w:pPr>
            <w:r w:rsidRPr="009C0BA5">
              <w:rPr>
                <w:rFonts w:eastAsia="Times New Roman" w:cs="Arial"/>
                <w:color w:val="0000FF"/>
                <w:sz w:val="22"/>
              </w:rPr>
              <w:t>30.28</w:t>
            </w:r>
          </w:p>
        </w:tc>
        <w:tc>
          <w:tcPr>
            <w:tcW w:w="1706"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44BCD4F7" w14:textId="77777777">
            <w:pPr>
              <w:spacing w:line="240" w:lineRule="auto"/>
              <w:ind w:firstLine="0"/>
              <w:jc w:val="right"/>
              <w:rPr>
                <w:rFonts w:eastAsia="Times New Roman" w:cs="Calibri"/>
                <w:color w:val="000000"/>
                <w:sz w:val="22"/>
              </w:rPr>
            </w:pPr>
            <w:r w:rsidRPr="009C0BA5">
              <w:rPr>
                <w:rFonts w:eastAsia="Times New Roman" w:cs="Calibri"/>
                <w:color w:val="000000"/>
                <w:sz w:val="22"/>
              </w:rPr>
              <w:t>2.79</w:t>
            </w:r>
          </w:p>
        </w:tc>
        <w:tc>
          <w:tcPr>
            <w:tcW w:w="1401"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1B42E7F1" w14:textId="77777777">
            <w:pPr>
              <w:spacing w:line="240" w:lineRule="auto"/>
              <w:ind w:firstLine="0"/>
              <w:jc w:val="right"/>
              <w:rPr>
                <w:rFonts w:eastAsia="Times New Roman" w:cs="Calibri"/>
                <w:color w:val="000000"/>
                <w:sz w:val="22"/>
              </w:rPr>
            </w:pPr>
            <w:r w:rsidRPr="009C0BA5">
              <w:rPr>
                <w:rFonts w:eastAsia="Times New Roman" w:cs="Arial"/>
                <w:color w:val="000000"/>
                <w:sz w:val="22"/>
              </w:rPr>
              <w:t>10.15%</w:t>
            </w:r>
          </w:p>
        </w:tc>
      </w:tr>
      <w:tr w:rsidRPr="009C0BA5" w:rsidR="00EF4F53" w:rsidTr="00A94322" w14:paraId="3B0BA95E" w14:textId="77777777">
        <w:trPr>
          <w:trHeight w:val="340"/>
          <w:jc w:val="center"/>
        </w:trPr>
        <w:tc>
          <w:tcPr>
            <w:tcW w:w="3988" w:type="dxa"/>
            <w:tcBorders>
              <w:top w:val="nil"/>
              <w:left w:val="single" w:color="auto" w:sz="4" w:space="0"/>
              <w:bottom w:val="single" w:color="auto" w:sz="8" w:space="0"/>
              <w:right w:val="single" w:color="auto" w:sz="8" w:space="0"/>
            </w:tcBorders>
            <w:shd w:val="clear" w:color="auto" w:fill="auto"/>
            <w:noWrap/>
            <w:vAlign w:val="center"/>
            <w:hideMark/>
          </w:tcPr>
          <w:p w:rsidRPr="009C0BA5" w:rsidR="00EF4F53" w:rsidP="00597F70" w:rsidRDefault="00EF4F53" w14:paraId="612F9B36" w14:textId="77777777">
            <w:pPr>
              <w:spacing w:line="240" w:lineRule="auto"/>
              <w:ind w:firstLine="220" w:firstLineChars="100"/>
              <w:rPr>
                <w:rFonts w:eastAsia="Times New Roman" w:cs="Calibri"/>
                <w:color w:val="000000"/>
                <w:sz w:val="22"/>
              </w:rPr>
            </w:pPr>
            <w:r w:rsidRPr="009C0BA5">
              <w:rPr>
                <w:rFonts w:eastAsia="Times New Roman" w:cs="Arial"/>
                <w:color w:val="000000"/>
                <w:sz w:val="22"/>
              </w:rPr>
              <w:t>Medium Commercial</w:t>
            </w:r>
          </w:p>
        </w:tc>
        <w:tc>
          <w:tcPr>
            <w:tcW w:w="1443"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7A6254D5" w14:textId="77777777">
            <w:pPr>
              <w:spacing w:line="240" w:lineRule="auto"/>
              <w:ind w:firstLine="0"/>
              <w:jc w:val="right"/>
              <w:rPr>
                <w:rFonts w:eastAsia="Times New Roman" w:cs="Calibri"/>
                <w:color w:val="0000FF"/>
                <w:sz w:val="22"/>
              </w:rPr>
            </w:pPr>
            <w:r w:rsidRPr="009C0BA5">
              <w:rPr>
                <w:rFonts w:eastAsia="Times New Roman" w:cs="Arial"/>
                <w:color w:val="0000FF"/>
                <w:sz w:val="22"/>
              </w:rPr>
              <w:t>24.27</w:t>
            </w:r>
          </w:p>
        </w:tc>
        <w:tc>
          <w:tcPr>
            <w:tcW w:w="1645"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295D7700" w14:textId="77777777">
            <w:pPr>
              <w:spacing w:line="240" w:lineRule="auto"/>
              <w:ind w:firstLine="0"/>
              <w:jc w:val="right"/>
              <w:rPr>
                <w:rFonts w:eastAsia="Times New Roman" w:cs="Calibri"/>
                <w:color w:val="0000FF"/>
                <w:sz w:val="22"/>
              </w:rPr>
            </w:pPr>
            <w:r w:rsidRPr="009C0BA5">
              <w:rPr>
                <w:rFonts w:eastAsia="Times New Roman" w:cs="Arial"/>
                <w:color w:val="0000FF"/>
                <w:sz w:val="22"/>
              </w:rPr>
              <w:t>28.31</w:t>
            </w:r>
          </w:p>
        </w:tc>
        <w:tc>
          <w:tcPr>
            <w:tcW w:w="1706"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01AB0C27" w14:textId="77777777">
            <w:pPr>
              <w:spacing w:line="240" w:lineRule="auto"/>
              <w:ind w:firstLine="0"/>
              <w:jc w:val="right"/>
              <w:rPr>
                <w:rFonts w:eastAsia="Times New Roman" w:cs="Calibri"/>
                <w:color w:val="000000"/>
                <w:sz w:val="22"/>
              </w:rPr>
            </w:pPr>
            <w:r w:rsidRPr="009C0BA5">
              <w:rPr>
                <w:rFonts w:eastAsia="Times New Roman" w:cs="Calibri"/>
                <w:color w:val="000000"/>
                <w:sz w:val="22"/>
              </w:rPr>
              <w:t>4.04</w:t>
            </w:r>
          </w:p>
        </w:tc>
        <w:tc>
          <w:tcPr>
            <w:tcW w:w="1401"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19FDDCC8" w14:textId="77777777">
            <w:pPr>
              <w:spacing w:line="240" w:lineRule="auto"/>
              <w:ind w:firstLine="0"/>
              <w:jc w:val="right"/>
              <w:rPr>
                <w:rFonts w:eastAsia="Times New Roman" w:cs="Calibri"/>
                <w:color w:val="000000"/>
                <w:sz w:val="22"/>
              </w:rPr>
            </w:pPr>
            <w:r w:rsidRPr="009C0BA5">
              <w:rPr>
                <w:rFonts w:eastAsia="Times New Roman" w:cs="Arial"/>
                <w:color w:val="000000"/>
                <w:sz w:val="22"/>
              </w:rPr>
              <w:t>16.65%</w:t>
            </w:r>
          </w:p>
        </w:tc>
      </w:tr>
      <w:tr w:rsidRPr="009C0BA5" w:rsidR="00EF4F53" w:rsidTr="00A94322" w14:paraId="67F3DBAA" w14:textId="77777777">
        <w:trPr>
          <w:trHeight w:val="340"/>
          <w:jc w:val="center"/>
        </w:trPr>
        <w:tc>
          <w:tcPr>
            <w:tcW w:w="3988" w:type="dxa"/>
            <w:tcBorders>
              <w:top w:val="nil"/>
              <w:left w:val="single" w:color="auto" w:sz="4" w:space="0"/>
              <w:bottom w:val="single" w:color="auto" w:sz="8" w:space="0"/>
              <w:right w:val="single" w:color="auto" w:sz="8" w:space="0"/>
            </w:tcBorders>
            <w:shd w:val="clear" w:color="auto" w:fill="auto"/>
            <w:noWrap/>
            <w:vAlign w:val="center"/>
            <w:hideMark/>
          </w:tcPr>
          <w:p w:rsidRPr="009C0BA5" w:rsidR="00EF4F53" w:rsidP="00597F70" w:rsidRDefault="00EF4F53" w14:paraId="496D5B48" w14:textId="77777777">
            <w:pPr>
              <w:spacing w:line="240" w:lineRule="auto"/>
              <w:ind w:firstLine="220" w:firstLineChars="100"/>
              <w:rPr>
                <w:rFonts w:eastAsia="Times New Roman" w:cs="Calibri"/>
                <w:color w:val="000000"/>
                <w:sz w:val="22"/>
              </w:rPr>
            </w:pPr>
            <w:r w:rsidRPr="009C0BA5">
              <w:rPr>
                <w:rFonts w:eastAsia="Times New Roman" w:cs="Arial"/>
                <w:color w:val="000000"/>
                <w:sz w:val="22"/>
              </w:rPr>
              <w:t>Large Commercial (E-19)</w:t>
            </w:r>
          </w:p>
        </w:tc>
        <w:tc>
          <w:tcPr>
            <w:tcW w:w="1443"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0353B4B9" w14:textId="77777777">
            <w:pPr>
              <w:spacing w:line="240" w:lineRule="auto"/>
              <w:ind w:firstLine="0"/>
              <w:jc w:val="right"/>
              <w:rPr>
                <w:rFonts w:eastAsia="Times New Roman" w:cs="Calibri"/>
                <w:color w:val="0000FF"/>
                <w:sz w:val="22"/>
              </w:rPr>
            </w:pPr>
            <w:r w:rsidRPr="009C0BA5">
              <w:rPr>
                <w:rFonts w:eastAsia="Times New Roman" w:cs="Arial"/>
                <w:color w:val="0000FF"/>
                <w:sz w:val="22"/>
              </w:rPr>
              <w:t>20.92</w:t>
            </w:r>
          </w:p>
        </w:tc>
        <w:tc>
          <w:tcPr>
            <w:tcW w:w="1645"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3D48CF56" w14:textId="77777777">
            <w:pPr>
              <w:spacing w:line="240" w:lineRule="auto"/>
              <w:ind w:firstLine="0"/>
              <w:jc w:val="right"/>
              <w:rPr>
                <w:rFonts w:eastAsia="Times New Roman" w:cs="Calibri"/>
                <w:color w:val="0000FF"/>
                <w:sz w:val="22"/>
              </w:rPr>
            </w:pPr>
            <w:r w:rsidRPr="009C0BA5">
              <w:rPr>
                <w:rFonts w:eastAsia="Times New Roman" w:cs="Arial"/>
                <w:color w:val="0000FF"/>
                <w:sz w:val="22"/>
              </w:rPr>
              <w:t>24.77</w:t>
            </w:r>
          </w:p>
        </w:tc>
        <w:tc>
          <w:tcPr>
            <w:tcW w:w="1706"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2D46DD94" w14:textId="77777777">
            <w:pPr>
              <w:spacing w:line="240" w:lineRule="auto"/>
              <w:ind w:firstLine="0"/>
              <w:jc w:val="right"/>
              <w:rPr>
                <w:rFonts w:eastAsia="Times New Roman" w:cs="Calibri"/>
                <w:color w:val="000000"/>
                <w:sz w:val="22"/>
              </w:rPr>
            </w:pPr>
            <w:r w:rsidRPr="009C0BA5">
              <w:rPr>
                <w:rFonts w:eastAsia="Times New Roman" w:cs="Calibri"/>
                <w:color w:val="000000"/>
                <w:sz w:val="22"/>
              </w:rPr>
              <w:t>3.85</w:t>
            </w:r>
          </w:p>
        </w:tc>
        <w:tc>
          <w:tcPr>
            <w:tcW w:w="1401"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12AF3E40" w14:textId="77777777">
            <w:pPr>
              <w:spacing w:line="240" w:lineRule="auto"/>
              <w:ind w:firstLine="0"/>
              <w:jc w:val="right"/>
              <w:rPr>
                <w:rFonts w:eastAsia="Times New Roman" w:cs="Calibri"/>
                <w:color w:val="000000"/>
                <w:sz w:val="22"/>
              </w:rPr>
            </w:pPr>
            <w:r w:rsidRPr="009C0BA5">
              <w:rPr>
                <w:rFonts w:eastAsia="Times New Roman" w:cs="Arial"/>
                <w:color w:val="000000"/>
                <w:sz w:val="22"/>
              </w:rPr>
              <w:t>18.40%</w:t>
            </w:r>
          </w:p>
        </w:tc>
      </w:tr>
      <w:tr w:rsidRPr="009C0BA5" w:rsidR="00EF4F53" w:rsidTr="00A94322" w14:paraId="46B400D5" w14:textId="77777777">
        <w:trPr>
          <w:trHeight w:val="340"/>
          <w:jc w:val="center"/>
        </w:trPr>
        <w:tc>
          <w:tcPr>
            <w:tcW w:w="3988" w:type="dxa"/>
            <w:tcBorders>
              <w:top w:val="nil"/>
              <w:left w:val="single" w:color="auto" w:sz="4" w:space="0"/>
              <w:bottom w:val="single" w:color="auto" w:sz="8" w:space="0"/>
              <w:right w:val="single" w:color="auto" w:sz="8" w:space="0"/>
            </w:tcBorders>
            <w:shd w:val="clear" w:color="auto" w:fill="auto"/>
            <w:noWrap/>
            <w:vAlign w:val="center"/>
            <w:hideMark/>
          </w:tcPr>
          <w:p w:rsidRPr="009C0BA5" w:rsidR="00EF4F53" w:rsidP="00597F70" w:rsidRDefault="00EF4F53" w14:paraId="113EEE5D" w14:textId="77777777">
            <w:pPr>
              <w:spacing w:line="240" w:lineRule="auto"/>
              <w:ind w:firstLine="660" w:firstLineChars="300"/>
              <w:rPr>
                <w:rFonts w:eastAsia="Times New Roman" w:cs="Calibri"/>
                <w:color w:val="000000"/>
                <w:sz w:val="22"/>
              </w:rPr>
            </w:pPr>
            <w:r w:rsidRPr="009C0BA5">
              <w:rPr>
                <w:rFonts w:eastAsia="Times New Roman" w:cs="Arial"/>
                <w:color w:val="000000"/>
                <w:sz w:val="22"/>
              </w:rPr>
              <w:t>E-19 T</w:t>
            </w:r>
          </w:p>
        </w:tc>
        <w:tc>
          <w:tcPr>
            <w:tcW w:w="1443"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364B24F3" w14:textId="77777777">
            <w:pPr>
              <w:spacing w:line="240" w:lineRule="auto"/>
              <w:ind w:firstLine="0"/>
              <w:jc w:val="right"/>
              <w:rPr>
                <w:rFonts w:eastAsia="Times New Roman" w:cs="Calibri"/>
                <w:color w:val="0000FF"/>
                <w:sz w:val="22"/>
              </w:rPr>
            </w:pPr>
            <w:r w:rsidRPr="009C0BA5">
              <w:rPr>
                <w:rFonts w:eastAsia="Times New Roman" w:cs="Arial"/>
                <w:color w:val="0000FF"/>
                <w:sz w:val="22"/>
              </w:rPr>
              <w:t>17.01</w:t>
            </w:r>
          </w:p>
        </w:tc>
        <w:tc>
          <w:tcPr>
            <w:tcW w:w="1645"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7BD55CD5" w14:textId="77777777">
            <w:pPr>
              <w:spacing w:line="240" w:lineRule="auto"/>
              <w:ind w:firstLine="0"/>
              <w:jc w:val="right"/>
              <w:rPr>
                <w:rFonts w:eastAsia="Times New Roman" w:cs="Calibri"/>
                <w:color w:val="0000FF"/>
                <w:sz w:val="22"/>
              </w:rPr>
            </w:pPr>
            <w:r w:rsidRPr="009C0BA5">
              <w:rPr>
                <w:rFonts w:eastAsia="Times New Roman" w:cs="Arial"/>
                <w:color w:val="0000FF"/>
                <w:sz w:val="22"/>
              </w:rPr>
              <w:t>19.37</w:t>
            </w:r>
          </w:p>
        </w:tc>
        <w:tc>
          <w:tcPr>
            <w:tcW w:w="1706"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4357606C" w14:textId="77777777">
            <w:pPr>
              <w:spacing w:line="240" w:lineRule="auto"/>
              <w:ind w:firstLine="0"/>
              <w:jc w:val="right"/>
              <w:rPr>
                <w:rFonts w:eastAsia="Times New Roman" w:cs="Calibri"/>
                <w:color w:val="000000"/>
                <w:sz w:val="22"/>
              </w:rPr>
            </w:pPr>
            <w:r w:rsidRPr="009C0BA5">
              <w:rPr>
                <w:rFonts w:eastAsia="Times New Roman" w:cs="Calibri"/>
                <w:color w:val="000000"/>
                <w:sz w:val="22"/>
              </w:rPr>
              <w:t>2.36</w:t>
            </w:r>
          </w:p>
        </w:tc>
        <w:tc>
          <w:tcPr>
            <w:tcW w:w="1401"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0A1AF19E" w14:textId="77777777">
            <w:pPr>
              <w:spacing w:line="240" w:lineRule="auto"/>
              <w:ind w:firstLine="0"/>
              <w:jc w:val="right"/>
              <w:rPr>
                <w:rFonts w:eastAsia="Times New Roman" w:cs="Calibri"/>
                <w:color w:val="000000"/>
                <w:sz w:val="22"/>
              </w:rPr>
            </w:pPr>
            <w:r w:rsidRPr="009C0BA5">
              <w:rPr>
                <w:rFonts w:eastAsia="Times New Roman" w:cs="Arial"/>
                <w:color w:val="000000"/>
                <w:sz w:val="22"/>
              </w:rPr>
              <w:t>13.87%</w:t>
            </w:r>
          </w:p>
        </w:tc>
      </w:tr>
      <w:tr w:rsidRPr="009C0BA5" w:rsidR="00EF4F53" w:rsidTr="00A94322" w14:paraId="2E35B57E" w14:textId="77777777">
        <w:trPr>
          <w:trHeight w:val="340"/>
          <w:jc w:val="center"/>
        </w:trPr>
        <w:tc>
          <w:tcPr>
            <w:tcW w:w="3988" w:type="dxa"/>
            <w:tcBorders>
              <w:top w:val="nil"/>
              <w:left w:val="single" w:color="auto" w:sz="4" w:space="0"/>
              <w:bottom w:val="single" w:color="auto" w:sz="8" w:space="0"/>
              <w:right w:val="single" w:color="auto" w:sz="8" w:space="0"/>
            </w:tcBorders>
            <w:shd w:val="clear" w:color="auto" w:fill="auto"/>
            <w:noWrap/>
            <w:vAlign w:val="center"/>
            <w:hideMark/>
          </w:tcPr>
          <w:p w:rsidRPr="009C0BA5" w:rsidR="00EF4F53" w:rsidP="00597F70" w:rsidRDefault="00EF4F53" w14:paraId="0290BB55" w14:textId="77777777">
            <w:pPr>
              <w:spacing w:line="240" w:lineRule="auto"/>
              <w:ind w:firstLine="660" w:firstLineChars="300"/>
              <w:rPr>
                <w:rFonts w:eastAsia="Times New Roman" w:cs="Calibri"/>
                <w:color w:val="000000"/>
                <w:sz w:val="22"/>
              </w:rPr>
            </w:pPr>
            <w:r w:rsidRPr="009C0BA5">
              <w:rPr>
                <w:rFonts w:eastAsia="Times New Roman" w:cs="Arial"/>
                <w:color w:val="000000"/>
                <w:sz w:val="22"/>
              </w:rPr>
              <w:t>E-19 P</w:t>
            </w:r>
          </w:p>
        </w:tc>
        <w:tc>
          <w:tcPr>
            <w:tcW w:w="1443"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056F5817" w14:textId="77777777">
            <w:pPr>
              <w:spacing w:line="240" w:lineRule="auto"/>
              <w:ind w:firstLine="0"/>
              <w:jc w:val="right"/>
              <w:rPr>
                <w:rFonts w:eastAsia="Times New Roman" w:cs="Calibri"/>
                <w:color w:val="0000FF"/>
                <w:sz w:val="22"/>
              </w:rPr>
            </w:pPr>
            <w:r w:rsidRPr="009C0BA5">
              <w:rPr>
                <w:rFonts w:eastAsia="Times New Roman" w:cs="Arial"/>
                <w:color w:val="0000FF"/>
                <w:sz w:val="22"/>
              </w:rPr>
              <w:t>18.79</w:t>
            </w:r>
          </w:p>
        </w:tc>
        <w:tc>
          <w:tcPr>
            <w:tcW w:w="1645"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1B932448" w14:textId="77777777">
            <w:pPr>
              <w:spacing w:line="240" w:lineRule="auto"/>
              <w:ind w:firstLine="0"/>
              <w:jc w:val="right"/>
              <w:rPr>
                <w:rFonts w:eastAsia="Times New Roman" w:cs="Calibri"/>
                <w:color w:val="0000FF"/>
                <w:sz w:val="22"/>
              </w:rPr>
            </w:pPr>
            <w:r w:rsidRPr="009C0BA5">
              <w:rPr>
                <w:rFonts w:eastAsia="Times New Roman" w:cs="Arial"/>
                <w:color w:val="0000FF"/>
                <w:sz w:val="22"/>
              </w:rPr>
              <w:t>23.44</w:t>
            </w:r>
          </w:p>
        </w:tc>
        <w:tc>
          <w:tcPr>
            <w:tcW w:w="1706"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76E391EB" w14:textId="77777777">
            <w:pPr>
              <w:spacing w:line="240" w:lineRule="auto"/>
              <w:ind w:firstLine="0"/>
              <w:jc w:val="right"/>
              <w:rPr>
                <w:rFonts w:eastAsia="Times New Roman" w:cs="Calibri"/>
                <w:color w:val="000000"/>
                <w:sz w:val="22"/>
              </w:rPr>
            </w:pPr>
            <w:r w:rsidRPr="009C0BA5">
              <w:rPr>
                <w:rFonts w:eastAsia="Times New Roman" w:cs="Calibri"/>
                <w:color w:val="000000"/>
                <w:sz w:val="22"/>
              </w:rPr>
              <w:t>4.65</w:t>
            </w:r>
          </w:p>
        </w:tc>
        <w:tc>
          <w:tcPr>
            <w:tcW w:w="1401"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1361E909" w14:textId="77777777">
            <w:pPr>
              <w:spacing w:line="240" w:lineRule="auto"/>
              <w:ind w:firstLine="0"/>
              <w:jc w:val="right"/>
              <w:rPr>
                <w:rFonts w:eastAsia="Times New Roman" w:cs="Calibri"/>
                <w:color w:val="000000"/>
                <w:sz w:val="22"/>
              </w:rPr>
            </w:pPr>
            <w:r w:rsidRPr="009C0BA5">
              <w:rPr>
                <w:rFonts w:eastAsia="Times New Roman" w:cs="Arial"/>
                <w:color w:val="000000"/>
                <w:sz w:val="22"/>
              </w:rPr>
              <w:t>24.75%</w:t>
            </w:r>
          </w:p>
        </w:tc>
      </w:tr>
      <w:tr w:rsidRPr="009C0BA5" w:rsidR="00EF4F53" w:rsidTr="00A94322" w14:paraId="65C51B9E" w14:textId="77777777">
        <w:trPr>
          <w:trHeight w:val="340"/>
          <w:jc w:val="center"/>
        </w:trPr>
        <w:tc>
          <w:tcPr>
            <w:tcW w:w="3988" w:type="dxa"/>
            <w:tcBorders>
              <w:top w:val="nil"/>
              <w:left w:val="single" w:color="auto" w:sz="4" w:space="0"/>
              <w:bottom w:val="single" w:color="auto" w:sz="8" w:space="0"/>
              <w:right w:val="single" w:color="auto" w:sz="8" w:space="0"/>
            </w:tcBorders>
            <w:shd w:val="clear" w:color="auto" w:fill="auto"/>
            <w:noWrap/>
            <w:vAlign w:val="center"/>
            <w:hideMark/>
          </w:tcPr>
          <w:p w:rsidRPr="009C0BA5" w:rsidR="00EF4F53" w:rsidP="00597F70" w:rsidRDefault="00EF4F53" w14:paraId="5D807797" w14:textId="77777777">
            <w:pPr>
              <w:spacing w:line="240" w:lineRule="auto"/>
              <w:ind w:firstLine="660" w:firstLineChars="300"/>
              <w:rPr>
                <w:rFonts w:eastAsia="Times New Roman" w:cs="Calibri"/>
                <w:color w:val="000000"/>
                <w:sz w:val="22"/>
              </w:rPr>
            </w:pPr>
            <w:r w:rsidRPr="009C0BA5">
              <w:rPr>
                <w:rFonts w:eastAsia="Times New Roman" w:cs="Arial"/>
                <w:color w:val="000000"/>
                <w:sz w:val="22"/>
              </w:rPr>
              <w:t>E-19 S</w:t>
            </w:r>
          </w:p>
        </w:tc>
        <w:tc>
          <w:tcPr>
            <w:tcW w:w="1443"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2478CD60" w14:textId="77777777">
            <w:pPr>
              <w:spacing w:line="240" w:lineRule="auto"/>
              <w:ind w:firstLine="0"/>
              <w:jc w:val="right"/>
              <w:rPr>
                <w:rFonts w:eastAsia="Times New Roman" w:cs="Calibri"/>
                <w:color w:val="0000FF"/>
                <w:sz w:val="22"/>
              </w:rPr>
            </w:pPr>
            <w:r w:rsidRPr="009C0BA5">
              <w:rPr>
                <w:rFonts w:eastAsia="Times New Roman" w:cs="Arial"/>
                <w:color w:val="0000FF"/>
                <w:sz w:val="22"/>
              </w:rPr>
              <w:t>21.25</w:t>
            </w:r>
          </w:p>
        </w:tc>
        <w:tc>
          <w:tcPr>
            <w:tcW w:w="1645"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496B9678" w14:textId="77777777">
            <w:pPr>
              <w:spacing w:line="240" w:lineRule="auto"/>
              <w:ind w:firstLine="0"/>
              <w:jc w:val="right"/>
              <w:rPr>
                <w:rFonts w:eastAsia="Times New Roman" w:cs="Calibri"/>
                <w:color w:val="0000FF"/>
                <w:sz w:val="22"/>
              </w:rPr>
            </w:pPr>
            <w:r w:rsidRPr="009C0BA5">
              <w:rPr>
                <w:rFonts w:eastAsia="Times New Roman" w:cs="Arial"/>
                <w:color w:val="0000FF"/>
                <w:sz w:val="22"/>
              </w:rPr>
              <w:t>24.96</w:t>
            </w:r>
          </w:p>
        </w:tc>
        <w:tc>
          <w:tcPr>
            <w:tcW w:w="1706"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3F785515" w14:textId="77777777">
            <w:pPr>
              <w:spacing w:line="240" w:lineRule="auto"/>
              <w:ind w:firstLine="0"/>
              <w:jc w:val="right"/>
              <w:rPr>
                <w:rFonts w:eastAsia="Times New Roman" w:cs="Calibri"/>
                <w:color w:val="000000"/>
                <w:sz w:val="22"/>
              </w:rPr>
            </w:pPr>
            <w:r w:rsidRPr="009C0BA5">
              <w:rPr>
                <w:rFonts w:eastAsia="Times New Roman" w:cs="Calibri"/>
                <w:color w:val="000000"/>
                <w:sz w:val="22"/>
              </w:rPr>
              <w:t>3.71</w:t>
            </w:r>
          </w:p>
        </w:tc>
        <w:tc>
          <w:tcPr>
            <w:tcW w:w="1401"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0664D828" w14:textId="77777777">
            <w:pPr>
              <w:spacing w:line="240" w:lineRule="auto"/>
              <w:ind w:firstLine="0"/>
              <w:jc w:val="right"/>
              <w:rPr>
                <w:rFonts w:eastAsia="Times New Roman" w:cs="Calibri"/>
                <w:color w:val="000000"/>
                <w:sz w:val="22"/>
              </w:rPr>
            </w:pPr>
            <w:r w:rsidRPr="009C0BA5">
              <w:rPr>
                <w:rFonts w:eastAsia="Times New Roman" w:cs="Arial"/>
                <w:color w:val="000000"/>
                <w:sz w:val="22"/>
              </w:rPr>
              <w:t>17.46%</w:t>
            </w:r>
          </w:p>
        </w:tc>
      </w:tr>
      <w:tr w:rsidRPr="009C0BA5" w:rsidR="00EF4F53" w:rsidTr="00A94322" w14:paraId="69AFA4C9" w14:textId="77777777">
        <w:trPr>
          <w:trHeight w:val="340"/>
          <w:jc w:val="center"/>
        </w:trPr>
        <w:tc>
          <w:tcPr>
            <w:tcW w:w="3988" w:type="dxa"/>
            <w:tcBorders>
              <w:top w:val="nil"/>
              <w:left w:val="single" w:color="auto" w:sz="4" w:space="0"/>
              <w:bottom w:val="single" w:color="auto" w:sz="8" w:space="0"/>
              <w:right w:val="single" w:color="auto" w:sz="8" w:space="0"/>
            </w:tcBorders>
            <w:shd w:val="clear" w:color="auto" w:fill="auto"/>
            <w:noWrap/>
            <w:vAlign w:val="center"/>
            <w:hideMark/>
          </w:tcPr>
          <w:p w:rsidRPr="009C0BA5" w:rsidR="00EF4F53" w:rsidP="00597F70" w:rsidRDefault="00EF4F53" w14:paraId="55C1793A" w14:textId="77777777">
            <w:pPr>
              <w:spacing w:line="240" w:lineRule="auto"/>
              <w:ind w:firstLine="220" w:firstLineChars="100"/>
              <w:rPr>
                <w:rFonts w:eastAsia="Times New Roman" w:cs="Calibri"/>
                <w:color w:val="000000"/>
                <w:sz w:val="22"/>
              </w:rPr>
            </w:pPr>
            <w:r w:rsidRPr="009C0BA5">
              <w:rPr>
                <w:rFonts w:eastAsia="Times New Roman" w:cs="Arial"/>
                <w:color w:val="000000"/>
                <w:sz w:val="22"/>
              </w:rPr>
              <w:t>Streetlight</w:t>
            </w:r>
          </w:p>
        </w:tc>
        <w:tc>
          <w:tcPr>
            <w:tcW w:w="1443"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7A54976F" w14:textId="77777777">
            <w:pPr>
              <w:spacing w:line="240" w:lineRule="auto"/>
              <w:ind w:firstLine="0"/>
              <w:jc w:val="right"/>
              <w:rPr>
                <w:rFonts w:eastAsia="Times New Roman" w:cs="Calibri"/>
                <w:color w:val="0000FF"/>
                <w:sz w:val="22"/>
              </w:rPr>
            </w:pPr>
            <w:r w:rsidRPr="009C0BA5">
              <w:rPr>
                <w:rFonts w:eastAsia="Times New Roman" w:cs="Arial"/>
                <w:color w:val="0000FF"/>
                <w:sz w:val="22"/>
              </w:rPr>
              <w:t>30.19</w:t>
            </w:r>
          </w:p>
        </w:tc>
        <w:tc>
          <w:tcPr>
            <w:tcW w:w="1645"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1A4276B6" w14:textId="77777777">
            <w:pPr>
              <w:spacing w:line="240" w:lineRule="auto"/>
              <w:ind w:firstLine="0"/>
              <w:jc w:val="right"/>
              <w:rPr>
                <w:rFonts w:eastAsia="Times New Roman" w:cs="Calibri"/>
                <w:color w:val="0000FF"/>
                <w:sz w:val="22"/>
              </w:rPr>
            </w:pPr>
            <w:r w:rsidRPr="009C0BA5">
              <w:rPr>
                <w:rFonts w:eastAsia="Times New Roman" w:cs="Arial"/>
                <w:color w:val="0000FF"/>
                <w:sz w:val="22"/>
              </w:rPr>
              <w:t>34.42</w:t>
            </w:r>
          </w:p>
        </w:tc>
        <w:tc>
          <w:tcPr>
            <w:tcW w:w="1706"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02D0E17D" w14:textId="77777777">
            <w:pPr>
              <w:spacing w:line="240" w:lineRule="auto"/>
              <w:ind w:firstLine="0"/>
              <w:jc w:val="right"/>
              <w:rPr>
                <w:rFonts w:eastAsia="Times New Roman" w:cs="Calibri"/>
                <w:color w:val="000000"/>
                <w:sz w:val="22"/>
              </w:rPr>
            </w:pPr>
            <w:r w:rsidRPr="009C0BA5">
              <w:rPr>
                <w:rFonts w:eastAsia="Times New Roman" w:cs="Calibri"/>
                <w:color w:val="000000"/>
                <w:sz w:val="22"/>
              </w:rPr>
              <w:t>4.23</w:t>
            </w:r>
          </w:p>
        </w:tc>
        <w:tc>
          <w:tcPr>
            <w:tcW w:w="1401"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226722D2" w14:textId="77777777">
            <w:pPr>
              <w:spacing w:line="240" w:lineRule="auto"/>
              <w:ind w:firstLine="0"/>
              <w:jc w:val="right"/>
              <w:rPr>
                <w:rFonts w:eastAsia="Times New Roman" w:cs="Calibri"/>
                <w:color w:val="000000"/>
                <w:sz w:val="22"/>
              </w:rPr>
            </w:pPr>
            <w:r w:rsidRPr="009C0BA5">
              <w:rPr>
                <w:rFonts w:eastAsia="Times New Roman" w:cs="Arial"/>
                <w:color w:val="000000"/>
                <w:sz w:val="22"/>
              </w:rPr>
              <w:t>14.01%</w:t>
            </w:r>
          </w:p>
        </w:tc>
      </w:tr>
      <w:tr w:rsidRPr="009C0BA5" w:rsidR="00EF4F53" w:rsidTr="00A94322" w14:paraId="27AB549C" w14:textId="77777777">
        <w:trPr>
          <w:trHeight w:val="340"/>
          <w:jc w:val="center"/>
        </w:trPr>
        <w:tc>
          <w:tcPr>
            <w:tcW w:w="3988" w:type="dxa"/>
            <w:tcBorders>
              <w:top w:val="nil"/>
              <w:left w:val="single" w:color="auto" w:sz="4" w:space="0"/>
              <w:bottom w:val="single" w:color="auto" w:sz="8" w:space="0"/>
              <w:right w:val="single" w:color="auto" w:sz="8" w:space="0"/>
            </w:tcBorders>
            <w:shd w:val="clear" w:color="auto" w:fill="auto"/>
            <w:noWrap/>
            <w:vAlign w:val="center"/>
            <w:hideMark/>
          </w:tcPr>
          <w:p w:rsidRPr="009C0BA5" w:rsidR="00EF4F53" w:rsidP="00597F70" w:rsidRDefault="00EF4F53" w14:paraId="1251A357" w14:textId="77777777">
            <w:pPr>
              <w:spacing w:line="240" w:lineRule="auto"/>
              <w:ind w:firstLine="220" w:firstLineChars="100"/>
              <w:rPr>
                <w:rFonts w:eastAsia="Times New Roman" w:cs="Calibri"/>
                <w:color w:val="000000"/>
                <w:sz w:val="22"/>
              </w:rPr>
            </w:pPr>
            <w:r w:rsidRPr="009C0BA5">
              <w:rPr>
                <w:rFonts w:eastAsia="Times New Roman" w:cs="Arial"/>
                <w:color w:val="000000"/>
                <w:sz w:val="22"/>
              </w:rPr>
              <w:t>Standby</w:t>
            </w:r>
          </w:p>
        </w:tc>
        <w:tc>
          <w:tcPr>
            <w:tcW w:w="1443"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60F3FECB" w14:textId="77777777">
            <w:pPr>
              <w:spacing w:line="240" w:lineRule="auto"/>
              <w:ind w:firstLine="0"/>
              <w:jc w:val="right"/>
              <w:rPr>
                <w:rFonts w:eastAsia="Times New Roman" w:cs="Calibri"/>
                <w:color w:val="0000FF"/>
                <w:sz w:val="22"/>
              </w:rPr>
            </w:pPr>
            <w:r w:rsidRPr="009C0BA5">
              <w:rPr>
                <w:rFonts w:eastAsia="Times New Roman" w:cs="Arial"/>
                <w:color w:val="0000FF"/>
                <w:sz w:val="22"/>
              </w:rPr>
              <w:t>13.09</w:t>
            </w:r>
          </w:p>
        </w:tc>
        <w:tc>
          <w:tcPr>
            <w:tcW w:w="1645"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0B82A8D0" w14:textId="77777777">
            <w:pPr>
              <w:spacing w:line="240" w:lineRule="auto"/>
              <w:ind w:firstLine="0"/>
              <w:jc w:val="right"/>
              <w:rPr>
                <w:rFonts w:eastAsia="Times New Roman" w:cs="Calibri"/>
                <w:color w:val="0000FF"/>
                <w:sz w:val="22"/>
              </w:rPr>
            </w:pPr>
            <w:r w:rsidRPr="009C0BA5">
              <w:rPr>
                <w:rFonts w:eastAsia="Times New Roman" w:cs="Arial"/>
                <w:color w:val="0000FF"/>
                <w:sz w:val="22"/>
              </w:rPr>
              <w:t>15.67</w:t>
            </w:r>
          </w:p>
        </w:tc>
        <w:tc>
          <w:tcPr>
            <w:tcW w:w="1706"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2E92D8BA" w14:textId="77777777">
            <w:pPr>
              <w:spacing w:line="240" w:lineRule="auto"/>
              <w:ind w:firstLine="0"/>
              <w:jc w:val="right"/>
              <w:rPr>
                <w:rFonts w:eastAsia="Times New Roman" w:cs="Calibri"/>
                <w:color w:val="000000"/>
                <w:sz w:val="22"/>
              </w:rPr>
            </w:pPr>
            <w:r w:rsidRPr="009C0BA5">
              <w:rPr>
                <w:rFonts w:eastAsia="Times New Roman" w:cs="Calibri"/>
                <w:color w:val="000000"/>
                <w:sz w:val="22"/>
              </w:rPr>
              <w:t>2.58</w:t>
            </w:r>
          </w:p>
        </w:tc>
        <w:tc>
          <w:tcPr>
            <w:tcW w:w="1401"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52913501" w14:textId="77777777">
            <w:pPr>
              <w:spacing w:line="240" w:lineRule="auto"/>
              <w:ind w:firstLine="0"/>
              <w:jc w:val="right"/>
              <w:rPr>
                <w:rFonts w:eastAsia="Times New Roman" w:cs="Calibri"/>
                <w:color w:val="000000"/>
                <w:sz w:val="22"/>
              </w:rPr>
            </w:pPr>
            <w:r w:rsidRPr="009C0BA5">
              <w:rPr>
                <w:rFonts w:eastAsia="Times New Roman" w:cs="Arial"/>
                <w:color w:val="000000"/>
                <w:sz w:val="22"/>
              </w:rPr>
              <w:t>19.71%</w:t>
            </w:r>
          </w:p>
        </w:tc>
      </w:tr>
      <w:tr w:rsidRPr="009C0BA5" w:rsidR="00EF4F53" w:rsidTr="00A94322" w14:paraId="068ECE13" w14:textId="77777777">
        <w:trPr>
          <w:trHeight w:val="340"/>
          <w:jc w:val="center"/>
        </w:trPr>
        <w:tc>
          <w:tcPr>
            <w:tcW w:w="3988" w:type="dxa"/>
            <w:tcBorders>
              <w:top w:val="nil"/>
              <w:left w:val="single" w:color="auto" w:sz="4" w:space="0"/>
              <w:bottom w:val="single" w:color="auto" w:sz="8" w:space="0"/>
              <w:right w:val="single" w:color="auto" w:sz="8" w:space="0"/>
            </w:tcBorders>
            <w:shd w:val="clear" w:color="auto" w:fill="auto"/>
            <w:noWrap/>
            <w:vAlign w:val="center"/>
            <w:hideMark/>
          </w:tcPr>
          <w:p w:rsidRPr="009C0BA5" w:rsidR="00EF4F53" w:rsidP="00597F70" w:rsidRDefault="00EF4F53" w14:paraId="72D9B810" w14:textId="77777777">
            <w:pPr>
              <w:spacing w:line="240" w:lineRule="auto"/>
              <w:ind w:firstLine="220" w:firstLineChars="100"/>
              <w:rPr>
                <w:rFonts w:eastAsia="Times New Roman" w:cs="Calibri"/>
                <w:color w:val="000000"/>
                <w:sz w:val="22"/>
              </w:rPr>
            </w:pPr>
            <w:r w:rsidRPr="009C0BA5">
              <w:rPr>
                <w:rFonts w:eastAsia="Times New Roman" w:cs="Arial"/>
                <w:color w:val="000000"/>
                <w:sz w:val="22"/>
              </w:rPr>
              <w:t>Agriculture</w:t>
            </w:r>
          </w:p>
        </w:tc>
        <w:tc>
          <w:tcPr>
            <w:tcW w:w="1443"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25774463" w14:textId="77777777">
            <w:pPr>
              <w:spacing w:line="240" w:lineRule="auto"/>
              <w:ind w:firstLine="0"/>
              <w:jc w:val="right"/>
              <w:rPr>
                <w:rFonts w:eastAsia="Times New Roman" w:cs="Calibri"/>
                <w:color w:val="0000FF"/>
                <w:sz w:val="22"/>
              </w:rPr>
            </w:pPr>
            <w:r w:rsidRPr="009C0BA5">
              <w:rPr>
                <w:rFonts w:eastAsia="Times New Roman" w:cs="Arial"/>
                <w:color w:val="0000FF"/>
                <w:sz w:val="22"/>
              </w:rPr>
              <w:t>25.08</w:t>
            </w:r>
          </w:p>
        </w:tc>
        <w:tc>
          <w:tcPr>
            <w:tcW w:w="1645"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6B874621" w14:textId="77777777">
            <w:pPr>
              <w:spacing w:line="240" w:lineRule="auto"/>
              <w:ind w:firstLine="0"/>
              <w:jc w:val="right"/>
              <w:rPr>
                <w:rFonts w:eastAsia="Times New Roman" w:cs="Calibri"/>
                <w:color w:val="0000FF"/>
                <w:sz w:val="22"/>
              </w:rPr>
            </w:pPr>
            <w:r w:rsidRPr="009C0BA5">
              <w:rPr>
                <w:rFonts w:eastAsia="Times New Roman" w:cs="Arial"/>
                <w:color w:val="0000FF"/>
                <w:sz w:val="22"/>
              </w:rPr>
              <w:t>27.78</w:t>
            </w:r>
          </w:p>
        </w:tc>
        <w:tc>
          <w:tcPr>
            <w:tcW w:w="1706"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3F9A5AB9" w14:textId="77777777">
            <w:pPr>
              <w:spacing w:line="240" w:lineRule="auto"/>
              <w:ind w:firstLine="0"/>
              <w:jc w:val="right"/>
              <w:rPr>
                <w:rFonts w:eastAsia="Times New Roman" w:cs="Calibri"/>
                <w:color w:val="000000"/>
                <w:sz w:val="22"/>
              </w:rPr>
            </w:pPr>
            <w:r w:rsidRPr="009C0BA5">
              <w:rPr>
                <w:rFonts w:eastAsia="Times New Roman" w:cs="Calibri"/>
                <w:color w:val="000000"/>
                <w:sz w:val="22"/>
              </w:rPr>
              <w:t>2.7</w:t>
            </w:r>
          </w:p>
        </w:tc>
        <w:tc>
          <w:tcPr>
            <w:tcW w:w="1401"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1F973311" w14:textId="77777777">
            <w:pPr>
              <w:spacing w:line="240" w:lineRule="auto"/>
              <w:ind w:firstLine="0"/>
              <w:jc w:val="right"/>
              <w:rPr>
                <w:rFonts w:eastAsia="Times New Roman" w:cs="Calibri"/>
                <w:color w:val="000000"/>
                <w:sz w:val="22"/>
              </w:rPr>
            </w:pPr>
            <w:r w:rsidRPr="009C0BA5">
              <w:rPr>
                <w:rFonts w:eastAsia="Times New Roman" w:cs="Arial"/>
                <w:color w:val="000000"/>
                <w:sz w:val="22"/>
              </w:rPr>
              <w:t>10.77%</w:t>
            </w:r>
          </w:p>
        </w:tc>
      </w:tr>
      <w:tr w:rsidRPr="009C0BA5" w:rsidR="00EF4F53" w:rsidTr="00A94322" w14:paraId="32F56DD9" w14:textId="77777777">
        <w:trPr>
          <w:trHeight w:val="340"/>
          <w:jc w:val="center"/>
        </w:trPr>
        <w:tc>
          <w:tcPr>
            <w:tcW w:w="3988" w:type="dxa"/>
            <w:tcBorders>
              <w:top w:val="nil"/>
              <w:left w:val="single" w:color="auto" w:sz="4" w:space="0"/>
              <w:bottom w:val="single" w:color="auto" w:sz="8" w:space="0"/>
              <w:right w:val="single" w:color="auto" w:sz="8" w:space="0"/>
            </w:tcBorders>
            <w:shd w:val="clear" w:color="auto" w:fill="auto"/>
            <w:noWrap/>
            <w:vAlign w:val="center"/>
            <w:hideMark/>
          </w:tcPr>
          <w:p w:rsidRPr="009C0BA5" w:rsidR="00EF4F53" w:rsidP="00597F70" w:rsidRDefault="00EF4F53" w14:paraId="2F84598A" w14:textId="77777777">
            <w:pPr>
              <w:spacing w:line="240" w:lineRule="auto"/>
              <w:ind w:firstLine="220" w:firstLineChars="100"/>
              <w:rPr>
                <w:rFonts w:eastAsia="Times New Roman" w:cs="Calibri"/>
                <w:color w:val="000000"/>
                <w:sz w:val="22"/>
              </w:rPr>
            </w:pPr>
            <w:r w:rsidRPr="009C0BA5">
              <w:rPr>
                <w:rFonts w:eastAsia="Times New Roman" w:cs="Arial"/>
                <w:color w:val="000000"/>
                <w:sz w:val="22"/>
              </w:rPr>
              <w:t>Industrial (E-20)</w:t>
            </w:r>
          </w:p>
        </w:tc>
        <w:tc>
          <w:tcPr>
            <w:tcW w:w="1443"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036BC42D" w14:textId="77777777">
            <w:pPr>
              <w:spacing w:line="240" w:lineRule="auto"/>
              <w:ind w:firstLine="0"/>
              <w:jc w:val="right"/>
              <w:rPr>
                <w:rFonts w:eastAsia="Times New Roman" w:cs="Calibri"/>
                <w:color w:val="0000FF"/>
                <w:sz w:val="22"/>
              </w:rPr>
            </w:pPr>
            <w:r w:rsidRPr="009C0BA5">
              <w:rPr>
                <w:rFonts w:eastAsia="Times New Roman" w:cs="Arial"/>
                <w:color w:val="0000FF"/>
                <w:sz w:val="22"/>
              </w:rPr>
              <w:t>15.94</w:t>
            </w:r>
          </w:p>
        </w:tc>
        <w:tc>
          <w:tcPr>
            <w:tcW w:w="1645"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585198EF" w14:textId="77777777">
            <w:pPr>
              <w:spacing w:line="240" w:lineRule="auto"/>
              <w:ind w:firstLine="0"/>
              <w:jc w:val="right"/>
              <w:rPr>
                <w:rFonts w:eastAsia="Times New Roman" w:cs="Calibri"/>
                <w:color w:val="0000FF"/>
                <w:sz w:val="22"/>
              </w:rPr>
            </w:pPr>
            <w:r w:rsidRPr="009C0BA5">
              <w:rPr>
                <w:rFonts w:eastAsia="Times New Roman" w:cs="Arial"/>
                <w:color w:val="0000FF"/>
                <w:sz w:val="22"/>
              </w:rPr>
              <w:t>19.38</w:t>
            </w:r>
          </w:p>
        </w:tc>
        <w:tc>
          <w:tcPr>
            <w:tcW w:w="1706"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4D64F791" w14:textId="77777777">
            <w:pPr>
              <w:spacing w:line="240" w:lineRule="auto"/>
              <w:ind w:firstLine="0"/>
              <w:jc w:val="right"/>
              <w:rPr>
                <w:rFonts w:eastAsia="Times New Roman" w:cs="Calibri"/>
                <w:color w:val="000000"/>
                <w:sz w:val="22"/>
              </w:rPr>
            </w:pPr>
            <w:r w:rsidRPr="009C0BA5">
              <w:rPr>
                <w:rFonts w:eastAsia="Times New Roman" w:cs="Calibri"/>
                <w:color w:val="000000"/>
                <w:sz w:val="22"/>
              </w:rPr>
              <w:t>3.44</w:t>
            </w:r>
          </w:p>
        </w:tc>
        <w:tc>
          <w:tcPr>
            <w:tcW w:w="1401"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357A6159" w14:textId="77777777">
            <w:pPr>
              <w:spacing w:line="240" w:lineRule="auto"/>
              <w:ind w:firstLine="0"/>
              <w:jc w:val="right"/>
              <w:rPr>
                <w:rFonts w:eastAsia="Times New Roman" w:cs="Calibri"/>
                <w:color w:val="000000"/>
                <w:sz w:val="22"/>
              </w:rPr>
            </w:pPr>
            <w:r w:rsidRPr="009C0BA5">
              <w:rPr>
                <w:rFonts w:eastAsia="Times New Roman" w:cs="Arial"/>
                <w:color w:val="000000"/>
                <w:sz w:val="22"/>
              </w:rPr>
              <w:t>21.58%</w:t>
            </w:r>
          </w:p>
        </w:tc>
      </w:tr>
      <w:tr w:rsidRPr="009C0BA5" w:rsidR="00EF4F53" w:rsidTr="00A94322" w14:paraId="2A1532EF" w14:textId="77777777">
        <w:trPr>
          <w:trHeight w:val="340"/>
          <w:jc w:val="center"/>
        </w:trPr>
        <w:tc>
          <w:tcPr>
            <w:tcW w:w="3988" w:type="dxa"/>
            <w:tcBorders>
              <w:top w:val="nil"/>
              <w:left w:val="single" w:color="auto" w:sz="4" w:space="0"/>
              <w:bottom w:val="single" w:color="auto" w:sz="8" w:space="0"/>
              <w:right w:val="single" w:color="auto" w:sz="8" w:space="0"/>
            </w:tcBorders>
            <w:shd w:val="clear" w:color="auto" w:fill="auto"/>
            <w:noWrap/>
            <w:vAlign w:val="center"/>
            <w:hideMark/>
          </w:tcPr>
          <w:p w:rsidRPr="009C0BA5" w:rsidR="00EF4F53" w:rsidP="00597F70" w:rsidRDefault="00EF4F53" w14:paraId="0C83E17F" w14:textId="77777777">
            <w:pPr>
              <w:spacing w:line="240" w:lineRule="auto"/>
              <w:ind w:firstLine="660" w:firstLineChars="300"/>
              <w:rPr>
                <w:rFonts w:eastAsia="Times New Roman" w:cs="Calibri"/>
                <w:color w:val="000000"/>
                <w:sz w:val="22"/>
              </w:rPr>
            </w:pPr>
            <w:r w:rsidRPr="009C0BA5">
              <w:rPr>
                <w:rFonts w:eastAsia="Times New Roman" w:cs="Arial"/>
                <w:color w:val="000000"/>
                <w:sz w:val="22"/>
              </w:rPr>
              <w:t>E-20 T</w:t>
            </w:r>
          </w:p>
        </w:tc>
        <w:tc>
          <w:tcPr>
            <w:tcW w:w="1443"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3A6E7970" w14:textId="77777777">
            <w:pPr>
              <w:spacing w:line="240" w:lineRule="auto"/>
              <w:ind w:firstLine="0"/>
              <w:jc w:val="right"/>
              <w:rPr>
                <w:rFonts w:eastAsia="Times New Roman" w:cs="Calibri"/>
                <w:color w:val="0000FF"/>
                <w:sz w:val="22"/>
              </w:rPr>
            </w:pPr>
            <w:r w:rsidRPr="009C0BA5">
              <w:rPr>
                <w:rFonts w:eastAsia="Times New Roman" w:cs="Arial"/>
                <w:color w:val="0000FF"/>
                <w:sz w:val="22"/>
              </w:rPr>
              <w:t>13.37</w:t>
            </w:r>
          </w:p>
        </w:tc>
        <w:tc>
          <w:tcPr>
            <w:tcW w:w="1645"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3B358F49" w14:textId="77777777">
            <w:pPr>
              <w:spacing w:line="240" w:lineRule="auto"/>
              <w:ind w:firstLine="0"/>
              <w:jc w:val="right"/>
              <w:rPr>
                <w:rFonts w:eastAsia="Times New Roman" w:cs="Calibri"/>
                <w:color w:val="0000FF"/>
                <w:sz w:val="22"/>
              </w:rPr>
            </w:pPr>
            <w:r w:rsidRPr="009C0BA5">
              <w:rPr>
                <w:rFonts w:eastAsia="Times New Roman" w:cs="Arial"/>
                <w:color w:val="0000FF"/>
                <w:sz w:val="22"/>
              </w:rPr>
              <w:t>16.91</w:t>
            </w:r>
          </w:p>
        </w:tc>
        <w:tc>
          <w:tcPr>
            <w:tcW w:w="1706"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10C6B5F2" w14:textId="77777777">
            <w:pPr>
              <w:spacing w:line="240" w:lineRule="auto"/>
              <w:ind w:firstLine="0"/>
              <w:jc w:val="right"/>
              <w:rPr>
                <w:rFonts w:eastAsia="Times New Roman" w:cs="Calibri"/>
                <w:color w:val="000000"/>
                <w:sz w:val="22"/>
              </w:rPr>
            </w:pPr>
            <w:r w:rsidRPr="009C0BA5">
              <w:rPr>
                <w:rFonts w:eastAsia="Times New Roman" w:cs="Calibri"/>
                <w:color w:val="000000"/>
                <w:sz w:val="22"/>
              </w:rPr>
              <w:t>3.54</w:t>
            </w:r>
          </w:p>
        </w:tc>
        <w:tc>
          <w:tcPr>
            <w:tcW w:w="1401"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323EB0E6" w14:textId="77777777">
            <w:pPr>
              <w:spacing w:line="240" w:lineRule="auto"/>
              <w:ind w:firstLine="0"/>
              <w:jc w:val="right"/>
              <w:rPr>
                <w:rFonts w:eastAsia="Times New Roman" w:cs="Calibri"/>
                <w:color w:val="000000"/>
                <w:sz w:val="22"/>
              </w:rPr>
            </w:pPr>
            <w:r w:rsidRPr="009C0BA5">
              <w:rPr>
                <w:rFonts w:eastAsia="Times New Roman" w:cs="Arial"/>
                <w:color w:val="000000"/>
                <w:sz w:val="22"/>
              </w:rPr>
              <w:t>26.48%</w:t>
            </w:r>
          </w:p>
        </w:tc>
      </w:tr>
      <w:tr w:rsidRPr="009C0BA5" w:rsidR="00EF4F53" w:rsidTr="00A94322" w14:paraId="37DC9D4D" w14:textId="77777777">
        <w:trPr>
          <w:trHeight w:val="340"/>
          <w:jc w:val="center"/>
        </w:trPr>
        <w:tc>
          <w:tcPr>
            <w:tcW w:w="3988" w:type="dxa"/>
            <w:tcBorders>
              <w:top w:val="nil"/>
              <w:left w:val="single" w:color="auto" w:sz="4" w:space="0"/>
              <w:bottom w:val="single" w:color="auto" w:sz="8" w:space="0"/>
              <w:right w:val="single" w:color="auto" w:sz="8" w:space="0"/>
            </w:tcBorders>
            <w:shd w:val="clear" w:color="auto" w:fill="auto"/>
            <w:noWrap/>
            <w:vAlign w:val="center"/>
            <w:hideMark/>
          </w:tcPr>
          <w:p w:rsidRPr="009C0BA5" w:rsidR="00EF4F53" w:rsidP="00597F70" w:rsidRDefault="00EF4F53" w14:paraId="0A4FCA54" w14:textId="77777777">
            <w:pPr>
              <w:spacing w:line="240" w:lineRule="auto"/>
              <w:ind w:firstLine="660" w:firstLineChars="300"/>
              <w:rPr>
                <w:rFonts w:eastAsia="Times New Roman" w:cs="Calibri"/>
                <w:color w:val="000000"/>
                <w:sz w:val="22"/>
              </w:rPr>
            </w:pPr>
            <w:r w:rsidRPr="009C0BA5">
              <w:rPr>
                <w:rFonts w:eastAsia="Times New Roman" w:cs="Arial"/>
                <w:color w:val="000000"/>
                <w:sz w:val="22"/>
              </w:rPr>
              <w:t>E-20 P</w:t>
            </w:r>
          </w:p>
        </w:tc>
        <w:tc>
          <w:tcPr>
            <w:tcW w:w="1443"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3211A147" w14:textId="77777777">
            <w:pPr>
              <w:spacing w:line="240" w:lineRule="auto"/>
              <w:ind w:firstLine="0"/>
              <w:jc w:val="right"/>
              <w:rPr>
                <w:rFonts w:eastAsia="Times New Roman" w:cs="Calibri"/>
                <w:color w:val="0000FF"/>
                <w:sz w:val="22"/>
              </w:rPr>
            </w:pPr>
            <w:r w:rsidRPr="009C0BA5">
              <w:rPr>
                <w:rFonts w:eastAsia="Times New Roman" w:cs="Arial"/>
                <w:color w:val="0000FF"/>
                <w:sz w:val="22"/>
              </w:rPr>
              <w:t>17.67</w:t>
            </w:r>
          </w:p>
        </w:tc>
        <w:tc>
          <w:tcPr>
            <w:tcW w:w="1645"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6964F370" w14:textId="77777777">
            <w:pPr>
              <w:spacing w:line="240" w:lineRule="auto"/>
              <w:ind w:firstLine="0"/>
              <w:jc w:val="right"/>
              <w:rPr>
                <w:rFonts w:eastAsia="Times New Roman" w:cs="Calibri"/>
                <w:color w:val="0000FF"/>
                <w:sz w:val="22"/>
              </w:rPr>
            </w:pPr>
            <w:r w:rsidRPr="009C0BA5">
              <w:rPr>
                <w:rFonts w:eastAsia="Times New Roman" w:cs="Arial"/>
                <w:color w:val="0000FF"/>
                <w:sz w:val="22"/>
              </w:rPr>
              <w:t>20.81</w:t>
            </w:r>
          </w:p>
        </w:tc>
        <w:tc>
          <w:tcPr>
            <w:tcW w:w="1706"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60DBF6F0" w14:textId="77777777">
            <w:pPr>
              <w:spacing w:line="240" w:lineRule="auto"/>
              <w:ind w:firstLine="0"/>
              <w:jc w:val="right"/>
              <w:rPr>
                <w:rFonts w:eastAsia="Times New Roman" w:cs="Calibri"/>
                <w:color w:val="000000"/>
                <w:sz w:val="22"/>
              </w:rPr>
            </w:pPr>
            <w:r w:rsidRPr="009C0BA5">
              <w:rPr>
                <w:rFonts w:eastAsia="Times New Roman" w:cs="Calibri"/>
                <w:color w:val="000000"/>
                <w:sz w:val="22"/>
              </w:rPr>
              <w:t>3.14</w:t>
            </w:r>
          </w:p>
        </w:tc>
        <w:tc>
          <w:tcPr>
            <w:tcW w:w="1401"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719D3A90" w14:textId="77777777">
            <w:pPr>
              <w:spacing w:line="240" w:lineRule="auto"/>
              <w:ind w:firstLine="0"/>
              <w:jc w:val="right"/>
              <w:rPr>
                <w:rFonts w:eastAsia="Times New Roman" w:cs="Calibri"/>
                <w:color w:val="000000"/>
                <w:sz w:val="22"/>
              </w:rPr>
            </w:pPr>
            <w:r w:rsidRPr="009C0BA5">
              <w:rPr>
                <w:rFonts w:eastAsia="Times New Roman" w:cs="Arial"/>
                <w:color w:val="000000"/>
                <w:sz w:val="22"/>
              </w:rPr>
              <w:t>17.77%</w:t>
            </w:r>
          </w:p>
        </w:tc>
      </w:tr>
      <w:tr w:rsidRPr="009C0BA5" w:rsidR="00EF4F53" w:rsidTr="00A94322" w14:paraId="658CA207" w14:textId="77777777">
        <w:trPr>
          <w:trHeight w:val="340"/>
          <w:jc w:val="center"/>
        </w:trPr>
        <w:tc>
          <w:tcPr>
            <w:tcW w:w="3988" w:type="dxa"/>
            <w:tcBorders>
              <w:top w:val="nil"/>
              <w:left w:val="single" w:color="auto" w:sz="4" w:space="0"/>
              <w:bottom w:val="single" w:color="auto" w:sz="8" w:space="0"/>
              <w:right w:val="single" w:color="auto" w:sz="8" w:space="0"/>
            </w:tcBorders>
            <w:shd w:val="clear" w:color="auto" w:fill="auto"/>
            <w:noWrap/>
            <w:vAlign w:val="center"/>
            <w:hideMark/>
          </w:tcPr>
          <w:p w:rsidRPr="009C0BA5" w:rsidR="00EF4F53" w:rsidP="00597F70" w:rsidRDefault="00EF4F53" w14:paraId="258B5789" w14:textId="77777777">
            <w:pPr>
              <w:spacing w:line="240" w:lineRule="auto"/>
              <w:ind w:firstLine="660" w:firstLineChars="300"/>
              <w:rPr>
                <w:rFonts w:eastAsia="Times New Roman" w:cs="Calibri"/>
                <w:color w:val="000000"/>
                <w:sz w:val="22"/>
              </w:rPr>
            </w:pPr>
            <w:r w:rsidRPr="009C0BA5">
              <w:rPr>
                <w:rFonts w:eastAsia="Times New Roman" w:cs="Arial"/>
                <w:color w:val="000000"/>
                <w:sz w:val="22"/>
              </w:rPr>
              <w:t>E-20 S</w:t>
            </w:r>
          </w:p>
        </w:tc>
        <w:tc>
          <w:tcPr>
            <w:tcW w:w="1443"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6DA9DDF6" w14:textId="77777777">
            <w:pPr>
              <w:spacing w:line="240" w:lineRule="auto"/>
              <w:ind w:firstLine="0"/>
              <w:jc w:val="right"/>
              <w:rPr>
                <w:rFonts w:eastAsia="Times New Roman" w:cs="Calibri"/>
                <w:color w:val="0000FF"/>
                <w:sz w:val="22"/>
              </w:rPr>
            </w:pPr>
            <w:r w:rsidRPr="009C0BA5">
              <w:rPr>
                <w:rFonts w:eastAsia="Times New Roman" w:cs="Arial"/>
                <w:color w:val="0000FF"/>
                <w:sz w:val="22"/>
              </w:rPr>
              <w:t>19.6</w:t>
            </w:r>
          </w:p>
        </w:tc>
        <w:tc>
          <w:tcPr>
            <w:tcW w:w="1645"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28B5133D" w14:textId="77777777">
            <w:pPr>
              <w:spacing w:line="240" w:lineRule="auto"/>
              <w:ind w:firstLine="0"/>
              <w:jc w:val="right"/>
              <w:rPr>
                <w:rFonts w:eastAsia="Times New Roman" w:cs="Calibri"/>
                <w:color w:val="0000FF"/>
                <w:sz w:val="22"/>
              </w:rPr>
            </w:pPr>
            <w:r w:rsidRPr="009C0BA5">
              <w:rPr>
                <w:rFonts w:eastAsia="Times New Roman" w:cs="Arial"/>
                <w:color w:val="0000FF"/>
                <w:sz w:val="22"/>
              </w:rPr>
              <w:t>22.05</w:t>
            </w:r>
          </w:p>
        </w:tc>
        <w:tc>
          <w:tcPr>
            <w:tcW w:w="1706"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45AFE227" w14:textId="77777777">
            <w:pPr>
              <w:spacing w:line="240" w:lineRule="auto"/>
              <w:ind w:firstLine="0"/>
              <w:jc w:val="right"/>
              <w:rPr>
                <w:rFonts w:eastAsia="Times New Roman" w:cs="Calibri"/>
                <w:color w:val="000000"/>
                <w:sz w:val="22"/>
              </w:rPr>
            </w:pPr>
            <w:r w:rsidRPr="009C0BA5">
              <w:rPr>
                <w:rFonts w:eastAsia="Times New Roman" w:cs="Calibri"/>
                <w:color w:val="000000"/>
                <w:sz w:val="22"/>
              </w:rPr>
              <w:t>2.45</w:t>
            </w:r>
          </w:p>
        </w:tc>
        <w:tc>
          <w:tcPr>
            <w:tcW w:w="1401"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0783C797" w14:textId="77777777">
            <w:pPr>
              <w:spacing w:line="240" w:lineRule="auto"/>
              <w:ind w:firstLine="0"/>
              <w:jc w:val="right"/>
              <w:rPr>
                <w:rFonts w:eastAsia="Times New Roman" w:cs="Calibri"/>
                <w:color w:val="000000"/>
                <w:sz w:val="22"/>
              </w:rPr>
            </w:pPr>
            <w:r w:rsidRPr="009C0BA5">
              <w:rPr>
                <w:rFonts w:eastAsia="Times New Roman" w:cs="Arial"/>
                <w:color w:val="000000"/>
                <w:sz w:val="22"/>
              </w:rPr>
              <w:t>12.50%</w:t>
            </w:r>
          </w:p>
        </w:tc>
      </w:tr>
      <w:tr w:rsidRPr="009C0BA5" w:rsidR="00EF4F53" w:rsidTr="00A94322" w14:paraId="2A1A8CFB" w14:textId="77777777">
        <w:trPr>
          <w:trHeight w:val="340"/>
          <w:jc w:val="center"/>
        </w:trPr>
        <w:tc>
          <w:tcPr>
            <w:tcW w:w="3988" w:type="dxa"/>
            <w:tcBorders>
              <w:top w:val="nil"/>
              <w:left w:val="single" w:color="auto" w:sz="4" w:space="0"/>
              <w:bottom w:val="single" w:color="auto" w:sz="8" w:space="0"/>
              <w:right w:val="single" w:color="auto" w:sz="8" w:space="0"/>
            </w:tcBorders>
            <w:shd w:val="clear" w:color="auto" w:fill="auto"/>
            <w:noWrap/>
            <w:vAlign w:val="center"/>
            <w:hideMark/>
          </w:tcPr>
          <w:p w:rsidRPr="009C0BA5" w:rsidR="00EF4F53" w:rsidP="00597F70" w:rsidRDefault="00EF4F53" w14:paraId="5F30CCE5" w14:textId="77777777">
            <w:pPr>
              <w:spacing w:line="240" w:lineRule="auto"/>
              <w:ind w:firstLine="0"/>
              <w:rPr>
                <w:rFonts w:eastAsia="Times New Roman" w:cs="Calibri"/>
                <w:b/>
                <w:bCs/>
                <w:color w:val="000000"/>
                <w:sz w:val="22"/>
              </w:rPr>
            </w:pPr>
            <w:r w:rsidRPr="009C0BA5">
              <w:rPr>
                <w:rFonts w:eastAsia="Times New Roman" w:cs="Arial"/>
                <w:b/>
                <w:bCs/>
                <w:color w:val="000000"/>
                <w:sz w:val="22"/>
              </w:rPr>
              <w:t>Average System Rate</w:t>
            </w:r>
          </w:p>
        </w:tc>
        <w:tc>
          <w:tcPr>
            <w:tcW w:w="1443"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6E314BAC" w14:textId="77777777">
            <w:pPr>
              <w:spacing w:line="240" w:lineRule="auto"/>
              <w:ind w:firstLine="0"/>
              <w:jc w:val="right"/>
              <w:rPr>
                <w:rFonts w:eastAsia="Times New Roman" w:cs="Calibri"/>
                <w:color w:val="0000FF"/>
                <w:sz w:val="22"/>
              </w:rPr>
            </w:pPr>
            <w:r w:rsidRPr="009C0BA5">
              <w:rPr>
                <w:rFonts w:eastAsia="Times New Roman" w:cs="Arial"/>
                <w:color w:val="0000FF"/>
                <w:sz w:val="22"/>
              </w:rPr>
              <w:t>23.25</w:t>
            </w:r>
          </w:p>
        </w:tc>
        <w:tc>
          <w:tcPr>
            <w:tcW w:w="1645"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7431078F" w14:textId="77777777">
            <w:pPr>
              <w:spacing w:line="240" w:lineRule="auto"/>
              <w:ind w:firstLine="0"/>
              <w:jc w:val="right"/>
              <w:rPr>
                <w:rFonts w:eastAsia="Times New Roman" w:cs="Calibri"/>
                <w:color w:val="0000FF"/>
                <w:sz w:val="22"/>
              </w:rPr>
            </w:pPr>
            <w:r w:rsidRPr="009C0BA5">
              <w:rPr>
                <w:rFonts w:eastAsia="Times New Roman" w:cs="Arial"/>
                <w:color w:val="0000FF"/>
                <w:sz w:val="22"/>
              </w:rPr>
              <w:t>26.2</w:t>
            </w:r>
          </w:p>
        </w:tc>
        <w:tc>
          <w:tcPr>
            <w:tcW w:w="1706"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17FBDF61" w14:textId="77777777">
            <w:pPr>
              <w:spacing w:line="240" w:lineRule="auto"/>
              <w:ind w:firstLine="0"/>
              <w:jc w:val="right"/>
              <w:rPr>
                <w:rFonts w:eastAsia="Times New Roman" w:cs="Calibri"/>
                <w:color w:val="000000"/>
                <w:sz w:val="22"/>
              </w:rPr>
            </w:pPr>
            <w:r w:rsidRPr="009C0BA5">
              <w:rPr>
                <w:rFonts w:eastAsia="Times New Roman" w:cs="Calibri"/>
                <w:color w:val="000000"/>
                <w:sz w:val="22"/>
              </w:rPr>
              <w:t>2.95</w:t>
            </w:r>
          </w:p>
        </w:tc>
        <w:tc>
          <w:tcPr>
            <w:tcW w:w="1401" w:type="dxa"/>
            <w:tcBorders>
              <w:top w:val="nil"/>
              <w:left w:val="nil"/>
              <w:bottom w:val="single" w:color="auto" w:sz="8" w:space="0"/>
              <w:right w:val="single" w:color="auto" w:sz="8" w:space="0"/>
            </w:tcBorders>
            <w:shd w:val="clear" w:color="auto" w:fill="auto"/>
            <w:noWrap/>
            <w:vAlign w:val="center"/>
            <w:hideMark/>
          </w:tcPr>
          <w:p w:rsidRPr="009C0BA5" w:rsidR="00EF4F53" w:rsidP="00597F70" w:rsidRDefault="00EF4F53" w14:paraId="34B54B67" w14:textId="77777777">
            <w:pPr>
              <w:spacing w:line="240" w:lineRule="auto"/>
              <w:ind w:firstLine="0"/>
              <w:jc w:val="right"/>
              <w:rPr>
                <w:rFonts w:eastAsia="Times New Roman" w:cs="Calibri"/>
                <w:color w:val="000000"/>
                <w:sz w:val="22"/>
              </w:rPr>
            </w:pPr>
            <w:r w:rsidRPr="009C0BA5">
              <w:rPr>
                <w:rFonts w:eastAsia="Times New Roman" w:cs="Arial"/>
                <w:color w:val="000000"/>
                <w:sz w:val="22"/>
              </w:rPr>
              <w:t>12.69%</w:t>
            </w:r>
          </w:p>
        </w:tc>
      </w:tr>
      <w:bookmarkEnd w:id="22"/>
    </w:tbl>
    <w:p w:rsidRPr="00797913" w:rsidR="0099077C" w:rsidP="00EF4F53" w:rsidRDefault="0099077C" w14:paraId="6BD03B6D" w14:textId="77777777">
      <w:pPr>
        <w:ind w:firstLine="0"/>
      </w:pPr>
    </w:p>
    <w:p w:rsidR="0F032F0F" w:rsidP="499FEDD7" w:rsidRDefault="73253818" w14:paraId="4BF122E2" w14:textId="47949EDE">
      <w:pPr>
        <w:rPr>
          <w:rFonts w:eastAsia="Calibri"/>
        </w:rPr>
      </w:pPr>
      <w:r w:rsidRPr="5BC53834">
        <w:rPr>
          <w:rFonts w:eastAsia="Calibri"/>
        </w:rPr>
        <w:t xml:space="preserve">These rate increases </w:t>
      </w:r>
      <w:r w:rsidRPr="5BC53834" w:rsidR="276BC417">
        <w:rPr>
          <w:rFonts w:eastAsia="Calibri"/>
        </w:rPr>
        <w:t xml:space="preserve">for bundled customers </w:t>
      </w:r>
      <w:r w:rsidRPr="5BC53834">
        <w:rPr>
          <w:rFonts w:eastAsia="Calibri"/>
        </w:rPr>
        <w:t xml:space="preserve">are </w:t>
      </w:r>
      <w:r w:rsidRPr="5BC53834" w:rsidR="3C800678">
        <w:rPr>
          <w:rFonts w:eastAsia="Calibri"/>
        </w:rPr>
        <w:t>primarily the result of</w:t>
      </w:r>
      <w:r w:rsidRPr="5BC53834" w:rsidR="027B4E5A">
        <w:rPr>
          <w:rFonts w:eastAsia="Calibri"/>
        </w:rPr>
        <w:t xml:space="preserve"> a </w:t>
      </w:r>
      <w:r w:rsidRPr="5BC53834">
        <w:rPr>
          <w:rFonts w:eastAsia="Calibri"/>
        </w:rPr>
        <w:t xml:space="preserve">forecast year-over-year </w:t>
      </w:r>
      <w:r w:rsidRPr="5BC53834" w:rsidR="76C25CEB">
        <w:rPr>
          <w:rFonts w:eastAsia="Calibri"/>
        </w:rPr>
        <w:t xml:space="preserve">revenue requirement </w:t>
      </w:r>
      <w:r w:rsidRPr="5BC53834">
        <w:rPr>
          <w:rFonts w:eastAsia="Calibri"/>
        </w:rPr>
        <w:t xml:space="preserve">increase of roughly $769 million in the ERRA balancing account and </w:t>
      </w:r>
      <w:r w:rsidRPr="5BC53834" w:rsidR="6788CA22">
        <w:rPr>
          <w:rFonts w:eastAsia="Calibri"/>
        </w:rPr>
        <w:t xml:space="preserve">a forecast $358 million </w:t>
      </w:r>
      <w:proofErr w:type="spellStart"/>
      <w:r w:rsidRPr="5BC53834" w:rsidR="6788CA22">
        <w:rPr>
          <w:rFonts w:eastAsia="Calibri"/>
        </w:rPr>
        <w:t>undercollection</w:t>
      </w:r>
      <w:proofErr w:type="spellEnd"/>
      <w:r w:rsidRPr="5BC53834" w:rsidR="6788CA22">
        <w:rPr>
          <w:rFonts w:eastAsia="Calibri"/>
        </w:rPr>
        <w:t xml:space="preserve"> in the ERRA balancing account in 2021.</w:t>
      </w:r>
      <w:r w:rsidRPr="5BC53834" w:rsidR="317FB586">
        <w:rPr>
          <w:rFonts w:eastAsia="Calibri"/>
        </w:rPr>
        <w:t xml:space="preserve"> The rate decreases for departed load customers are the result of elevated e</w:t>
      </w:r>
      <w:r w:rsidRPr="5BC53834" w:rsidR="7470FEBA">
        <w:rPr>
          <w:rFonts w:eastAsia="Calibri"/>
        </w:rPr>
        <w:t xml:space="preserve">lectricity </w:t>
      </w:r>
      <w:r w:rsidRPr="5BC53834" w:rsidR="317FB586">
        <w:rPr>
          <w:rFonts w:eastAsia="Calibri"/>
        </w:rPr>
        <w:t>values, which decrease the Power Charge Indifference Adjustment rate.</w:t>
      </w:r>
    </w:p>
    <w:p w:rsidRPr="00797913" w:rsidR="00797913" w:rsidP="5BC53834" w:rsidRDefault="00797913" w14:paraId="1CC9B3FA" w14:textId="27D41C77">
      <w:pPr>
        <w:rPr>
          <w:rFonts w:eastAsia="Times New Roman" w:cs="Times New Roman"/>
        </w:rPr>
      </w:pPr>
      <w:r w:rsidRPr="5BC53834">
        <w:rPr>
          <w:rFonts w:eastAsia="Times New Roman" w:cs="Times New Roman"/>
        </w:rPr>
        <w:t>The Joint CCAs’ comments encourage the Commission to adopt the December Update since likely rate volatility between 2022 and 2023 rates will be reduced, citing decreases in bundled generation rates in the December Update from the proposed increases in the November Update.</w:t>
      </w:r>
      <w:r w:rsidRPr="5BC53834">
        <w:rPr>
          <w:rFonts w:eastAsia="Times New Roman" w:cs="Times New Roman"/>
          <w:vertAlign w:val="superscript"/>
        </w:rPr>
        <w:footnoteReference w:id="7"/>
      </w:r>
      <w:r w:rsidRPr="5BC53834">
        <w:rPr>
          <w:rFonts w:eastAsia="Times New Roman" w:cs="Times New Roman"/>
        </w:rPr>
        <w:t xml:space="preserve">  </w:t>
      </w:r>
    </w:p>
    <w:p w:rsidRPr="00982C35" w:rsidR="00797913" w:rsidP="00797913" w:rsidRDefault="00797913" w14:paraId="010A4F92" w14:textId="77777777">
      <w:pPr>
        <w:rPr>
          <w:rFonts w:eastAsia="Times New Roman" w:cs="Times New Roman"/>
          <w:szCs w:val="26"/>
        </w:rPr>
      </w:pPr>
      <w:r w:rsidRPr="00797913">
        <w:rPr>
          <w:rFonts w:eastAsia="Times New Roman" w:cs="Times New Roman"/>
          <w:szCs w:val="26"/>
        </w:rPr>
        <w:t>CLECA and AECA offer no opinion on adopting the October Update or the December Update and encourage the Commission to adopt the option with the least ratepayer harm, along with mitigation measures, such as longer amortization periods.</w:t>
      </w:r>
      <w:r w:rsidRPr="00797913">
        <w:rPr>
          <w:rFonts w:eastAsia="Times New Roman" w:cs="Times New Roman"/>
          <w:szCs w:val="26"/>
          <w:vertAlign w:val="superscript"/>
        </w:rPr>
        <w:footnoteReference w:id="8"/>
      </w:r>
      <w:r w:rsidRPr="00797913">
        <w:rPr>
          <w:rFonts w:eastAsia="Times New Roman" w:cs="Times New Roman"/>
          <w:szCs w:val="26"/>
        </w:rPr>
        <w:t xml:space="preserve">  </w:t>
      </w:r>
    </w:p>
    <w:p w:rsidRPr="00797913" w:rsidR="00797913" w:rsidP="00797913" w:rsidRDefault="00797913" w14:paraId="039B4E0A" w14:textId="0104C58F">
      <w:r w:rsidRPr="00797913">
        <w:rPr>
          <w:szCs w:val="26"/>
        </w:rPr>
        <w:t>We find that the December Update</w:t>
      </w:r>
      <w:r w:rsidR="008428D8">
        <w:rPr>
          <w:szCs w:val="26"/>
        </w:rPr>
        <w:t>, updated again with the actual year</w:t>
      </w:r>
      <w:r w:rsidR="00A94322">
        <w:rPr>
          <w:szCs w:val="26"/>
        </w:rPr>
        <w:noBreakHyphen/>
      </w:r>
      <w:r w:rsidR="008428D8">
        <w:rPr>
          <w:szCs w:val="26"/>
        </w:rPr>
        <w:t>end ERRA-main account</w:t>
      </w:r>
      <w:r w:rsidRPr="00797913" w:rsidR="008428D8">
        <w:rPr>
          <w:szCs w:val="26"/>
        </w:rPr>
        <w:t xml:space="preserve"> </w:t>
      </w:r>
      <w:r w:rsidR="008428D8">
        <w:rPr>
          <w:szCs w:val="26"/>
        </w:rPr>
        <w:t>balance</w:t>
      </w:r>
      <w:r w:rsidR="00620D61">
        <w:rPr>
          <w:szCs w:val="26"/>
        </w:rPr>
        <w:t>,</w:t>
      </w:r>
      <w:r w:rsidRPr="00797913">
        <w:rPr>
          <w:szCs w:val="26"/>
        </w:rPr>
        <w:t xml:space="preserve"> provides the most accurate forecast </w:t>
      </w:r>
      <w:r w:rsidR="00066052">
        <w:rPr>
          <w:szCs w:val="26"/>
        </w:rPr>
        <w:t xml:space="preserve">for </w:t>
      </w:r>
      <w:r w:rsidRPr="00797913">
        <w:rPr>
          <w:szCs w:val="26"/>
        </w:rPr>
        <w:t xml:space="preserve">2022 revenue requirements. Due to the considerable volatility in the </w:t>
      </w:r>
      <w:r w:rsidR="00BA181A">
        <w:rPr>
          <w:szCs w:val="26"/>
        </w:rPr>
        <w:t>California Independent System Operator (</w:t>
      </w:r>
      <w:r w:rsidRPr="00797913">
        <w:rPr>
          <w:szCs w:val="26"/>
        </w:rPr>
        <w:t>CAISO</w:t>
      </w:r>
      <w:r w:rsidR="00BA181A">
        <w:rPr>
          <w:szCs w:val="26"/>
        </w:rPr>
        <w:t>)</w:t>
      </w:r>
      <w:r w:rsidRPr="00797913">
        <w:rPr>
          <w:szCs w:val="26"/>
        </w:rPr>
        <w:t xml:space="preserve"> market prices for 2022, PG&amp;E proposes to recover these revenue requirements through rates to be implemented on January 1, 2022, or as early as practicable. With its December Update, PG&amp;E requests approval of the following.</w:t>
      </w:r>
      <w:r w:rsidRPr="00797913">
        <w:rPr>
          <w:vertAlign w:val="superscript"/>
        </w:rPr>
        <w:footnoteReference w:id="9"/>
      </w:r>
    </w:p>
    <w:tbl>
      <w:tblPr>
        <w:tblW w:w="8910" w:type="dxa"/>
        <w:jc w:val="center"/>
        <w:tblLayout w:type="fixed"/>
        <w:tblCellMar>
          <w:left w:w="0" w:type="dxa"/>
          <w:right w:w="0" w:type="dxa"/>
        </w:tblCellMar>
        <w:tblLook w:val="04A0" w:firstRow="1" w:lastRow="0" w:firstColumn="1" w:lastColumn="0" w:noHBand="0" w:noVBand="1"/>
      </w:tblPr>
      <w:tblGrid>
        <w:gridCol w:w="7280"/>
        <w:gridCol w:w="1630"/>
      </w:tblGrid>
      <w:tr w:rsidRPr="00797913" w:rsidR="00797913" w:rsidTr="5BC53834" w14:paraId="7A8910FF" w14:textId="77777777">
        <w:trPr>
          <w:jc w:val="center"/>
        </w:trPr>
        <w:tc>
          <w:tcPr>
            <w:tcW w:w="72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780D795F" w14:textId="77777777">
            <w:pPr>
              <w:keepNext/>
              <w:keepLines/>
              <w:spacing w:line="240" w:lineRule="auto"/>
              <w:ind w:firstLine="0"/>
              <w:rPr>
                <w:rFonts w:eastAsia="Times New Roman" w:cs="Times New Roman"/>
                <w:b/>
                <w:bCs/>
                <w:szCs w:val="26"/>
              </w:rPr>
            </w:pPr>
            <w:r w:rsidRPr="00797913">
              <w:rPr>
                <w:rFonts w:eastAsia="Times New Roman" w:cs="Times New Roman"/>
                <w:b/>
                <w:bCs/>
                <w:szCs w:val="26"/>
              </w:rPr>
              <w:t>2022 Revenue Requirement</w:t>
            </w:r>
          </w:p>
        </w:tc>
        <w:tc>
          <w:tcPr>
            <w:tcW w:w="163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37F62F80" w14:textId="77777777">
            <w:pPr>
              <w:keepNext/>
              <w:keepLines/>
              <w:spacing w:line="240" w:lineRule="auto"/>
              <w:ind w:firstLine="0"/>
              <w:rPr>
                <w:rFonts w:eastAsia="Times New Roman" w:cs="Times New Roman"/>
                <w:b/>
                <w:bCs/>
                <w:szCs w:val="26"/>
              </w:rPr>
            </w:pPr>
            <w:r w:rsidRPr="00797913">
              <w:rPr>
                <w:rFonts w:eastAsia="Times New Roman" w:cs="Times New Roman"/>
                <w:b/>
                <w:bCs/>
                <w:szCs w:val="26"/>
              </w:rPr>
              <w:t>Thousands</w:t>
            </w:r>
          </w:p>
        </w:tc>
      </w:tr>
      <w:tr w:rsidRPr="00797913" w:rsidR="00797913" w:rsidTr="5BC53834" w14:paraId="2DC88065" w14:textId="77777777">
        <w:trPr>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797913" w:rsidP="00797913" w:rsidRDefault="00797913" w14:paraId="775DFC1F" w14:textId="77777777">
            <w:pPr>
              <w:keepNext/>
              <w:keepLines/>
              <w:spacing w:line="240" w:lineRule="auto"/>
              <w:ind w:firstLine="0"/>
              <w:rPr>
                <w:rFonts w:eastAsia="Times New Roman" w:cs="Times New Roman"/>
                <w:szCs w:val="26"/>
              </w:rPr>
            </w:pPr>
            <w:r w:rsidRPr="00797913">
              <w:rPr>
                <w:rFonts w:eastAsia="Times New Roman" w:cs="Times New Roman"/>
                <w:szCs w:val="26"/>
              </w:rPr>
              <w:t>Cost Allocation Mechanism/New System Generation Charge</w:t>
            </w:r>
          </w:p>
        </w:tc>
        <w:tc>
          <w:tcPr>
            <w:tcW w:w="163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797913" w:rsidP="00797913" w:rsidRDefault="00797913" w14:paraId="6B9E2A45" w14:textId="77777777">
            <w:pPr>
              <w:keepNext/>
              <w:keepLines/>
              <w:spacing w:line="240" w:lineRule="auto"/>
              <w:ind w:firstLine="0"/>
              <w:jc w:val="right"/>
              <w:rPr>
                <w:rFonts w:eastAsia="Times New Roman" w:cs="Times New Roman"/>
                <w:szCs w:val="26"/>
              </w:rPr>
            </w:pPr>
            <w:r w:rsidRPr="00797913">
              <w:rPr>
                <w:rFonts w:eastAsia="Times New Roman" w:cs="Times New Roman"/>
                <w:szCs w:val="26"/>
              </w:rPr>
              <w:t>$170,533</w:t>
            </w:r>
          </w:p>
        </w:tc>
      </w:tr>
      <w:tr w:rsidRPr="00797913" w:rsidR="00797913" w:rsidTr="5BC53834" w14:paraId="2A0388AC" w14:textId="77777777">
        <w:trPr>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797913" w:rsidP="00797913" w:rsidRDefault="00797913" w14:paraId="7FF268BF" w14:textId="77777777">
            <w:pPr>
              <w:keepNext/>
              <w:keepLines/>
              <w:spacing w:line="240" w:lineRule="auto"/>
              <w:ind w:firstLine="0"/>
              <w:rPr>
                <w:rFonts w:eastAsia="Times New Roman" w:cs="Times New Roman"/>
                <w:szCs w:val="26"/>
              </w:rPr>
            </w:pPr>
            <w:r w:rsidRPr="00797913">
              <w:rPr>
                <w:rFonts w:eastAsia="Times New Roman" w:cs="Times New Roman"/>
                <w:szCs w:val="26"/>
              </w:rPr>
              <w:t>Power Charge Indifference Adjustment (PCIA)</w:t>
            </w:r>
          </w:p>
        </w:tc>
        <w:tc>
          <w:tcPr>
            <w:tcW w:w="163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797913" w:rsidP="00797913" w:rsidRDefault="00797913" w14:paraId="11A96139" w14:textId="77777777">
            <w:pPr>
              <w:keepNext/>
              <w:keepLines/>
              <w:spacing w:line="240" w:lineRule="auto"/>
              <w:ind w:firstLine="0"/>
              <w:jc w:val="right"/>
              <w:rPr>
                <w:rFonts w:eastAsia="Times New Roman" w:cs="Times New Roman"/>
                <w:szCs w:val="26"/>
              </w:rPr>
            </w:pPr>
            <w:r w:rsidRPr="00797913">
              <w:rPr>
                <w:rFonts w:eastAsia="Times New Roman" w:cs="Times New Roman"/>
                <w:szCs w:val="26"/>
              </w:rPr>
              <w:t>$1,408,423</w:t>
            </w:r>
          </w:p>
        </w:tc>
      </w:tr>
      <w:tr w:rsidRPr="00797913" w:rsidR="00797913" w:rsidTr="5BC53834" w14:paraId="6DE0C003" w14:textId="77777777">
        <w:trPr>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797913" w:rsidP="00797913" w:rsidRDefault="00797913" w14:paraId="649EF477" w14:textId="77777777">
            <w:pPr>
              <w:keepNext/>
              <w:keepLines/>
              <w:spacing w:line="240" w:lineRule="auto"/>
              <w:ind w:firstLine="0"/>
              <w:rPr>
                <w:rFonts w:eastAsia="Times New Roman" w:cs="Times New Roman"/>
                <w:szCs w:val="26"/>
              </w:rPr>
            </w:pPr>
            <w:r w:rsidRPr="00797913">
              <w:rPr>
                <w:rFonts w:eastAsia="Times New Roman" w:cs="Times New Roman"/>
                <w:szCs w:val="26"/>
              </w:rPr>
              <w:t>Ongoing Competition Transition Charge</w:t>
            </w:r>
          </w:p>
        </w:tc>
        <w:tc>
          <w:tcPr>
            <w:tcW w:w="163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797913" w:rsidP="00797913" w:rsidRDefault="00797913" w14:paraId="41156C19" w14:textId="77777777">
            <w:pPr>
              <w:keepNext/>
              <w:keepLines/>
              <w:spacing w:line="240" w:lineRule="auto"/>
              <w:ind w:firstLine="0"/>
              <w:jc w:val="right"/>
              <w:rPr>
                <w:rFonts w:eastAsia="Times New Roman" w:cs="Times New Roman"/>
                <w:szCs w:val="26"/>
              </w:rPr>
            </w:pPr>
            <w:r w:rsidRPr="00797913">
              <w:rPr>
                <w:rFonts w:eastAsia="Times New Roman" w:cs="Times New Roman"/>
                <w:szCs w:val="26"/>
              </w:rPr>
              <w:t>$17,104</w:t>
            </w:r>
          </w:p>
        </w:tc>
      </w:tr>
      <w:tr w:rsidRPr="00797913" w:rsidR="00797913" w:rsidTr="5BC53834" w14:paraId="18453B83" w14:textId="77777777">
        <w:trPr>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797913" w:rsidP="499FEDD7" w:rsidRDefault="00797913" w14:paraId="6233377D" w14:textId="231474B0">
            <w:pPr>
              <w:keepNext/>
              <w:keepLines/>
              <w:spacing w:line="240" w:lineRule="auto"/>
              <w:ind w:firstLine="0"/>
              <w:rPr>
                <w:rFonts w:eastAsia="Times New Roman" w:cs="Times New Roman"/>
              </w:rPr>
            </w:pPr>
            <w:r w:rsidRPr="5BC53834">
              <w:rPr>
                <w:rFonts w:eastAsia="Times New Roman" w:cs="Times New Roman"/>
              </w:rPr>
              <w:t>Energy Resource Recovery Account (ERRA)</w:t>
            </w:r>
          </w:p>
        </w:tc>
        <w:tc>
          <w:tcPr>
            <w:tcW w:w="163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797913" w:rsidP="00797913" w:rsidRDefault="00797913" w14:paraId="61E48EC0" w14:textId="77777777">
            <w:pPr>
              <w:keepNext/>
              <w:keepLines/>
              <w:spacing w:line="240" w:lineRule="auto"/>
              <w:ind w:firstLine="0"/>
              <w:jc w:val="right"/>
              <w:rPr>
                <w:rFonts w:eastAsia="Times New Roman" w:cs="Times New Roman"/>
                <w:szCs w:val="26"/>
              </w:rPr>
            </w:pPr>
            <w:r w:rsidRPr="00797913">
              <w:rPr>
                <w:rFonts w:eastAsia="Times New Roman" w:cs="Times New Roman"/>
                <w:szCs w:val="26"/>
              </w:rPr>
              <w:t>$3,356,016</w:t>
            </w:r>
          </w:p>
        </w:tc>
      </w:tr>
      <w:tr w:rsidRPr="00797913" w:rsidR="00797913" w:rsidTr="5BC53834" w14:paraId="2566FF92" w14:textId="77777777">
        <w:trPr>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3308C950" w14:textId="77777777">
            <w:pPr>
              <w:keepNext/>
              <w:keepLines/>
              <w:spacing w:line="240" w:lineRule="auto"/>
              <w:ind w:firstLine="0"/>
              <w:rPr>
                <w:rFonts w:eastAsia="Times New Roman" w:cs="Times New Roman"/>
                <w:szCs w:val="26"/>
              </w:rPr>
            </w:pPr>
            <w:r w:rsidRPr="00797913">
              <w:rPr>
                <w:rFonts w:eastAsia="Times New Roman" w:cs="Times New Roman"/>
                <w:szCs w:val="26"/>
              </w:rPr>
              <w:t>ERRA PCIA Financing Subaccount</w:t>
            </w:r>
          </w:p>
        </w:tc>
        <w:tc>
          <w:tcPr>
            <w:tcW w:w="163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731FC8CB" w14:textId="77777777">
            <w:pPr>
              <w:keepNext/>
              <w:keepLines/>
              <w:spacing w:line="240" w:lineRule="auto"/>
              <w:ind w:firstLine="0"/>
              <w:jc w:val="right"/>
              <w:rPr>
                <w:rFonts w:eastAsia="Times New Roman" w:cs="Times New Roman"/>
                <w:szCs w:val="26"/>
              </w:rPr>
            </w:pPr>
            <w:r w:rsidRPr="00797913">
              <w:rPr>
                <w:rFonts w:eastAsia="Times New Roman" w:cs="Times New Roman"/>
                <w:szCs w:val="26"/>
              </w:rPr>
              <w:t>($95,091)</w:t>
            </w:r>
          </w:p>
        </w:tc>
      </w:tr>
      <w:tr w:rsidRPr="00797913" w:rsidR="00797913" w:rsidTr="5BC53834" w14:paraId="5B40AA3C" w14:textId="77777777">
        <w:trPr>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797913" w:rsidP="00797913" w:rsidRDefault="00797913" w14:paraId="7B674633" w14:textId="77777777">
            <w:pPr>
              <w:keepNext/>
              <w:keepLines/>
              <w:spacing w:line="240" w:lineRule="auto"/>
              <w:ind w:firstLine="0"/>
              <w:rPr>
                <w:rFonts w:eastAsia="Times New Roman" w:cs="Times New Roman"/>
                <w:szCs w:val="26"/>
              </w:rPr>
            </w:pPr>
            <w:r w:rsidRPr="00797913">
              <w:rPr>
                <w:rFonts w:eastAsia="Times New Roman" w:cs="Times New Roman"/>
                <w:szCs w:val="26"/>
              </w:rPr>
              <w:t xml:space="preserve">PCIA </w:t>
            </w:r>
            <w:proofErr w:type="spellStart"/>
            <w:r w:rsidRPr="00797913">
              <w:rPr>
                <w:rFonts w:eastAsia="Times New Roman" w:cs="Times New Roman"/>
                <w:szCs w:val="26"/>
              </w:rPr>
              <w:t>Undercollection</w:t>
            </w:r>
            <w:proofErr w:type="spellEnd"/>
            <w:r w:rsidRPr="00797913">
              <w:rPr>
                <w:rFonts w:eastAsia="Times New Roman" w:cs="Times New Roman"/>
                <w:szCs w:val="26"/>
              </w:rPr>
              <w:t xml:space="preserve"> Balancing Account</w:t>
            </w:r>
          </w:p>
        </w:tc>
        <w:tc>
          <w:tcPr>
            <w:tcW w:w="163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797913" w:rsidP="00797913" w:rsidRDefault="00797913" w14:paraId="43FCFB47" w14:textId="77777777">
            <w:pPr>
              <w:keepNext/>
              <w:keepLines/>
              <w:spacing w:line="240" w:lineRule="auto"/>
              <w:ind w:firstLine="0"/>
              <w:jc w:val="right"/>
              <w:rPr>
                <w:rFonts w:eastAsia="Times New Roman" w:cs="Times New Roman"/>
                <w:szCs w:val="26"/>
              </w:rPr>
            </w:pPr>
            <w:r w:rsidRPr="00797913">
              <w:rPr>
                <w:rFonts w:eastAsia="Times New Roman" w:cs="Times New Roman"/>
                <w:szCs w:val="26"/>
              </w:rPr>
              <w:t>$91,526</w:t>
            </w:r>
          </w:p>
        </w:tc>
      </w:tr>
      <w:tr w:rsidRPr="00797913" w:rsidR="00797913" w:rsidTr="5BC53834" w14:paraId="1D4B2447" w14:textId="77777777">
        <w:trPr>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797913" w:rsidP="00797913" w:rsidRDefault="00797913" w14:paraId="5ACF98A9" w14:textId="77777777">
            <w:pPr>
              <w:keepNext/>
              <w:keepLines/>
              <w:spacing w:line="240" w:lineRule="auto"/>
              <w:ind w:firstLine="0"/>
              <w:rPr>
                <w:rFonts w:eastAsia="Times New Roman" w:cs="Times New Roman"/>
                <w:szCs w:val="26"/>
              </w:rPr>
            </w:pPr>
            <w:r w:rsidRPr="00797913">
              <w:rPr>
                <w:rFonts w:eastAsia="Times New Roman" w:cs="Times New Roman"/>
                <w:szCs w:val="26"/>
              </w:rPr>
              <w:t>Non-Vintaged PCIA</w:t>
            </w:r>
          </w:p>
        </w:tc>
        <w:tc>
          <w:tcPr>
            <w:tcW w:w="163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797913" w:rsidP="00797913" w:rsidRDefault="00797913" w14:paraId="69207591" w14:textId="77777777">
            <w:pPr>
              <w:keepNext/>
              <w:keepLines/>
              <w:spacing w:line="240" w:lineRule="auto"/>
              <w:ind w:firstLine="0"/>
              <w:jc w:val="right"/>
              <w:rPr>
                <w:rFonts w:eastAsia="Times New Roman" w:cs="Times New Roman"/>
                <w:szCs w:val="26"/>
              </w:rPr>
            </w:pPr>
            <w:r w:rsidRPr="00797913">
              <w:rPr>
                <w:rFonts w:eastAsia="Times New Roman" w:cs="Times New Roman"/>
                <w:szCs w:val="26"/>
              </w:rPr>
              <w:t>($16)</w:t>
            </w:r>
          </w:p>
        </w:tc>
      </w:tr>
      <w:tr w:rsidRPr="00797913" w:rsidR="00797913" w:rsidTr="5BC53834" w14:paraId="06F97F21" w14:textId="77777777">
        <w:trPr>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66BB8125" w14:textId="77777777">
            <w:pPr>
              <w:keepNext/>
              <w:keepLines/>
              <w:spacing w:line="240" w:lineRule="auto"/>
              <w:ind w:firstLine="0"/>
              <w:rPr>
                <w:rFonts w:eastAsia="Times New Roman" w:cs="Times New Roman"/>
                <w:szCs w:val="26"/>
              </w:rPr>
            </w:pPr>
            <w:r w:rsidRPr="00797913">
              <w:rPr>
                <w:rFonts w:eastAsia="Times New Roman" w:cs="Times New Roman"/>
                <w:szCs w:val="26"/>
              </w:rPr>
              <w:t>Tree Mortality Non</w:t>
            </w:r>
            <w:r w:rsidRPr="00797913">
              <w:rPr>
                <w:rFonts w:eastAsia="Times New Roman" w:cs="Times New Roman"/>
                <w:szCs w:val="26"/>
              </w:rPr>
              <w:noBreakHyphen/>
            </w:r>
            <w:proofErr w:type="spellStart"/>
            <w:r w:rsidRPr="00797913">
              <w:rPr>
                <w:rFonts w:eastAsia="Times New Roman" w:cs="Times New Roman"/>
                <w:szCs w:val="26"/>
              </w:rPr>
              <w:t>Bypassable</w:t>
            </w:r>
            <w:proofErr w:type="spellEnd"/>
            <w:r w:rsidRPr="00797913">
              <w:rPr>
                <w:rFonts w:eastAsia="Times New Roman" w:cs="Times New Roman"/>
                <w:szCs w:val="26"/>
              </w:rPr>
              <w:t xml:space="preserve"> Charge</w:t>
            </w:r>
          </w:p>
        </w:tc>
        <w:tc>
          <w:tcPr>
            <w:tcW w:w="163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425661FA" w14:textId="77777777">
            <w:pPr>
              <w:keepNext/>
              <w:keepLines/>
              <w:spacing w:line="240" w:lineRule="auto"/>
              <w:ind w:firstLine="0"/>
              <w:jc w:val="right"/>
              <w:rPr>
                <w:rFonts w:eastAsia="Times New Roman" w:cs="Times New Roman"/>
                <w:szCs w:val="26"/>
              </w:rPr>
            </w:pPr>
            <w:r w:rsidRPr="00797913">
              <w:t xml:space="preserve"> $</w:t>
            </w:r>
            <w:r w:rsidRPr="00797913">
              <w:rPr>
                <w:rFonts w:eastAsia="Times New Roman" w:cs="Times New Roman"/>
                <w:szCs w:val="26"/>
              </w:rPr>
              <w:t>12,597</w:t>
            </w:r>
          </w:p>
        </w:tc>
      </w:tr>
      <w:tr w:rsidRPr="00797913" w:rsidR="00797913" w:rsidTr="5BC53834" w14:paraId="1E2F4091" w14:textId="77777777">
        <w:trPr>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797913" w:rsidP="00797913" w:rsidRDefault="00797913" w14:paraId="2C8EB728" w14:textId="77777777">
            <w:pPr>
              <w:keepNext/>
              <w:keepLines/>
              <w:spacing w:line="240" w:lineRule="auto"/>
              <w:ind w:firstLine="0"/>
              <w:rPr>
                <w:rFonts w:eastAsia="Times New Roman" w:cs="Times New Roman"/>
                <w:szCs w:val="26"/>
              </w:rPr>
            </w:pPr>
            <w:r w:rsidRPr="00797913">
              <w:rPr>
                <w:rFonts w:eastAsia="Times New Roman" w:cs="Times New Roman"/>
                <w:szCs w:val="26"/>
              </w:rPr>
              <w:t>Bioenergy Market Adjusting Tariff</w:t>
            </w:r>
          </w:p>
        </w:tc>
        <w:tc>
          <w:tcPr>
            <w:tcW w:w="1630" w:type="dxa"/>
            <w:tcBorders>
              <w:top w:val="nil"/>
              <w:left w:val="single" w:color="auto" w:sz="8" w:space="0"/>
              <w:bottom w:val="double" w:color="auto" w:sz="4" w:space="0"/>
              <w:right w:val="single" w:color="auto" w:sz="8" w:space="0"/>
            </w:tcBorders>
            <w:tcMar>
              <w:top w:w="0" w:type="dxa"/>
              <w:left w:w="108" w:type="dxa"/>
              <w:bottom w:w="0" w:type="dxa"/>
              <w:right w:w="108" w:type="dxa"/>
            </w:tcMar>
          </w:tcPr>
          <w:p w:rsidRPr="00797913" w:rsidR="00797913" w:rsidP="00797913" w:rsidRDefault="00797913" w14:paraId="7A154CC6" w14:textId="77777777">
            <w:pPr>
              <w:keepNext/>
              <w:keepLines/>
              <w:spacing w:line="240" w:lineRule="auto"/>
              <w:ind w:firstLine="0"/>
              <w:jc w:val="right"/>
              <w:rPr>
                <w:rFonts w:eastAsia="Times New Roman" w:cs="Times New Roman"/>
                <w:szCs w:val="26"/>
              </w:rPr>
            </w:pPr>
            <w:r w:rsidRPr="00797913">
              <w:rPr>
                <w:rFonts w:eastAsia="Times New Roman" w:cs="Times New Roman"/>
                <w:szCs w:val="26"/>
              </w:rPr>
              <w:t>$27,098</w:t>
            </w:r>
          </w:p>
        </w:tc>
      </w:tr>
      <w:tr w:rsidRPr="00797913" w:rsidR="00797913" w:rsidTr="5BC53834" w14:paraId="78EB6390" w14:textId="77777777">
        <w:trPr>
          <w:trHeight w:val="295"/>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15CCBF3D" w14:textId="77777777">
            <w:pPr>
              <w:keepNext/>
              <w:keepLines/>
              <w:spacing w:line="240" w:lineRule="auto"/>
              <w:ind w:firstLine="0"/>
              <w:rPr>
                <w:rFonts w:eastAsia="Times New Roman" w:cs="Times New Roman"/>
                <w:szCs w:val="26"/>
              </w:rPr>
            </w:pPr>
            <w:r w:rsidRPr="00797913">
              <w:rPr>
                <w:rFonts w:eastAsia="Times New Roman" w:cs="Times New Roman"/>
                <w:szCs w:val="26"/>
              </w:rPr>
              <w:t xml:space="preserve">Revenue Requirement for Rate Setting </w:t>
            </w:r>
          </w:p>
        </w:tc>
        <w:tc>
          <w:tcPr>
            <w:tcW w:w="1630" w:type="dxa"/>
            <w:tcBorders>
              <w:top w:val="double" w:color="auto" w:sz="4" w:space="0"/>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6AD1425A" w14:textId="77777777">
            <w:pPr>
              <w:keepNext/>
              <w:keepLines/>
              <w:spacing w:line="240" w:lineRule="auto"/>
              <w:ind w:firstLine="0"/>
              <w:jc w:val="right"/>
              <w:rPr>
                <w:rFonts w:eastAsia="Times New Roman" w:cs="Times New Roman"/>
                <w:szCs w:val="26"/>
              </w:rPr>
            </w:pPr>
            <w:r w:rsidRPr="00797913">
              <w:rPr>
                <w:rFonts w:eastAsia="Times New Roman" w:cs="Times New Roman"/>
                <w:szCs w:val="26"/>
              </w:rPr>
              <w:t>$5,060,190</w:t>
            </w:r>
          </w:p>
        </w:tc>
      </w:tr>
      <w:tr w:rsidRPr="00797913" w:rsidR="00797913" w:rsidTr="5BC53834" w14:paraId="0A9CB39E" w14:textId="77777777">
        <w:trPr>
          <w:trHeight w:val="295"/>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795788AA" w14:textId="77777777">
            <w:pPr>
              <w:keepNext/>
              <w:keepLines/>
              <w:spacing w:line="240" w:lineRule="auto"/>
              <w:ind w:firstLine="0"/>
              <w:rPr>
                <w:rFonts w:eastAsia="Times New Roman" w:cs="Times New Roman"/>
                <w:b/>
                <w:bCs/>
                <w:szCs w:val="26"/>
              </w:rPr>
            </w:pPr>
            <w:r w:rsidRPr="00797913">
              <w:rPr>
                <w:rFonts w:eastAsia="Times New Roman" w:cs="Times New Roman"/>
                <w:b/>
                <w:bCs/>
                <w:szCs w:val="26"/>
              </w:rPr>
              <w:t>Adjustments from Other Proceedings</w:t>
            </w:r>
          </w:p>
        </w:tc>
        <w:tc>
          <w:tcPr>
            <w:tcW w:w="1630" w:type="dxa"/>
            <w:tcBorders>
              <w:top w:val="double" w:color="auto" w:sz="4" w:space="0"/>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2E22DD9E" w14:textId="77777777">
            <w:pPr>
              <w:keepNext/>
              <w:keepLines/>
              <w:spacing w:line="240" w:lineRule="auto"/>
              <w:ind w:firstLine="0"/>
              <w:jc w:val="right"/>
              <w:rPr>
                <w:rFonts w:eastAsia="Times New Roman" w:cs="Times New Roman"/>
                <w:szCs w:val="26"/>
              </w:rPr>
            </w:pPr>
          </w:p>
        </w:tc>
      </w:tr>
      <w:tr w:rsidRPr="00797913" w:rsidR="00797913" w:rsidTr="5BC53834" w14:paraId="20544756" w14:textId="77777777">
        <w:trPr>
          <w:trHeight w:val="295"/>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38A3773C" w14:textId="77777777">
            <w:pPr>
              <w:keepNext/>
              <w:keepLines/>
              <w:spacing w:line="240" w:lineRule="auto"/>
              <w:ind w:firstLine="0"/>
              <w:rPr>
                <w:rFonts w:eastAsia="Times New Roman" w:cs="Times New Roman"/>
                <w:szCs w:val="26"/>
              </w:rPr>
            </w:pPr>
            <w:r w:rsidRPr="00797913">
              <w:rPr>
                <w:rFonts w:eastAsia="Times New Roman" w:cs="Times New Roman"/>
                <w:szCs w:val="26"/>
              </w:rPr>
              <w:t>Utility Owned Generation Related Costs</w:t>
            </w:r>
          </w:p>
        </w:tc>
        <w:tc>
          <w:tcPr>
            <w:tcW w:w="1630" w:type="dxa"/>
            <w:tcBorders>
              <w:top w:val="double" w:color="auto" w:sz="4" w:space="0"/>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72221388" w14:textId="77777777">
            <w:pPr>
              <w:keepNext/>
              <w:keepLines/>
              <w:spacing w:line="240" w:lineRule="auto"/>
              <w:ind w:firstLine="0"/>
              <w:jc w:val="right"/>
              <w:rPr>
                <w:rFonts w:eastAsia="Times New Roman" w:cs="Times New Roman"/>
                <w:szCs w:val="26"/>
              </w:rPr>
            </w:pPr>
            <w:r w:rsidRPr="00797913">
              <w:rPr>
                <w:rFonts w:eastAsia="Times New Roman" w:cs="Times New Roman"/>
                <w:szCs w:val="26"/>
              </w:rPr>
              <w:t>($2,437,220)</w:t>
            </w:r>
          </w:p>
        </w:tc>
      </w:tr>
      <w:tr w:rsidRPr="00797913" w:rsidR="00797913" w:rsidTr="5BC53834" w14:paraId="1D9C06FC" w14:textId="77777777">
        <w:trPr>
          <w:trHeight w:val="295"/>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5C417CB1" w14:textId="77777777">
            <w:pPr>
              <w:keepNext/>
              <w:keepLines/>
              <w:spacing w:line="240" w:lineRule="auto"/>
              <w:ind w:firstLine="0"/>
              <w:rPr>
                <w:rFonts w:eastAsia="Times New Roman" w:cs="Times New Roman"/>
                <w:szCs w:val="26"/>
              </w:rPr>
            </w:pPr>
            <w:r w:rsidRPr="00797913">
              <w:rPr>
                <w:rFonts w:eastAsia="Times New Roman" w:cs="Times New Roman"/>
                <w:szCs w:val="26"/>
              </w:rPr>
              <w:t xml:space="preserve">PCIA </w:t>
            </w:r>
            <w:proofErr w:type="spellStart"/>
            <w:r w:rsidRPr="00797913">
              <w:rPr>
                <w:rFonts w:eastAsia="Times New Roman" w:cs="Times New Roman"/>
                <w:szCs w:val="26"/>
              </w:rPr>
              <w:t>Undercollection</w:t>
            </w:r>
            <w:proofErr w:type="spellEnd"/>
            <w:r w:rsidRPr="00797913">
              <w:rPr>
                <w:rFonts w:eastAsia="Times New Roman" w:cs="Times New Roman"/>
                <w:szCs w:val="26"/>
              </w:rPr>
              <w:t xml:space="preserve"> Balancing Account (Adjustment)</w:t>
            </w:r>
          </w:p>
        </w:tc>
        <w:tc>
          <w:tcPr>
            <w:tcW w:w="1630" w:type="dxa"/>
            <w:tcBorders>
              <w:top w:val="double" w:color="auto" w:sz="4" w:space="0"/>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575972F5" w14:textId="77777777">
            <w:pPr>
              <w:keepNext/>
              <w:keepLines/>
              <w:spacing w:line="240" w:lineRule="auto"/>
              <w:ind w:firstLine="0"/>
              <w:jc w:val="right"/>
              <w:rPr>
                <w:rFonts w:eastAsia="Times New Roman" w:cs="Times New Roman"/>
                <w:szCs w:val="26"/>
              </w:rPr>
            </w:pPr>
            <w:r w:rsidRPr="00797913">
              <w:rPr>
                <w:rFonts w:eastAsia="Times New Roman" w:cs="Times New Roman"/>
                <w:szCs w:val="26"/>
              </w:rPr>
              <w:t>($91,526)</w:t>
            </w:r>
          </w:p>
        </w:tc>
      </w:tr>
      <w:tr w:rsidRPr="00797913" w:rsidR="00797913" w:rsidTr="5BC53834" w14:paraId="3C84A2AB" w14:textId="77777777">
        <w:trPr>
          <w:trHeight w:val="295"/>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05C4AD32" w14:textId="77777777">
            <w:pPr>
              <w:keepNext/>
              <w:keepLines/>
              <w:spacing w:line="240" w:lineRule="auto"/>
              <w:ind w:firstLine="0"/>
              <w:rPr>
                <w:rFonts w:eastAsia="Times New Roman" w:cs="Times New Roman"/>
                <w:szCs w:val="26"/>
              </w:rPr>
            </w:pPr>
            <w:r w:rsidRPr="00797913">
              <w:rPr>
                <w:rFonts w:eastAsia="Times New Roman" w:cs="Times New Roman"/>
                <w:szCs w:val="26"/>
              </w:rPr>
              <w:t>ERRA PCIA Financing Subaccount (Adjustment)</w:t>
            </w:r>
          </w:p>
        </w:tc>
        <w:tc>
          <w:tcPr>
            <w:tcW w:w="1630" w:type="dxa"/>
            <w:tcBorders>
              <w:top w:val="double" w:color="auto" w:sz="4" w:space="0"/>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6534FAC1" w14:textId="77777777">
            <w:pPr>
              <w:keepNext/>
              <w:keepLines/>
              <w:spacing w:line="240" w:lineRule="auto"/>
              <w:ind w:firstLine="0"/>
              <w:jc w:val="right"/>
              <w:rPr>
                <w:rFonts w:eastAsia="Times New Roman" w:cs="Times New Roman"/>
                <w:szCs w:val="26"/>
              </w:rPr>
            </w:pPr>
            <w:r w:rsidRPr="00797913">
              <w:rPr>
                <w:rFonts w:eastAsia="Times New Roman" w:cs="Times New Roman"/>
                <w:szCs w:val="26"/>
              </w:rPr>
              <w:t>$ 95,091</w:t>
            </w:r>
          </w:p>
        </w:tc>
      </w:tr>
      <w:tr w:rsidRPr="00797913" w:rsidR="00797913" w:rsidTr="5BC53834" w14:paraId="2137A05D" w14:textId="77777777">
        <w:trPr>
          <w:trHeight w:val="295"/>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47614AD2" w14:textId="77777777">
            <w:pPr>
              <w:keepNext/>
              <w:keepLines/>
              <w:spacing w:line="240" w:lineRule="auto"/>
              <w:ind w:firstLine="0"/>
              <w:rPr>
                <w:rFonts w:eastAsia="Times New Roman" w:cs="Times New Roman"/>
                <w:szCs w:val="26"/>
              </w:rPr>
            </w:pPr>
            <w:r w:rsidRPr="00797913">
              <w:rPr>
                <w:rFonts w:eastAsia="Times New Roman" w:cs="Times New Roman"/>
                <w:szCs w:val="26"/>
              </w:rPr>
              <w:t>Electric Risk Transfer Balancing Account</w:t>
            </w:r>
          </w:p>
        </w:tc>
        <w:tc>
          <w:tcPr>
            <w:tcW w:w="1630" w:type="dxa"/>
            <w:tcBorders>
              <w:top w:val="double" w:color="auto" w:sz="4" w:space="0"/>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7A8025D0" w14:textId="6F07116B">
            <w:pPr>
              <w:keepNext/>
              <w:keepLines/>
              <w:spacing w:line="240" w:lineRule="auto"/>
              <w:ind w:firstLine="0"/>
              <w:jc w:val="right"/>
              <w:rPr>
                <w:rFonts w:eastAsia="Times New Roman" w:cs="Times New Roman"/>
                <w:szCs w:val="26"/>
              </w:rPr>
            </w:pPr>
            <w:r w:rsidRPr="00797913">
              <w:rPr>
                <w:rFonts w:eastAsia="Times New Roman" w:cs="Times New Roman"/>
                <w:szCs w:val="26"/>
              </w:rPr>
              <w:t>($</w:t>
            </w:r>
            <w:r w:rsidR="003D04A1">
              <w:rPr>
                <w:rFonts w:eastAsia="Times New Roman" w:cs="Times New Roman"/>
                <w:szCs w:val="26"/>
              </w:rPr>
              <w:t>163,370</w:t>
            </w:r>
            <w:r w:rsidRPr="00797913">
              <w:rPr>
                <w:rFonts w:eastAsia="Times New Roman" w:cs="Times New Roman"/>
                <w:szCs w:val="26"/>
              </w:rPr>
              <w:t>)</w:t>
            </w:r>
          </w:p>
        </w:tc>
      </w:tr>
      <w:tr w:rsidRPr="00797913" w:rsidR="00797913" w:rsidTr="5BC53834" w14:paraId="60DDDF33" w14:textId="77777777">
        <w:trPr>
          <w:trHeight w:val="295"/>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6E0FD6BD" w14:textId="77777777">
            <w:pPr>
              <w:keepNext/>
              <w:keepLines/>
              <w:spacing w:line="240" w:lineRule="auto"/>
              <w:ind w:firstLine="0"/>
              <w:rPr>
                <w:rFonts w:eastAsia="Times New Roman" w:cs="Times New Roman"/>
                <w:szCs w:val="26"/>
              </w:rPr>
            </w:pPr>
            <w:r w:rsidRPr="00797913">
              <w:rPr>
                <w:rFonts w:eastAsia="Times New Roman" w:cs="Times New Roman"/>
                <w:szCs w:val="26"/>
              </w:rPr>
              <w:t>2020 and 2021 Electric Residential Uncollectible Balancing Account</w:t>
            </w:r>
          </w:p>
        </w:tc>
        <w:tc>
          <w:tcPr>
            <w:tcW w:w="1630" w:type="dxa"/>
            <w:tcBorders>
              <w:top w:val="double" w:color="auto" w:sz="4" w:space="0"/>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70AE1162" w14:textId="7D34377E">
            <w:pPr>
              <w:keepNext/>
              <w:keepLines/>
              <w:spacing w:line="240" w:lineRule="auto"/>
              <w:ind w:firstLine="0"/>
              <w:jc w:val="right"/>
              <w:rPr>
                <w:rFonts w:eastAsia="Times New Roman" w:cs="Times New Roman"/>
                <w:szCs w:val="26"/>
              </w:rPr>
            </w:pPr>
            <w:r w:rsidRPr="00797913">
              <w:rPr>
                <w:rFonts w:eastAsia="Times New Roman" w:cs="Times New Roman"/>
                <w:szCs w:val="26"/>
              </w:rPr>
              <w:t>($</w:t>
            </w:r>
            <w:r w:rsidR="003D04A1">
              <w:rPr>
                <w:rFonts w:eastAsia="Times New Roman" w:cs="Times New Roman"/>
                <w:szCs w:val="26"/>
              </w:rPr>
              <w:t>46,237</w:t>
            </w:r>
            <w:r w:rsidRPr="00797913">
              <w:rPr>
                <w:rFonts w:eastAsia="Times New Roman" w:cs="Times New Roman"/>
                <w:szCs w:val="26"/>
              </w:rPr>
              <w:t>)</w:t>
            </w:r>
          </w:p>
        </w:tc>
      </w:tr>
      <w:tr w:rsidRPr="00797913" w:rsidR="00797913" w:rsidTr="5BC53834" w14:paraId="0C9DEC02" w14:textId="77777777">
        <w:trPr>
          <w:trHeight w:val="295"/>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3AC89872" w14:textId="77777777">
            <w:pPr>
              <w:keepNext/>
              <w:keepLines/>
              <w:spacing w:line="240" w:lineRule="auto"/>
              <w:ind w:firstLine="0"/>
              <w:rPr>
                <w:rFonts w:eastAsia="Times New Roman" w:cs="Times New Roman"/>
                <w:szCs w:val="26"/>
              </w:rPr>
            </w:pPr>
            <w:r w:rsidRPr="00797913">
              <w:rPr>
                <w:rFonts w:eastAsia="Times New Roman" w:cs="Times New Roman"/>
                <w:szCs w:val="26"/>
              </w:rPr>
              <w:t>Subtotal from Other Proceedings</w:t>
            </w:r>
          </w:p>
        </w:tc>
        <w:tc>
          <w:tcPr>
            <w:tcW w:w="1630" w:type="dxa"/>
            <w:tcBorders>
              <w:top w:val="double" w:color="auto" w:sz="4" w:space="0"/>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3C8D1CFD" w14:textId="77777777">
            <w:pPr>
              <w:keepNext/>
              <w:keepLines/>
              <w:spacing w:line="240" w:lineRule="auto"/>
              <w:ind w:firstLine="0"/>
              <w:jc w:val="right"/>
              <w:rPr>
                <w:rFonts w:eastAsia="Times New Roman" w:cs="Times New Roman"/>
                <w:szCs w:val="26"/>
              </w:rPr>
            </w:pPr>
            <w:r w:rsidRPr="00797913">
              <w:rPr>
                <w:rFonts w:eastAsia="Times New Roman" w:cs="Times New Roman"/>
                <w:szCs w:val="26"/>
              </w:rPr>
              <w:t>($2,643,262)</w:t>
            </w:r>
          </w:p>
        </w:tc>
      </w:tr>
      <w:tr w:rsidRPr="00797913" w:rsidR="00797913" w:rsidTr="5BC53834" w14:paraId="6EE94036" w14:textId="77777777">
        <w:trPr>
          <w:trHeight w:val="295"/>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2173B0E4" w14:textId="77777777">
            <w:pPr>
              <w:keepNext/>
              <w:keepLines/>
              <w:spacing w:line="240" w:lineRule="auto"/>
              <w:ind w:firstLine="0"/>
              <w:rPr>
                <w:rFonts w:eastAsia="Times New Roman" w:cs="Times New Roman"/>
                <w:szCs w:val="26"/>
              </w:rPr>
            </w:pPr>
            <w:r w:rsidRPr="00797913">
              <w:rPr>
                <w:rFonts w:eastAsia="Times New Roman" w:cs="Times New Roman"/>
                <w:szCs w:val="26"/>
              </w:rPr>
              <w:t>Total Request</w:t>
            </w:r>
          </w:p>
        </w:tc>
        <w:tc>
          <w:tcPr>
            <w:tcW w:w="1630" w:type="dxa"/>
            <w:tcBorders>
              <w:top w:val="double" w:color="auto" w:sz="4" w:space="0"/>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6E55DC17" w14:textId="5741E644">
            <w:pPr>
              <w:keepNext/>
              <w:keepLines/>
              <w:spacing w:line="240" w:lineRule="auto"/>
              <w:ind w:firstLine="0"/>
              <w:jc w:val="right"/>
              <w:rPr>
                <w:rFonts w:eastAsia="Times New Roman" w:cs="Times New Roman"/>
                <w:szCs w:val="26"/>
              </w:rPr>
            </w:pPr>
            <w:r w:rsidRPr="00797913">
              <w:rPr>
                <w:rFonts w:eastAsia="Times New Roman" w:cs="Times New Roman"/>
                <w:szCs w:val="26"/>
              </w:rPr>
              <w:t>$2,416,92</w:t>
            </w:r>
            <w:r w:rsidR="003D04A1">
              <w:rPr>
                <w:rFonts w:eastAsia="Times New Roman" w:cs="Times New Roman"/>
                <w:szCs w:val="26"/>
              </w:rPr>
              <w:t>8</w:t>
            </w:r>
          </w:p>
        </w:tc>
      </w:tr>
    </w:tbl>
    <w:p w:rsidRPr="00797913" w:rsidR="00797913" w:rsidP="00122441" w:rsidRDefault="00797913" w14:paraId="05513A27" w14:textId="77777777">
      <w:pPr>
        <w:spacing w:line="240" w:lineRule="auto"/>
        <w:rPr>
          <w:rFonts w:eastAsia="Times New Roman" w:cs="Times New Roman"/>
          <w:szCs w:val="20"/>
        </w:rPr>
      </w:pPr>
    </w:p>
    <w:p w:rsidRPr="00797913" w:rsidR="00797913" w:rsidP="000F78FF" w:rsidRDefault="00797913" w14:paraId="18309840" w14:textId="75916B85">
      <w:pPr>
        <w:pStyle w:val="Heading2"/>
      </w:pPr>
      <w:bookmarkStart w:name="_Toc95469366" w:id="23"/>
      <w:r w:rsidRPr="00797913">
        <w:t>Amortization of ERRA Main Balance</w:t>
      </w:r>
      <w:bookmarkEnd w:id="23"/>
    </w:p>
    <w:p w:rsidRPr="00797913" w:rsidR="00797913" w:rsidP="00797913" w:rsidRDefault="00797913" w14:paraId="1B4D9DED" w14:textId="367DCCAB">
      <w:r w:rsidRPr="00797913">
        <w:t xml:space="preserve">With the ERRA </w:t>
      </w:r>
      <w:proofErr w:type="spellStart"/>
      <w:r w:rsidRPr="00797913">
        <w:t>undercollection</w:t>
      </w:r>
      <w:proofErr w:type="spellEnd"/>
      <w:r w:rsidRPr="00797913">
        <w:t xml:space="preserve"> projected to be in the hundreds of millions, the assigned ALJ ordered PG&amp;E to provide updates to the forecast revenue requirements using the analyses in the December Update based on two</w:t>
      </w:r>
      <w:r w:rsidR="00982C35">
        <w:t> </w:t>
      </w:r>
      <w:r w:rsidRPr="00797913">
        <w:t xml:space="preserve">scenarios:  </w:t>
      </w:r>
      <w:r w:rsidR="009F7176">
        <w:t>u</w:t>
      </w:r>
      <w:r w:rsidRPr="00797913" w:rsidR="009F7176">
        <w:t>pdated</w:t>
      </w:r>
      <w:r w:rsidRPr="00797913">
        <w:t xml:space="preserve"> information and data if the </w:t>
      </w:r>
      <w:proofErr w:type="spellStart"/>
      <w:r w:rsidRPr="00797913">
        <w:t>undercollection</w:t>
      </w:r>
      <w:proofErr w:type="spellEnd"/>
      <w:r w:rsidRPr="00797913">
        <w:t xml:space="preserve"> was amortized over 18 months; and updated information and data if the </w:t>
      </w:r>
      <w:proofErr w:type="spellStart"/>
      <w:r w:rsidRPr="00797913">
        <w:t>undercollection</w:t>
      </w:r>
      <w:proofErr w:type="spellEnd"/>
      <w:r w:rsidRPr="00797913">
        <w:t xml:space="preserve"> was amortized over 24 months. </w:t>
      </w:r>
    </w:p>
    <w:p w:rsidRPr="00797913" w:rsidR="00797913" w:rsidP="00797913" w:rsidRDefault="00797913" w14:paraId="0BB05C4D" w14:textId="4FDD5FEA">
      <w:r w:rsidRPr="00797913">
        <w:t xml:space="preserve">The December Update was based on a 12-month amortization of the forecast </w:t>
      </w:r>
      <w:proofErr w:type="spellStart"/>
      <w:r w:rsidRPr="00797913">
        <w:t>undercollected</w:t>
      </w:r>
      <w:proofErr w:type="spellEnd"/>
      <w:r w:rsidRPr="00797913">
        <w:t xml:space="preserve"> amount. PG&amp;E maintains that a one-year amortization is best for ratepayers and consistent with Commission precedent.</w:t>
      </w:r>
      <w:r w:rsidRPr="00797913">
        <w:rPr>
          <w:vertAlign w:val="superscript"/>
        </w:rPr>
        <w:footnoteReference w:id="10"/>
      </w:r>
      <w:r w:rsidRPr="00797913">
        <w:t xml:space="preserve"> The Joint CCAs and Cal CCA also support the 12-month amortization.</w:t>
      </w:r>
      <w:r w:rsidRPr="00797913">
        <w:rPr>
          <w:vertAlign w:val="superscript"/>
        </w:rPr>
        <w:footnoteReference w:id="11"/>
      </w:r>
      <w:r w:rsidRPr="00797913">
        <w:t xml:space="preserve">  DACC does not oppose amortizing over 12 months.</w:t>
      </w:r>
      <w:r w:rsidRPr="00797913">
        <w:rPr>
          <w:vertAlign w:val="superscript"/>
        </w:rPr>
        <w:footnoteReference w:id="12"/>
      </w:r>
      <w:r w:rsidRPr="00797913">
        <w:t xml:space="preserve">  </w:t>
      </w:r>
    </w:p>
    <w:p w:rsidRPr="00797913" w:rsidR="00797913" w:rsidP="00797913" w:rsidRDefault="00797913" w14:paraId="07D1A93A" w14:textId="77777777">
      <w:pPr>
        <w:rPr>
          <w:szCs w:val="26"/>
        </w:rPr>
      </w:pPr>
      <w:r w:rsidRPr="00797913">
        <w:rPr>
          <w:szCs w:val="26"/>
        </w:rPr>
        <w:t>Cal Advocates does not oppose the 12-month amortization since ratepayer would only experience temporary rate relief under an 18- or 24-month proposal.</w:t>
      </w:r>
      <w:r w:rsidRPr="00797913">
        <w:rPr>
          <w:szCs w:val="26"/>
          <w:vertAlign w:val="superscript"/>
        </w:rPr>
        <w:footnoteReference w:id="13"/>
      </w:r>
    </w:p>
    <w:p w:rsidRPr="00797913" w:rsidR="00797913" w:rsidP="0038FF3D" w:rsidRDefault="00797913" w14:paraId="1155D2D7" w14:textId="777EEAA8">
      <w:pPr>
        <w:autoSpaceDE w:val="0"/>
        <w:autoSpaceDN w:val="0"/>
        <w:adjustRightInd w:val="0"/>
        <w:rPr>
          <w:rFonts w:cs="TimesNewRomanPSMT"/>
        </w:rPr>
      </w:pPr>
      <w:r w:rsidRPr="0038FF3D">
        <w:t xml:space="preserve">CLECA and AECA contend that the </w:t>
      </w:r>
      <w:r w:rsidRPr="0038FF3D">
        <w:rPr>
          <w:rFonts w:cs="TimesNewRomanPSMT"/>
        </w:rPr>
        <w:t>ERRA increase is</w:t>
      </w:r>
      <w:r w:rsidRPr="0038FF3D">
        <w:rPr>
          <w:rFonts w:cs="TimesNewRomanPS-BoldItalicMT"/>
        </w:rPr>
        <w:t xml:space="preserve"> in addition</w:t>
      </w:r>
      <w:r w:rsidRPr="0038FF3D">
        <w:rPr>
          <w:rFonts w:cs="TimesNewRomanPS-BoldItalicMT"/>
          <w:b/>
          <w:bCs/>
          <w:i/>
          <w:iCs/>
        </w:rPr>
        <w:t xml:space="preserve"> </w:t>
      </w:r>
      <w:r w:rsidRPr="0038FF3D">
        <w:rPr>
          <w:rFonts w:cs="TimesNewRomanPS-BoldItalicMT"/>
        </w:rPr>
        <w:t>to</w:t>
      </w:r>
      <w:r w:rsidRPr="0038FF3D">
        <w:rPr>
          <w:rFonts w:cs="TimesNewRomanPS-BoldItalicMT"/>
          <w:b/>
          <w:bCs/>
          <w:i/>
          <w:iCs/>
        </w:rPr>
        <w:t xml:space="preserve"> </w:t>
      </w:r>
      <w:r w:rsidRPr="0038FF3D">
        <w:rPr>
          <w:rFonts w:cs="TimesNewRomanPSMT"/>
        </w:rPr>
        <w:t>the 7.5% system average bundled electric rate that went into effect January 1, 2022 as set forth in second supplemental AET Advice Letter 6408-E-B.</w:t>
      </w:r>
      <w:r w:rsidRPr="0038FF3D">
        <w:rPr>
          <w:rFonts w:cs="TimesNewRomanPSMT"/>
          <w:vertAlign w:val="superscript"/>
        </w:rPr>
        <w:footnoteReference w:id="14"/>
      </w:r>
      <w:r w:rsidRPr="0038FF3D">
        <w:rPr>
          <w:rFonts w:cs="TimesNewRomanPSMT"/>
        </w:rPr>
        <w:t xml:space="preserve"> CLECA and AECA state that the magnitude of the two proposed rate increases in such rapid succession is unprecedented and that it is, therefore, unjust and unreasonable.</w:t>
      </w:r>
      <w:r w:rsidRPr="0038FF3D">
        <w:rPr>
          <w:rFonts w:cs="TimesNewRomanPSMT"/>
          <w:vertAlign w:val="superscript"/>
        </w:rPr>
        <w:footnoteReference w:id="15"/>
      </w:r>
    </w:p>
    <w:p w:rsidR="40187CD0" w:rsidP="0038FF3D" w:rsidRDefault="40187CD0" w14:paraId="682BBDAA" w14:textId="52443311">
      <w:pPr>
        <w:rPr>
          <w:rFonts w:eastAsia="Book Antiqua" w:cs="Book Antiqua"/>
          <w:szCs w:val="26"/>
        </w:rPr>
      </w:pPr>
      <w:r w:rsidRPr="00D10C20">
        <w:rPr>
          <w:rFonts w:eastAsia="Book Antiqua" w:cs="Book Antiqua"/>
          <w:szCs w:val="26"/>
        </w:rPr>
        <w:t>One goal in setting rates is to send timely price signals by accurately reflecting the actual cost of providing service in any given time period in the rates charged in that period or as soon as practicable</w:t>
      </w:r>
      <w:r w:rsidR="000B4865">
        <w:rPr>
          <w:rFonts w:eastAsia="Book Antiqua" w:cs="Book Antiqua"/>
          <w:szCs w:val="26"/>
        </w:rPr>
        <w:t xml:space="preserve">, pursuant to </w:t>
      </w:r>
      <w:r w:rsidR="00C60224">
        <w:rPr>
          <w:rFonts w:eastAsia="Book Antiqua" w:cs="Book Antiqua"/>
          <w:szCs w:val="26"/>
        </w:rPr>
        <w:t>Pub. Util</w:t>
      </w:r>
      <w:r w:rsidR="00F31605">
        <w:rPr>
          <w:rFonts w:eastAsia="Book Antiqua" w:cs="Book Antiqua"/>
          <w:szCs w:val="26"/>
        </w:rPr>
        <w:t>.</w:t>
      </w:r>
      <w:r w:rsidR="00C60224">
        <w:rPr>
          <w:rFonts w:eastAsia="Book Antiqua" w:cs="Book Antiqua"/>
          <w:szCs w:val="26"/>
        </w:rPr>
        <w:t xml:space="preserve"> Code §</w:t>
      </w:r>
      <w:r w:rsidR="00223F6A">
        <w:rPr>
          <w:rFonts w:eastAsia="Book Antiqua" w:cs="Book Antiqua"/>
          <w:szCs w:val="26"/>
        </w:rPr>
        <w:t xml:space="preserve"> </w:t>
      </w:r>
      <w:r w:rsidR="00C60224">
        <w:rPr>
          <w:rFonts w:eastAsia="Book Antiqua" w:cs="Book Antiqua"/>
          <w:szCs w:val="26"/>
        </w:rPr>
        <w:t>454(d)(3)</w:t>
      </w:r>
      <w:r w:rsidRPr="00D10C20">
        <w:rPr>
          <w:rFonts w:eastAsia="Book Antiqua" w:cs="Book Antiqua"/>
          <w:szCs w:val="26"/>
        </w:rPr>
        <w:t xml:space="preserve">. Long delays in recovering costs can result in both poor price signals to customers and cause </w:t>
      </w:r>
      <w:r w:rsidR="00054BFA">
        <w:rPr>
          <w:rFonts w:eastAsia="Book Antiqua" w:cs="Book Antiqua"/>
          <w:szCs w:val="26"/>
        </w:rPr>
        <w:t>year-over-year</w:t>
      </w:r>
      <w:r w:rsidRPr="00D10C20">
        <w:rPr>
          <w:rFonts w:eastAsia="Book Antiqua" w:cs="Book Antiqua"/>
          <w:szCs w:val="26"/>
        </w:rPr>
        <w:t xml:space="preserve"> misallocations. </w:t>
      </w:r>
      <w:r w:rsidR="00D05C8A">
        <w:rPr>
          <w:rFonts w:eastAsia="Book Antiqua" w:cs="Book Antiqua"/>
          <w:szCs w:val="26"/>
        </w:rPr>
        <w:t xml:space="preserve">The </w:t>
      </w:r>
      <w:r w:rsidR="00482DFD">
        <w:rPr>
          <w:rFonts w:eastAsia="Book Antiqua" w:cs="Book Antiqua"/>
          <w:szCs w:val="26"/>
        </w:rPr>
        <w:t xml:space="preserve">2.5% </w:t>
      </w:r>
      <w:r w:rsidR="00D05C8A">
        <w:rPr>
          <w:rFonts w:eastAsia="Book Antiqua" w:cs="Book Antiqua"/>
          <w:szCs w:val="26"/>
        </w:rPr>
        <w:t>difference</w:t>
      </w:r>
      <w:r w:rsidR="00E220D7">
        <w:rPr>
          <w:rStyle w:val="FootnoteReference"/>
          <w:rFonts w:eastAsia="Book Antiqua" w:cs="Book Antiqua"/>
          <w:szCs w:val="26"/>
        </w:rPr>
        <w:footnoteReference w:id="16"/>
      </w:r>
      <w:r w:rsidR="00D05C8A">
        <w:rPr>
          <w:rFonts w:eastAsia="Book Antiqua" w:cs="Book Antiqua"/>
          <w:szCs w:val="26"/>
        </w:rPr>
        <w:t xml:space="preserve"> in system average bundled rates </w:t>
      </w:r>
      <w:r w:rsidR="008E298A">
        <w:rPr>
          <w:rFonts w:eastAsia="Book Antiqua" w:cs="Book Antiqua"/>
          <w:szCs w:val="26"/>
        </w:rPr>
        <w:t>over</w:t>
      </w:r>
      <w:r w:rsidR="00D05C8A">
        <w:rPr>
          <w:rFonts w:eastAsia="Book Antiqua" w:cs="Book Antiqua"/>
          <w:szCs w:val="26"/>
        </w:rPr>
        <w:t xml:space="preserve"> a 12-month amortization </w:t>
      </w:r>
      <w:r w:rsidR="008E298A">
        <w:rPr>
          <w:rFonts w:eastAsia="Book Antiqua" w:cs="Book Antiqua"/>
          <w:szCs w:val="26"/>
        </w:rPr>
        <w:t>versus</w:t>
      </w:r>
      <w:r w:rsidR="00D05C8A">
        <w:rPr>
          <w:rFonts w:eastAsia="Book Antiqua" w:cs="Book Antiqua"/>
          <w:szCs w:val="26"/>
        </w:rPr>
        <w:t xml:space="preserve"> a 24-month amortization</w:t>
      </w:r>
      <w:r w:rsidR="008E298A">
        <w:rPr>
          <w:rFonts w:eastAsia="Book Antiqua" w:cs="Book Antiqua"/>
          <w:szCs w:val="26"/>
        </w:rPr>
        <w:t xml:space="preserve"> </w:t>
      </w:r>
      <w:r w:rsidR="00DA4771">
        <w:rPr>
          <w:rFonts w:eastAsia="Book Antiqua" w:cs="Book Antiqua"/>
          <w:szCs w:val="26"/>
        </w:rPr>
        <w:t>does not overcome the need for</w:t>
      </w:r>
      <w:r w:rsidR="00455408">
        <w:rPr>
          <w:rFonts w:eastAsia="Book Antiqua" w:cs="Book Antiqua"/>
          <w:szCs w:val="26"/>
        </w:rPr>
        <w:t xml:space="preserve"> the Commission’s </w:t>
      </w:r>
      <w:r w:rsidR="0024473E">
        <w:rPr>
          <w:rFonts w:eastAsia="Book Antiqua" w:cs="Book Antiqua"/>
          <w:szCs w:val="26"/>
        </w:rPr>
        <w:t>duty</w:t>
      </w:r>
      <w:r w:rsidR="00455408">
        <w:rPr>
          <w:rFonts w:eastAsia="Book Antiqua" w:cs="Book Antiqua"/>
          <w:szCs w:val="26"/>
        </w:rPr>
        <w:t xml:space="preserve"> to ensure </w:t>
      </w:r>
      <w:r w:rsidR="00E220D7">
        <w:rPr>
          <w:rFonts w:eastAsia="Book Antiqua" w:cs="Book Antiqua"/>
          <w:szCs w:val="26"/>
        </w:rPr>
        <w:t>timely recover</w:t>
      </w:r>
      <w:r w:rsidR="0024473E">
        <w:rPr>
          <w:rFonts w:eastAsia="Book Antiqua" w:cs="Book Antiqua"/>
          <w:szCs w:val="26"/>
        </w:rPr>
        <w:t>y</w:t>
      </w:r>
      <w:r w:rsidR="00E220D7">
        <w:rPr>
          <w:rFonts w:eastAsia="Book Antiqua" w:cs="Book Antiqua"/>
          <w:szCs w:val="26"/>
        </w:rPr>
        <w:t xml:space="preserve"> of prospective procurement costs </w:t>
      </w:r>
      <w:r w:rsidR="00B70178">
        <w:rPr>
          <w:rFonts w:eastAsia="Book Antiqua" w:cs="Book Antiqua"/>
          <w:szCs w:val="26"/>
        </w:rPr>
        <w:t>incurred</w:t>
      </w:r>
      <w:r w:rsidR="00E220D7">
        <w:rPr>
          <w:rFonts w:eastAsia="Book Antiqua" w:cs="Book Antiqua"/>
          <w:szCs w:val="26"/>
        </w:rPr>
        <w:t xml:space="preserve"> by a utility.</w:t>
      </w:r>
      <w:r w:rsidR="00A07AF5">
        <w:rPr>
          <w:rFonts w:eastAsia="Book Antiqua" w:cs="Book Antiqua"/>
          <w:szCs w:val="26"/>
        </w:rPr>
        <w:t xml:space="preserve"> </w:t>
      </w:r>
      <w:r w:rsidR="00D05C8A">
        <w:rPr>
          <w:rFonts w:eastAsia="Book Antiqua" w:cs="Book Antiqua"/>
          <w:szCs w:val="26"/>
        </w:rPr>
        <w:t xml:space="preserve"> </w:t>
      </w:r>
      <w:r w:rsidRPr="00D10C20">
        <w:rPr>
          <w:rFonts w:eastAsia="Book Antiqua" w:cs="Book Antiqua"/>
          <w:szCs w:val="26"/>
        </w:rPr>
        <w:t xml:space="preserve">We find that amortizing the current PG&amp;E </w:t>
      </w:r>
      <w:proofErr w:type="spellStart"/>
      <w:r w:rsidRPr="00D10C20">
        <w:rPr>
          <w:rFonts w:eastAsia="Book Antiqua" w:cs="Book Antiqua"/>
          <w:szCs w:val="26"/>
        </w:rPr>
        <w:t>undercollection</w:t>
      </w:r>
      <w:proofErr w:type="spellEnd"/>
      <w:r w:rsidRPr="00D10C20">
        <w:rPr>
          <w:rFonts w:eastAsia="Book Antiqua" w:cs="Book Antiqua"/>
          <w:szCs w:val="26"/>
        </w:rPr>
        <w:t xml:space="preserve"> over an expanded period of time may artificially reduce rates in the near-term and cause a larger increase in the future to compensate for delayed cost recovery. We</w:t>
      </w:r>
      <w:r w:rsidR="002E4F40">
        <w:rPr>
          <w:rFonts w:eastAsia="Book Antiqua" w:cs="Book Antiqua"/>
          <w:szCs w:val="26"/>
        </w:rPr>
        <w:t>,</w:t>
      </w:r>
      <w:r w:rsidRPr="00D10C20">
        <w:rPr>
          <w:rFonts w:eastAsia="Book Antiqua" w:cs="Book Antiqua"/>
          <w:szCs w:val="26"/>
        </w:rPr>
        <w:t xml:space="preserve"> therefore</w:t>
      </w:r>
      <w:r w:rsidR="002E4F40">
        <w:rPr>
          <w:rFonts w:eastAsia="Book Antiqua" w:cs="Book Antiqua"/>
          <w:szCs w:val="26"/>
        </w:rPr>
        <w:t xml:space="preserve">, </w:t>
      </w:r>
      <w:r w:rsidRPr="00D10C20">
        <w:rPr>
          <w:rFonts w:eastAsia="Book Antiqua" w:cs="Book Antiqua"/>
          <w:szCs w:val="26"/>
        </w:rPr>
        <w:t>adopt PG&amp;E’s December Update filed on December</w:t>
      </w:r>
      <w:r w:rsidR="00BA181A">
        <w:rPr>
          <w:rFonts w:eastAsia="Book Antiqua" w:cs="Book Antiqua"/>
          <w:szCs w:val="26"/>
        </w:rPr>
        <w:t> </w:t>
      </w:r>
      <w:r w:rsidRPr="00D10C20">
        <w:rPr>
          <w:rFonts w:eastAsia="Book Antiqua" w:cs="Book Antiqua"/>
          <w:szCs w:val="26"/>
        </w:rPr>
        <w:t>1</w:t>
      </w:r>
      <w:r w:rsidR="0032266A">
        <w:rPr>
          <w:rFonts w:eastAsia="Book Antiqua" w:cs="Book Antiqua"/>
          <w:szCs w:val="26"/>
        </w:rPr>
        <w:t>4</w:t>
      </w:r>
      <w:r w:rsidRPr="00D10C20">
        <w:rPr>
          <w:rFonts w:eastAsia="Book Antiqua" w:cs="Book Antiqua"/>
          <w:szCs w:val="26"/>
        </w:rPr>
        <w:t xml:space="preserve">, 2021 amortized over a 12-month period. </w:t>
      </w:r>
    </w:p>
    <w:p w:rsidRPr="00797913" w:rsidR="00797913" w:rsidP="007B69FC" w:rsidRDefault="00797913" w14:paraId="4D8B723D" w14:textId="77777777">
      <w:pPr>
        <w:pStyle w:val="Heading1"/>
        <w:numPr>
          <w:ilvl w:val="0"/>
          <w:numId w:val="11"/>
        </w:numPr>
      </w:pPr>
      <w:bookmarkStart w:name="_Toc93666508" w:id="24"/>
      <w:bookmarkStart w:name="_Toc93499874" w:id="25"/>
      <w:bookmarkStart w:name="_Toc95469367" w:id="26"/>
      <w:bookmarkEnd w:id="24"/>
      <w:r w:rsidRPr="00797913">
        <w:t>2022 Forecast Revenue Requirement</w:t>
      </w:r>
      <w:bookmarkEnd w:id="25"/>
      <w:bookmarkEnd w:id="26"/>
      <w:r w:rsidRPr="00797913">
        <w:t xml:space="preserve"> </w:t>
      </w:r>
    </w:p>
    <w:p w:rsidRPr="00797913" w:rsidR="00797913" w:rsidP="000F78FF" w:rsidRDefault="00797913" w14:paraId="79AA6479" w14:textId="44D3D034">
      <w:pPr>
        <w:pStyle w:val="Heading2"/>
      </w:pPr>
      <w:bookmarkStart w:name="_Toc93499875" w:id="27"/>
      <w:bookmarkStart w:name="_Toc95469368" w:id="28"/>
      <w:r w:rsidRPr="00797913">
        <w:t xml:space="preserve">Cost Allocation Mechanism </w:t>
      </w:r>
      <w:r w:rsidR="001F2E29">
        <w:t xml:space="preserve">(CAM) </w:t>
      </w:r>
      <w:r w:rsidRPr="00797913">
        <w:t xml:space="preserve">and </w:t>
      </w:r>
      <w:r w:rsidR="00122441">
        <w:br/>
      </w:r>
      <w:r w:rsidRPr="00537838" w:rsidR="0087353F">
        <w:rPr>
          <w:rFonts w:cstheme="minorBidi"/>
        </w:rPr>
        <w:t>New System Generation Charge</w:t>
      </w:r>
      <w:r w:rsidRPr="00797913" w:rsidR="0087353F">
        <w:t xml:space="preserve"> </w:t>
      </w:r>
      <w:r w:rsidR="0087353F">
        <w:t>(</w:t>
      </w:r>
      <w:r w:rsidRPr="00797913">
        <w:t>N</w:t>
      </w:r>
      <w:r w:rsidR="001F2E29">
        <w:t>SGC</w:t>
      </w:r>
      <w:bookmarkEnd w:id="27"/>
      <w:r w:rsidR="0087353F">
        <w:t>)</w:t>
      </w:r>
      <w:bookmarkEnd w:id="28"/>
    </w:p>
    <w:p w:rsidRPr="00797913" w:rsidR="00797913" w:rsidP="00797913" w:rsidRDefault="00797913" w14:paraId="18DD7FC1" w14:textId="5654AD70">
      <w:pPr>
        <w:rPr>
          <w:i/>
          <w:iCs/>
          <w:szCs w:val="26"/>
        </w:rPr>
      </w:pPr>
      <w:r w:rsidRPr="00797913">
        <w:rPr>
          <w:szCs w:val="26"/>
        </w:rPr>
        <w:t>The Cost Allocation Mechanism (CAM) and NSGC allocate certain costs and benefits, including:</w:t>
      </w:r>
      <w:r w:rsidR="00122441">
        <w:rPr>
          <w:szCs w:val="26"/>
        </w:rPr>
        <w:t xml:space="preserve"> </w:t>
      </w:r>
      <w:r w:rsidRPr="00797913">
        <w:rPr>
          <w:szCs w:val="26"/>
        </w:rPr>
        <w:t xml:space="preserve"> (1) resources needed for ensuring system reliability, (2)</w:t>
      </w:r>
      <w:r w:rsidR="001F2E29">
        <w:rPr>
          <w:szCs w:val="26"/>
        </w:rPr>
        <w:t> </w:t>
      </w:r>
      <w:r w:rsidRPr="00797913">
        <w:rPr>
          <w:szCs w:val="26"/>
        </w:rPr>
        <w:t>resources procured in accordance with the Qualified Facility/Combined Heat and Power Settlement approved by D.10</w:t>
      </w:r>
      <w:r w:rsidRPr="00797913">
        <w:rPr>
          <w:szCs w:val="26"/>
        </w:rPr>
        <w:noBreakHyphen/>
        <w:t>12</w:t>
      </w:r>
      <w:r w:rsidRPr="00797913">
        <w:rPr>
          <w:szCs w:val="26"/>
        </w:rPr>
        <w:noBreakHyphen/>
        <w:t>035, and (3) resources procured for renewable</w:t>
      </w:r>
      <w:r w:rsidR="00CA0B0E">
        <w:rPr>
          <w:szCs w:val="26"/>
        </w:rPr>
        <w:t>s</w:t>
      </w:r>
      <w:r w:rsidRPr="00797913">
        <w:rPr>
          <w:szCs w:val="26"/>
        </w:rPr>
        <w:t xml:space="preserve"> integration (D.19</w:t>
      </w:r>
      <w:r w:rsidR="00982C35">
        <w:rPr>
          <w:szCs w:val="26"/>
        </w:rPr>
        <w:noBreakHyphen/>
      </w:r>
      <w:r w:rsidRPr="00797913">
        <w:rPr>
          <w:szCs w:val="26"/>
        </w:rPr>
        <w:t>11</w:t>
      </w:r>
      <w:r w:rsidR="00982C35">
        <w:rPr>
          <w:szCs w:val="26"/>
        </w:rPr>
        <w:noBreakHyphen/>
      </w:r>
      <w:r w:rsidRPr="00797913">
        <w:rPr>
          <w:szCs w:val="26"/>
        </w:rPr>
        <w:t>016.)</w:t>
      </w:r>
      <w:r w:rsidRPr="00797913">
        <w:rPr>
          <w:szCs w:val="26"/>
          <w:vertAlign w:val="superscript"/>
        </w:rPr>
        <w:footnoteReference w:id="17"/>
      </w:r>
      <w:r w:rsidRPr="00797913">
        <w:rPr>
          <w:szCs w:val="26"/>
        </w:rPr>
        <w:t xml:space="preserve"> </w:t>
      </w:r>
    </w:p>
    <w:p w:rsidRPr="00797913" w:rsidR="00797913" w:rsidP="00797913" w:rsidRDefault="00797913" w14:paraId="74C169F0" w14:textId="1E485ABF">
      <w:pPr>
        <w:rPr>
          <w:szCs w:val="26"/>
        </w:rPr>
      </w:pPr>
      <w:r w:rsidRPr="00797913">
        <w:rPr>
          <w:szCs w:val="26"/>
        </w:rPr>
        <w:t xml:space="preserve">PG&amp;E also requests recovery of administrative costs incurred as the central procurement entity for multi-year local Resource Adequacy </w:t>
      </w:r>
      <w:r w:rsidR="00673232">
        <w:rPr>
          <w:szCs w:val="26"/>
        </w:rPr>
        <w:t xml:space="preserve">(RA) </w:t>
      </w:r>
      <w:r w:rsidRPr="00797913">
        <w:rPr>
          <w:szCs w:val="26"/>
        </w:rPr>
        <w:t xml:space="preserve">under the </w:t>
      </w:r>
      <w:r w:rsidR="00AC04DB">
        <w:rPr>
          <w:szCs w:val="26"/>
        </w:rPr>
        <w:t xml:space="preserve">CAM </w:t>
      </w:r>
      <w:r w:rsidRPr="00797913">
        <w:rPr>
          <w:szCs w:val="26"/>
        </w:rPr>
        <w:t>pursuant to D.20-06-002.</w:t>
      </w:r>
      <w:r w:rsidRPr="00797913">
        <w:rPr>
          <w:szCs w:val="26"/>
          <w:vertAlign w:val="superscript"/>
        </w:rPr>
        <w:footnoteReference w:id="18"/>
      </w:r>
      <w:r w:rsidRPr="00797913">
        <w:rPr>
          <w:szCs w:val="26"/>
        </w:rPr>
        <w:t xml:space="preserve"> </w:t>
      </w:r>
    </w:p>
    <w:p w:rsidRPr="00797913" w:rsidR="00797913" w:rsidP="00797913" w:rsidRDefault="00797913" w14:paraId="3B0A163F" w14:textId="7C9B26E5">
      <w:pPr>
        <w:rPr>
          <w:szCs w:val="26"/>
        </w:rPr>
      </w:pPr>
      <w:r w:rsidRPr="00797913">
        <w:rPr>
          <w:szCs w:val="26"/>
        </w:rPr>
        <w:t xml:space="preserve">No party disputes PG&amp;E’s proposed revenue requirements for Cost Allocation Mechanism or the </w:t>
      </w:r>
      <w:r w:rsidR="001F2E29">
        <w:rPr>
          <w:rFonts w:cs="BookAntiqua"/>
          <w:szCs w:val="26"/>
        </w:rPr>
        <w:t xml:space="preserve">NSGC </w:t>
      </w:r>
      <w:r w:rsidRPr="00797913">
        <w:rPr>
          <w:szCs w:val="26"/>
        </w:rPr>
        <w:t>as reflected in the December Update. We have reviewed these calculations and find them reasonable and in compliance with all applicable rules, regulations, resolutions and decisions.</w:t>
      </w:r>
    </w:p>
    <w:p w:rsidRPr="00797913" w:rsidR="00797913" w:rsidP="000F78FF" w:rsidRDefault="00797913" w14:paraId="0D0444AF" w14:textId="77777777">
      <w:pPr>
        <w:pStyle w:val="Heading2"/>
      </w:pPr>
      <w:bookmarkStart w:name="_Toc93499876" w:id="29"/>
      <w:bookmarkStart w:name="_Toc95469369" w:id="30"/>
      <w:r w:rsidRPr="00797913">
        <w:t>Ongoing Competition Transition Charge</w:t>
      </w:r>
      <w:bookmarkEnd w:id="29"/>
      <w:bookmarkEnd w:id="30"/>
    </w:p>
    <w:p w:rsidRPr="00797913" w:rsidR="00797913" w:rsidP="00797913" w:rsidRDefault="00797913" w14:paraId="77CBA039" w14:textId="13A3C078">
      <w:pPr>
        <w:rPr>
          <w:szCs w:val="26"/>
        </w:rPr>
      </w:pPr>
      <w:r w:rsidRPr="00797913">
        <w:rPr>
          <w:szCs w:val="26"/>
        </w:rPr>
        <w:t xml:space="preserve">Ongoing Competition Transmission Charges </w:t>
      </w:r>
      <w:r w:rsidR="00874540">
        <w:rPr>
          <w:szCs w:val="26"/>
        </w:rPr>
        <w:t xml:space="preserve">(Ongoing CTC) </w:t>
      </w:r>
      <w:r w:rsidRPr="00797913">
        <w:rPr>
          <w:szCs w:val="26"/>
        </w:rPr>
        <w:t>are established by statute for the “above market costs associated with eligible contract arrangements entered into before December 20, 1995, and Qualifying Facility (QF) contract restructuring costs.”</w:t>
      </w:r>
      <w:r w:rsidRPr="00797913">
        <w:rPr>
          <w:vertAlign w:val="superscript"/>
        </w:rPr>
        <w:footnoteReference w:id="19"/>
      </w:r>
      <w:r w:rsidRPr="00797913">
        <w:rPr>
          <w:szCs w:val="26"/>
        </w:rPr>
        <w:t xml:space="preserve"> These costs are recorded in PG&amp;E’s Modified Transition Cost Balancing Account (MTCBA).</w:t>
      </w:r>
      <w:r w:rsidRPr="00797913">
        <w:rPr>
          <w:szCs w:val="26"/>
          <w:vertAlign w:val="superscript"/>
        </w:rPr>
        <w:footnoteReference w:id="20"/>
      </w:r>
    </w:p>
    <w:p w:rsidRPr="00797913" w:rsidR="00874540" w:rsidP="00797913" w:rsidRDefault="00797913" w14:paraId="7F743090" w14:textId="563DDFE2">
      <w:pPr>
        <w:rPr>
          <w:szCs w:val="26"/>
        </w:rPr>
      </w:pPr>
      <w:r w:rsidRPr="00797913">
        <w:rPr>
          <w:szCs w:val="26"/>
        </w:rPr>
        <w:t>The above-market costs are determined by calculating the difference between the cost of the portfolio of resources and the market value of an equivalent portfolio.</w:t>
      </w:r>
      <w:r w:rsidRPr="00797913">
        <w:rPr>
          <w:szCs w:val="26"/>
          <w:vertAlign w:val="superscript"/>
        </w:rPr>
        <w:footnoteReference w:id="21"/>
      </w:r>
      <w:r w:rsidRPr="00797913">
        <w:rPr>
          <w:szCs w:val="26"/>
        </w:rPr>
        <w:t xml:space="preserve"> The Commission approved the current methodology for calculating the Market Price Benchmark in D.18-10-019.</w:t>
      </w:r>
    </w:p>
    <w:p w:rsidRPr="00797913" w:rsidR="00797913" w:rsidP="00797913" w:rsidRDefault="00797913" w14:paraId="67490C5B" w14:textId="2CCED3F1">
      <w:pPr>
        <w:rPr>
          <w:szCs w:val="26"/>
        </w:rPr>
      </w:pPr>
      <w:r w:rsidRPr="00797913">
        <w:rPr>
          <w:szCs w:val="26"/>
        </w:rPr>
        <w:t>No party disputes PG&amp;E’s proposed revenue requirements for Ongoing Competition Transmission Charges as of the December Update. We have reviewed these calculations and find them reasonable and in compliance with all applicable rules, regulations, resolutions and decisions.</w:t>
      </w:r>
    </w:p>
    <w:p w:rsidRPr="00797913" w:rsidR="00797913" w:rsidP="000F78FF" w:rsidRDefault="00797913" w14:paraId="60DC2E24" w14:textId="77777777">
      <w:pPr>
        <w:pStyle w:val="Heading2"/>
      </w:pPr>
      <w:bookmarkStart w:name="_Toc93499877" w:id="31"/>
      <w:bookmarkStart w:name="_Toc95469370" w:id="32"/>
      <w:r w:rsidRPr="00797913">
        <w:t>Tree Mortality Non-</w:t>
      </w:r>
      <w:proofErr w:type="spellStart"/>
      <w:r w:rsidRPr="00797913">
        <w:t>Bypassable</w:t>
      </w:r>
      <w:proofErr w:type="spellEnd"/>
      <w:r w:rsidRPr="00797913">
        <w:t xml:space="preserve"> Charge</w:t>
      </w:r>
      <w:bookmarkEnd w:id="31"/>
      <w:bookmarkEnd w:id="32"/>
    </w:p>
    <w:p w:rsidRPr="00797913" w:rsidR="00797913" w:rsidP="00797913" w:rsidRDefault="00797913" w14:paraId="79E30A58" w14:textId="1A719CCF">
      <w:pPr>
        <w:rPr>
          <w:szCs w:val="26"/>
        </w:rPr>
      </w:pPr>
      <w:r w:rsidRPr="00797913">
        <w:rPr>
          <w:szCs w:val="26"/>
        </w:rPr>
        <w:t>The Tree Mortality Non-</w:t>
      </w:r>
      <w:proofErr w:type="spellStart"/>
      <w:r w:rsidRPr="00797913">
        <w:rPr>
          <w:szCs w:val="26"/>
        </w:rPr>
        <w:t>Bypassable</w:t>
      </w:r>
      <w:proofErr w:type="spellEnd"/>
      <w:r w:rsidRPr="00797913">
        <w:rPr>
          <w:szCs w:val="26"/>
        </w:rPr>
        <w:t xml:space="preserve"> Charge was established for recovery of net costs of tree mortality</w:t>
      </w:r>
      <w:r w:rsidRPr="00797913">
        <w:rPr>
          <w:szCs w:val="26"/>
        </w:rPr>
        <w:noBreakHyphen/>
        <w:t>related biomass energy procurement mandated by Pub. Util. Code § 399.20.3(f).</w:t>
      </w:r>
      <w:r w:rsidRPr="00797913">
        <w:rPr>
          <w:vertAlign w:val="superscript"/>
        </w:rPr>
        <w:footnoteReference w:id="22"/>
      </w:r>
      <w:r w:rsidRPr="00797913">
        <w:rPr>
          <w:szCs w:val="26"/>
        </w:rPr>
        <w:t xml:space="preserve"> The Commission determined that recovery of the Tree Mortality Non-</w:t>
      </w:r>
      <w:proofErr w:type="spellStart"/>
      <w:r w:rsidRPr="00797913">
        <w:rPr>
          <w:szCs w:val="26"/>
        </w:rPr>
        <w:t>Bypassable</w:t>
      </w:r>
      <w:proofErr w:type="spellEnd"/>
      <w:r w:rsidRPr="00797913">
        <w:rPr>
          <w:szCs w:val="26"/>
        </w:rPr>
        <w:t xml:space="preserve"> Charge should occur through the </w:t>
      </w:r>
      <w:r w:rsidR="00874540">
        <w:rPr>
          <w:szCs w:val="26"/>
        </w:rPr>
        <w:t>Public Purpose Program (</w:t>
      </w:r>
      <w:r w:rsidRPr="00797913">
        <w:rPr>
          <w:szCs w:val="26"/>
        </w:rPr>
        <w:t>PPP</w:t>
      </w:r>
      <w:r w:rsidR="00874540">
        <w:rPr>
          <w:szCs w:val="26"/>
        </w:rPr>
        <w:t>)</w:t>
      </w:r>
      <w:r w:rsidRPr="00797913">
        <w:rPr>
          <w:szCs w:val="26"/>
        </w:rPr>
        <w:t xml:space="preserve"> Charge, with each utility establishing a balancing account to collect the net costs associated with this non</w:t>
      </w:r>
      <w:r w:rsidRPr="00797913">
        <w:rPr>
          <w:szCs w:val="26"/>
        </w:rPr>
        <w:noBreakHyphen/>
      </w:r>
      <w:proofErr w:type="spellStart"/>
      <w:r w:rsidRPr="00797913">
        <w:rPr>
          <w:szCs w:val="26"/>
        </w:rPr>
        <w:t>bypassable</w:t>
      </w:r>
      <w:proofErr w:type="spellEnd"/>
      <w:r w:rsidRPr="00797913">
        <w:rPr>
          <w:szCs w:val="26"/>
        </w:rPr>
        <w:t xml:space="preserve"> charge.</w:t>
      </w:r>
      <w:r w:rsidRPr="00797913">
        <w:rPr>
          <w:vertAlign w:val="superscript"/>
        </w:rPr>
        <w:footnoteReference w:id="23"/>
      </w:r>
    </w:p>
    <w:p w:rsidRPr="00797913" w:rsidR="00874540" w:rsidP="00797913" w:rsidRDefault="00797913" w14:paraId="74AE5EE9" w14:textId="57C41AC2">
      <w:pPr>
        <w:rPr>
          <w:szCs w:val="26"/>
        </w:rPr>
      </w:pPr>
      <w:r w:rsidRPr="00797913">
        <w:rPr>
          <w:szCs w:val="26"/>
        </w:rPr>
        <w:t>Pursuant to D.18-12-003, PG&amp;E proposes to recover the net costs of the tree mortality-related biomass energy procurement, excluding revenue received by the Investor</w:t>
      </w:r>
      <w:r w:rsidR="00122441">
        <w:rPr>
          <w:szCs w:val="26"/>
        </w:rPr>
        <w:t>-</w:t>
      </w:r>
      <w:r w:rsidRPr="00797913">
        <w:rPr>
          <w:szCs w:val="26"/>
        </w:rPr>
        <w:t xml:space="preserve">Owned Utilities (IOUs) through sales of energy and ancillary services, the value of Renewable Energy Credits, and the value of the </w:t>
      </w:r>
      <w:r w:rsidR="00673232">
        <w:rPr>
          <w:szCs w:val="26"/>
        </w:rPr>
        <w:t>RA</w:t>
      </w:r>
      <w:r w:rsidRPr="00797913">
        <w:rPr>
          <w:szCs w:val="26"/>
        </w:rPr>
        <w:t xml:space="preserve"> capacity.  </w:t>
      </w:r>
    </w:p>
    <w:p w:rsidRPr="00797913" w:rsidR="00797913" w:rsidP="00797913" w:rsidRDefault="00797913" w14:paraId="1CD7A51E" w14:textId="15A57EFF">
      <w:pPr>
        <w:rPr>
          <w:szCs w:val="26"/>
        </w:rPr>
      </w:pPr>
      <w:r w:rsidRPr="00797913">
        <w:rPr>
          <w:szCs w:val="26"/>
        </w:rPr>
        <w:t>No party disputes PG&amp;E’s proposed revenue requirements for Tree Mortality Non-</w:t>
      </w:r>
      <w:proofErr w:type="spellStart"/>
      <w:r w:rsidRPr="00797913">
        <w:rPr>
          <w:szCs w:val="26"/>
        </w:rPr>
        <w:t>Bypassable</w:t>
      </w:r>
      <w:proofErr w:type="spellEnd"/>
      <w:r w:rsidRPr="00797913">
        <w:rPr>
          <w:szCs w:val="26"/>
        </w:rPr>
        <w:t xml:space="preserve"> Charges as of the December Update. We have reviewed these calculations and find them reasonable and in compliance with all applicable rules, regulations, resolutions and decisions.</w:t>
      </w:r>
    </w:p>
    <w:p w:rsidRPr="00797913" w:rsidR="00797913" w:rsidP="000F78FF" w:rsidRDefault="00797913" w14:paraId="17E6362F" w14:textId="77777777">
      <w:pPr>
        <w:pStyle w:val="Heading2"/>
      </w:pPr>
      <w:bookmarkStart w:name="_Toc93499878" w:id="33"/>
      <w:bookmarkStart w:name="_Toc95469371" w:id="34"/>
      <w:r w:rsidRPr="00797913">
        <w:t>Bioenergy Market Adjusting Tariff</w:t>
      </w:r>
      <w:bookmarkEnd w:id="33"/>
      <w:bookmarkEnd w:id="34"/>
    </w:p>
    <w:p w:rsidRPr="00797913" w:rsidR="00A100BD" w:rsidP="00797913" w:rsidRDefault="00797913" w14:paraId="2EA62047" w14:textId="368C6566">
      <w:pPr>
        <w:rPr>
          <w:szCs w:val="26"/>
        </w:rPr>
      </w:pPr>
      <w:r w:rsidRPr="00797913">
        <w:rPr>
          <w:szCs w:val="26"/>
        </w:rPr>
        <w:t>In D.20-08-043, the Commission authorized a new</w:t>
      </w:r>
      <w:r w:rsidRPr="00797913">
        <w:t xml:space="preserve"> </w:t>
      </w:r>
      <w:r w:rsidRPr="00797913">
        <w:rPr>
          <w:szCs w:val="26"/>
        </w:rPr>
        <w:t>non-</w:t>
      </w:r>
      <w:proofErr w:type="spellStart"/>
      <w:r w:rsidRPr="00797913">
        <w:rPr>
          <w:szCs w:val="26"/>
        </w:rPr>
        <w:t>bypassable</w:t>
      </w:r>
      <w:proofErr w:type="spellEnd"/>
      <w:r w:rsidRPr="00797913">
        <w:rPr>
          <w:szCs w:val="26"/>
        </w:rPr>
        <w:t xml:space="preserve"> charge to recover Bioenergy Market Adjusting Tariff (</w:t>
      </w:r>
      <w:proofErr w:type="spellStart"/>
      <w:r w:rsidRPr="00797913">
        <w:rPr>
          <w:szCs w:val="26"/>
        </w:rPr>
        <w:t>BioMAT</w:t>
      </w:r>
      <w:proofErr w:type="spellEnd"/>
      <w:r w:rsidRPr="00797913">
        <w:rPr>
          <w:szCs w:val="26"/>
        </w:rPr>
        <w:t>) program costs through the PPP Charge.</w:t>
      </w:r>
    </w:p>
    <w:p w:rsidRPr="00797913" w:rsidR="00797913" w:rsidP="00797913" w:rsidRDefault="00797913" w14:paraId="654E05CE" w14:textId="0905CA31">
      <w:pPr>
        <w:rPr>
          <w:szCs w:val="26"/>
        </w:rPr>
      </w:pPr>
      <w:r w:rsidRPr="00797913">
        <w:rPr>
          <w:szCs w:val="26"/>
        </w:rPr>
        <w:t xml:space="preserve">No party disputes PG&amp;E’s proposed revenue requirements for </w:t>
      </w:r>
      <w:proofErr w:type="spellStart"/>
      <w:r w:rsidRPr="00797913">
        <w:rPr>
          <w:szCs w:val="26"/>
        </w:rPr>
        <w:t>BioMAT</w:t>
      </w:r>
      <w:proofErr w:type="spellEnd"/>
      <w:r w:rsidRPr="00797913">
        <w:rPr>
          <w:szCs w:val="26"/>
        </w:rPr>
        <w:t xml:space="preserve"> Non-</w:t>
      </w:r>
      <w:proofErr w:type="spellStart"/>
      <w:r w:rsidRPr="00797913">
        <w:rPr>
          <w:szCs w:val="26"/>
        </w:rPr>
        <w:t>Bypassable</w:t>
      </w:r>
      <w:proofErr w:type="spellEnd"/>
      <w:r w:rsidRPr="00797913">
        <w:rPr>
          <w:szCs w:val="26"/>
        </w:rPr>
        <w:t xml:space="preserve"> Charges as of the December Update. We have reviewed these calculations and find them reasonable and in compliance with all applicable rules, regulations, resolutions and decisions.</w:t>
      </w:r>
    </w:p>
    <w:p w:rsidRPr="00797913" w:rsidR="00797913" w:rsidP="000F78FF" w:rsidRDefault="00797913" w14:paraId="7D418F5E" w14:textId="77777777">
      <w:pPr>
        <w:pStyle w:val="Heading2"/>
      </w:pPr>
      <w:bookmarkStart w:name="_Toc93499879" w:id="35"/>
      <w:bookmarkStart w:name="_Toc95469372" w:id="36"/>
      <w:r w:rsidRPr="00797913">
        <w:t>ERRA Revenue Requirement</w:t>
      </w:r>
      <w:bookmarkEnd w:id="35"/>
      <w:bookmarkEnd w:id="36"/>
    </w:p>
    <w:p w:rsidR="00431FDF" w:rsidP="00122441" w:rsidRDefault="00797913" w14:paraId="666C9831" w14:textId="456B2F6A">
      <w:pPr>
        <w:rPr>
          <w:szCs w:val="26"/>
        </w:rPr>
      </w:pPr>
      <w:r w:rsidRPr="00797913">
        <w:t>In D.02-10-062, the Commission established the ERRA as the balancing account for the IOUs to track and recover energy procurement costs incurred under Commission-authorized procurement plans.</w:t>
      </w:r>
      <w:r w:rsidRPr="00797913">
        <w:rPr>
          <w:szCs w:val="26"/>
        </w:rPr>
        <w:t xml:space="preserve"> PG&amp;E’s main balancing account in ERRA, or ERRA-Main, records PG&amp;E’s procurement-related costs and revenues, and any difference flows back to or is collected from customers.</w:t>
      </w:r>
      <w:r w:rsidRPr="00797913">
        <w:rPr>
          <w:szCs w:val="26"/>
          <w:vertAlign w:val="superscript"/>
        </w:rPr>
        <w:footnoteReference w:id="24"/>
      </w:r>
      <w:r w:rsidRPr="00797913">
        <w:rPr>
          <w:szCs w:val="26"/>
        </w:rPr>
        <w:t xml:space="preserve"> </w:t>
      </w:r>
      <w:r w:rsidR="00431FDF">
        <w:rPr>
          <w:szCs w:val="26"/>
        </w:rPr>
        <w:t xml:space="preserve">The ERRA-Main </w:t>
      </w:r>
      <w:r w:rsidR="002F69E6">
        <w:rPr>
          <w:szCs w:val="26"/>
        </w:rPr>
        <w:t>is the ERRA minus the ERRA PCIA Financial Subaccount,</w:t>
      </w:r>
      <w:r w:rsidR="002F69E6">
        <w:rPr>
          <w:rStyle w:val="FootnoteReference"/>
          <w:szCs w:val="26"/>
        </w:rPr>
        <w:footnoteReference w:id="25"/>
      </w:r>
      <w:r w:rsidR="002F69E6">
        <w:rPr>
          <w:szCs w:val="26"/>
        </w:rPr>
        <w:t xml:space="preserve"> which tracks any amount finances by bundled customers related to revenue shortfalls associated with capped PCIA rates for eligible departing load customers.</w:t>
      </w:r>
      <w:r w:rsidR="002F69E6">
        <w:rPr>
          <w:rStyle w:val="FootnoteReference"/>
          <w:szCs w:val="26"/>
        </w:rPr>
        <w:footnoteReference w:id="26"/>
      </w:r>
    </w:p>
    <w:p w:rsidRPr="00797913" w:rsidR="00797913" w:rsidP="00122441" w:rsidRDefault="00797913" w14:paraId="59A713C3" w14:textId="42EDF424">
      <w:pPr>
        <w:rPr>
          <w:szCs w:val="26"/>
        </w:rPr>
      </w:pPr>
      <w:r w:rsidRPr="00797913">
        <w:rPr>
          <w:szCs w:val="26"/>
        </w:rPr>
        <w:t>As of the December Update, PG&amp;E requests $5,060,190,000 in total ERRA revenue requirement. As of the December Update, no party disputes PG&amp;E’s proposed revenue requirements for the ERRA.</w:t>
      </w:r>
    </w:p>
    <w:p w:rsidRPr="00797913" w:rsidR="00797913" w:rsidP="00797913" w:rsidRDefault="00797913" w14:paraId="79ADF375" w14:textId="77777777">
      <w:pPr>
        <w:rPr>
          <w:szCs w:val="26"/>
        </w:rPr>
      </w:pPr>
      <w:r w:rsidRPr="00797913">
        <w:rPr>
          <w:szCs w:val="26"/>
        </w:rPr>
        <w:t>We have reviewed these calculations and find them reasonable and in compliance with all applicable rules, regulations, resolutions and decisions.</w:t>
      </w:r>
    </w:p>
    <w:p w:rsidRPr="00797913" w:rsidR="00797913" w:rsidP="000F78FF" w:rsidRDefault="00797913" w14:paraId="2161C49E" w14:textId="77777777">
      <w:pPr>
        <w:pStyle w:val="Heading2"/>
        <w:rPr>
          <w:szCs w:val="24"/>
        </w:rPr>
      </w:pPr>
      <w:bookmarkStart w:name="_Toc93499880" w:id="37"/>
      <w:bookmarkStart w:name="_Toc95469373" w:id="38"/>
      <w:r w:rsidRPr="00797913">
        <w:t>Utility-Owned Generation Costs</w:t>
      </w:r>
      <w:bookmarkEnd w:id="37"/>
      <w:bookmarkEnd w:id="38"/>
    </w:p>
    <w:p w:rsidRPr="00797913" w:rsidR="00797913" w:rsidP="00797913" w:rsidRDefault="00797913" w14:paraId="3EC0B7A4" w14:textId="77777777">
      <w:pPr>
        <w:rPr>
          <w:rFonts w:eastAsia="Times New Roman" w:cs="Times New Roman"/>
          <w:szCs w:val="26"/>
        </w:rPr>
      </w:pPr>
      <w:r w:rsidRPr="00797913">
        <w:rPr>
          <w:rFonts w:eastAsia="Times New Roman" w:cs="Times New Roman"/>
          <w:szCs w:val="26"/>
        </w:rPr>
        <w:t xml:space="preserve">In D.20-12-005, the Commission adopted PG&amp;E’s 2020 General Rate Case. On November 1, 2021, PG&amp;E submitted Tier 1 Advice Letter 4522-G/6389-E to update its generation revenue requirement effective January 1, 2022. </w:t>
      </w:r>
    </w:p>
    <w:p w:rsidR="00797913" w:rsidP="00797913" w:rsidRDefault="00797913" w14:paraId="0251EB0B" w14:textId="0D623DA5">
      <w:pPr>
        <w:rPr>
          <w:rFonts w:eastAsia="Times New Roman" w:cs="Times New Roman"/>
          <w:szCs w:val="26"/>
        </w:rPr>
      </w:pPr>
      <w:r w:rsidRPr="00797913">
        <w:rPr>
          <w:rFonts w:eastAsia="Times New Roman" w:cs="Times New Roman"/>
          <w:szCs w:val="26"/>
        </w:rPr>
        <w:t>In its November Update, PG&amp;E updated its Utility-Owned Generation Costs in accordance with Advice Letter 4522-G/6389-E. The updated costs reflect the following changes:</w:t>
      </w:r>
    </w:p>
    <w:p w:rsidRPr="00797913" w:rsidR="00797913" w:rsidP="00695971" w:rsidRDefault="000A767B" w14:paraId="1BB2BE05" w14:textId="6DB20F62">
      <w:pPr>
        <w:pStyle w:val="ListParagraph"/>
        <w:spacing w:after="120" w:line="240" w:lineRule="auto"/>
        <w:ind w:left="1080" w:right="1440" w:hanging="360"/>
        <w:contextualSpacing w:val="0"/>
      </w:pPr>
      <w:r>
        <w:t>1.</w:t>
      </w:r>
      <w:r>
        <w:tab/>
      </w:r>
      <w:r w:rsidRPr="00797913" w:rsidR="00797913">
        <w:t>Gains on sale of PG&amp;E’s San Francisco General Office (SFGO) Headquarters, authorized in D.21-08-027, is updated to remove the 2022 forecast lease and moving costs of $33 million, lowering the 2022 gain on sale to $149</w:t>
      </w:r>
      <w:r w:rsidR="00D014C8">
        <w:t> </w:t>
      </w:r>
      <w:r w:rsidRPr="00797913" w:rsidR="00797913">
        <w:t>million, of which the electric portion is $36 million. PG&amp;E also includes the electric portion of the 2021 gain on sale of SFGO ($4 million). PG&amp;E proposes to allocate both 2021 and 2022 gains to PCIA and ERRA in accordance with the methodology described in PG&amp;E’s Rebuttal Testimony.</w:t>
      </w:r>
      <w:r w:rsidRPr="00797913" w:rsidR="00797913">
        <w:rPr>
          <w:vertAlign w:val="superscript"/>
        </w:rPr>
        <w:footnoteReference w:id="27"/>
      </w:r>
    </w:p>
    <w:p w:rsidRPr="00797913" w:rsidR="00797913" w:rsidP="00695971" w:rsidRDefault="00797913" w14:paraId="33308210" w14:textId="51E17EF0">
      <w:pPr>
        <w:pStyle w:val="ListParagraph"/>
        <w:numPr>
          <w:ilvl w:val="0"/>
          <w:numId w:val="15"/>
        </w:numPr>
        <w:spacing w:after="120" w:line="240" w:lineRule="auto"/>
        <w:ind w:right="1440"/>
      </w:pPr>
      <w:r w:rsidRPr="00797913">
        <w:t>The Commission adopted a settlement agreement on the Catastrophic Event Memorandum Account and Wildfire Expense Memorandum Account (WEMA) in D.21-10-022, where the Commission authorized PG&amp;E to recover $445.5</w:t>
      </w:r>
      <w:r w:rsidR="00982C35">
        <w:t> </w:t>
      </w:r>
      <w:r w:rsidRPr="00797913">
        <w:t>million of insurance costs in 2022. PG&amp;E proposes to allocate the electric portion ($117 million) to PCIA and ERRA in accordance with the November Update for recovery in 2022 rates.</w:t>
      </w:r>
      <w:r w:rsidRPr="00797913">
        <w:rPr>
          <w:vertAlign w:val="superscript"/>
        </w:rPr>
        <w:footnoteReference w:id="28"/>
      </w:r>
    </w:p>
    <w:p w:rsidRPr="00797913" w:rsidR="00797913" w:rsidP="00797913" w:rsidRDefault="00797913" w14:paraId="66FA6BCA" w14:textId="77777777">
      <w:r w:rsidRPr="00797913">
        <w:t>The Joint CCAs contend that PG&amp;E misapplied the estimated net gain and altered the allocation factor to assign a greater proportion of the sale credit to bundled customers.</w:t>
      </w:r>
      <w:r w:rsidRPr="00797913">
        <w:rPr>
          <w:vertAlign w:val="superscript"/>
        </w:rPr>
        <w:footnoteReference w:id="29"/>
      </w:r>
      <w:r w:rsidRPr="00797913">
        <w:t xml:space="preserve"> In its rebuttal testimony, PG&amp;E agreed to adopt the Joint CCAs’ recommendation with respect to the allocation of the SFGO sale credit, and have done so.</w:t>
      </w:r>
      <w:r w:rsidRPr="00797913">
        <w:rPr>
          <w:vertAlign w:val="superscript"/>
        </w:rPr>
        <w:footnoteReference w:id="30"/>
      </w:r>
      <w:r w:rsidRPr="00797913">
        <w:t xml:space="preserve"> </w:t>
      </w:r>
    </w:p>
    <w:p w:rsidRPr="00797913" w:rsidR="00797913" w:rsidP="00797913" w:rsidRDefault="00797913" w14:paraId="30060544" w14:textId="648DA54F">
      <w:pPr>
        <w:rPr>
          <w:szCs w:val="26"/>
          <w:highlight w:val="lightGray"/>
        </w:rPr>
      </w:pPr>
      <w:r w:rsidRPr="00797913">
        <w:t>In the cost recovery for WEMA, the Joint CCAs initially opposed PG&amp;E’s proposed request as premature when the CCAs filed their protest on July 6, 2021.</w:t>
      </w:r>
      <w:r w:rsidRPr="00797913">
        <w:rPr>
          <w:vertAlign w:val="superscript"/>
        </w:rPr>
        <w:footnoteReference w:id="31"/>
      </w:r>
      <w:r w:rsidRPr="00797913">
        <w:t xml:space="preserve"> D.21-01-022, adopted on October 21, 2021, approved the settlement by PG&amp;E, Cal Advocates and The Utility Reform Network. The Joint CCAs have raised no further objection.</w:t>
      </w:r>
      <w:r w:rsidRPr="00797913">
        <w:rPr>
          <w:vertAlign w:val="superscript"/>
        </w:rPr>
        <w:footnoteReference w:id="32"/>
      </w:r>
    </w:p>
    <w:p w:rsidRPr="00797913" w:rsidR="00797913" w:rsidP="00797913" w:rsidRDefault="00797913" w14:paraId="7204D638" w14:textId="7316EC7F">
      <w:pPr>
        <w:rPr>
          <w:szCs w:val="26"/>
        </w:rPr>
      </w:pPr>
      <w:r w:rsidRPr="00797913">
        <w:rPr>
          <w:szCs w:val="26"/>
        </w:rPr>
        <w:t>No party</w:t>
      </w:r>
      <w:r w:rsidR="00721C50">
        <w:rPr>
          <w:szCs w:val="26"/>
        </w:rPr>
        <w:t xml:space="preserve"> </w:t>
      </w:r>
      <w:r w:rsidRPr="00797913">
        <w:rPr>
          <w:szCs w:val="26"/>
        </w:rPr>
        <w:t>disputes PG&amp;E’s proposed revenue requirements for Utility</w:t>
      </w:r>
      <w:r w:rsidR="0091724A">
        <w:rPr>
          <w:szCs w:val="26"/>
        </w:rPr>
        <w:noBreakHyphen/>
      </w:r>
      <w:r w:rsidRPr="00797913">
        <w:rPr>
          <w:szCs w:val="26"/>
        </w:rPr>
        <w:t>Owned Generation Costs as reflected in the December Update. We have reviewed these calculations and find them reasonable and in compliance with all applicable rules, regulations, resolutions and decisions.</w:t>
      </w:r>
    </w:p>
    <w:p w:rsidRPr="0093342A" w:rsidR="00797913" w:rsidP="000F78FF" w:rsidRDefault="00797913" w14:paraId="3E9B1E5A" w14:textId="5520E116">
      <w:pPr>
        <w:pStyle w:val="Heading2"/>
        <w:rPr>
          <w:szCs w:val="24"/>
        </w:rPr>
      </w:pPr>
      <w:bookmarkStart w:name="_Toc93499881" w:id="39"/>
      <w:bookmarkStart w:name="_Toc95469374" w:id="40"/>
      <w:r w:rsidRPr="00797913">
        <w:t>Electric Risk Transfer Balancing Account (RTBA</w:t>
      </w:r>
      <w:r w:rsidR="00D014C8">
        <w:noBreakHyphen/>
      </w:r>
      <w:r w:rsidRPr="00797913">
        <w:t>E) and Electric Residential Uncollectible Balancing Account (RUBA-E)</w:t>
      </w:r>
      <w:bookmarkEnd w:id="39"/>
      <w:bookmarkEnd w:id="40"/>
    </w:p>
    <w:p w:rsidRPr="00797913" w:rsidR="00797913" w:rsidP="00797913" w:rsidRDefault="00797913" w14:paraId="5FE82DD9" w14:textId="08F3BEFA">
      <w:r w:rsidRPr="00797913">
        <w:t>On January 1, 2020, the Commission’s Energy Division accepted PG&amp;E’s Tier 1 Advice Letter 4344G/6032E to implement tariff changes approved in D.20</w:t>
      </w:r>
      <w:r w:rsidR="000C0E0A">
        <w:noBreakHyphen/>
      </w:r>
      <w:r w:rsidRPr="00797913">
        <w:t xml:space="preserve">12-005. This advice letter establishes the </w:t>
      </w:r>
      <w:r w:rsidR="00A768F5">
        <w:t>Electric Risk Transfer Balancing Account (</w:t>
      </w:r>
      <w:r w:rsidRPr="00797913">
        <w:t>RTBA-</w:t>
      </w:r>
      <w:r w:rsidR="00A768F5">
        <w:t>E</w:t>
      </w:r>
      <w:r w:rsidRPr="00797913">
        <w:t xml:space="preserve">) to track </w:t>
      </w:r>
      <w:r w:rsidR="00A768F5">
        <w:t xml:space="preserve">the financial risk transfer costs paid to third parties associated with </w:t>
      </w:r>
      <w:r w:rsidRPr="00797913">
        <w:t>$1.4 billion of risk transfer coverage in total</w:t>
      </w:r>
      <w:r w:rsidR="00A768F5">
        <w:t xml:space="preserve"> </w:t>
      </w:r>
      <w:r w:rsidRPr="00797913">
        <w:t>compared to adopted amounts that are allocated to the generation function.</w:t>
      </w:r>
      <w:r w:rsidRPr="00797913">
        <w:rPr>
          <w:vertAlign w:val="superscript"/>
        </w:rPr>
        <w:footnoteReference w:id="33"/>
      </w:r>
      <w:r w:rsidRPr="00797913">
        <w:t xml:space="preserve"> The approved advice letter provides that </w:t>
      </w:r>
      <w:proofErr w:type="spellStart"/>
      <w:r w:rsidRPr="00797913">
        <w:t>undercollections</w:t>
      </w:r>
      <w:proofErr w:type="spellEnd"/>
      <w:r w:rsidRPr="00797913">
        <w:t xml:space="preserve"> in the Third-Party Generation Subaccount will be transferred annually to the PABA as part of the Annual Electric True-Up process or through a separate advice letter as authorized by the Commission. Overcollections at the end of the year will be transferred to the Self-Insurance Subaccount.</w:t>
      </w:r>
      <w:r w:rsidRPr="00797913">
        <w:rPr>
          <w:vertAlign w:val="superscript"/>
        </w:rPr>
        <w:footnoteReference w:id="34"/>
      </w:r>
    </w:p>
    <w:p w:rsidRPr="00797913" w:rsidR="00797913" w:rsidP="00797913" w:rsidRDefault="00797913" w14:paraId="6933BEC9" w14:textId="77777777">
      <w:r w:rsidRPr="00797913">
        <w:t xml:space="preserve">PG&amp;E allocated the Third-Party Generation Subaccount of the RTBA-E between </w:t>
      </w:r>
      <w:proofErr w:type="gramStart"/>
      <w:r w:rsidRPr="00797913">
        <w:t>PABA</w:t>
      </w:r>
      <w:proofErr w:type="gramEnd"/>
      <w:r w:rsidRPr="00797913">
        <w:t xml:space="preserve"> and ERRA-Main based on the 2020 GRC authorized revenue requirement for applicable assets covered by the financial risk transfer costs recorded in the RTBA-E.</w:t>
      </w:r>
      <w:r w:rsidRPr="00797913">
        <w:rPr>
          <w:vertAlign w:val="superscript"/>
        </w:rPr>
        <w:footnoteReference w:id="35"/>
      </w:r>
    </w:p>
    <w:p w:rsidRPr="00797913" w:rsidR="00797913" w:rsidP="00797913" w:rsidRDefault="00797913" w14:paraId="012B26E0" w14:textId="512CF414">
      <w:r w:rsidRPr="00797913">
        <w:t xml:space="preserve">In the November Update, followed by the November Errata, PG&amp;E forecasts that the RTBA-E net </w:t>
      </w:r>
      <w:proofErr w:type="spellStart"/>
      <w:r w:rsidRPr="00797913">
        <w:t>undercollection</w:t>
      </w:r>
      <w:proofErr w:type="spellEnd"/>
      <w:r w:rsidRPr="00797913">
        <w:t xml:space="preserve"> will reach $162 million by year</w:t>
      </w:r>
      <w:r w:rsidR="00982C35">
        <w:noBreakHyphen/>
      </w:r>
      <w:r w:rsidRPr="00797913">
        <w:t>end, comprising of (a) $152 million in the Third-Party Generation Subaccount and (b) $10 million in the electric generation portion of the Additional Coverage Subaccount.</w:t>
      </w:r>
      <w:r w:rsidRPr="00797913">
        <w:rPr>
          <w:vertAlign w:val="superscript"/>
        </w:rPr>
        <w:footnoteReference w:id="36"/>
      </w:r>
      <w:r w:rsidRPr="00797913">
        <w:t xml:space="preserve"> PG&amp;E proposes to recover $153 million of the 2021 RTBA balance in PABA and the balance of $9 million in ERRA.</w:t>
      </w:r>
      <w:r w:rsidRPr="00797913">
        <w:rPr>
          <w:vertAlign w:val="superscript"/>
        </w:rPr>
        <w:footnoteReference w:id="37"/>
      </w:r>
      <w:r w:rsidRPr="00797913">
        <w:t xml:space="preserve"> The December Update forecasts the same amounts.</w:t>
      </w:r>
      <w:r w:rsidRPr="00797913">
        <w:rPr>
          <w:vertAlign w:val="superscript"/>
        </w:rPr>
        <w:footnoteReference w:id="38"/>
      </w:r>
    </w:p>
    <w:p w:rsidRPr="00797913" w:rsidR="00797913" w:rsidP="00797913" w:rsidRDefault="00797913" w14:paraId="6F7F0A88" w14:textId="77777777">
      <w:r w:rsidRPr="00797913">
        <w:t>The Additional Coverage Subaccount tracks the cost to purchase of more than $1.4 billion in financial risk total coverage authorized in D.20-12-005 and is allocated to the electric distribution and generation functions.</w:t>
      </w:r>
      <w:r w:rsidRPr="00797913">
        <w:rPr>
          <w:vertAlign w:val="superscript"/>
        </w:rPr>
        <w:footnoteReference w:id="39"/>
      </w:r>
    </w:p>
    <w:p w:rsidRPr="00797913" w:rsidR="00797913" w:rsidP="00797913" w:rsidRDefault="00797913" w14:paraId="77C3F538" w14:textId="77777777">
      <w:r w:rsidRPr="00797913">
        <w:t xml:space="preserve">On April 13, 2021, the Commission approved PG&amp;E’s Tier 2 Advice Letter 4334-G/6001-E, 4334-G-A/6001-E-A, including a request to establish a two-way Residential </w:t>
      </w:r>
      <w:proofErr w:type="spellStart"/>
      <w:r w:rsidRPr="00797913">
        <w:t>Uncollectibles</w:t>
      </w:r>
      <w:proofErr w:type="spellEnd"/>
      <w:r w:rsidRPr="00797913">
        <w:t xml:space="preserve"> Balancing Account – Electric (RUBA-E) pursuant to D.20-06-003. </w:t>
      </w:r>
    </w:p>
    <w:p w:rsidRPr="00797913" w:rsidR="00797913" w:rsidP="00797913" w:rsidRDefault="00797913" w14:paraId="33A36DCA" w14:textId="77777777">
      <w:r w:rsidRPr="00797913">
        <w:t>As of the December Update, PG&amp;E proposes to recover an updated balance estimate of $46 million for the 2020 and 2021 RUBA-E based on November 2021 accounting close.</w:t>
      </w:r>
      <w:r w:rsidRPr="00797913">
        <w:rPr>
          <w:vertAlign w:val="superscript"/>
        </w:rPr>
        <w:footnoteReference w:id="40"/>
      </w:r>
    </w:p>
    <w:p w:rsidRPr="00797913" w:rsidR="00797913" w:rsidP="00797913" w:rsidRDefault="00797913" w14:paraId="1FB7AF62" w14:textId="4D543564">
      <w:pPr>
        <w:rPr>
          <w:rFonts w:eastAsia="Times New Roman" w:cs="Times New Roman"/>
          <w:szCs w:val="26"/>
        </w:rPr>
      </w:pPr>
      <w:r w:rsidRPr="00797913">
        <w:rPr>
          <w:rFonts w:eastAsia="Times New Roman" w:cs="Times New Roman"/>
          <w:szCs w:val="26"/>
        </w:rPr>
        <w:t xml:space="preserve">No party disputes PG&amp;E’s proposed revenue requirements for the </w:t>
      </w:r>
      <w:r w:rsidR="004B24F3">
        <w:rPr>
          <w:rFonts w:eastAsia="Times New Roman" w:cs="Times New Roman"/>
          <w:szCs w:val="26"/>
        </w:rPr>
        <w:t>RTBA-E</w:t>
      </w:r>
      <w:r w:rsidRPr="00797913">
        <w:rPr>
          <w:rFonts w:eastAsia="Times New Roman" w:cs="Times New Roman"/>
          <w:szCs w:val="26"/>
        </w:rPr>
        <w:t xml:space="preserve"> or the 2020 and 2021 Residential </w:t>
      </w:r>
      <w:proofErr w:type="spellStart"/>
      <w:r w:rsidRPr="00797913">
        <w:rPr>
          <w:rFonts w:eastAsia="Times New Roman" w:cs="Times New Roman"/>
          <w:szCs w:val="26"/>
        </w:rPr>
        <w:t>Uncollectibles</w:t>
      </w:r>
      <w:proofErr w:type="spellEnd"/>
      <w:r w:rsidRPr="00797913">
        <w:rPr>
          <w:rFonts w:eastAsia="Times New Roman" w:cs="Times New Roman"/>
          <w:szCs w:val="26"/>
        </w:rPr>
        <w:t xml:space="preserve"> Balancing Account as of the December Update. We have reviewed these calculations and find them reasonable and in compliance with all applicable rules, regulations, resolutions and decisions.</w:t>
      </w:r>
    </w:p>
    <w:p w:rsidRPr="0093342A" w:rsidR="00797913" w:rsidP="000F78FF" w:rsidRDefault="00797913" w14:paraId="64D003A3" w14:textId="77777777">
      <w:pPr>
        <w:pStyle w:val="Heading2"/>
        <w:rPr>
          <w:szCs w:val="24"/>
        </w:rPr>
      </w:pPr>
      <w:bookmarkStart w:name="_Toc93499882" w:id="41"/>
      <w:bookmarkStart w:name="_Toc95469375" w:id="42"/>
      <w:r w:rsidRPr="00797913">
        <w:t>PCIA</w:t>
      </w:r>
      <w:bookmarkEnd w:id="41"/>
      <w:bookmarkEnd w:id="42"/>
    </w:p>
    <w:p w:rsidRPr="00797913" w:rsidR="00797913" w:rsidP="003213D1" w:rsidRDefault="00797913" w14:paraId="1B287788" w14:textId="77777777">
      <w:pPr>
        <w:pStyle w:val="Heading3"/>
        <w:numPr>
          <w:ilvl w:val="2"/>
          <w:numId w:val="12"/>
        </w:numPr>
      </w:pPr>
      <w:bookmarkStart w:name="_Toc95469376" w:id="43"/>
      <w:r w:rsidRPr="00797913">
        <w:t>PCIA Rates</w:t>
      </w:r>
      <w:bookmarkEnd w:id="43"/>
      <w:r w:rsidRPr="00797913">
        <w:t xml:space="preserve"> </w:t>
      </w:r>
    </w:p>
    <w:p w:rsidRPr="00797913" w:rsidR="00797913" w:rsidP="00797913" w:rsidRDefault="00797913" w14:paraId="5DED5EB1" w14:textId="2E77D8ED">
      <w:pPr>
        <w:rPr>
          <w:szCs w:val="26"/>
        </w:rPr>
      </w:pPr>
      <w:r w:rsidRPr="00797913">
        <w:rPr>
          <w:szCs w:val="26"/>
        </w:rPr>
        <w:t xml:space="preserve">The Commission adopted the </w:t>
      </w:r>
      <w:r w:rsidRPr="00797913">
        <w:t xml:space="preserve">PCIA to ensure that bundled customers are indifferent to customer departures. </w:t>
      </w:r>
      <w:r w:rsidRPr="00797913">
        <w:rPr>
          <w:szCs w:val="26"/>
        </w:rPr>
        <w:t>SB 350 made explicit the dual requirements that (1) bundled service IOU customers do not experience any cost increases when other retail customers elect service from other providers, and (2) customers who depart for another provider do not experience any cost increases due to an allocation of costs that were not incurred on behalf of the unbundled customers.</w:t>
      </w:r>
      <w:r w:rsidRPr="00797913">
        <w:rPr>
          <w:vertAlign w:val="superscript"/>
        </w:rPr>
        <w:footnoteReference w:id="41"/>
      </w:r>
      <w:r w:rsidRPr="00797913">
        <w:rPr>
          <w:szCs w:val="26"/>
        </w:rPr>
        <w:t xml:space="preserve"> </w:t>
      </w:r>
    </w:p>
    <w:p w:rsidRPr="00797913" w:rsidR="00797913" w:rsidP="00797913" w:rsidRDefault="00797913" w14:paraId="765686E3" w14:textId="2934C88D">
      <w:pPr>
        <w:rPr>
          <w:szCs w:val="26"/>
        </w:rPr>
      </w:pPr>
      <w:r w:rsidRPr="00797913">
        <w:rPr>
          <w:szCs w:val="26"/>
        </w:rPr>
        <w:t>PCIA rates will be set in this proceeding based on (</w:t>
      </w:r>
      <w:proofErr w:type="spellStart"/>
      <w:r w:rsidRPr="00797913">
        <w:rPr>
          <w:szCs w:val="26"/>
        </w:rPr>
        <w:t>i</w:t>
      </w:r>
      <w:proofErr w:type="spellEnd"/>
      <w:r w:rsidRPr="00797913">
        <w:rPr>
          <w:szCs w:val="26"/>
        </w:rPr>
        <w:t>) the difference between the forecasted cost of PG&amp;E’s generation portfolio in 2022 and the forecasted market value of PG&amp;E’s generation portfolio in 2022, and (ii) the 2021 year-end balance in the PABA.</w:t>
      </w:r>
      <w:r w:rsidRPr="00797913">
        <w:rPr>
          <w:szCs w:val="26"/>
          <w:vertAlign w:val="superscript"/>
        </w:rPr>
        <w:footnoteReference w:id="42"/>
      </w:r>
    </w:p>
    <w:p w:rsidRPr="00797913" w:rsidR="00797913" w:rsidP="00797913" w:rsidRDefault="00797913" w14:paraId="7081A374" w14:textId="76A5D91B">
      <w:pPr>
        <w:rPr>
          <w:szCs w:val="26"/>
        </w:rPr>
      </w:pPr>
      <w:r w:rsidRPr="00797913">
        <w:rPr>
          <w:szCs w:val="26"/>
        </w:rPr>
        <w:t>In D.18-10-019, the Commission adopted a cap to limit the PCIA’s upward movement to 0.5 cents/kWh and created the PUBA for recording the uncollected portion. In D.20-12-038, the Commission adopted a PCIA Adder for repayment of the uncollected portion of the PCIA, including PG&amp;E’s 2021 forecast of PUBA year-end balances and a 3</w:t>
      </w:r>
      <w:r w:rsidR="00982C35">
        <w:rPr>
          <w:szCs w:val="26"/>
        </w:rPr>
        <w:noBreakHyphen/>
      </w:r>
      <w:r w:rsidRPr="00797913">
        <w:rPr>
          <w:szCs w:val="26"/>
        </w:rPr>
        <w:t>year amortization of 2020 year-end PUBA balances. In D.21-05-030, the Commission removed the cap to PCIA rates.</w:t>
      </w:r>
      <w:r w:rsidRPr="00797913">
        <w:rPr>
          <w:szCs w:val="26"/>
          <w:vertAlign w:val="superscript"/>
        </w:rPr>
        <w:footnoteReference w:id="43"/>
      </w:r>
    </w:p>
    <w:p w:rsidRPr="00797913" w:rsidR="00797913" w:rsidP="00797913" w:rsidRDefault="00797913" w14:paraId="3868960C" w14:textId="2F87788E">
      <w:pPr>
        <w:rPr>
          <w:szCs w:val="26"/>
        </w:rPr>
      </w:pPr>
      <w:bookmarkStart w:name="_Hlk92707320" w:id="44"/>
      <w:r w:rsidRPr="00797913">
        <w:rPr>
          <w:szCs w:val="26"/>
        </w:rPr>
        <w:t>In D.20-12-005, the Commission adopted PG&amp;E’s 2020 General Rate Case application, approving $2,479 million in the generation base revenues to be collected in bundled and D</w:t>
      </w:r>
      <w:r w:rsidR="00202F4E">
        <w:rPr>
          <w:szCs w:val="26"/>
        </w:rPr>
        <w:t xml:space="preserve">eparting </w:t>
      </w:r>
      <w:r w:rsidRPr="00797913">
        <w:rPr>
          <w:szCs w:val="26"/>
        </w:rPr>
        <w:t>L</w:t>
      </w:r>
      <w:r w:rsidR="00202F4E">
        <w:rPr>
          <w:szCs w:val="26"/>
        </w:rPr>
        <w:t>oad</w:t>
      </w:r>
      <w:r w:rsidRPr="00797913">
        <w:rPr>
          <w:szCs w:val="26"/>
        </w:rPr>
        <w:t xml:space="preserve"> </w:t>
      </w:r>
      <w:r w:rsidR="0087155D">
        <w:rPr>
          <w:szCs w:val="26"/>
        </w:rPr>
        <w:t xml:space="preserve">(DL) </w:t>
      </w:r>
      <w:r w:rsidRPr="00797913">
        <w:rPr>
          <w:szCs w:val="26"/>
        </w:rPr>
        <w:t xml:space="preserve">customer rates. </w:t>
      </w:r>
      <w:bookmarkEnd w:id="44"/>
    </w:p>
    <w:p w:rsidRPr="00797913" w:rsidR="00797913" w:rsidP="00797913" w:rsidRDefault="00797913" w14:paraId="1F511C68" w14:textId="4E82B99D">
      <w:pPr>
        <w:rPr>
          <w:rFonts w:eastAsia="Times New Roman" w:cs="Times New Roman"/>
          <w:szCs w:val="20"/>
        </w:rPr>
      </w:pPr>
      <w:bookmarkStart w:name="_Toc30488471" w:id="45"/>
      <w:bookmarkStart w:name="_Toc30488469" w:id="46"/>
      <w:r w:rsidRPr="00797913">
        <w:rPr>
          <w:rFonts w:eastAsia="Times New Roman" w:cs="Times New Roman"/>
          <w:szCs w:val="20"/>
        </w:rPr>
        <w:t>As of the December Update, PG&amp;E forecasts that the PCIA revenue requirement is $1,480 million</w:t>
      </w:r>
      <w:r w:rsidRPr="00797913">
        <w:rPr>
          <w:rFonts w:eastAsia="Times New Roman" w:cs="Times New Roman"/>
          <w:szCs w:val="20"/>
          <w:vertAlign w:val="superscript"/>
        </w:rPr>
        <w:footnoteReference w:id="44"/>
      </w:r>
      <w:r w:rsidRPr="00797913">
        <w:rPr>
          <w:rFonts w:eastAsia="Times New Roman" w:cs="Times New Roman"/>
          <w:szCs w:val="20"/>
        </w:rPr>
        <w:t xml:space="preserve"> resulting in changes to PCIA base rates for all customer vintages and rate groups, compared to the current 2021 levels. PCIA system and vintage average rates will decrease by 15.9%.</w:t>
      </w:r>
      <w:r w:rsidRPr="00797913">
        <w:rPr>
          <w:rFonts w:eastAsia="Times New Roman" w:cs="Times New Roman"/>
          <w:szCs w:val="20"/>
          <w:vertAlign w:val="superscript"/>
        </w:rPr>
        <w:footnoteReference w:id="45"/>
      </w:r>
    </w:p>
    <w:p w:rsidRPr="00797913" w:rsidR="00797913" w:rsidP="00797913" w:rsidRDefault="00797913" w14:paraId="05BB97A7" w14:textId="3749CC21">
      <w:pPr>
        <w:rPr>
          <w:rFonts w:eastAsia="Times New Roman" w:cs="Times New Roman"/>
          <w:szCs w:val="20"/>
        </w:rPr>
      </w:pPr>
      <w:r w:rsidRPr="00797913">
        <w:rPr>
          <w:rFonts w:eastAsia="Times New Roman" w:cs="Times New Roman"/>
          <w:szCs w:val="20"/>
        </w:rPr>
        <w:t>The Joint CCAs initially challenged two components of PG&amp;E’s PCIA revenue requirement calculation:  1) t</w:t>
      </w:r>
      <w:bookmarkEnd w:id="45"/>
      <w:bookmarkEnd w:id="46"/>
      <w:r w:rsidRPr="00797913">
        <w:rPr>
          <w:rFonts w:eastAsia="Times New Roman" w:cs="Times New Roman"/>
          <w:szCs w:val="20"/>
        </w:rPr>
        <w:t>he allocation of credit to the PCIA calculation from the sale of the SFGO Headquarters and 2) using the above</w:t>
      </w:r>
      <w:r w:rsidR="004B24F3">
        <w:rPr>
          <w:rFonts w:eastAsia="Times New Roman" w:cs="Times New Roman"/>
          <w:szCs w:val="20"/>
        </w:rPr>
        <w:noBreakHyphen/>
      </w:r>
      <w:r w:rsidRPr="00797913">
        <w:rPr>
          <w:rFonts w:eastAsia="Times New Roman" w:cs="Times New Roman"/>
          <w:szCs w:val="20"/>
        </w:rPr>
        <w:t>market costs of resources in the Green Tariff Shared Renewable</w:t>
      </w:r>
      <w:r w:rsidR="00CA0B0E">
        <w:rPr>
          <w:rFonts w:eastAsia="Times New Roman" w:cs="Times New Roman"/>
          <w:szCs w:val="20"/>
        </w:rPr>
        <w:t>s</w:t>
      </w:r>
      <w:r w:rsidRPr="00797913">
        <w:rPr>
          <w:rFonts w:eastAsia="Times New Roman" w:cs="Times New Roman"/>
          <w:szCs w:val="20"/>
        </w:rPr>
        <w:t xml:space="preserve"> (GTSR) Program for bundled customers. Gains on the sale of the SFGO has been resolved, as discussed in Section 4.</w:t>
      </w:r>
      <w:r w:rsidR="00CF61D6">
        <w:rPr>
          <w:rFonts w:eastAsia="Times New Roman" w:cs="Times New Roman"/>
          <w:szCs w:val="20"/>
        </w:rPr>
        <w:t>6</w:t>
      </w:r>
      <w:r w:rsidRPr="00797913">
        <w:rPr>
          <w:rFonts w:eastAsia="Times New Roman" w:cs="Times New Roman"/>
          <w:szCs w:val="20"/>
        </w:rPr>
        <w:t xml:space="preserve"> above.  </w:t>
      </w:r>
    </w:p>
    <w:p w:rsidRPr="00797913" w:rsidR="00797913" w:rsidP="00797913" w:rsidRDefault="00797913" w14:paraId="08B59B4B" w14:textId="47CDCD9C">
      <w:pPr>
        <w:rPr>
          <w:rFonts w:eastAsia="Times New Roman" w:cs="Times New Roman"/>
          <w:szCs w:val="20"/>
        </w:rPr>
      </w:pPr>
      <w:r w:rsidRPr="00797913">
        <w:rPr>
          <w:rFonts w:eastAsia="Times New Roman" w:cs="Times New Roman"/>
          <w:szCs w:val="20"/>
        </w:rPr>
        <w:t xml:space="preserve">PG&amp;E’s GTSR program was challenged by the Joint CCAs in </w:t>
      </w:r>
      <w:r w:rsidRPr="00797913">
        <w:rPr>
          <w:rFonts w:eastAsia="Times New Roman" w:cs="Times New Roman"/>
          <w:szCs w:val="26"/>
        </w:rPr>
        <w:t>a petition for modification (PFM) to Decision 15-01-051,</w:t>
      </w:r>
      <w:r w:rsidRPr="00797913">
        <w:rPr>
          <w:rFonts w:eastAsia="Times New Roman" w:cs="Times New Roman"/>
          <w:szCs w:val="26"/>
          <w:vertAlign w:val="superscript"/>
        </w:rPr>
        <w:footnoteReference w:id="46"/>
      </w:r>
      <w:r w:rsidRPr="00797913">
        <w:rPr>
          <w:rFonts w:eastAsia="Times New Roman" w:cs="Times New Roman"/>
          <w:szCs w:val="26"/>
        </w:rPr>
        <w:t xml:space="preserve"> filed on May 17, 2021. The Joint CCAs contend that</w:t>
      </w:r>
      <w:r w:rsidRPr="00797913">
        <w:rPr>
          <w:rFonts w:eastAsia="Times New Roman" w:cs="Times New Roman"/>
          <w:color w:val="000000"/>
          <w:szCs w:val="26"/>
        </w:rPr>
        <w:t xml:space="preserve"> the calculation for the RA component of the GTSR rate should be updated to be consistent with the Commission’s updated calculation of Retained RA set in D.19-01-011.</w:t>
      </w:r>
      <w:r w:rsidRPr="00797913">
        <w:rPr>
          <w:rFonts w:ascii="Palatino" w:hAnsi="Palatino" w:eastAsia="Times New Roman" w:cs="Times New Roman"/>
          <w:color w:val="000000"/>
          <w:sz w:val="27"/>
          <w:szCs w:val="27"/>
          <w:vertAlign w:val="superscript"/>
        </w:rPr>
        <w:footnoteReference w:id="47"/>
      </w:r>
      <w:r w:rsidRPr="00797913">
        <w:rPr>
          <w:rFonts w:eastAsia="Times New Roman" w:cs="Times New Roman"/>
          <w:szCs w:val="26"/>
        </w:rPr>
        <w:t xml:space="preserve"> PG&amp;E agrees with the Joint CCAs’ recommendation to make revisions to update the indifference calculation, including updated market price benchmark.</w:t>
      </w:r>
      <w:r w:rsidRPr="00797913">
        <w:rPr>
          <w:rFonts w:eastAsia="Times New Roman" w:cs="Times New Roman"/>
          <w:szCs w:val="26"/>
          <w:vertAlign w:val="superscript"/>
        </w:rPr>
        <w:footnoteReference w:id="48"/>
      </w:r>
      <w:r w:rsidRPr="00797913">
        <w:rPr>
          <w:rFonts w:eastAsia="Times New Roman" w:cs="Times New Roman"/>
          <w:szCs w:val="26"/>
        </w:rPr>
        <w:t xml:space="preserve"> The Joint CCA’s PFM was </w:t>
      </w:r>
      <w:r w:rsidR="00685A14">
        <w:rPr>
          <w:rFonts w:eastAsia="Times New Roman" w:cs="Times New Roman"/>
          <w:szCs w:val="26"/>
        </w:rPr>
        <w:t xml:space="preserve">addressed </w:t>
      </w:r>
      <w:r w:rsidRPr="00797913">
        <w:rPr>
          <w:rFonts w:eastAsia="Times New Roman" w:cs="Times New Roman"/>
          <w:szCs w:val="26"/>
        </w:rPr>
        <w:t>in D.21-12-036.</w:t>
      </w:r>
      <w:r w:rsidRPr="00797913">
        <w:rPr>
          <w:rFonts w:eastAsia="Times New Roman" w:cs="Times New Roman"/>
          <w:color w:val="000000"/>
          <w:szCs w:val="26"/>
          <w:vertAlign w:val="superscript"/>
        </w:rPr>
        <w:footnoteReference w:id="49"/>
      </w:r>
    </w:p>
    <w:p w:rsidRPr="00797913" w:rsidR="00797913" w:rsidP="00797913" w:rsidRDefault="00797913" w14:paraId="3A133382" w14:textId="07C5C17C">
      <w:pPr>
        <w:rPr>
          <w:szCs w:val="26"/>
        </w:rPr>
      </w:pPr>
      <w:r w:rsidRPr="00797913">
        <w:rPr>
          <w:rFonts w:cs="Arial"/>
          <w:szCs w:val="26"/>
        </w:rPr>
        <w:t>In the December Update, the PCIA revenue requirements were adjusted to take into account the requirements imposed by D.21-12-036.</w:t>
      </w:r>
      <w:r w:rsidRPr="00797913">
        <w:rPr>
          <w:rFonts w:cs="Arial"/>
          <w:szCs w:val="26"/>
          <w:vertAlign w:val="superscript"/>
        </w:rPr>
        <w:footnoteReference w:id="50"/>
      </w:r>
      <w:r w:rsidRPr="00797913">
        <w:rPr>
          <w:rFonts w:cs="Arial"/>
          <w:szCs w:val="26"/>
        </w:rPr>
        <w:t xml:space="preserve"> No party disputes PG&amp;E’s proposed revenue requirement for the PCIA as of the December Update. </w:t>
      </w:r>
      <w:r w:rsidRPr="00797913">
        <w:rPr>
          <w:szCs w:val="26"/>
        </w:rPr>
        <w:t>We have reviewed these calculations and find them reasonable and in compliance with all applicable rules, regulations, resolutions and decisions.</w:t>
      </w:r>
    </w:p>
    <w:p w:rsidRPr="00797913" w:rsidR="00797913" w:rsidP="003213D1" w:rsidRDefault="00797913" w14:paraId="0DABE2F6" w14:textId="3D55B77C">
      <w:pPr>
        <w:pStyle w:val="Heading3"/>
        <w:numPr>
          <w:ilvl w:val="2"/>
          <w:numId w:val="12"/>
        </w:numPr>
        <w:rPr>
          <w:rFonts w:eastAsia="Times New Roman"/>
        </w:rPr>
      </w:pPr>
      <w:bookmarkStart w:name="_Toc95469377" w:id="47"/>
      <w:r w:rsidRPr="00797913">
        <w:rPr>
          <w:rFonts w:eastAsia="Times New Roman"/>
        </w:rPr>
        <w:t xml:space="preserve">PCIA </w:t>
      </w:r>
      <w:proofErr w:type="spellStart"/>
      <w:r w:rsidRPr="00797913">
        <w:rPr>
          <w:rFonts w:eastAsia="Times New Roman"/>
        </w:rPr>
        <w:t>Undercollection</w:t>
      </w:r>
      <w:proofErr w:type="spellEnd"/>
      <w:r w:rsidRPr="00797913">
        <w:rPr>
          <w:rFonts w:eastAsia="Times New Roman"/>
        </w:rPr>
        <w:t xml:space="preserve"> </w:t>
      </w:r>
      <w:r w:rsidRPr="00122441">
        <w:t>Balancing</w:t>
      </w:r>
      <w:r w:rsidRPr="00797913">
        <w:rPr>
          <w:rFonts w:eastAsia="Times New Roman"/>
        </w:rPr>
        <w:t xml:space="preserve"> </w:t>
      </w:r>
      <w:r w:rsidR="00EB6A85">
        <w:rPr>
          <w:rFonts w:eastAsia="Times New Roman"/>
        </w:rPr>
        <w:br/>
      </w:r>
      <w:r w:rsidRPr="00797913">
        <w:rPr>
          <w:rFonts w:eastAsia="Times New Roman"/>
        </w:rPr>
        <w:t>Account</w:t>
      </w:r>
      <w:r w:rsidR="0087155D">
        <w:rPr>
          <w:rFonts w:eastAsia="Times New Roman"/>
        </w:rPr>
        <w:t xml:space="preserve"> (PUBA)</w:t>
      </w:r>
      <w:bookmarkEnd w:id="47"/>
    </w:p>
    <w:p w:rsidRPr="00797913" w:rsidR="00797913" w:rsidP="00797913" w:rsidRDefault="00797913" w14:paraId="162EBDF4" w14:textId="517BC41D">
      <w:r w:rsidRPr="00797913">
        <w:t xml:space="preserve">In D.18-10-019, the Commission implemented an annual 0.5 cent/kWh cap on PCIA rate increases. The decision ordered PG&amp;E to establish a PUBA to record the revenue shortfall resulting from the implementation of the cap on PCIA rate increases. </w:t>
      </w:r>
    </w:p>
    <w:p w:rsidRPr="00797913" w:rsidR="00797913" w:rsidP="00797913" w:rsidRDefault="00797913" w14:paraId="1A39F12A" w14:textId="5053328A">
      <w:r w:rsidRPr="00797913">
        <w:t>In D.20-12-038, the Commission approved a 2021 PCIA rate adder (on top of PCIA rates) to recover the revenue shortfall from the PCIA cap during 2021, and to amortize accumulated PUBA balances over three years in a 2020 PUBA rate adder (on top of PCIA rates). That cap was removed in D.21-05-030 effective January 1, 2022. PG&amp;E was directed to address its projected 2021 year-end PUBA balance in its 2022 ERRA forecast application.</w:t>
      </w:r>
    </w:p>
    <w:p w:rsidRPr="00797913" w:rsidR="00797913" w:rsidP="00797913" w:rsidRDefault="00797913" w14:paraId="3BE5A296" w14:textId="749A74F8">
      <w:r w:rsidRPr="00797913">
        <w:t>As of the December Update, PG&amp;E forecasts a revenue requirement of $92</w:t>
      </w:r>
      <w:r w:rsidR="00982C35">
        <w:t> </w:t>
      </w:r>
      <w:r w:rsidRPr="00797913">
        <w:t>million for the PUBA.</w:t>
      </w:r>
      <w:r w:rsidRPr="00797913">
        <w:rPr>
          <w:vertAlign w:val="superscript"/>
        </w:rPr>
        <w:footnoteReference w:id="51"/>
      </w:r>
      <w:r w:rsidRPr="00797913">
        <w:t xml:space="preserve"> </w:t>
      </w:r>
    </w:p>
    <w:p w:rsidRPr="00797913" w:rsidR="00797913" w:rsidP="00797913" w:rsidRDefault="00797913" w14:paraId="739B3586" w14:textId="22C6BD37">
      <w:pPr>
        <w:rPr>
          <w:szCs w:val="26"/>
        </w:rPr>
      </w:pPr>
      <w:r w:rsidRPr="00797913">
        <w:t xml:space="preserve">No party disputes the revenue forecast by PG&amp;E in the PUBA. </w:t>
      </w:r>
      <w:r w:rsidRPr="00797913">
        <w:rPr>
          <w:szCs w:val="26"/>
        </w:rPr>
        <w:t>We have reviewed these calculations and find them reasonable and in compliance with all applicable rules, regulations, resolutions and decisions.</w:t>
      </w:r>
    </w:p>
    <w:p w:rsidRPr="00797913" w:rsidR="00797913" w:rsidP="003213D1" w:rsidRDefault="00797913" w14:paraId="24613823" w14:textId="263D0EE6">
      <w:pPr>
        <w:pStyle w:val="Heading3"/>
        <w:numPr>
          <w:ilvl w:val="2"/>
          <w:numId w:val="12"/>
        </w:numPr>
      </w:pPr>
      <w:bookmarkStart w:name="_Toc93499883" w:id="48"/>
      <w:bookmarkStart w:name="_Toc95469378" w:id="49"/>
      <w:r w:rsidRPr="00797913">
        <w:t>Portfolio Allocation Balancing</w:t>
      </w:r>
      <w:r w:rsidR="00074E97">
        <w:br/>
      </w:r>
      <w:r w:rsidRPr="00797913">
        <w:t>Account</w:t>
      </w:r>
      <w:bookmarkEnd w:id="48"/>
      <w:r w:rsidR="0087155D">
        <w:t xml:space="preserve"> (PABA)</w:t>
      </w:r>
      <w:bookmarkEnd w:id="49"/>
    </w:p>
    <w:p w:rsidRPr="00797913" w:rsidR="00797913" w:rsidP="00797913" w:rsidRDefault="00797913" w14:paraId="40B36444" w14:textId="15F721F0">
      <w:r w:rsidRPr="00797913">
        <w:t>In D.18-10-019, the Commission required PG&amp;E to establish the</w:t>
      </w:r>
      <w:r w:rsidR="0087155D">
        <w:t xml:space="preserve"> </w:t>
      </w:r>
      <w:r w:rsidRPr="00797913">
        <w:t>PABA, a two-way balancing account that trues up the forecast of PCIA-eligible resource costs with actual recorded costs and revenues, and to modify associated generation-related regulatory accounts consistent with the approved PABA structure. The PABA is comprised of subaccounts for each year’s vintage portfolio that records the costs, market revenues, and imputed revenues of all generation resources executed or approved by the Commission for cost recovery that year.</w:t>
      </w:r>
      <w:r w:rsidRPr="00797913">
        <w:rPr>
          <w:vertAlign w:val="superscript"/>
        </w:rPr>
        <w:footnoteReference w:id="52"/>
      </w:r>
      <w:r w:rsidRPr="00797913">
        <w:t xml:space="preserve"> Costs recorded to PABA are recovered by bundled customers through the generation rate, and by unbundled customers through the PCIA rate.</w:t>
      </w:r>
      <w:r w:rsidRPr="00797913">
        <w:rPr>
          <w:vertAlign w:val="superscript"/>
        </w:rPr>
        <w:footnoteReference w:id="53"/>
      </w:r>
      <w:r w:rsidRPr="00797913">
        <w:t xml:space="preserve"> D</w:t>
      </w:r>
      <w:r w:rsidR="00625E4D">
        <w:t>L</w:t>
      </w:r>
      <w:r w:rsidRPr="00797913">
        <w:t xml:space="preserve"> customers are assigned cost responsibility for vintages of generation resources based upon when the customer departs bundled service.</w:t>
      </w:r>
      <w:r w:rsidRPr="00797913">
        <w:rPr>
          <w:vertAlign w:val="superscript"/>
        </w:rPr>
        <w:footnoteReference w:id="54"/>
      </w:r>
    </w:p>
    <w:p w:rsidRPr="00797913" w:rsidR="00797913" w:rsidP="00797913" w:rsidRDefault="00797913" w14:paraId="3D1A5E78" w14:textId="184429FB">
      <w:r w:rsidRPr="00797913">
        <w:t>The Joint CCAs initially contended that additional data is required to confirm whether PG&amp;E’s project PABA balance is reasonable.</w:t>
      </w:r>
      <w:r w:rsidRPr="00797913">
        <w:rPr>
          <w:vertAlign w:val="superscript"/>
        </w:rPr>
        <w:footnoteReference w:id="55"/>
      </w:r>
      <w:r w:rsidRPr="00797913">
        <w:t xml:space="preserve"> However, as of the December Update, no party disputes the PABA balance. The PABA balance, as set forth in the December Update, is discussed below in the section on Balancing Account Transfer Proposals.</w:t>
      </w:r>
    </w:p>
    <w:p w:rsidRPr="00797913" w:rsidR="00797913" w:rsidP="00797913" w:rsidRDefault="00797913" w14:paraId="37A6EC4C" w14:textId="77777777">
      <w:pPr>
        <w:rPr>
          <w:szCs w:val="26"/>
        </w:rPr>
      </w:pPr>
      <w:r w:rsidRPr="00797913">
        <w:rPr>
          <w:szCs w:val="26"/>
        </w:rPr>
        <w:t>We have reviewed these calculations and find them reasonable and in compliance with all applicable rules, regulations, resolutions and decisions.</w:t>
      </w:r>
    </w:p>
    <w:p w:rsidRPr="00797913" w:rsidR="00797913" w:rsidP="003213D1" w:rsidRDefault="00797913" w14:paraId="19C3FD1F" w14:textId="77777777">
      <w:pPr>
        <w:pStyle w:val="Heading3"/>
        <w:numPr>
          <w:ilvl w:val="2"/>
          <w:numId w:val="12"/>
        </w:numPr>
      </w:pPr>
      <w:bookmarkStart w:name="_Toc93499885" w:id="50"/>
      <w:bookmarkStart w:name="_Toc95469379" w:id="51"/>
      <w:r w:rsidRPr="00797913">
        <w:t>ERRA PCIA Financing Subaccount</w:t>
      </w:r>
      <w:bookmarkEnd w:id="50"/>
      <w:bookmarkEnd w:id="51"/>
    </w:p>
    <w:p w:rsidRPr="00797913" w:rsidR="00797913" w:rsidP="00797913" w:rsidRDefault="00797913" w14:paraId="0ED25C1E" w14:textId="60F5BB00">
      <w:r w:rsidRPr="00797913">
        <w:t xml:space="preserve">PG&amp;E’s ERRA includes the PCIA Financing Subaccount, which tracks any amounts financed by bundled customers related to revenue shortfalls associated with capped PCIA rates for eligible </w:t>
      </w:r>
      <w:r w:rsidR="00625E4D">
        <w:t xml:space="preserve">DL </w:t>
      </w:r>
      <w:r w:rsidRPr="00797913">
        <w:t>customers</w:t>
      </w:r>
      <w:r w:rsidRPr="00797913">
        <w:rPr>
          <w:szCs w:val="26"/>
        </w:rPr>
        <w:t>.</w:t>
      </w:r>
      <w:r w:rsidRPr="00797913">
        <w:rPr>
          <w:rFonts w:eastAsia="Times New Roman" w:cs="Arial"/>
          <w:szCs w:val="26"/>
        </w:rPr>
        <w:t xml:space="preserve"> </w:t>
      </w:r>
      <w:r w:rsidRPr="00797913">
        <w:t>Pursuant to D.20</w:t>
      </w:r>
      <w:r w:rsidR="0091724A">
        <w:noBreakHyphen/>
      </w:r>
      <w:r w:rsidRPr="00797913">
        <w:t>12-038, PG&amp;E will recover the unbundled customer revenue shortfall from the 2020</w:t>
      </w:r>
      <w:r w:rsidR="009B63BA">
        <w:t> </w:t>
      </w:r>
      <w:r w:rsidRPr="00797913">
        <w:t>PCIA revenue requirement over three years effective 2021. The end</w:t>
      </w:r>
      <w:r w:rsidR="00982C35">
        <w:noBreakHyphen/>
      </w:r>
      <w:r w:rsidRPr="00797913">
        <w:t>of</w:t>
      </w:r>
      <w:r w:rsidR="00982C35">
        <w:noBreakHyphen/>
      </w:r>
      <w:r w:rsidRPr="00797913">
        <w:t>year 2021 forecast balance of the ERRA PCIA Financing Subaccount (ERRA-PFS) is brought forward from 2020 and will be amortized over 2022 and 2023.</w:t>
      </w:r>
      <w:r w:rsidRPr="00797913">
        <w:rPr>
          <w:rFonts w:eastAsia="Times New Roman" w:cs="Arial"/>
          <w:szCs w:val="26"/>
          <w:vertAlign w:val="superscript"/>
        </w:rPr>
        <w:footnoteReference w:id="56"/>
      </w:r>
    </w:p>
    <w:p w:rsidRPr="00797913" w:rsidR="00797913" w:rsidP="00797913" w:rsidRDefault="00797913" w14:paraId="372493CF" w14:textId="77777777">
      <w:r w:rsidRPr="00797913">
        <w:t>PG&amp;E’s December Update includes a request for a $95 million credit for the ERRA-PFS.</w:t>
      </w:r>
      <w:r w:rsidRPr="00797913">
        <w:rPr>
          <w:vertAlign w:val="superscript"/>
        </w:rPr>
        <w:footnoteReference w:id="57"/>
      </w:r>
    </w:p>
    <w:p w:rsidRPr="00797913" w:rsidR="00797913" w:rsidP="00797913" w:rsidRDefault="00797913" w14:paraId="11474CC9" w14:textId="7F2B36E6">
      <w:r w:rsidRPr="00797913">
        <w:t>The Joint CCAs argue that PG&amp;E’s method for returning the PCIA Financing Subaccount to customers via the ERRA rather than the PABA improperly transfers funds to bundled customers that should be returned to recently departed unbundled customers.</w:t>
      </w:r>
      <w:r w:rsidRPr="00797913">
        <w:rPr>
          <w:vertAlign w:val="superscript"/>
        </w:rPr>
        <w:footnoteReference w:id="58"/>
      </w:r>
      <w:r w:rsidRPr="00797913">
        <w:t xml:space="preserve"> The Joint CCAs have also raised these concerns in the PCIA Rulemaking (R.) 17-06-026.</w:t>
      </w:r>
      <w:r w:rsidRPr="00797913">
        <w:rPr>
          <w:vertAlign w:val="superscript"/>
        </w:rPr>
        <w:footnoteReference w:id="59"/>
      </w:r>
      <w:r w:rsidRPr="00797913">
        <w:t xml:space="preserve">  </w:t>
      </w:r>
    </w:p>
    <w:p w:rsidRPr="00797913" w:rsidR="00797913" w:rsidP="00797913" w:rsidRDefault="00797913" w14:paraId="775973AA" w14:textId="141F6FAB">
      <w:pPr>
        <w:rPr>
          <w:szCs w:val="26"/>
        </w:rPr>
      </w:pPr>
      <w:r w:rsidRPr="00797913">
        <w:rPr>
          <w:szCs w:val="26"/>
        </w:rPr>
        <w:t>DACC concurs with the Joint CCAs’ position that the PFS should go to those who were on the bundled service when the PCIA cap was in place, which would include both bundled customers and those who departed to other service providers in subsequent years. It is only fair to return the PFS amounts to those customers who paid into the account and not just those currently on bundled service.</w:t>
      </w:r>
      <w:r w:rsidRPr="00797913">
        <w:rPr>
          <w:szCs w:val="26"/>
          <w:vertAlign w:val="superscript"/>
        </w:rPr>
        <w:footnoteReference w:id="60"/>
      </w:r>
    </w:p>
    <w:p w:rsidRPr="00797913" w:rsidR="00797913" w:rsidP="00797913" w:rsidRDefault="00797913" w14:paraId="3DB726E3" w14:textId="7394CA6C">
      <w:r w:rsidRPr="00797913">
        <w:t xml:space="preserve">We agree with the Joint CCAs and DACC that all customers who were financially responsible for the </w:t>
      </w:r>
      <w:r w:rsidRPr="00044FDC" w:rsidR="00044FDC">
        <w:t xml:space="preserve">ERRA-PCIA Financing Subaccount </w:t>
      </w:r>
      <w:r w:rsidR="00044FDC">
        <w:t>(</w:t>
      </w:r>
      <w:r w:rsidRPr="00797913">
        <w:t>ERRA-PFS</w:t>
      </w:r>
      <w:r w:rsidR="00044FDC">
        <w:t>)</w:t>
      </w:r>
      <w:r w:rsidRPr="00797913">
        <w:t xml:space="preserve"> balance should be entitled to the appropriate credit. We direct PG&amp;E to transfer the $95 million ERRA-PFS credit for 2022 to the 2020 vintage subaccount. By moving the ERRA-PFS to PABA, we promote indifference and accuracy by returning a balance to all customers who paid for it, and not only those who remain </w:t>
      </w:r>
      <w:r w:rsidR="00E02C3F">
        <w:t xml:space="preserve">on </w:t>
      </w:r>
      <w:r w:rsidRPr="00797913">
        <w:t>bundled</w:t>
      </w:r>
      <w:r w:rsidR="00E02C3F">
        <w:t xml:space="preserve"> service</w:t>
      </w:r>
      <w:r w:rsidRPr="00797913">
        <w:t>.</w:t>
      </w:r>
      <w:bookmarkStart w:name="_Toc8123721" w:id="52"/>
    </w:p>
    <w:p w:rsidRPr="00797913" w:rsidR="00797913" w:rsidP="000F78FF" w:rsidRDefault="00797913" w14:paraId="365B9C1F" w14:textId="77777777">
      <w:pPr>
        <w:pStyle w:val="Heading1"/>
        <w:numPr>
          <w:ilvl w:val="0"/>
          <w:numId w:val="11"/>
        </w:numPr>
      </w:pPr>
      <w:bookmarkStart w:name="_Toc93499886" w:id="53"/>
      <w:bookmarkStart w:name="_Toc95469380" w:id="54"/>
      <w:r w:rsidRPr="00797913">
        <w:t>2022 Electric Sales Forecast</w:t>
      </w:r>
      <w:bookmarkEnd w:id="53"/>
      <w:bookmarkEnd w:id="54"/>
    </w:p>
    <w:p w:rsidRPr="00797913" w:rsidR="00797913" w:rsidP="00797913" w:rsidRDefault="00797913" w14:paraId="738119F0" w14:textId="44DDAFE8">
      <w:pPr>
        <w:rPr>
          <w:szCs w:val="26"/>
          <w:highlight w:val="lightGray"/>
        </w:rPr>
      </w:pPr>
      <w:r w:rsidRPr="00797913">
        <w:rPr>
          <w:szCs w:val="26"/>
        </w:rPr>
        <w:t>PG&amp;E’s electric sales forecast is based on econometric models that forecast electric customer demand for each major customer class. PG&amp;E also makes adjustments to account for factors such as distributed generation, energy efficiency, electric vehicles and end-use electrification.</w:t>
      </w:r>
      <w:r w:rsidRPr="00797913">
        <w:rPr>
          <w:vertAlign w:val="superscript"/>
        </w:rPr>
        <w:footnoteReference w:id="61"/>
      </w:r>
      <w:r w:rsidRPr="00797913">
        <w:rPr>
          <w:szCs w:val="26"/>
        </w:rPr>
        <w:t xml:space="preserve"> PG&amp;E uses the most recent available recorded unbundled sales as a proxy for 2022 projected unbundled load, and meets and confers with CCA and </w:t>
      </w:r>
      <w:r w:rsidR="009958A3">
        <w:rPr>
          <w:szCs w:val="26"/>
        </w:rPr>
        <w:t>DA</w:t>
      </w:r>
      <w:r w:rsidR="00CA3238">
        <w:rPr>
          <w:szCs w:val="26"/>
        </w:rPr>
        <w:t xml:space="preserve"> </w:t>
      </w:r>
      <w:r w:rsidRPr="00797913">
        <w:rPr>
          <w:szCs w:val="26"/>
        </w:rPr>
        <w:t>providers to forecast unbundled load.</w:t>
      </w:r>
      <w:r w:rsidRPr="00797913">
        <w:rPr>
          <w:vertAlign w:val="superscript"/>
        </w:rPr>
        <w:footnoteReference w:id="62"/>
      </w:r>
      <w:r w:rsidRPr="00797913">
        <w:rPr>
          <w:szCs w:val="26"/>
        </w:rPr>
        <w:t xml:space="preserve"> </w:t>
      </w:r>
    </w:p>
    <w:p w:rsidRPr="00797913" w:rsidR="00797913" w:rsidP="00797913" w:rsidRDefault="00797913" w14:paraId="3ACD13BC" w14:textId="58BD3352">
      <w:r w:rsidRPr="00797913">
        <w:t>PG&amp;E expects bundled electricity sales forecast for 2022 to be about 8</w:t>
      </w:r>
      <w:r w:rsidR="00EB6A85">
        <w:t> </w:t>
      </w:r>
      <w:r w:rsidRPr="00797913">
        <w:t>percent lower than the forecast adopted by the Commission in D.20-12-038, which adopted PG&amp;E’s 2021 ERRA Forecast Application. The primary driver of the decrease in bundled electricity sales is the continuing load departures to CCA and D</w:t>
      </w:r>
      <w:r w:rsidR="00273215">
        <w:t>A</w:t>
      </w:r>
      <w:r w:rsidRPr="00797913">
        <w:t xml:space="preserve"> providers. PG&amp;E expects CCA and D</w:t>
      </w:r>
      <w:r w:rsidR="00273215">
        <w:t>A</w:t>
      </w:r>
      <w:r w:rsidRPr="00797913">
        <w:t xml:space="preserve"> providers to serve over 62</w:t>
      </w:r>
      <w:r w:rsidR="00273215">
        <w:t> </w:t>
      </w:r>
      <w:r w:rsidRPr="00797913">
        <w:t>percent of PG&amp;E’s total system sales in 2022. Incremental energy efficiency and behind-the-meter distributed generation also contribute to relatively flat system-wide load growth.</w:t>
      </w:r>
      <w:r w:rsidRPr="00797913">
        <w:rPr>
          <w:vertAlign w:val="superscript"/>
        </w:rPr>
        <w:footnoteReference w:id="63"/>
      </w:r>
    </w:p>
    <w:p w:rsidR="00CD11C4" w:rsidP="00CD11C4" w:rsidRDefault="00797913" w14:paraId="481BD505" w14:textId="13BEE581">
      <w:pPr>
        <w:rPr>
          <w:szCs w:val="26"/>
        </w:rPr>
      </w:pPr>
      <w:r w:rsidRPr="00797913">
        <w:rPr>
          <w:szCs w:val="26"/>
        </w:rPr>
        <w:t>No party disputes PG&amp;E’s proposed 2022 electric sales forecast as of the December Update. We have reviewed these calculations and find them reasonable and in compliance with all applicable rules, regulations, resolutions and decisions.</w:t>
      </w:r>
      <w:bookmarkStart w:name="_Toc93499887" w:id="55"/>
    </w:p>
    <w:p w:rsidRPr="00797913" w:rsidR="00797913" w:rsidP="000F78FF" w:rsidRDefault="00797913" w14:paraId="4C8C848B" w14:textId="75C7731E">
      <w:pPr>
        <w:pStyle w:val="Heading1"/>
        <w:numPr>
          <w:ilvl w:val="0"/>
          <w:numId w:val="11"/>
        </w:numPr>
      </w:pPr>
      <w:bookmarkStart w:name="_Toc95469381" w:id="56"/>
      <w:r w:rsidRPr="00797913">
        <w:t>Balancing Account Transfer Proposal</w:t>
      </w:r>
      <w:bookmarkEnd w:id="55"/>
      <w:bookmarkEnd w:id="56"/>
    </w:p>
    <w:p w:rsidRPr="00797913" w:rsidR="00797913" w:rsidP="00512EEC" w:rsidRDefault="00797913" w14:paraId="45C5B751" w14:textId="4E605980">
      <w:pPr>
        <w:pStyle w:val="Heading2"/>
        <w:numPr>
          <w:ilvl w:val="1"/>
          <w:numId w:val="18"/>
        </w:numPr>
      </w:pPr>
      <w:bookmarkStart w:name="_Toc95469382" w:id="57"/>
      <w:r w:rsidRPr="00797913">
        <w:t xml:space="preserve">Year-end </w:t>
      </w:r>
      <w:r w:rsidRPr="000F78FF">
        <w:t>2021</w:t>
      </w:r>
      <w:r w:rsidRPr="00797913">
        <w:t xml:space="preserve"> ERRA Balance Proposal</w:t>
      </w:r>
      <w:bookmarkEnd w:id="57"/>
    </w:p>
    <w:p w:rsidRPr="00797913" w:rsidR="00797913" w:rsidP="00797913" w:rsidRDefault="00797913" w14:paraId="4D166AB4" w14:textId="19AA568C">
      <w:r w:rsidRPr="00797913">
        <w:t xml:space="preserve">In the November update, PG&amp;E proposes to transfer an </w:t>
      </w:r>
      <w:proofErr w:type="spellStart"/>
      <w:r w:rsidRPr="00797913">
        <w:t>undercollection</w:t>
      </w:r>
      <w:proofErr w:type="spellEnd"/>
      <w:r w:rsidRPr="00797913">
        <w:t xml:space="preserve"> of $629 million plus an allowance for the 2022 Revenue Fees and </w:t>
      </w:r>
      <w:proofErr w:type="spellStart"/>
      <w:r w:rsidRPr="00797913">
        <w:t>Uncollectibles</w:t>
      </w:r>
      <w:proofErr w:type="spellEnd"/>
      <w:r w:rsidRPr="00797913">
        <w:t xml:space="preserve"> Factor, from the ERRA-Main account to the Vintage 2020 PABA account ($11</w:t>
      </w:r>
      <w:r w:rsidR="00982C35">
        <w:t> </w:t>
      </w:r>
      <w:r w:rsidRPr="00797913">
        <w:t>million) and the Vintage 2021 PABA account ($618 million). Because PCIA rate design is cumulative, the portion transfer to the 2020 public vintage subaccount will be applied to the PCIA rate vintage in 2020 and later, while the portion transferred to the 2021 PABA Vintage Subaccount will be applied to the PCIA rate vintages 2021 and later.</w:t>
      </w:r>
      <w:r w:rsidRPr="00797913">
        <w:rPr>
          <w:vertAlign w:val="superscript"/>
        </w:rPr>
        <w:footnoteReference w:id="64"/>
      </w:r>
    </w:p>
    <w:p w:rsidRPr="00797913" w:rsidR="00797913" w:rsidP="00797913" w:rsidRDefault="00797913" w14:paraId="700851C8" w14:textId="77777777">
      <w:r w:rsidRPr="00797913">
        <w:t xml:space="preserve">PG&amp;E amended the ERRA </w:t>
      </w:r>
      <w:proofErr w:type="spellStart"/>
      <w:r w:rsidRPr="00797913">
        <w:t>undercollection</w:t>
      </w:r>
      <w:proofErr w:type="spellEnd"/>
      <w:r w:rsidRPr="00797913">
        <w:t xml:space="preserve"> balance to $358 million in the December Update, with $11 million to the Vintage 2020 PABA subaccount and $347 million to the Vintage 2021 PABA subaccount. </w:t>
      </w:r>
    </w:p>
    <w:p w:rsidRPr="00797913" w:rsidR="00797913" w:rsidP="00797913" w:rsidRDefault="00797913" w14:paraId="0A36500F" w14:textId="77777777">
      <w:r w:rsidRPr="00797913">
        <w:t xml:space="preserve">As of the December Update, PG&amp;E proposes to transfer the </w:t>
      </w:r>
      <w:proofErr w:type="spellStart"/>
      <w:r w:rsidRPr="00797913">
        <w:t>undercollected</w:t>
      </w:r>
      <w:proofErr w:type="spellEnd"/>
      <w:r w:rsidRPr="00797913">
        <w:t xml:space="preserve"> ERRA Main of $358 million, plus an allowance of revenues, fees and </w:t>
      </w:r>
      <w:proofErr w:type="spellStart"/>
      <w:r w:rsidRPr="00797913">
        <w:t>uncollectibles</w:t>
      </w:r>
      <w:proofErr w:type="spellEnd"/>
      <w:r w:rsidRPr="00797913">
        <w:t xml:space="preserve"> (RF&amp;U) to PABA Vintage Subaccounts as follows:  </w:t>
      </w:r>
    </w:p>
    <w:p w:rsidRPr="00797913" w:rsidR="00797913" w:rsidP="003213D1" w:rsidRDefault="00797913" w14:paraId="60AA003A" w14:textId="6D66C839">
      <w:pPr>
        <w:numPr>
          <w:ilvl w:val="0"/>
          <w:numId w:val="7"/>
        </w:numPr>
        <w:spacing w:after="120" w:line="240" w:lineRule="auto"/>
        <w:ind w:right="1440"/>
      </w:pPr>
      <w:r w:rsidRPr="00797913">
        <w:t xml:space="preserve">Vintage 2020: </w:t>
      </w:r>
      <w:r w:rsidR="00EB6A85">
        <w:t xml:space="preserve"> </w:t>
      </w:r>
      <w:r w:rsidRPr="00797913">
        <w:t>$11 million, plus RF&amp;U, for the recorded 202</w:t>
      </w:r>
      <w:r w:rsidR="0024778C">
        <w:t>0</w:t>
      </w:r>
      <w:r w:rsidRPr="00797913">
        <w:t xml:space="preserve"> portion of the RUBA-E </w:t>
      </w:r>
      <w:proofErr w:type="spellStart"/>
      <w:r w:rsidRPr="00797913">
        <w:t>undercollection</w:t>
      </w:r>
      <w:proofErr w:type="spellEnd"/>
      <w:r w:rsidRPr="00797913">
        <w:t>; and</w:t>
      </w:r>
    </w:p>
    <w:p w:rsidRPr="00797913" w:rsidR="00797913" w:rsidP="003213D1" w:rsidRDefault="00797913" w14:paraId="74D7946C" w14:textId="1B1C2114">
      <w:pPr>
        <w:numPr>
          <w:ilvl w:val="0"/>
          <w:numId w:val="7"/>
        </w:numPr>
        <w:spacing w:after="120" w:line="240" w:lineRule="auto"/>
        <w:ind w:right="1440"/>
      </w:pPr>
      <w:r w:rsidRPr="00797913">
        <w:t xml:space="preserve">Vintage 2021: </w:t>
      </w:r>
      <w:r w:rsidR="00EB6A85">
        <w:t xml:space="preserve"> </w:t>
      </w:r>
      <w:r w:rsidRPr="00797913">
        <w:t xml:space="preserve">$347 million for the forecast remaining </w:t>
      </w:r>
      <w:proofErr w:type="spellStart"/>
      <w:r w:rsidRPr="00797913">
        <w:t>undercollection</w:t>
      </w:r>
      <w:proofErr w:type="spellEnd"/>
      <w:r w:rsidR="008B59DB">
        <w:t>.</w:t>
      </w:r>
      <w:r w:rsidRPr="00797913">
        <w:t xml:space="preserve"> </w:t>
      </w:r>
    </w:p>
    <w:p w:rsidRPr="00797913" w:rsidR="00797913" w:rsidP="00797913" w:rsidRDefault="00797913" w14:paraId="0D65EDE5" w14:textId="69259010">
      <w:r w:rsidRPr="00797913">
        <w:t>Furthermore, PG&amp;E proposes to transfer the $61,000 cost, plus RF&amp;U, of the PURPA</w:t>
      </w:r>
      <w:r w:rsidR="00BF361B">
        <w:rPr>
          <w:rStyle w:val="FootnoteReference"/>
        </w:rPr>
        <w:footnoteReference w:id="65"/>
      </w:r>
      <w:r w:rsidRPr="00797913">
        <w:t xml:space="preserve"> contracts currently being recorded to the PABA non-vintaged subaccount to</w:t>
      </w:r>
      <w:r w:rsidR="00745971">
        <w:t xml:space="preserve"> </w:t>
      </w:r>
      <w:r w:rsidRPr="00797913">
        <w:t>a proposed new subaccount in the PPCBA</w:t>
      </w:r>
      <w:r w:rsidR="006043CA">
        <w:rPr>
          <w:rStyle w:val="FootnoteReference"/>
        </w:rPr>
        <w:footnoteReference w:id="66"/>
      </w:r>
      <w:r w:rsidRPr="00797913">
        <w:t xml:space="preserve"> for recovery through the PPP charge.</w:t>
      </w:r>
    </w:p>
    <w:p w:rsidRPr="00797913" w:rsidR="00797913" w:rsidP="00CD11C4" w:rsidRDefault="00797913" w14:paraId="1A642B02" w14:textId="12D35C81">
      <w:pPr>
        <w:rPr>
          <w:szCs w:val="26"/>
        </w:rPr>
      </w:pPr>
      <w:r w:rsidRPr="00797913">
        <w:t xml:space="preserve">As of the December Update, no party disputes this proposed transfer. </w:t>
      </w:r>
      <w:r w:rsidR="006043CA">
        <w:t>D</w:t>
      </w:r>
      <w:r w:rsidR="00E44C8A">
        <w:t>ue to procedural delay</w:t>
      </w:r>
      <w:r w:rsidR="006043CA">
        <w:t>s</w:t>
      </w:r>
      <w:r w:rsidR="00E44C8A">
        <w:t>, PG&amp;E now has actual year-end account balances in ERRA. PG&amp;E must transfer the actual year-end account balance in the ERRA-main account to the Vintage 2021 subaccount.</w:t>
      </w:r>
      <w:r w:rsidRPr="00797913" w:rsidR="00E44C8A">
        <w:t xml:space="preserve"> </w:t>
      </w:r>
      <w:r w:rsidRPr="00797913">
        <w:rPr>
          <w:szCs w:val="26"/>
        </w:rPr>
        <w:t>We have reviewed these calculations and find them reasonable and in compliance with all applicable rules, regulations, resolutions and decisions</w:t>
      </w:r>
      <w:r w:rsidR="00FC6123">
        <w:rPr>
          <w:szCs w:val="26"/>
        </w:rPr>
        <w:t>, pending PG&amp;E’s updated actual year-end ERRA-main calculations</w:t>
      </w:r>
      <w:r w:rsidRPr="00797913" w:rsidR="00FC6123">
        <w:rPr>
          <w:szCs w:val="26"/>
        </w:rPr>
        <w:t>.</w:t>
      </w:r>
    </w:p>
    <w:p w:rsidRPr="00797913" w:rsidR="00797913" w:rsidP="00512EEC" w:rsidRDefault="00797913" w14:paraId="0FD2A3C7" w14:textId="77777777">
      <w:pPr>
        <w:pStyle w:val="Heading2"/>
        <w:numPr>
          <w:ilvl w:val="1"/>
          <w:numId w:val="18"/>
        </w:numPr>
      </w:pPr>
      <w:bookmarkStart w:name="_Toc95469383" w:id="58"/>
      <w:r w:rsidRPr="00797913">
        <w:t>PABA Transfer Proposals</w:t>
      </w:r>
      <w:bookmarkEnd w:id="58"/>
    </w:p>
    <w:p w:rsidRPr="00797913" w:rsidR="00797913" w:rsidP="00797913" w:rsidRDefault="00797913" w14:paraId="1EE1B7AD" w14:textId="5ACA5891">
      <w:r w:rsidRPr="00797913">
        <w:t xml:space="preserve">PG&amp;E proposes to transfer certain public-policy procurement costs from its PABA non-vintaged subaccount to a new subaccount in the Public Policy Charge Balancing Account </w:t>
      </w:r>
      <w:r w:rsidR="00745971">
        <w:t xml:space="preserve">(PPCBA) </w:t>
      </w:r>
      <w:r w:rsidRPr="00797913">
        <w:t xml:space="preserve">for recovery from all customers through the </w:t>
      </w:r>
      <w:r w:rsidR="000D4F6F">
        <w:t>PPP</w:t>
      </w:r>
      <w:r w:rsidRPr="00797913">
        <w:t xml:space="preserve"> Charge on a going forward basis. As of the December Update, PG&amp;E proposes, for 2022, to transfer $30,000, plus an allowance for the 2022 RF&amp;U factor of the PURPA contracts currently being recorded to the PABA non-vintage subaccount to a proposed new subaccount and the PPCBA for recovery through the P</w:t>
      </w:r>
      <w:r w:rsidR="000D4F6F">
        <w:t>PP</w:t>
      </w:r>
      <w:r w:rsidRPr="00797913">
        <w:t xml:space="preserve"> Charge. </w:t>
      </w:r>
    </w:p>
    <w:p w:rsidRPr="00797913" w:rsidR="00797913" w:rsidP="00797913" w:rsidRDefault="00797913" w14:paraId="54502C08" w14:textId="77777777">
      <w:r w:rsidRPr="00797913">
        <w:t>As of the December update, no party opposes this proposal.</w:t>
      </w:r>
    </w:p>
    <w:p w:rsidRPr="00797913" w:rsidR="00797913" w:rsidP="00797913" w:rsidRDefault="00797913" w14:paraId="22B613FD" w14:textId="77777777">
      <w:pPr>
        <w:rPr>
          <w:szCs w:val="26"/>
        </w:rPr>
      </w:pPr>
      <w:r w:rsidRPr="00797913">
        <w:t xml:space="preserve">We have reviewed this proposal and find it </w:t>
      </w:r>
      <w:r w:rsidRPr="00797913">
        <w:rPr>
          <w:szCs w:val="26"/>
        </w:rPr>
        <w:t>in compliance with all applicable rules, regulations, resolutions and decisions.</w:t>
      </w:r>
    </w:p>
    <w:p w:rsidRPr="00797913" w:rsidR="00797913" w:rsidP="00512EEC" w:rsidRDefault="00797913" w14:paraId="3E2985A9" w14:textId="77777777">
      <w:pPr>
        <w:pStyle w:val="Heading2"/>
        <w:numPr>
          <w:ilvl w:val="1"/>
          <w:numId w:val="18"/>
        </w:numPr>
      </w:pPr>
      <w:bookmarkStart w:name="_Toc93499889" w:id="59"/>
      <w:bookmarkStart w:name="_Toc95469384" w:id="60"/>
      <w:r w:rsidRPr="00797913">
        <w:t xml:space="preserve">GTSR </w:t>
      </w:r>
      <w:bookmarkEnd w:id="59"/>
      <w:r w:rsidRPr="00797913">
        <w:t>Balancing Account Proposal</w:t>
      </w:r>
      <w:bookmarkEnd w:id="60"/>
    </w:p>
    <w:p w:rsidRPr="00797913" w:rsidR="00797913" w:rsidP="00797913" w:rsidRDefault="00797913" w14:paraId="59F97970" w14:textId="24DF1BC9">
      <w:r w:rsidRPr="00797913">
        <w:t xml:space="preserve">As of the December Update, PG&amp;E forecasted an overcollection in its Green Tariff Shared Renewables Balancing Account (GTSRBA) of approximately </w:t>
      </w:r>
      <w:r w:rsidR="000E3391">
        <w:t>$21 million. T</w:t>
      </w:r>
      <w:r w:rsidRPr="00797913">
        <w:t>he overcollection is attributable to customer billed revenues from the increased Solar Choice enrollment, Schedule Green Tariff E-GT, which has not been fully offset with solar resource expenses.</w:t>
      </w:r>
      <w:r w:rsidRPr="00797913">
        <w:rPr>
          <w:szCs w:val="26"/>
          <w:vertAlign w:val="superscript"/>
        </w:rPr>
        <w:footnoteReference w:id="67"/>
      </w:r>
      <w:r w:rsidRPr="00797913">
        <w:t xml:space="preserve"> </w:t>
      </w:r>
      <w:r w:rsidRPr="00797913">
        <w:rPr>
          <w:rFonts w:eastAsia="Times New Roman" w:cs="Times New Roman"/>
        </w:rPr>
        <w:t>The number of participating customers and amount of participating load in Tariff E-GT dramatically increased in 2021, from roughly 35 megawatt (MW) in December 2020 to approximately 235 MW in April 2021.</w:t>
      </w:r>
      <w:r w:rsidRPr="00797913">
        <w:rPr>
          <w:rFonts w:eastAsia="Times New Roman" w:cs="Times New Roman"/>
          <w:szCs w:val="26"/>
          <w:vertAlign w:val="superscript"/>
        </w:rPr>
        <w:footnoteReference w:id="68"/>
      </w:r>
      <w:r w:rsidRPr="00797913">
        <w:rPr>
          <w:rFonts w:eastAsia="Times New Roman" w:cs="Times New Roman"/>
        </w:rPr>
        <w:t xml:space="preserve"> </w:t>
      </w:r>
      <w:r w:rsidRPr="00797913">
        <w:t>This unanticipated increase led to a capacity shortfall.</w:t>
      </w:r>
    </w:p>
    <w:p w:rsidRPr="00797913" w:rsidR="00797913" w:rsidP="00797913" w:rsidRDefault="00797913" w14:paraId="52B49DBF" w14:textId="1E22BA27">
      <w:r w:rsidRPr="00797913">
        <w:t>On April 30, 2021, PG&amp;E filed an emergency PFM to D.15-01-051, requesting that it be allowed to use some of the Renewable</w:t>
      </w:r>
      <w:r w:rsidR="00D85B5A">
        <w:t>s</w:t>
      </w:r>
      <w:r w:rsidRPr="00797913">
        <w:t xml:space="preserve"> Portfolio Standard resources for its obligation to procure additional “Green” resources for its oversubscribed GTSR customers. The Commission </w:t>
      </w:r>
      <w:r w:rsidR="008B5A75">
        <w:t xml:space="preserve">conditionally </w:t>
      </w:r>
      <w:r w:rsidRPr="00797913">
        <w:t>granted PG&amp;E’s emergency PFM in D.21-12-036, which also orders appropriate accounting entries to balance the generation supply expense against the GTSR customer’s billed revenue in either the GTSRBA or in ERRA, along with updates to the GTSR rates to align with the Commission’s final decision.</w:t>
      </w:r>
      <w:r w:rsidRPr="00797913">
        <w:rPr>
          <w:vertAlign w:val="superscript"/>
        </w:rPr>
        <w:footnoteReference w:id="69"/>
      </w:r>
    </w:p>
    <w:p w:rsidRPr="00797913" w:rsidR="00797913" w:rsidP="00797913" w:rsidRDefault="00797913" w14:paraId="76147CFA" w14:textId="1FB48673">
      <w:pPr>
        <w:rPr>
          <w:szCs w:val="26"/>
        </w:rPr>
      </w:pPr>
      <w:r w:rsidRPr="00797913">
        <w:t>The December Update includes the interim resource pool and update</w:t>
      </w:r>
      <w:r w:rsidR="006E1416">
        <w:t>s the</w:t>
      </w:r>
      <w:r w:rsidRPr="00797913">
        <w:t xml:space="preserve"> </w:t>
      </w:r>
      <w:r w:rsidR="00673232">
        <w:t>RA</w:t>
      </w:r>
      <w:r w:rsidRPr="00797913">
        <w:t xml:space="preserve"> reformulation. After PG&amp;E revised its calculations to reflect these changes, no party disputes PG&amp;E’s forecast revenue requirement for GTSR. </w:t>
      </w:r>
      <w:r w:rsidRPr="00797913">
        <w:rPr>
          <w:szCs w:val="26"/>
        </w:rPr>
        <w:t>We have reviewed these calculations and find them reasonable and in compliance with all applicable rules, regulations, resolutions and decisions.</w:t>
      </w:r>
    </w:p>
    <w:p w:rsidRPr="00797913" w:rsidR="00797913" w:rsidP="00512EEC" w:rsidRDefault="00797913" w14:paraId="0B0B85CC" w14:textId="4973ED0A">
      <w:pPr>
        <w:pStyle w:val="Heading2"/>
        <w:numPr>
          <w:ilvl w:val="1"/>
          <w:numId w:val="18"/>
        </w:numPr>
      </w:pPr>
      <w:bookmarkStart w:name="_Toc93499888" w:id="61"/>
      <w:bookmarkStart w:name="_Toc95469385" w:id="62"/>
      <w:r w:rsidRPr="00797913">
        <w:t xml:space="preserve">Non-Vintage Rate Proposal for </w:t>
      </w:r>
      <w:r w:rsidR="00074E97">
        <w:br/>
      </w:r>
      <w:r w:rsidRPr="00797913">
        <w:t>Under 20</w:t>
      </w:r>
      <w:r w:rsidR="00122441">
        <w:t> </w:t>
      </w:r>
      <w:r w:rsidRPr="00797913">
        <w:t>M</w:t>
      </w:r>
      <w:r w:rsidR="002D2968">
        <w:t>W</w:t>
      </w:r>
      <w:r w:rsidRPr="00797913">
        <w:t xml:space="preserve"> Qualified Facility </w:t>
      </w:r>
      <w:r w:rsidR="00074E97">
        <w:br/>
      </w:r>
      <w:r w:rsidR="00DC4536">
        <w:t xml:space="preserve">(QF) </w:t>
      </w:r>
      <w:r w:rsidRPr="00797913">
        <w:t>Costs</w:t>
      </w:r>
      <w:bookmarkEnd w:id="61"/>
      <w:bookmarkEnd w:id="62"/>
    </w:p>
    <w:p w:rsidRPr="00797913" w:rsidR="00797913" w:rsidP="00797913" w:rsidRDefault="00797913" w14:paraId="5418AA11" w14:textId="4282581D">
      <w:r w:rsidRPr="00797913">
        <w:t xml:space="preserve">PG&amp;E proposes to treat costs for QF standard offer contracts for generators under 20 MW under D.20-05-006 in the same manner as </w:t>
      </w:r>
      <w:proofErr w:type="spellStart"/>
      <w:r w:rsidRPr="00797913">
        <w:t>BioMAT</w:t>
      </w:r>
      <w:proofErr w:type="spellEnd"/>
      <w:r w:rsidRPr="00797913">
        <w:t xml:space="preserve"> program costs.</w:t>
      </w:r>
    </w:p>
    <w:p w:rsidRPr="00797913" w:rsidR="00797913" w:rsidP="00797913" w:rsidRDefault="00797913" w14:paraId="5141288A" w14:textId="77777777">
      <w:r w:rsidRPr="00797913">
        <w:t>PG&amp;E proposes to:</w:t>
      </w:r>
    </w:p>
    <w:p w:rsidRPr="00797913" w:rsidR="00797913" w:rsidP="0050313D" w:rsidRDefault="00797913" w14:paraId="4BBD1238" w14:textId="4F3093AF">
      <w:pPr>
        <w:spacing w:after="120" w:line="240" w:lineRule="auto"/>
        <w:ind w:left="1080" w:right="1440" w:hanging="360"/>
      </w:pPr>
      <w:r w:rsidRPr="00797913">
        <w:t>1)</w:t>
      </w:r>
      <w:r w:rsidR="0050313D">
        <w:tab/>
      </w:r>
      <w:r w:rsidRPr="00797913">
        <w:t xml:space="preserve">recover costs associated with the under 20 MW QF contracts approved in D.10-12-035 through the PPP charge, mirroring the authority granted by the CPUC for </w:t>
      </w:r>
      <w:proofErr w:type="spellStart"/>
      <w:r w:rsidRPr="00797913">
        <w:t>BioMAT</w:t>
      </w:r>
      <w:proofErr w:type="spellEnd"/>
      <w:r w:rsidRPr="00797913">
        <w:t xml:space="preserve"> tariff contracts, </w:t>
      </w:r>
    </w:p>
    <w:p w:rsidRPr="00797913" w:rsidR="00797913" w:rsidP="0050313D" w:rsidRDefault="00797913" w14:paraId="2F70D140" w14:textId="397E4962">
      <w:pPr>
        <w:spacing w:after="120" w:line="240" w:lineRule="auto"/>
        <w:ind w:left="1080" w:right="1440" w:hanging="360"/>
      </w:pPr>
      <w:r w:rsidRPr="00797913">
        <w:t>2)</w:t>
      </w:r>
      <w:r w:rsidR="000E734A">
        <w:tab/>
      </w:r>
      <w:r w:rsidRPr="00797913">
        <w:t>retire the non-vintage PCIA subaccount created in D.20</w:t>
      </w:r>
      <w:r w:rsidR="0050313D">
        <w:noBreakHyphen/>
      </w:r>
      <w:r w:rsidRPr="00797913">
        <w:t>05</w:t>
      </w:r>
      <w:r w:rsidR="0050313D">
        <w:noBreakHyphen/>
      </w:r>
      <w:r w:rsidRPr="00797913">
        <w:t>006 by transferring the accumulated balances,</w:t>
      </w:r>
    </w:p>
    <w:p w:rsidRPr="00797913" w:rsidR="00797913" w:rsidP="0050313D" w:rsidRDefault="00797913" w14:paraId="1618551A" w14:textId="5FBD8B06">
      <w:pPr>
        <w:spacing w:after="120" w:line="240" w:lineRule="auto"/>
        <w:ind w:left="1080" w:right="1440" w:hanging="360"/>
      </w:pPr>
      <w:r w:rsidRPr="00797913">
        <w:t>3)</w:t>
      </w:r>
      <w:r w:rsidR="000E734A">
        <w:tab/>
      </w:r>
      <w:r w:rsidRPr="00797913">
        <w:t xml:space="preserve">record future costs and revenue associated with eligible under 20 MW QFs to a subaccount in the Public Policy Charge Balance Accounts, and </w:t>
      </w:r>
    </w:p>
    <w:p w:rsidRPr="00797913" w:rsidR="00797913" w:rsidP="0050313D" w:rsidRDefault="00797913" w14:paraId="3E85798C" w14:textId="4EE59BF9">
      <w:pPr>
        <w:spacing w:after="120" w:line="240" w:lineRule="auto"/>
        <w:ind w:left="1080" w:right="1440" w:hanging="360"/>
      </w:pPr>
      <w:r w:rsidRPr="00797913">
        <w:t>4)</w:t>
      </w:r>
      <w:r w:rsidR="000E734A">
        <w:tab/>
      </w:r>
      <w:r w:rsidRPr="00797913">
        <w:t xml:space="preserve">determine that the PPP is the appropriate rate component for costs associated with D.20-05-006 generation costs.  </w:t>
      </w:r>
    </w:p>
    <w:p w:rsidRPr="00797913" w:rsidR="00797913" w:rsidP="00797913" w:rsidRDefault="00797913" w14:paraId="2194C50E" w14:textId="72832EBF">
      <w:r w:rsidRPr="00797913">
        <w:t>PG&amp;E requests recovery of costs associated with these 20 MW QF contracts from all customers, including pre-2009 D</w:t>
      </w:r>
      <w:r w:rsidR="00273215">
        <w:t>A</w:t>
      </w:r>
      <w:r w:rsidRPr="00797913">
        <w:t xml:space="preserve"> customers, while maintaining the premise of D.19-12-010 that the PCIA is terminated for pre-2009 DA customers.</w:t>
      </w:r>
      <w:r w:rsidRPr="00797913">
        <w:rPr>
          <w:vertAlign w:val="superscript"/>
        </w:rPr>
        <w:footnoteReference w:id="70"/>
      </w:r>
      <w:r w:rsidRPr="00797913">
        <w:t xml:space="preserve"> In rebuttal testimony, </w:t>
      </w:r>
      <w:r w:rsidRPr="00797913" w:rsidR="00811FE7">
        <w:t xml:space="preserve">PG&amp;E clarified that </w:t>
      </w:r>
      <w:r w:rsidR="00811FE7">
        <w:t>in D.20-05-006, the Commission directed the IOUs to modify their PABA tariffs to create a non</w:t>
      </w:r>
      <w:r w:rsidR="000E734A">
        <w:noBreakHyphen/>
      </w:r>
      <w:r w:rsidR="00811FE7">
        <w:t>vintage PCIA subaccount for recording the costs and revenues of future Under 20 Megawatt PURPA contract costs in the PCIA without respect to when the customer departed. PG&amp;E seeks to transfer the nonvintage PCIA subaccount balance to the PPCBA as related to legacy PURPA QF costs approved in Res.E</w:t>
      </w:r>
      <w:r w:rsidR="000E734A">
        <w:noBreakHyphen/>
      </w:r>
      <w:r w:rsidR="00811FE7">
        <w:t>5119 and record such costs on a going-forward basis.</w:t>
      </w:r>
      <w:r w:rsidRPr="00675008" w:rsidR="00811FE7">
        <w:rPr>
          <w:vertAlign w:val="superscript"/>
        </w:rPr>
        <w:t xml:space="preserve"> </w:t>
      </w:r>
      <w:r w:rsidRPr="00797913" w:rsidR="00675008">
        <w:rPr>
          <w:vertAlign w:val="superscript"/>
        </w:rPr>
        <w:footnoteReference w:id="71"/>
      </w:r>
      <w:r w:rsidR="00811FE7">
        <w:t xml:space="preserve"> PG&amp;E </w:t>
      </w:r>
      <w:r w:rsidRPr="00797913" w:rsidR="00811FE7">
        <w:t xml:space="preserve">does not request to retire </w:t>
      </w:r>
      <w:r w:rsidR="00811FE7">
        <w:t>all</w:t>
      </w:r>
      <w:r w:rsidRPr="00797913" w:rsidR="00811FE7">
        <w:t xml:space="preserve"> nonvintage PCIA subaccount</w:t>
      </w:r>
      <w:r w:rsidR="00811FE7">
        <w:t xml:space="preserve"> in this application</w:t>
      </w:r>
      <w:r w:rsidRPr="00797913" w:rsidR="00811FE7">
        <w:t>.</w:t>
      </w:r>
      <w:r w:rsidRPr="00797913" w:rsidDel="00811FE7" w:rsidR="00811FE7">
        <w:rPr>
          <w:vertAlign w:val="superscript"/>
        </w:rPr>
        <w:t xml:space="preserve"> </w:t>
      </w:r>
    </w:p>
    <w:p w:rsidRPr="00797913" w:rsidR="00797913" w:rsidP="00797913" w:rsidRDefault="00797913" w14:paraId="635871B7" w14:textId="77777777">
      <w:pPr>
        <w:rPr>
          <w:rFonts w:cs="Arial"/>
        </w:rPr>
      </w:pPr>
      <w:r w:rsidRPr="00797913">
        <w:rPr>
          <w:rFonts w:cs="Arial"/>
        </w:rPr>
        <w:t xml:space="preserve">As of the December Update, no party disputes this four-pronged proposal for costs recovery or transfer.  </w:t>
      </w:r>
    </w:p>
    <w:p w:rsidRPr="00797913" w:rsidR="00797913" w:rsidP="00797913" w:rsidRDefault="00797913" w14:paraId="530F6C32" w14:textId="6B96A019">
      <w:r w:rsidRPr="00797913">
        <w:t>We approve PG&amp;E’s request to recover costs associated with these QF contracts through the PPP Charge. We direct PG&amp;E to retire the non-vintage PCIA subaccount, transfer the balance to a newly created subaccount in the PPCBA, and file a Tier 1 Advice Letter to establish a new subaccount in the PPCBA to recover any current or future public policy costs associated with the new PURPA contracts.</w:t>
      </w:r>
    </w:p>
    <w:p w:rsidRPr="00797913" w:rsidR="00797913" w:rsidP="000F78FF" w:rsidRDefault="00797913" w14:paraId="11B69787" w14:textId="12A0D84C">
      <w:pPr>
        <w:pStyle w:val="Heading1"/>
        <w:numPr>
          <w:ilvl w:val="0"/>
          <w:numId w:val="11"/>
        </w:numPr>
      </w:pPr>
      <w:bookmarkStart w:name="_Toc93499890" w:id="63"/>
      <w:bookmarkStart w:name="_Toc95469386" w:id="64"/>
      <w:r w:rsidRPr="00797913">
        <w:t xml:space="preserve">GHG </w:t>
      </w:r>
      <w:r w:rsidRPr="000F78FF">
        <w:t>Requests</w:t>
      </w:r>
      <w:bookmarkEnd w:id="63"/>
      <w:bookmarkEnd w:id="64"/>
    </w:p>
    <w:p w:rsidRPr="00797913" w:rsidR="00797913" w:rsidP="00797913" w:rsidRDefault="00797913" w14:paraId="24DFD5F5" w14:textId="1277405C">
      <w:pPr>
        <w:rPr>
          <w:szCs w:val="26"/>
        </w:rPr>
      </w:pPr>
      <w:r w:rsidRPr="00797913">
        <w:rPr>
          <w:szCs w:val="26"/>
        </w:rPr>
        <w:t>PG&amp;E records GHG allowance revenues, expenses, and corresponding revenue return to customers in its GHG Revenue Balancing Account. In its testimony, PG&amp;E describes how it intended to distribute GHG allowance revenues in accordance with the methodologies adopted by the Commission in D.12</w:t>
      </w:r>
      <w:r w:rsidRPr="00797913">
        <w:rPr>
          <w:szCs w:val="26"/>
        </w:rPr>
        <w:noBreakHyphen/>
        <w:t>12</w:t>
      </w:r>
      <w:r w:rsidRPr="00797913">
        <w:rPr>
          <w:szCs w:val="26"/>
        </w:rPr>
        <w:noBreakHyphen/>
        <w:t>033 and D.14</w:t>
      </w:r>
      <w:r w:rsidRPr="00797913">
        <w:rPr>
          <w:szCs w:val="26"/>
        </w:rPr>
        <w:noBreakHyphen/>
        <w:t>02</w:t>
      </w:r>
      <w:r w:rsidRPr="00797913">
        <w:rPr>
          <w:szCs w:val="26"/>
        </w:rPr>
        <w:noBreakHyphen/>
        <w:t>037. Methodologies were further updated in D.21</w:t>
      </w:r>
      <w:r w:rsidR="00982C35">
        <w:rPr>
          <w:szCs w:val="26"/>
        </w:rPr>
        <w:noBreakHyphen/>
      </w:r>
      <w:r w:rsidRPr="00797913">
        <w:rPr>
          <w:szCs w:val="26"/>
        </w:rPr>
        <w:t>08</w:t>
      </w:r>
      <w:r w:rsidR="00982C35">
        <w:rPr>
          <w:szCs w:val="26"/>
        </w:rPr>
        <w:noBreakHyphen/>
      </w:r>
      <w:r w:rsidRPr="00797913">
        <w:rPr>
          <w:szCs w:val="26"/>
        </w:rPr>
        <w:t>026/</w:t>
      </w:r>
      <w:r w:rsidRPr="00797913">
        <w:rPr>
          <w:color w:val="000000"/>
          <w:szCs w:val="26"/>
        </w:rPr>
        <w:t>AL 6326-E-A/E-B/E-C</w:t>
      </w:r>
      <w:r w:rsidRPr="00797913">
        <w:rPr>
          <w:szCs w:val="26"/>
        </w:rPr>
        <w:t>. These changes were incorporated in the application in the November update.</w:t>
      </w:r>
    </w:p>
    <w:p w:rsidRPr="00797913" w:rsidR="00797913" w:rsidP="00797913" w:rsidRDefault="00797913" w14:paraId="3A1FEF85" w14:textId="77777777">
      <w:pPr>
        <w:rPr>
          <w:szCs w:val="26"/>
        </w:rPr>
      </w:pPr>
      <w:r w:rsidRPr="00797913">
        <w:rPr>
          <w:szCs w:val="26"/>
        </w:rPr>
        <w:t>PG&amp;E also provides detailed explanations of how it calculated the semi</w:t>
      </w:r>
      <w:r w:rsidRPr="00797913">
        <w:rPr>
          <w:szCs w:val="26"/>
        </w:rPr>
        <w:noBreakHyphen/>
        <w:t>annual residential and small business California Climate Credit and specific expense items and amounts for both administrative and outreach expenses.</w:t>
      </w:r>
      <w:r w:rsidRPr="00797913">
        <w:rPr>
          <w:vertAlign w:val="superscript"/>
        </w:rPr>
        <w:footnoteReference w:id="72"/>
      </w:r>
      <w:r w:rsidRPr="00797913">
        <w:rPr>
          <w:szCs w:val="26"/>
        </w:rPr>
        <w:t xml:space="preserve">  </w:t>
      </w:r>
    </w:p>
    <w:p w:rsidRPr="00797913" w:rsidR="00797913" w:rsidP="00797913" w:rsidRDefault="00797913" w14:paraId="7634A126" w14:textId="2DA5433C">
      <w:pPr>
        <w:rPr>
          <w:szCs w:val="26"/>
        </w:rPr>
      </w:pPr>
      <w:r w:rsidRPr="00797913">
        <w:rPr>
          <w:szCs w:val="26"/>
        </w:rPr>
        <w:t>In its November Update, PG&amp;E forecasts for 2022 a net GHG revenue return of $469 million, and administrative and outreach (A&amp;O) expenses of $855,000.</w:t>
      </w:r>
      <w:r w:rsidRPr="00797913">
        <w:rPr>
          <w:vertAlign w:val="superscript"/>
        </w:rPr>
        <w:footnoteReference w:id="73"/>
      </w:r>
      <w:r w:rsidRPr="00797913">
        <w:rPr>
          <w:szCs w:val="26"/>
        </w:rPr>
        <w:t xml:space="preserve"> For 2020, PG&amp;E recorded administrative and outreach expenses of $598,000</w:t>
      </w:r>
      <w:r w:rsidRPr="00797913">
        <w:rPr>
          <w:szCs w:val="26"/>
          <w:vertAlign w:val="superscript"/>
        </w:rPr>
        <w:footnoteReference w:id="74"/>
      </w:r>
      <w:r w:rsidRPr="00797913">
        <w:rPr>
          <w:szCs w:val="26"/>
        </w:rPr>
        <w:t xml:space="preserve"> and requests a set-aside of $285,000</w:t>
      </w:r>
      <w:r w:rsidRPr="00797913">
        <w:rPr>
          <w:szCs w:val="26"/>
          <w:vertAlign w:val="superscript"/>
        </w:rPr>
        <w:footnoteReference w:id="75"/>
      </w:r>
      <w:r w:rsidRPr="00797913">
        <w:rPr>
          <w:szCs w:val="26"/>
        </w:rPr>
        <w:t xml:space="preserve"> for GHG administrative and outreach to true-up recorded and forecast administrative and outreach expenses through 2022. PG&amp;E forecasts a semi</w:t>
      </w:r>
      <w:r w:rsidRPr="00797913">
        <w:rPr>
          <w:szCs w:val="26"/>
        </w:rPr>
        <w:noBreakHyphen/>
        <w:t>annual residential and small business California Climate Credit of $39.30 per household.</w:t>
      </w:r>
      <w:r w:rsidRPr="00797913">
        <w:rPr>
          <w:vertAlign w:val="superscript"/>
        </w:rPr>
        <w:footnoteReference w:id="76"/>
      </w:r>
      <w:r w:rsidRPr="00797913">
        <w:rPr>
          <w:szCs w:val="26"/>
        </w:rPr>
        <w:t xml:space="preserve">  </w:t>
      </w:r>
    </w:p>
    <w:p w:rsidRPr="00797913" w:rsidR="00797913" w:rsidP="00797913" w:rsidRDefault="00797913" w14:paraId="5C1714DB" w14:textId="339ADF88">
      <w:pPr>
        <w:rPr>
          <w:szCs w:val="26"/>
        </w:rPr>
      </w:pPr>
      <w:r w:rsidRPr="00797913">
        <w:rPr>
          <w:szCs w:val="26"/>
        </w:rPr>
        <w:t>Under Pub. Util. Code § 748.5(c), the Commission may allocate up to 15 percent of the revenue received by an electric corporation from its sales of allocated GHG allowances to specific clean energy and energy efficiency projects that are not funded by another source. Fifteen</w:t>
      </w:r>
      <w:r w:rsidR="000E734A">
        <w:rPr>
          <w:szCs w:val="26"/>
        </w:rPr>
        <w:t xml:space="preserve"> </w:t>
      </w:r>
      <w:r w:rsidRPr="00797913">
        <w:rPr>
          <w:szCs w:val="26"/>
        </w:rPr>
        <w:t>percent of PG&amp;E’s 2022 forecast allowance is $69.61 million as of the November Update.</w:t>
      </w:r>
      <w:r w:rsidRPr="00797913">
        <w:rPr>
          <w:vertAlign w:val="superscript"/>
        </w:rPr>
        <w:footnoteReference w:id="77"/>
      </w:r>
      <w:r w:rsidRPr="00797913">
        <w:rPr>
          <w:szCs w:val="26"/>
        </w:rPr>
        <w:t xml:space="preserve"> PG&amp;E proposes to set</w:t>
      </w:r>
      <w:r w:rsidRPr="00797913">
        <w:rPr>
          <w:szCs w:val="26"/>
        </w:rPr>
        <w:noBreakHyphen/>
        <w:t>aside $56.55 million for clean energy and energy efficiency programs in</w:t>
      </w:r>
      <w:r w:rsidR="000E734A">
        <w:rPr>
          <w:szCs w:val="26"/>
        </w:rPr>
        <w:t> </w:t>
      </w:r>
      <w:r w:rsidRPr="00797913">
        <w:rPr>
          <w:szCs w:val="26"/>
        </w:rPr>
        <w:t>2022.</w:t>
      </w:r>
      <w:r w:rsidRPr="00797913">
        <w:rPr>
          <w:szCs w:val="26"/>
          <w:vertAlign w:val="superscript"/>
        </w:rPr>
        <w:footnoteReference w:id="78"/>
      </w:r>
    </w:p>
    <w:p w:rsidRPr="00797913" w:rsidR="00797913" w:rsidP="00797913" w:rsidRDefault="00797913" w14:paraId="7C87FEAE" w14:textId="1EC03A9F">
      <w:pPr>
        <w:rPr>
          <w:szCs w:val="26"/>
        </w:rPr>
      </w:pPr>
      <w:r w:rsidRPr="00797913">
        <w:rPr>
          <w:szCs w:val="26"/>
        </w:rPr>
        <w:t xml:space="preserve">PG&amp;E has four clean energy and energy efficiency programs funded in whole or in part from the sales of GHG allowances: </w:t>
      </w:r>
      <w:r w:rsidR="0050313D">
        <w:rPr>
          <w:szCs w:val="26"/>
        </w:rPr>
        <w:t xml:space="preserve"> </w:t>
      </w:r>
      <w:r w:rsidRPr="00797913">
        <w:rPr>
          <w:szCs w:val="26"/>
        </w:rPr>
        <w:t>(1) Solar on Multifamily Affordable Housing (SOMAH); (2) Disadvantaged Communities Single-Family Affordable Solar Housing (DAC-SASH); (3) Disadvantaged Communities Green Tariff (DAC-GT); and (4) Community Solar Green Tariff (CS-GT). Under D.18</w:t>
      </w:r>
      <w:r w:rsidR="00E317DB">
        <w:rPr>
          <w:szCs w:val="26"/>
        </w:rPr>
        <w:noBreakHyphen/>
      </w:r>
      <w:r w:rsidRPr="00797913">
        <w:rPr>
          <w:szCs w:val="26"/>
        </w:rPr>
        <w:t>06</w:t>
      </w:r>
      <w:r w:rsidR="000C0E0A">
        <w:rPr>
          <w:szCs w:val="26"/>
        </w:rPr>
        <w:noBreakHyphen/>
      </w:r>
      <w:r w:rsidRPr="00797913">
        <w:rPr>
          <w:szCs w:val="26"/>
        </w:rPr>
        <w:t>027, CCAs may choose to offer their own versions of the DAC-GT and CS-GT programs. In PG&amp;E’s service territory, five CCAs submitted advice letters for 2021 and/or 2022 budgets for DAC-GT and CS-GT as of the November Update.</w:t>
      </w:r>
      <w:r w:rsidRPr="00797913">
        <w:rPr>
          <w:szCs w:val="26"/>
          <w:vertAlign w:val="superscript"/>
        </w:rPr>
        <w:footnoteReference w:id="79"/>
      </w:r>
    </w:p>
    <w:p w:rsidRPr="00797913" w:rsidR="00797913" w:rsidP="00797913" w:rsidRDefault="00797913" w14:paraId="08425359" w14:textId="77777777">
      <w:pPr>
        <w:rPr>
          <w:szCs w:val="26"/>
        </w:rPr>
      </w:pPr>
      <w:r w:rsidRPr="00797913">
        <w:rPr>
          <w:szCs w:val="26"/>
        </w:rPr>
        <w:t>The following table from PG&amp;E’s November Update breaks down the proposed set aside by program.</w:t>
      </w:r>
      <w:r w:rsidRPr="00797913">
        <w:rPr>
          <w:szCs w:val="26"/>
          <w:vertAlign w:val="superscript"/>
        </w:rPr>
        <w:footnoteReference w:id="80"/>
      </w:r>
    </w:p>
    <w:p w:rsidRPr="00797913" w:rsidR="00797913" w:rsidP="00797913" w:rsidRDefault="00797913" w14:paraId="738433CD" w14:textId="77777777">
      <w:pPr>
        <w:ind w:firstLine="0"/>
        <w:jc w:val="center"/>
        <w:rPr>
          <w:szCs w:val="26"/>
        </w:rPr>
      </w:pPr>
      <w:r w:rsidRPr="00797913">
        <w:rPr>
          <w:noProof/>
          <w:color w:val="2B579A"/>
          <w:szCs w:val="26"/>
          <w:shd w:val="clear" w:color="auto" w:fill="E6E6E6"/>
        </w:rPr>
        <w:drawing>
          <wp:inline distT="0" distB="0" distL="0" distR="0" wp14:anchorId="19BCD1E9" wp14:editId="7BCD9502">
            <wp:extent cx="5943600" cy="3245485"/>
            <wp:effectExtent l="0" t="0" r="0" b="5715"/>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pic:nvPicPr>
                  <pic:blipFill>
                    <a:blip r:embed="rId17"/>
                    <a:stretch>
                      <a:fillRect/>
                    </a:stretch>
                  </pic:blipFill>
                  <pic:spPr>
                    <a:xfrm>
                      <a:off x="0" y="0"/>
                      <a:ext cx="5943600" cy="3245485"/>
                    </a:xfrm>
                    <a:prstGeom prst="rect">
                      <a:avLst/>
                    </a:prstGeom>
                  </pic:spPr>
                </pic:pic>
              </a:graphicData>
            </a:graphic>
          </wp:inline>
        </w:drawing>
      </w:r>
    </w:p>
    <w:p w:rsidRPr="00797913" w:rsidR="00797913" w:rsidP="00797913" w:rsidRDefault="00797913" w14:paraId="31C441B3" w14:textId="77777777">
      <w:r w:rsidRPr="00797913">
        <w:t xml:space="preserve">PG&amp;E also requests that the Commission allow it to correct an error related to the 2021 Community Green Solar Tariff program set aside amount in Decision 20-12-038 in this proceeding. On March 30, 2021, PG&amp;E filed a motion to reopen the record of PG&amp;E 2021 ERRA Forecast Application and correct this error. In that motion, PG&amp;E requested unused funds to carry over to future years. The scoping memo for this proceeding includes this issue. </w:t>
      </w:r>
    </w:p>
    <w:p w:rsidRPr="00797913" w:rsidR="00797913" w:rsidP="00797913" w:rsidRDefault="00797913" w14:paraId="51193E2D" w14:textId="77777777">
      <w:r w:rsidRPr="00797913">
        <w:t>In the November Update, PG&amp;E requests to utilize the approved 2021 Community Solar Green Tariff set aside amount of $2.89 million for the program in 2022. As such, PG&amp;E reduced its 2022 budget request to $0 in AL 6075-E-A, after subtracting 2020 unspent funds.</w:t>
      </w:r>
      <w:r w:rsidRPr="00797913">
        <w:rPr>
          <w:vertAlign w:val="superscript"/>
        </w:rPr>
        <w:footnoteReference w:id="81"/>
      </w:r>
      <w:r w:rsidRPr="00797913">
        <w:t xml:space="preserve"> </w:t>
      </w:r>
    </w:p>
    <w:p w:rsidRPr="00797913" w:rsidR="00797913" w:rsidP="00797913" w:rsidRDefault="00797913" w14:paraId="50732F7F" w14:textId="03ECD6AD">
      <w:pPr>
        <w:rPr>
          <w:rFonts w:cs="Arial"/>
          <w:szCs w:val="26"/>
        </w:rPr>
      </w:pPr>
      <w:r w:rsidRPr="00797913">
        <w:t>D.21-08-026 allowed the IOUs the choice to provide the 2022 small business California Climate Credits as a lump sum credit in October 2022</w:t>
      </w:r>
      <w:r w:rsidRPr="00797913">
        <w:rPr>
          <w:szCs w:val="26"/>
        </w:rPr>
        <w:t>.</w:t>
      </w:r>
      <w:r w:rsidRPr="00797913">
        <w:rPr>
          <w:szCs w:val="26"/>
          <w:vertAlign w:val="superscript"/>
        </w:rPr>
        <w:footnoteReference w:id="82"/>
      </w:r>
      <w:r w:rsidRPr="00797913">
        <w:rPr>
          <w:szCs w:val="26"/>
        </w:rPr>
        <w:t xml:space="preserve"> In the November Update, </w:t>
      </w:r>
      <w:r w:rsidRPr="00797913">
        <w:rPr>
          <w:rFonts w:cs="Arial"/>
          <w:szCs w:val="26"/>
        </w:rPr>
        <w:t xml:space="preserve">PG&amp;E stated its intention to choose this distribution option and has updated its 2022 A&amp;O expenses of $855,000 to implement the small businesses California Climate Credit for the following activities: </w:t>
      </w:r>
      <w:r w:rsidR="0050313D">
        <w:rPr>
          <w:rFonts w:cs="Arial"/>
          <w:szCs w:val="26"/>
        </w:rPr>
        <w:t xml:space="preserve"> </w:t>
      </w:r>
      <w:r w:rsidRPr="00797913">
        <w:rPr>
          <w:rFonts w:cs="Arial"/>
          <w:szCs w:val="26"/>
        </w:rPr>
        <w:t>General Program Management, Information Technology (IT)/Billing System Maintenance, Customer Inquiry Support and Customer Outreach.</w:t>
      </w:r>
      <w:r w:rsidRPr="00797913">
        <w:rPr>
          <w:rFonts w:cs="Arial"/>
          <w:szCs w:val="26"/>
          <w:vertAlign w:val="superscript"/>
        </w:rPr>
        <w:footnoteReference w:id="83"/>
      </w:r>
    </w:p>
    <w:p w:rsidRPr="00797913" w:rsidR="00797913" w:rsidP="00797913" w:rsidRDefault="00797913" w14:paraId="6DF1EB3C" w14:textId="1CC5BB00">
      <w:r w:rsidRPr="00797913">
        <w:rPr>
          <w:rFonts w:cs="Arial"/>
          <w:szCs w:val="26"/>
        </w:rPr>
        <w:t xml:space="preserve">No party objected to PG&amp;E’s request to </w:t>
      </w:r>
      <w:r w:rsidRPr="00797913">
        <w:t>correct an error related to the 2021</w:t>
      </w:r>
      <w:r w:rsidR="000E734A">
        <w:t> </w:t>
      </w:r>
      <w:r w:rsidRPr="00797913">
        <w:t>Community Solar Green Tariff program set aside amount in D</w:t>
      </w:r>
      <w:r w:rsidR="00982C35">
        <w:t>.</w:t>
      </w:r>
      <w:r w:rsidRPr="00797913">
        <w:t>20-12-038 in this proceeding.</w:t>
      </w:r>
    </w:p>
    <w:p w:rsidRPr="00797913" w:rsidR="00797913" w:rsidP="00797913" w:rsidRDefault="00797913" w14:paraId="74DA3D4D" w14:textId="77777777">
      <w:r w:rsidRPr="00797913">
        <w:t xml:space="preserve">As of the December Update, no party disputes PG&amp;E’s proposed 2022 GHG-related forecast revenue return, administrative and outreach expenses, clean energy and energy efficiency program set-asides, or California Climate Credit calculations. </w:t>
      </w:r>
      <w:bookmarkStart w:name="_Hlk93607704" w:id="65"/>
      <w:r w:rsidRPr="00797913">
        <w:t>We have reviewed these calculations and find them reasonable and in compliance with all applicable rules, regulations, resolutions and decisions.</w:t>
      </w:r>
    </w:p>
    <w:p w:rsidRPr="00797913" w:rsidR="00797913" w:rsidP="000F78FF" w:rsidRDefault="00797913" w14:paraId="736EB160" w14:textId="39B9AB49">
      <w:pPr>
        <w:pStyle w:val="Heading1"/>
        <w:numPr>
          <w:ilvl w:val="0"/>
          <w:numId w:val="11"/>
        </w:numPr>
      </w:pPr>
      <w:bookmarkStart w:name="_Toc95469387" w:id="66"/>
      <w:bookmarkStart w:name="_Hlk93607830" w:id="67"/>
      <w:bookmarkStart w:name="_Toc93499891" w:id="68"/>
      <w:bookmarkEnd w:id="65"/>
      <w:r w:rsidRPr="00797913">
        <w:t>Rate Proposals</w:t>
      </w:r>
      <w:bookmarkEnd w:id="66"/>
    </w:p>
    <w:p w:rsidRPr="00797913" w:rsidR="00797913" w:rsidP="00DA6A75" w:rsidRDefault="00797913" w14:paraId="78979A32" w14:textId="6F40C4A2">
      <w:pPr>
        <w:pStyle w:val="Heading2"/>
        <w:tabs>
          <w:tab w:val="clear" w:pos="1080"/>
        </w:tabs>
      </w:pPr>
      <w:bookmarkStart w:name="_Toc93491278" w:id="69"/>
      <w:bookmarkStart w:name="_Toc95469388" w:id="70"/>
      <w:r w:rsidRPr="00797913">
        <w:t>Process to Implement Rates from Pending General Rate Case Phase II Proceeding</w:t>
      </w:r>
      <w:bookmarkEnd w:id="69"/>
      <w:bookmarkEnd w:id="70"/>
    </w:p>
    <w:p w:rsidRPr="00797913" w:rsidR="00797913" w:rsidP="00797913" w:rsidRDefault="00797913" w14:paraId="6B0366C6" w14:textId="68A39DFA">
      <w:r w:rsidRPr="00797913">
        <w:t xml:space="preserve">PG&amp;E filed its Application to Revise its Electric Marginal Costs, Revenue Allocation, and Rate Design (A.19-11-019) on November 22, 2019 (General Rate Case Phase II). The Commission </w:t>
      </w:r>
      <w:r w:rsidR="00196687">
        <w:t>adopted the</w:t>
      </w:r>
      <w:r w:rsidRPr="00797913">
        <w:t xml:space="preserve"> decision</w:t>
      </w:r>
      <w:r w:rsidR="00196687">
        <w:t xml:space="preserve"> on November 18, 2021</w:t>
      </w:r>
      <w:r w:rsidR="00AF079B">
        <w:t xml:space="preserve"> in D.21-11-016</w:t>
      </w:r>
      <w:r w:rsidR="00196687">
        <w:t>. PG&amp;E asserts that t</w:t>
      </w:r>
      <w:r w:rsidRPr="00797913">
        <w:t>he decision</w:t>
      </w:r>
      <w:r w:rsidR="00196687">
        <w:t xml:space="preserve"> will</w:t>
      </w:r>
      <w:r w:rsidRPr="00797913">
        <w:t xml:space="preserve"> have a material impact on the allocation of the generation revenue requirement to each rate group, and would also impact the allocation of </w:t>
      </w:r>
      <w:r w:rsidRPr="00797913">
        <w:rPr>
          <w:rFonts w:eastAsia="Times New Roman" w:cs="Times New Roman"/>
          <w:szCs w:val="26"/>
        </w:rPr>
        <w:t>Competition Transition Charge</w:t>
      </w:r>
      <w:r w:rsidR="00273215">
        <w:rPr>
          <w:rFonts w:eastAsia="Times New Roman" w:cs="Times New Roman"/>
          <w:szCs w:val="26"/>
        </w:rPr>
        <w:t xml:space="preserve"> (CTC)</w:t>
      </w:r>
      <w:r w:rsidRPr="00797913">
        <w:t xml:space="preserve"> and PCIA revenue requirements to each rate group.</w:t>
      </w:r>
      <w:r w:rsidRPr="00797913">
        <w:rPr>
          <w:vertAlign w:val="superscript"/>
        </w:rPr>
        <w:footnoteReference w:id="84"/>
      </w:r>
    </w:p>
    <w:p w:rsidR="00797913" w:rsidP="00797913" w:rsidRDefault="00797913" w14:paraId="7C8AA872" w14:textId="2F69FFA9">
      <w:r w:rsidRPr="00797913">
        <w:t>In the November Update, PG&amp;E proposes to submit in a Tier 1 Advice Letter updated illustrative ERRA-related rate components based on a final decision on the General Rate Case Phase II.</w:t>
      </w:r>
      <w:r w:rsidRPr="00797913">
        <w:rPr>
          <w:vertAlign w:val="superscript"/>
        </w:rPr>
        <w:footnoteReference w:id="85"/>
      </w:r>
      <w:r w:rsidR="00AF079B">
        <w:t xml:space="preserve">  </w:t>
      </w:r>
    </w:p>
    <w:p w:rsidRPr="00797913" w:rsidR="00797913" w:rsidP="00797913" w:rsidRDefault="00AF079B" w14:paraId="6E6D1A9E" w14:textId="2E3069D4">
      <w:r w:rsidRPr="00797913">
        <w:t>We have reviewed these calculations and find them reasonable and in compliance with all applicable rules, regulations, resolutions and decisions.</w:t>
      </w:r>
      <w:bookmarkEnd w:id="67"/>
    </w:p>
    <w:p w:rsidRPr="00797913" w:rsidR="00797913" w:rsidP="00DA6A75" w:rsidRDefault="00797913" w14:paraId="6AA30D51" w14:textId="0FC85F3A">
      <w:pPr>
        <w:pStyle w:val="Heading2"/>
        <w:tabs>
          <w:tab w:val="clear" w:pos="1080"/>
        </w:tabs>
      </w:pPr>
      <w:bookmarkStart w:name="_Toc95469389" w:id="71"/>
      <w:r w:rsidRPr="00797913">
        <w:t xml:space="preserve">GTSR Rates: </w:t>
      </w:r>
      <w:r w:rsidR="0050313D">
        <w:t xml:space="preserve"> </w:t>
      </w:r>
      <w:r w:rsidRPr="00797913">
        <w:t>Solar Value Adjustment Time</w:t>
      </w:r>
      <w:r w:rsidR="009B0154">
        <w:noBreakHyphen/>
      </w:r>
      <w:r w:rsidRPr="00797913">
        <w:t>of</w:t>
      </w:r>
      <w:r w:rsidR="000E734A">
        <w:noBreakHyphen/>
      </w:r>
      <w:r w:rsidRPr="00797913">
        <w:t>Delivery</w:t>
      </w:r>
      <w:r w:rsidR="00FF326A">
        <w:t xml:space="preserve"> (TOD)</w:t>
      </w:r>
      <w:r w:rsidRPr="00797913">
        <w:t xml:space="preserve"> Rate Component</w:t>
      </w:r>
      <w:bookmarkEnd w:id="68"/>
      <w:bookmarkEnd w:id="71"/>
    </w:p>
    <w:p w:rsidRPr="00797913" w:rsidR="00797913" w:rsidP="00797913" w:rsidRDefault="00797913" w14:paraId="0C42C840" w14:textId="52D89029">
      <w:pPr>
        <w:rPr>
          <w:rFonts w:cs="Calibri"/>
        </w:rPr>
      </w:pPr>
      <w:r w:rsidRPr="00797913">
        <w:t>PG&amp;E’s opening testimony included a forecast for the GTSR Program’s Solar Value Adjustment (SVA) TOD rate component that limited the charge to a value at or below zero.</w:t>
      </w:r>
      <w:r w:rsidRPr="00797913">
        <w:rPr>
          <w:rFonts w:eastAsia="Times New Roman" w:cs="Arial"/>
          <w:szCs w:val="26"/>
          <w:vertAlign w:val="superscript"/>
        </w:rPr>
        <w:footnoteReference w:id="86"/>
      </w:r>
      <w:r w:rsidRPr="00797913">
        <w:rPr>
          <w:rFonts w:cs="Times New Roman"/>
          <w:position w:val="6"/>
        </w:rPr>
        <w:t xml:space="preserve"> </w:t>
      </w:r>
      <w:r w:rsidRPr="00797913">
        <w:t>According to PG&amp;E, the SVA TOD rate credit was limited to a zero value beginning with PG&amp;E’s 2020 GTSR Rate Forecast.</w:t>
      </w:r>
      <w:r w:rsidRPr="00797913">
        <w:rPr>
          <w:szCs w:val="26"/>
          <w:vertAlign w:val="superscript"/>
        </w:rPr>
        <w:footnoteReference w:id="87"/>
      </w:r>
      <w:r w:rsidRPr="00797913">
        <w:t xml:space="preserve"> D.15</w:t>
      </w:r>
      <w:r w:rsidR="000E734A">
        <w:noBreakHyphen/>
      </w:r>
      <w:r w:rsidRPr="00797913">
        <w:t>01-051 approved the SVA TOD calculation methodology, which calculates a ratio that compares the value of solar to the cost to service load.</w:t>
      </w:r>
      <w:r w:rsidRPr="00797913">
        <w:rPr>
          <w:szCs w:val="26"/>
          <w:vertAlign w:val="superscript"/>
        </w:rPr>
        <w:footnoteReference w:id="88"/>
      </w:r>
      <w:r w:rsidRPr="00797913">
        <w:t xml:space="preserve"> This ratio is multiplied by the class average generation rate to determine the SVA TOD rate component.</w:t>
      </w:r>
      <w:r w:rsidRPr="00797913">
        <w:rPr>
          <w:szCs w:val="26"/>
          <w:vertAlign w:val="superscript"/>
        </w:rPr>
        <w:footnoteReference w:id="89"/>
      </w:r>
      <w:r w:rsidRPr="00797913">
        <w:t xml:space="preserve"> </w:t>
      </w:r>
      <w:r w:rsidRPr="00797913">
        <w:rPr>
          <w:rFonts w:cs="Calibri"/>
        </w:rPr>
        <w:t xml:space="preserve">At the time of D.15-01-051, solar generation coincided with higher peak system prices during the middle of the day and provided a greater value to the grid than conventional energy sources. Thus, the TOD adjustment was expected to be a credit, rather than a charge. </w:t>
      </w:r>
    </w:p>
    <w:p w:rsidRPr="00797913" w:rsidR="00797913" w:rsidP="00797913" w:rsidRDefault="00797913" w14:paraId="79090155" w14:textId="63606B4E">
      <w:pPr>
        <w:rPr>
          <w:rFonts w:cs="Calibri"/>
        </w:rPr>
      </w:pPr>
      <w:r w:rsidRPr="00797913">
        <w:rPr>
          <w:rFonts w:cs="Calibri"/>
        </w:rPr>
        <w:t>T</w:t>
      </w:r>
      <w:r w:rsidRPr="00797913">
        <w:rPr>
          <w:rFonts w:eastAsia="Times New Roman" w:cs="Arial"/>
        </w:rPr>
        <w:t xml:space="preserve">he December Update does not deviate from the November Update on this matter. </w:t>
      </w:r>
      <w:r w:rsidRPr="00797913">
        <w:t>The November Update effectively changes the SVA TOD rate component into a charge, which has the effect of lowering the net credit provided to the GTSR Program participants taking service under the Green Tariff</w:t>
      </w:r>
      <w:r w:rsidR="004E480F">
        <w:t>,</w:t>
      </w:r>
      <w:r w:rsidR="007B69FC">
        <w:t xml:space="preserve"> </w:t>
      </w:r>
      <w:r w:rsidRPr="00797913">
        <w:t>Schedule E-GT</w:t>
      </w:r>
      <w:r w:rsidR="004E480F">
        <w:t>,</w:t>
      </w:r>
      <w:r w:rsidRPr="00797913">
        <w:t xml:space="preserve"> rate. PG&amp;E proposes to remove the zero-price floor on its SVA TOD rate “credit</w:t>
      </w:r>
      <w:r w:rsidR="007B69FC">
        <w:t>,</w:t>
      </w:r>
      <w:r w:rsidRPr="00797913">
        <w:t xml:space="preserve">” effectively establishing a SVA TOD charge when PG&amp;E’s SVA TOD calculation methodology produces a ratio below one. </w:t>
      </w:r>
      <w:r w:rsidRPr="00797913">
        <w:rPr>
          <w:rFonts w:cs="Calibri"/>
        </w:rPr>
        <w:t>PG&amp;E’s proposal lowers the solar credit by 2.8 to 4.7</w:t>
      </w:r>
      <w:r w:rsidR="00982C35">
        <w:rPr>
          <w:rFonts w:cs="Calibri"/>
        </w:rPr>
        <w:t> </w:t>
      </w:r>
      <w:r w:rsidRPr="00797913">
        <w:rPr>
          <w:rFonts w:cs="Calibri"/>
        </w:rPr>
        <w:t xml:space="preserve">cents per </w:t>
      </w:r>
      <w:r w:rsidR="00451F0C">
        <w:rPr>
          <w:rFonts w:cs="Calibri"/>
        </w:rPr>
        <w:t>kWh</w:t>
      </w:r>
      <w:r w:rsidRPr="00797913">
        <w:rPr>
          <w:rFonts w:cs="Calibri"/>
          <w:vertAlign w:val="superscript"/>
        </w:rPr>
        <w:footnoteReference w:id="90"/>
      </w:r>
      <w:r w:rsidRPr="00797913">
        <w:rPr>
          <w:rFonts w:cs="Calibri"/>
        </w:rPr>
        <w:t xml:space="preserve">. As a result, the overall cost of participating in the Green Tariff program will shift from a credit back to a premium-priced product for almost all customers.  </w:t>
      </w:r>
    </w:p>
    <w:p w:rsidRPr="00797913" w:rsidR="00797913" w:rsidP="00797913" w:rsidRDefault="00797913" w14:paraId="69852205" w14:textId="2055FCE5">
      <w:r w:rsidRPr="00797913">
        <w:t>In comments, the Joint CCAs request that the Commission approve PG&amp;E’s proposal to remove the floor price from the SVA TOD rate, while also noting that the addition or removal of the cap on this rate component is an entirely new substantive proposal, which parties do not have the time to understand and test.</w:t>
      </w:r>
      <w:r w:rsidRPr="00797913">
        <w:rPr>
          <w:vertAlign w:val="superscript"/>
        </w:rPr>
        <w:footnoteReference w:id="91"/>
      </w:r>
      <w:r w:rsidRPr="00797913">
        <w:t xml:space="preserve"> </w:t>
      </w:r>
      <w:r w:rsidR="003C7B9C">
        <w:t>No opposition was filed.</w:t>
      </w:r>
    </w:p>
    <w:p w:rsidRPr="00797913" w:rsidR="00797913" w:rsidP="00797913" w:rsidRDefault="003C7B9C" w14:paraId="33771BAB" w14:textId="1DD3A008">
      <w:pPr>
        <w:rPr>
          <w:rFonts w:eastAsia="Times New Roman" w:cs="Times New Roman"/>
        </w:rPr>
      </w:pPr>
      <w:r>
        <w:t>The proposal by PG&amp;E corrects a flaw in the calculation of rates in the GTSR program. The correction will allow PG&amp;E to allocate the proper costs to E</w:t>
      </w:r>
      <w:r w:rsidR="00E548BF">
        <w:noBreakHyphen/>
      </w:r>
      <w:r>
        <w:t>GT rate subscribers. Therefore</w:t>
      </w:r>
      <w:r w:rsidRPr="00797913" w:rsidR="00797913">
        <w:t xml:space="preserve">, we find that PG&amp;E’s request </w:t>
      </w:r>
      <w:r>
        <w:t xml:space="preserve">to amend the methodology in its SVA TOD rate is reasonable </w:t>
      </w:r>
      <w:r w:rsidRPr="00797913">
        <w:t>and in compliance with all applicable rules, regulations, resolutions and decisions.</w:t>
      </w:r>
      <w:r>
        <w:t xml:space="preserve"> </w:t>
      </w:r>
    </w:p>
    <w:p w:rsidRPr="00797913" w:rsidR="00797913" w:rsidP="00B95CAC" w:rsidRDefault="00797913" w14:paraId="7B6D40A4" w14:textId="77777777">
      <w:pPr>
        <w:pStyle w:val="Heading1"/>
        <w:numPr>
          <w:ilvl w:val="0"/>
          <w:numId w:val="11"/>
        </w:numPr>
      </w:pPr>
      <w:bookmarkStart w:name="_Toc93499892" w:id="72"/>
      <w:bookmarkStart w:name="_Toc95469390" w:id="73"/>
      <w:bookmarkStart w:name="_Toc89164522" w:id="74"/>
      <w:r w:rsidRPr="00797913">
        <w:t>Information in Master Data Request</w:t>
      </w:r>
      <w:bookmarkEnd w:id="72"/>
      <w:bookmarkEnd w:id="73"/>
    </w:p>
    <w:p w:rsidRPr="00797913" w:rsidR="00797913" w:rsidP="00797913" w:rsidRDefault="00797913" w14:paraId="2955C565" w14:textId="7E98740D">
      <w:r w:rsidRPr="00797913">
        <w:t>In the 2021 ERRA Forecast proceeding, a Master Data Request process was established. PG&amp;E provides, on a monthly basis during the proceeding, updated current-year recorded volumetric information concerning PG&amp;E’s resources, load, and transactions informing balancing account balances to resolve disputes concerning transparency and data access.</w:t>
      </w:r>
      <w:r w:rsidRPr="00797913">
        <w:rPr>
          <w:vertAlign w:val="superscript"/>
        </w:rPr>
        <w:footnoteReference w:id="92"/>
      </w:r>
    </w:p>
    <w:p w:rsidRPr="00797913" w:rsidR="00797913" w:rsidP="00797913" w:rsidRDefault="00797913" w14:paraId="5A828A3B" w14:textId="0B785D16">
      <w:pPr>
        <w:rPr>
          <w:szCs w:val="26"/>
        </w:rPr>
      </w:pPr>
      <w:r w:rsidRPr="00797913">
        <w:rPr>
          <w:szCs w:val="26"/>
        </w:rPr>
        <w:t>A motion to compel was filed in this proceeding by the Joint CCAs to demand that PG&amp;E provide further information. The Joint CCAs sought data from PG&amp;E which supports the composition of the current vintage PCIA rates which are “a critical input to the derivation of PG&amp;E’s 2021 Portfolio Allocation Balance Account</w:t>
      </w:r>
      <w:r w:rsidRPr="00797913">
        <w:rPr>
          <w:sz w:val="28"/>
          <w:szCs w:val="28"/>
        </w:rPr>
        <w:t xml:space="preserve"> </w:t>
      </w:r>
      <w:r w:rsidRPr="00797913">
        <w:rPr>
          <w:szCs w:val="26"/>
        </w:rPr>
        <w:t>(PABA) year-end balance.”</w:t>
      </w:r>
      <w:r w:rsidRPr="00797913">
        <w:rPr>
          <w:szCs w:val="26"/>
          <w:vertAlign w:val="superscript"/>
        </w:rPr>
        <w:footnoteReference w:id="93"/>
      </w:r>
      <w:r w:rsidR="000C0E0A">
        <w:rPr>
          <w:szCs w:val="26"/>
        </w:rPr>
        <w:t xml:space="preserve"> </w:t>
      </w:r>
      <w:r w:rsidRPr="00797913">
        <w:rPr>
          <w:szCs w:val="26"/>
        </w:rPr>
        <w:t xml:space="preserve">Since the PCIA revenue requirement requested for approval in this proceeding includes the remaining 2021 year-end PABA balance, CCAs seek workpapers to understand the drivers of PG&amp;E’s 2021 year-end balance overcollection. Because the 2021 PCIA rates are integral to the calculation of the year-end PABA balance that is being used to set the 2022 PCIA rates, the workpapers supporting the 2021 PCIA rates are relevant to the current proceeding. The ability to compare the workpapers between the two proceedings is critical to the current proceeding and the 2021 workpapers merit scrutiny in that context. </w:t>
      </w:r>
    </w:p>
    <w:p w:rsidRPr="00797913" w:rsidR="00797913" w:rsidP="00797913" w:rsidRDefault="00797913" w14:paraId="5CFDF1C4" w14:textId="77777777">
      <w:pPr>
        <w:rPr>
          <w:szCs w:val="26"/>
        </w:rPr>
      </w:pPr>
      <w:r w:rsidRPr="00797913">
        <w:rPr>
          <w:szCs w:val="26"/>
        </w:rPr>
        <w:t>PG&amp;E argued that the additional data, although relevant to the 2021 ERRA forecast proceeding, was irrelevant to the current proceeding. PG&amp;E argued that the 2021 PCIA rates were already set in the 2021 proceeding and that because the current proceeding will not be modifying the 2021 PCIA rates. It further argued that the Annual ERRA Forecast proceeding is an expedited process to forecast rates in the future, and not one to conduct a detailed review of historical PCIA rates or balances.</w:t>
      </w:r>
      <w:r w:rsidRPr="00797913">
        <w:rPr>
          <w:szCs w:val="26"/>
          <w:vertAlign w:val="superscript"/>
        </w:rPr>
        <w:footnoteReference w:id="94"/>
      </w:r>
    </w:p>
    <w:p w:rsidRPr="00797913" w:rsidR="00797913" w:rsidP="00797913" w:rsidRDefault="00797913" w14:paraId="1530E178" w14:textId="040E7DEB">
      <w:r w:rsidRPr="00797913">
        <w:rPr>
          <w:szCs w:val="26"/>
        </w:rPr>
        <w:t>Although we agree with PG&amp;E that the ERRA Forecast proceeding is an expedited process, we disagree that the workpapers supporting the year-end PABA balance requested by the Joint CCAs is irrelevant for the next year’s proceeding. Therefore, we direct PG&amp;E to include the</w:t>
      </w:r>
      <w:r w:rsidRPr="00797913">
        <w:t xml:space="preserve"> confidential workpapers supporting the PCIA rates from the prior year’s ERRA Forecast proceeding as part of the Master Data Request it will provide in each subsequent ERRA Forecast proceeding. The Commission will not revisit the prior year’s PCIA rates based on the incorporation of prior year’s PCIA workpapers in the evidentiary record of a pending ERRA forecast application. We adopt the inclusion of the previous year’s PCIA rates in an ERRA forecast application on a going forward basis.</w:t>
      </w:r>
    </w:p>
    <w:p w:rsidRPr="007B69FC" w:rsidR="00797913" w:rsidP="00B95CAC" w:rsidRDefault="00797913" w14:paraId="0F467657" w14:textId="05018CB2">
      <w:pPr>
        <w:pStyle w:val="Heading1"/>
        <w:numPr>
          <w:ilvl w:val="0"/>
          <w:numId w:val="11"/>
        </w:numPr>
      </w:pPr>
      <w:bookmarkStart w:name="_Toc93499893" w:id="75"/>
      <w:bookmarkStart w:name="_Toc95469391" w:id="76"/>
      <w:r w:rsidRPr="007B69FC">
        <w:t xml:space="preserve">PG&amp;E’s </w:t>
      </w:r>
      <w:r w:rsidRPr="007B69FC" w:rsidR="00EB5943">
        <w:t xml:space="preserve">Role </w:t>
      </w:r>
      <w:r w:rsidRPr="007B69FC">
        <w:t>As a C</w:t>
      </w:r>
      <w:r w:rsidRPr="007B69FC" w:rsidR="00EB5943">
        <w:t xml:space="preserve">entral Procurement </w:t>
      </w:r>
      <w:r w:rsidRPr="007B69FC" w:rsidR="007B69FC">
        <w:br/>
      </w:r>
      <w:r w:rsidRPr="007B69FC" w:rsidR="00EB5943">
        <w:t>Entity (C</w:t>
      </w:r>
      <w:r w:rsidRPr="007B69FC">
        <w:t>PE</w:t>
      </w:r>
      <w:r w:rsidRPr="007B69FC" w:rsidR="00EB5943">
        <w:t>)</w:t>
      </w:r>
      <w:r w:rsidRPr="007B69FC">
        <w:t xml:space="preserve"> Starting in 2023</w:t>
      </w:r>
      <w:bookmarkEnd w:id="74"/>
      <w:bookmarkEnd w:id="75"/>
      <w:bookmarkEnd w:id="76"/>
    </w:p>
    <w:p w:rsidRPr="00797913" w:rsidR="00797913" w:rsidP="00797913" w:rsidRDefault="00797913" w14:paraId="1D368E7F" w14:textId="0F175611">
      <w:r w:rsidRPr="00797913">
        <w:t xml:space="preserve">In D.20-06-002, the Commission established a central procurement framework, through which a named Central Procurement Entity will enter into contracts for </w:t>
      </w:r>
      <w:r w:rsidR="00673232">
        <w:t>RA</w:t>
      </w:r>
      <w:r w:rsidRPr="00797913">
        <w:t xml:space="preserve"> starting in 2023. PG&amp;E, a named CPE for its service territory, has included administrative costs and costs</w:t>
      </w:r>
      <w:r w:rsidR="00D73C26">
        <w:t xml:space="preserve"> of the market solicitation process</w:t>
      </w:r>
      <w:r w:rsidR="00C54497">
        <w:t xml:space="preserve"> </w:t>
      </w:r>
      <w:r w:rsidRPr="00797913">
        <w:t>in its 2022 ERRA forecast applications</w:t>
      </w:r>
      <w:r w:rsidR="00C54497">
        <w:t xml:space="preserve"> and will recover those costs through the CAM</w:t>
      </w:r>
      <w:r w:rsidRPr="00797913">
        <w:t>.</w:t>
      </w:r>
      <w:r w:rsidRPr="00797913">
        <w:rPr>
          <w:vertAlign w:val="superscript"/>
        </w:rPr>
        <w:footnoteReference w:id="95"/>
      </w:r>
    </w:p>
    <w:p w:rsidRPr="00797913" w:rsidR="00797913" w:rsidP="00797913" w:rsidRDefault="00797913" w14:paraId="51055C07" w14:textId="6989B6A5">
      <w:r w:rsidRPr="00797913">
        <w:t>The Joint CCAs raise concerns that, to date, PG&amp;E has incurred only administrative costs related to establishing the CPE organization and beginning the market solicitation process.</w:t>
      </w:r>
      <w:r w:rsidRPr="00797913">
        <w:rPr>
          <w:vertAlign w:val="superscript"/>
        </w:rPr>
        <w:footnoteReference w:id="96"/>
      </w:r>
      <w:r w:rsidRPr="00797913">
        <w:t xml:space="preserve"> PG&amp;E should be required to identify in future ERRA proceedings transactions executed by PG&amp;E as the CPE for the Local R</w:t>
      </w:r>
      <w:r w:rsidR="00673232">
        <w:t>A</w:t>
      </w:r>
      <w:r w:rsidRPr="00797913">
        <w:t xml:space="preserve"> and the effect of CPE procurement on CAM and PCIA.</w:t>
      </w:r>
      <w:r w:rsidRPr="00797913">
        <w:rPr>
          <w:vertAlign w:val="superscript"/>
        </w:rPr>
        <w:footnoteReference w:id="97"/>
      </w:r>
      <w:r w:rsidRPr="00797913">
        <w:t xml:space="preserve"> Since UOG facilities will directly affect the CAM and PCIA, PG&amp;E should be required to clearly identify the impact of CPE procurement in the ERRA Forecast and demonstrate how specific resources shown or sold to the CPE are treated in the PCIA and CAM, and if and whether any transfer occur between the two accounts as result of CPE procurement.</w:t>
      </w:r>
      <w:r w:rsidRPr="00797913">
        <w:rPr>
          <w:vertAlign w:val="superscript"/>
        </w:rPr>
        <w:footnoteReference w:id="98"/>
      </w:r>
    </w:p>
    <w:p w:rsidRPr="00797913" w:rsidR="00797913" w:rsidP="00797913" w:rsidRDefault="00797913" w14:paraId="55A853BB" w14:textId="7E2C445A">
      <w:r w:rsidRPr="00797913">
        <w:t>PGE’s response is that the recommendation is outside the scope of this proceeding.</w:t>
      </w:r>
      <w:r w:rsidRPr="00797913">
        <w:rPr>
          <w:vertAlign w:val="superscript"/>
        </w:rPr>
        <w:footnoteReference w:id="99"/>
      </w:r>
      <w:r w:rsidRPr="00797913">
        <w:t xml:space="preserve"> No other parties commented on the CPE data access proposal.</w:t>
      </w:r>
    </w:p>
    <w:p w:rsidRPr="00797913" w:rsidR="00797913" w:rsidP="00797913" w:rsidRDefault="00797913" w14:paraId="35A108F2" w14:textId="139EC1ED">
      <w:r w:rsidRPr="00797913">
        <w:t>Upon review, the Commission finds the Joint CCA’s request is premature and outside the scope of this proceeding. The request for a Commission order requiring PG&amp;E to provide data demonstrating its future role as a CPE in future ERRA forecast proceedings is denied without prejudice.</w:t>
      </w:r>
    </w:p>
    <w:p w:rsidRPr="00E548BF" w:rsidR="00797913" w:rsidP="00B95CAC" w:rsidRDefault="00797913" w14:paraId="7DE107D9" w14:textId="77777777">
      <w:pPr>
        <w:pStyle w:val="Heading1"/>
        <w:numPr>
          <w:ilvl w:val="0"/>
          <w:numId w:val="11"/>
        </w:numPr>
      </w:pPr>
      <w:bookmarkStart w:name="_Toc93499894" w:id="77"/>
      <w:bookmarkStart w:name="_Toc95469392" w:id="78"/>
      <w:r w:rsidRPr="00797913">
        <w:t>Safety and Environmental and Social Justice Issues</w:t>
      </w:r>
      <w:bookmarkEnd w:id="77"/>
      <w:bookmarkEnd w:id="78"/>
    </w:p>
    <w:p w:rsidRPr="00797913" w:rsidR="00797913" w:rsidP="00797913" w:rsidRDefault="00797913" w14:paraId="3CF70B2A" w14:textId="6E765D95">
      <w:r w:rsidRPr="00797913">
        <w:t>The health and safety impacts of GHGs are among the many reasons that the Legislature enacted Assembly Bill (AB) 32. Specifically, the Legislature found and declared that global warming caused by GHG “poses a serious threat to the economic well</w:t>
      </w:r>
      <w:r w:rsidRPr="00797913">
        <w:noBreakHyphen/>
        <w:t>being, public health, natural resources, and the environment of California. The potential adverse impacts of global warming include the exacerbation of air quality problems, a reduction in the quality and supply of water to the state from the Sierra snowpack, a rise in sea levels resulting in the displacement of thousands of coastal businesses and residences, damage to marine ecosystems and the natural environment, and an increase in the incidences of infectious diseases, asthma, and other human health</w:t>
      </w:r>
      <w:r w:rsidRPr="00797913">
        <w:noBreakHyphen/>
        <w:t>related problems.”</w:t>
      </w:r>
      <w:r w:rsidRPr="00797913">
        <w:rPr>
          <w:vertAlign w:val="superscript"/>
        </w:rPr>
        <w:footnoteReference w:id="100"/>
      </w:r>
      <w:r w:rsidRPr="00797913">
        <w:t xml:space="preserve"> </w:t>
      </w:r>
    </w:p>
    <w:p w:rsidRPr="00797913" w:rsidR="00797913" w:rsidP="00797913" w:rsidRDefault="00797913" w14:paraId="6C74237F" w14:textId="77777777">
      <w:r w:rsidRPr="00797913">
        <w:t>In February 2019, the Commission adopted its Environmental and Social Justice (ESJ) Action Plan as a comprehensive strategy and framework for addressing ESJ issues in each proceeding.</w:t>
      </w:r>
      <w:r w:rsidRPr="007B69FC">
        <w:rPr>
          <w:vertAlign w:val="superscript"/>
        </w:rPr>
        <w:footnoteReference w:id="101"/>
      </w:r>
    </w:p>
    <w:p w:rsidRPr="00797913" w:rsidR="00797913" w:rsidP="00797913" w:rsidRDefault="00797913" w14:paraId="3E82A5CA" w14:textId="583A53B9">
      <w:r w:rsidRPr="00797913">
        <w:t xml:space="preserve">This decision implements a key part of the GHG reduction program envisioned by </w:t>
      </w:r>
      <w:r w:rsidR="008E0048">
        <w:t>Assembly Bill (</w:t>
      </w:r>
      <w:r w:rsidRPr="00797913">
        <w:t>AB</w:t>
      </w:r>
      <w:r w:rsidR="008E0048">
        <w:t>)</w:t>
      </w:r>
      <w:r w:rsidRPr="00797913">
        <w:t> 32 and Pub. Util. Code § 748.5, is consistent with the Commission’s Safety Policy Statement</w:t>
      </w:r>
      <w:r w:rsidRPr="00797913">
        <w:rPr>
          <w:vertAlign w:val="superscript"/>
        </w:rPr>
        <w:footnoteReference w:id="102"/>
      </w:r>
      <w:r w:rsidRPr="00797913">
        <w:t xml:space="preserve"> and, as a result, will improve the health and safety of California residents. </w:t>
      </w:r>
    </w:p>
    <w:p w:rsidRPr="00797913" w:rsidR="00797913" w:rsidP="00797913" w:rsidRDefault="00797913" w14:paraId="351F0A87" w14:textId="77777777">
      <w:r w:rsidRPr="00797913">
        <w:t xml:space="preserve">By adopting set asides for clean energy programs for disadvantaged communities, this decision advances the goals of the Commission’s Environmental and Social Justice Action Plan. </w:t>
      </w:r>
    </w:p>
    <w:p w:rsidRPr="00797913" w:rsidR="00797913" w:rsidP="00B95CAC" w:rsidRDefault="00797913" w14:paraId="02E3B636" w14:textId="77777777">
      <w:pPr>
        <w:pStyle w:val="Heading1"/>
        <w:numPr>
          <w:ilvl w:val="0"/>
          <w:numId w:val="11"/>
        </w:numPr>
      </w:pPr>
      <w:bookmarkStart w:name="_Toc93499895" w:id="79"/>
      <w:bookmarkStart w:name="_Toc95469393" w:id="80"/>
      <w:r w:rsidRPr="00797913">
        <w:t>Motions</w:t>
      </w:r>
      <w:bookmarkEnd w:id="79"/>
      <w:bookmarkEnd w:id="80"/>
    </w:p>
    <w:p w:rsidRPr="00797913" w:rsidR="00797913" w:rsidP="00797913" w:rsidRDefault="00236BBB" w14:paraId="74D1EEEF" w14:textId="6EDA985B">
      <w:r>
        <w:t>On</w:t>
      </w:r>
      <w:r w:rsidR="00DD07FA">
        <w:t xml:space="preserve"> January 2</w:t>
      </w:r>
      <w:r w:rsidR="00BD2082">
        <w:t>6</w:t>
      </w:r>
      <w:r w:rsidR="00DD07FA">
        <w:t>, 202</w:t>
      </w:r>
      <w:r w:rsidR="00BD2082">
        <w:t>2</w:t>
      </w:r>
      <w:r w:rsidR="00DD07FA">
        <w:t>, the assigned ALJ</w:t>
      </w:r>
      <w:r w:rsidRPr="00797913" w:rsidR="00797913">
        <w:t xml:space="preserve"> issue a ruling addressing all pending motions requesting exhibits be entered into evidence, and all pending motions requesting certain materials under submission be treated as confidential with leave to file such confidential information under seal. </w:t>
      </w:r>
    </w:p>
    <w:p w:rsidRPr="00797913" w:rsidR="00797913" w:rsidP="00797913" w:rsidRDefault="00797913" w14:paraId="34C8454E" w14:textId="77777777">
      <w:r w:rsidRPr="00797913">
        <w:t>All other pending motions are hereby denied.</w:t>
      </w:r>
    </w:p>
    <w:p w:rsidRPr="00797913" w:rsidR="00797913" w:rsidP="00B95CAC" w:rsidRDefault="00797913" w14:paraId="0217A345" w14:textId="77777777">
      <w:pPr>
        <w:pStyle w:val="Heading1"/>
        <w:numPr>
          <w:ilvl w:val="0"/>
          <w:numId w:val="11"/>
        </w:numPr>
      </w:pPr>
      <w:bookmarkStart w:name="_Toc8123723" w:id="81"/>
      <w:bookmarkStart w:name="_Toc93499896" w:id="82"/>
      <w:bookmarkStart w:name="_Toc95469394" w:id="83"/>
      <w:bookmarkEnd w:id="52"/>
      <w:r w:rsidRPr="00797913">
        <w:t>Comments on Proposed Decision</w:t>
      </w:r>
      <w:bookmarkEnd w:id="81"/>
      <w:bookmarkEnd w:id="82"/>
      <w:bookmarkEnd w:id="83"/>
    </w:p>
    <w:p w:rsidR="00797913" w:rsidP="00797913" w:rsidRDefault="00797913" w14:paraId="5FDF510D" w14:textId="1FCF3047">
      <w:r w:rsidRPr="00797913">
        <w:t>The proposed decision of ALJ Susan F. Lee in this matter was mailed to the parties in accordance with Section 311 of the Public Utilities Code</w:t>
      </w:r>
      <w:r w:rsidR="00D754B7">
        <w:t xml:space="preserve">. </w:t>
      </w:r>
      <w:r w:rsidRPr="00A057B9" w:rsidR="00C21A61">
        <w:rPr>
          <w:szCs w:val="26"/>
        </w:rPr>
        <w:t>On January</w:t>
      </w:r>
      <w:r w:rsidR="00E17746">
        <w:rPr>
          <w:szCs w:val="26"/>
        </w:rPr>
        <w:t> </w:t>
      </w:r>
      <w:r w:rsidRPr="00A057B9" w:rsidR="00C21A61">
        <w:rPr>
          <w:szCs w:val="26"/>
        </w:rPr>
        <w:t>7,</w:t>
      </w:r>
      <w:r w:rsidR="00E17746">
        <w:rPr>
          <w:szCs w:val="26"/>
        </w:rPr>
        <w:t> </w:t>
      </w:r>
      <w:r w:rsidRPr="00A057B9" w:rsidR="00C21A61">
        <w:rPr>
          <w:szCs w:val="26"/>
        </w:rPr>
        <w:t>2022, the ALJ emailed a procedural communication to the parties to stipulate to a seve</w:t>
      </w:r>
      <w:r w:rsidR="00FC33D5">
        <w:rPr>
          <w:szCs w:val="26"/>
        </w:rPr>
        <w:t>n</w:t>
      </w:r>
      <w:r w:rsidR="00A057B9">
        <w:rPr>
          <w:szCs w:val="26"/>
        </w:rPr>
        <w:t>-</w:t>
      </w:r>
      <w:r w:rsidRPr="00A057B9" w:rsidR="00C21A61">
        <w:rPr>
          <w:szCs w:val="26"/>
        </w:rPr>
        <w:t>day comment period and a three</w:t>
      </w:r>
      <w:r w:rsidR="00A057B9">
        <w:rPr>
          <w:szCs w:val="26"/>
        </w:rPr>
        <w:t>-</w:t>
      </w:r>
      <w:r w:rsidRPr="00A057B9" w:rsidR="00C21A61">
        <w:rPr>
          <w:szCs w:val="26"/>
        </w:rPr>
        <w:t>day reply period after the proposed decision mail</w:t>
      </w:r>
      <w:r w:rsidR="00795869">
        <w:rPr>
          <w:szCs w:val="26"/>
        </w:rPr>
        <w:t>s</w:t>
      </w:r>
      <w:r w:rsidRPr="00A057B9" w:rsidR="00C21A61">
        <w:rPr>
          <w:szCs w:val="26"/>
        </w:rPr>
        <w:t>. On January 7, 2022, DACC stipulated to the shortened comment periods.</w:t>
      </w:r>
      <w:r w:rsidR="007B69FC">
        <w:rPr>
          <w:szCs w:val="26"/>
        </w:rPr>
        <w:t xml:space="preserve"> </w:t>
      </w:r>
      <w:r w:rsidRPr="00A057B9" w:rsidR="00C21A61">
        <w:rPr>
          <w:szCs w:val="26"/>
        </w:rPr>
        <w:t>On January 8, 2022, the Joint CCAs so stipulated. On January</w:t>
      </w:r>
      <w:r w:rsidR="007B69FC">
        <w:rPr>
          <w:szCs w:val="26"/>
        </w:rPr>
        <w:t> </w:t>
      </w:r>
      <w:r w:rsidRPr="00A057B9" w:rsidR="00C21A61">
        <w:rPr>
          <w:szCs w:val="26"/>
        </w:rPr>
        <w:t xml:space="preserve">10, 2022, PG&amp;E and Cal Advocates agreed to the shortened comment periods. On January 11, 2022, AECA, Farm Bureau, CLECA and Cal CCA stipulated to the shortened comment period. </w:t>
      </w:r>
      <w:r w:rsidR="00D754B7">
        <w:t xml:space="preserve">Pursuant to </w:t>
      </w:r>
      <w:r w:rsidR="005B42AF">
        <w:t>Rule 14.6(b) o</w:t>
      </w:r>
      <w:r w:rsidRPr="00797913">
        <w:t>f the Commission’s Rules of Practice and Procedure</w:t>
      </w:r>
      <w:r w:rsidR="006D699F">
        <w:t xml:space="preserve"> and by stipulation of all the parties</w:t>
      </w:r>
      <w:r w:rsidR="008F542C">
        <w:t xml:space="preserve"> the otherwise applicable 30-day comment period is </w:t>
      </w:r>
      <w:r w:rsidR="009F1BC5">
        <w:t xml:space="preserve">shortened such that opening comments </w:t>
      </w:r>
      <w:r w:rsidR="00BC1EC4">
        <w:t>we</w:t>
      </w:r>
      <w:r w:rsidR="009F1BC5">
        <w:t xml:space="preserve">re due on </w:t>
      </w:r>
      <w:r w:rsidRPr="00797913">
        <w:t xml:space="preserve">January 31, 2022, and reply comments </w:t>
      </w:r>
      <w:r w:rsidR="00BC1EC4">
        <w:t>we</w:t>
      </w:r>
      <w:r w:rsidR="001F3A79">
        <w:t xml:space="preserve">re </w:t>
      </w:r>
      <w:r w:rsidR="009F1BC5">
        <w:t xml:space="preserve">due on </w:t>
      </w:r>
      <w:r w:rsidRPr="00797913">
        <w:t>February</w:t>
      </w:r>
      <w:r w:rsidR="00E17746">
        <w:t> </w:t>
      </w:r>
      <w:r w:rsidRPr="00797913">
        <w:t>3,</w:t>
      </w:r>
      <w:r w:rsidR="00E17746">
        <w:t> </w:t>
      </w:r>
      <w:r w:rsidRPr="00797913">
        <w:t>2022</w:t>
      </w:r>
      <w:r w:rsidR="009F1BC5">
        <w:t xml:space="preserve">. </w:t>
      </w:r>
      <w:r w:rsidR="001F3A79">
        <w:t xml:space="preserve">Public necessity </w:t>
      </w:r>
      <w:r w:rsidR="005C566B">
        <w:t xml:space="preserve">requires </w:t>
      </w:r>
      <w:r w:rsidR="003A4751">
        <w:t xml:space="preserve">electricity rates to be updated based on the ERRA forecast on January 1, or as soon thereafter as possible. </w:t>
      </w:r>
      <w:r w:rsidR="000A1EAF">
        <w:t>Due to the revised comm</w:t>
      </w:r>
      <w:r w:rsidR="003C1A90">
        <w:t xml:space="preserve">ent periods, the rates adopted in this decision will be effective March 1, 2022. </w:t>
      </w:r>
      <w:r w:rsidR="009F1BC5">
        <w:t xml:space="preserve">Opening comments were filed on </w:t>
      </w:r>
      <w:r w:rsidR="00FF40AB">
        <w:t>January 31, 2022 by PG&amp;E, the Joint CCAs and jointly by CLECA and AECA. R</w:t>
      </w:r>
      <w:r w:rsidR="009F1BC5">
        <w:t xml:space="preserve">eply comments were filed on </w:t>
      </w:r>
      <w:r w:rsidR="00FF40AB">
        <w:t>February 3, 2022</w:t>
      </w:r>
      <w:r w:rsidR="009F1BC5">
        <w:t xml:space="preserve"> </w:t>
      </w:r>
      <w:r w:rsidRPr="00797913">
        <w:t>by</w:t>
      </w:r>
      <w:r w:rsidR="00E17746">
        <w:t> </w:t>
      </w:r>
      <w:r w:rsidR="00283DA4">
        <w:t>the Joint CCAs, PG&amp;E and jointly by CLECA and AECA</w:t>
      </w:r>
      <w:r w:rsidRPr="00797913">
        <w:t>.</w:t>
      </w:r>
    </w:p>
    <w:p w:rsidR="00D57449" w:rsidP="00797913" w:rsidRDefault="00A36A0F" w14:paraId="5FC21B69" w14:textId="08A60DA3">
      <w:pPr>
        <w:rPr>
          <w:szCs w:val="26"/>
        </w:rPr>
      </w:pPr>
      <w:r w:rsidRPr="00850D63">
        <w:rPr>
          <w:szCs w:val="26"/>
        </w:rPr>
        <w:t xml:space="preserve">CLECA and AECA’s comments that the </w:t>
      </w:r>
      <w:r w:rsidR="00FC1F5C">
        <w:rPr>
          <w:szCs w:val="26"/>
        </w:rPr>
        <w:t xml:space="preserve">adoption of the </w:t>
      </w:r>
      <w:r w:rsidRPr="00850D63">
        <w:rPr>
          <w:szCs w:val="26"/>
        </w:rPr>
        <w:t>twelve-month amortization</w:t>
      </w:r>
      <w:r w:rsidRPr="00FC1F5C" w:rsidR="00FC1F5C">
        <w:t xml:space="preserve"> </w:t>
      </w:r>
      <w:r w:rsidR="005D7768">
        <w:t xml:space="preserve">has </w:t>
      </w:r>
      <w:r w:rsidR="00FC1F5C">
        <w:t xml:space="preserve">no basis in the evidentiary </w:t>
      </w:r>
      <w:proofErr w:type="gramStart"/>
      <w:r w:rsidR="00FC1F5C">
        <w:t>record</w:t>
      </w:r>
      <w:proofErr w:type="gramEnd"/>
      <w:r w:rsidR="00FC1F5C">
        <w:t xml:space="preserve"> or any legal authority</w:t>
      </w:r>
      <w:r w:rsidR="005D7768">
        <w:t xml:space="preserve"> is unfounded</w:t>
      </w:r>
      <w:r w:rsidRPr="00850D63">
        <w:rPr>
          <w:szCs w:val="26"/>
        </w:rPr>
        <w:t xml:space="preserve">. The ERRA Forecast </w:t>
      </w:r>
      <w:r w:rsidR="00D57449">
        <w:rPr>
          <w:szCs w:val="26"/>
        </w:rPr>
        <w:t>proceeding is</w:t>
      </w:r>
      <w:r w:rsidRPr="00850D63">
        <w:rPr>
          <w:szCs w:val="26"/>
        </w:rPr>
        <w:t xml:space="preserve"> a recordation of actual procurement costs for a utility with a project</w:t>
      </w:r>
      <w:r w:rsidR="00D57449">
        <w:rPr>
          <w:szCs w:val="26"/>
        </w:rPr>
        <w:t>ed</w:t>
      </w:r>
      <w:r w:rsidRPr="00850D63">
        <w:rPr>
          <w:szCs w:val="26"/>
        </w:rPr>
        <w:t xml:space="preserve"> calculation of revenue requirements for the following twelve months.</w:t>
      </w:r>
    </w:p>
    <w:p w:rsidRPr="00797913" w:rsidR="00283DA4" w:rsidP="00797913" w:rsidRDefault="00283DA4" w14:paraId="3955C9D5" w14:textId="540505F3">
      <w:r>
        <w:t>Revisions responsive to comments have been made. Comments which continue to argue positions which were previously presented during the course of the proceeding have not been discussed further.</w:t>
      </w:r>
    </w:p>
    <w:p w:rsidRPr="00797913" w:rsidR="00797913" w:rsidP="00B95CAC" w:rsidRDefault="00797913" w14:paraId="15354867" w14:textId="77777777">
      <w:pPr>
        <w:pStyle w:val="Heading1"/>
        <w:numPr>
          <w:ilvl w:val="0"/>
          <w:numId w:val="11"/>
        </w:numPr>
      </w:pPr>
      <w:bookmarkStart w:name="_Toc8123724" w:id="84"/>
      <w:bookmarkStart w:name="_Toc93499897" w:id="85"/>
      <w:bookmarkStart w:name="_Toc95469395" w:id="86"/>
      <w:r w:rsidRPr="00797913">
        <w:t xml:space="preserve">Assignment of </w:t>
      </w:r>
      <w:r w:rsidRPr="00FD2A84">
        <w:t>Proceeding</w:t>
      </w:r>
      <w:bookmarkEnd w:id="84"/>
      <w:bookmarkEnd w:id="85"/>
      <w:bookmarkEnd w:id="86"/>
    </w:p>
    <w:p w:rsidR="00797913" w:rsidP="00797913" w:rsidRDefault="000E775A" w14:paraId="38275862" w14:textId="19FF3A09">
      <w:r>
        <w:t>Genevieve Shiroma is</w:t>
      </w:r>
      <w:r w:rsidRPr="00797913" w:rsidR="00797913">
        <w:t xml:space="preserve"> the assigned Commissioner and Susan F. Lee is the assigned </w:t>
      </w:r>
      <w:r w:rsidR="00AC04DB">
        <w:t xml:space="preserve">ALJ </w:t>
      </w:r>
      <w:r w:rsidRPr="00797913" w:rsidR="00797913">
        <w:t xml:space="preserve">in this proceeding.  </w:t>
      </w:r>
    </w:p>
    <w:p w:rsidR="00FD2A84" w:rsidP="00FD2A84" w:rsidRDefault="00FD2A84" w14:paraId="72EDBDBF" w14:textId="77777777">
      <w:pPr>
        <w:pStyle w:val="Dummy"/>
      </w:pPr>
      <w:bookmarkStart w:name="_Toc95469396" w:id="87"/>
      <w:r>
        <w:t>Findings of Fact</w:t>
      </w:r>
      <w:bookmarkEnd w:id="87"/>
    </w:p>
    <w:p w:rsidR="00517F01" w:rsidP="00850D63" w:rsidRDefault="00517F01" w14:paraId="25954764" w14:textId="495F66F2">
      <w:pPr>
        <w:pStyle w:val="OP"/>
        <w:numPr>
          <w:ilvl w:val="0"/>
          <w:numId w:val="14"/>
        </w:numPr>
        <w:ind w:left="0" w:firstLine="360"/>
      </w:pPr>
      <w:r>
        <w:t xml:space="preserve">By Resolution ALJ-3488 dated June 24, 2021, </w:t>
      </w:r>
      <w:bookmarkStart w:name="_Hlk95466892" w:id="88"/>
      <w:r>
        <w:t>A</w:t>
      </w:r>
      <w:r w:rsidR="00EE4943">
        <w:t xml:space="preserve">pplication </w:t>
      </w:r>
      <w:bookmarkEnd w:id="88"/>
      <w:r w:rsidR="00EE4943">
        <w:t xml:space="preserve">(A.) </w:t>
      </w:r>
      <w:r>
        <w:t xml:space="preserve">21-06-001 was categorized as </w:t>
      </w:r>
      <w:proofErr w:type="spellStart"/>
      <w:r>
        <w:t>ratesetting</w:t>
      </w:r>
      <w:proofErr w:type="spellEnd"/>
      <w:r>
        <w:t xml:space="preserve"> with hearings needed.</w:t>
      </w:r>
    </w:p>
    <w:p w:rsidR="00797913" w:rsidP="00C21913" w:rsidRDefault="003E42E4" w14:paraId="37C20513" w14:textId="18A001F7">
      <w:pPr>
        <w:pStyle w:val="OP"/>
        <w:numPr>
          <w:ilvl w:val="0"/>
          <w:numId w:val="14"/>
        </w:numPr>
        <w:ind w:left="0" w:firstLine="360"/>
      </w:pPr>
      <w:r>
        <w:t xml:space="preserve">On June 1, 2021, PG&amp;E filed </w:t>
      </w:r>
      <w:r w:rsidRPr="00EE4943" w:rsidR="00EE4943">
        <w:t>A</w:t>
      </w:r>
      <w:r w:rsidR="00EE4943">
        <w:t>.</w:t>
      </w:r>
      <w:r>
        <w:t xml:space="preserve">21-06-001 and prepared testimony. </w:t>
      </w:r>
      <w:r w:rsidRPr="00892428" w:rsidR="00797913">
        <w:t>In A.21</w:t>
      </w:r>
      <w:r w:rsidR="00EE4943">
        <w:noBreakHyphen/>
      </w:r>
      <w:r w:rsidRPr="00892428" w:rsidR="00797913">
        <w:t>06-001, PG&amp;E request</w:t>
      </w:r>
      <w:r w:rsidR="007D2C8E">
        <w:t>s</w:t>
      </w:r>
      <w:r w:rsidRPr="00892428" w:rsidR="00797913">
        <w:t xml:space="preserve">, pursuant to its Application, and Update: </w:t>
      </w:r>
      <w:r w:rsidRPr="00892428" w:rsidR="0050313D">
        <w:t xml:space="preserve"> </w:t>
      </w:r>
      <w:r w:rsidRPr="00892428" w:rsidR="00797913">
        <w:t>1)</w:t>
      </w:r>
      <w:bookmarkStart w:name="_Hlk93480195" w:id="89"/>
      <w:r w:rsidR="00EE4943">
        <w:t xml:space="preserve"> </w:t>
      </w:r>
      <w:r w:rsidRPr="00892428" w:rsidR="00797913">
        <w:t>Adoption of its 2022 electric procurement revenue requirement forecast to become effective in rates on January 1, 2022</w:t>
      </w:r>
      <w:r w:rsidRPr="000A767B" w:rsidR="000A767B">
        <w:t xml:space="preserve">, </w:t>
      </w:r>
      <w:r w:rsidR="008976AE">
        <w:t>or</w:t>
      </w:r>
      <w:r w:rsidRPr="000A767B" w:rsidR="000A767B">
        <w:t xml:space="preserve"> as soon as practicable;</w:t>
      </w:r>
      <w:r w:rsidRPr="00892428" w:rsidR="00797913">
        <w:t xml:space="preserve"> 2)</w:t>
      </w:r>
      <w:r w:rsidR="00EE4943">
        <w:t> </w:t>
      </w:r>
      <w:r w:rsidRPr="00892428" w:rsidR="00797913">
        <w:t>adoption of its forecasted electric sales for 202</w:t>
      </w:r>
      <w:r w:rsidR="00FF40AB">
        <w:t>2</w:t>
      </w:r>
      <w:r w:rsidR="00EE4943">
        <w:t>;</w:t>
      </w:r>
      <w:r w:rsidRPr="00892428" w:rsidR="00797913">
        <w:t xml:space="preserve"> and 3) adoption of its forecast of GHG revenues, revenue return, and administrative and customer outreach costs for 2022 and approval of PG&amp;E’s 2020 GHG administrative and customer outreach costs as reasonable.</w:t>
      </w:r>
      <w:bookmarkEnd w:id="89"/>
    </w:p>
    <w:p w:rsidRPr="00892428" w:rsidR="00BC2119" w:rsidP="00C21913" w:rsidRDefault="00BC2119" w14:paraId="5EA4A38D" w14:textId="0088BABE">
      <w:pPr>
        <w:pStyle w:val="OP"/>
        <w:numPr>
          <w:ilvl w:val="0"/>
          <w:numId w:val="14"/>
        </w:numPr>
        <w:ind w:left="0" w:firstLine="360"/>
      </w:pPr>
      <w:r>
        <w:t>On October 11, 2021, PG&amp;E notified the service list by email that evidentiary hearings would not be needed</w:t>
      </w:r>
      <w:r w:rsidR="000F78D7">
        <w:t>, and before</w:t>
      </w:r>
      <w:r w:rsidRPr="000F78D7" w:rsidR="000F78D7">
        <w:t xml:space="preserve"> </w:t>
      </w:r>
      <w:r w:rsidR="000F78D7">
        <w:t xml:space="preserve">the </w:t>
      </w:r>
      <w:r w:rsidRPr="00797913" w:rsidR="000F78D7">
        <w:t>California Large Energy Consumers Association</w:t>
      </w:r>
      <w:r w:rsidR="000F78D7">
        <w:t xml:space="preserve"> requested party status</w:t>
      </w:r>
      <w:r>
        <w:t>.</w:t>
      </w:r>
    </w:p>
    <w:p w:rsidRPr="00892428" w:rsidR="00797913" w:rsidP="00C21913" w:rsidRDefault="00797913" w14:paraId="2949822B" w14:textId="1FD2E0C9">
      <w:pPr>
        <w:pStyle w:val="OP"/>
        <w:numPr>
          <w:ilvl w:val="0"/>
          <w:numId w:val="14"/>
        </w:numPr>
        <w:ind w:left="0" w:firstLine="360"/>
      </w:pPr>
      <w:r w:rsidRPr="00892428">
        <w:t>The 2022 Forecast Revenue Requirements continued to undergo updates as various input assumptions changed, including gas, electric and GHG forward price curves, sales forecasts and other project</w:t>
      </w:r>
      <w:r w:rsidR="00C61877">
        <w:t>ed</w:t>
      </w:r>
      <w:r w:rsidRPr="00892428">
        <w:t xml:space="preserve"> operations.</w:t>
      </w:r>
    </w:p>
    <w:p w:rsidRPr="00892428" w:rsidR="00797913" w:rsidP="00C21913" w:rsidRDefault="00797913" w14:paraId="0413846A" w14:textId="7AE961D7">
      <w:pPr>
        <w:pStyle w:val="OP"/>
        <w:numPr>
          <w:ilvl w:val="0"/>
          <w:numId w:val="14"/>
        </w:numPr>
        <w:ind w:left="0" w:firstLine="360"/>
      </w:pPr>
      <w:r w:rsidRPr="00892428">
        <w:t xml:space="preserve">The 2021 ERRA-Main balance </w:t>
      </w:r>
      <w:proofErr w:type="spellStart"/>
      <w:r w:rsidRPr="00892428">
        <w:t>undercollections</w:t>
      </w:r>
      <w:proofErr w:type="spellEnd"/>
      <w:r w:rsidRPr="00892428">
        <w:t xml:space="preserve"> continued to increase, </w:t>
      </w:r>
      <w:r w:rsidR="00F91831">
        <w:t xml:space="preserve">which PG&amp;E asserts is </w:t>
      </w:r>
      <w:r w:rsidRPr="00892428">
        <w:t>primarily due to an increase in unexpected CAISO energy costs.</w:t>
      </w:r>
    </w:p>
    <w:p w:rsidRPr="00892428" w:rsidR="00797913" w:rsidP="00C21913" w:rsidRDefault="00797913" w14:paraId="7BCB9359" w14:textId="25960224">
      <w:pPr>
        <w:pStyle w:val="OP"/>
        <w:numPr>
          <w:ilvl w:val="0"/>
          <w:numId w:val="14"/>
        </w:numPr>
        <w:ind w:left="0" w:firstLine="360"/>
      </w:pPr>
      <w:r w:rsidRPr="00892428">
        <w:t xml:space="preserve">A.21-06-001, filed on June 1, 2021, forecast a 2.4% increase </w:t>
      </w:r>
      <w:r w:rsidR="00C61877">
        <w:t>in</w:t>
      </w:r>
      <w:r w:rsidRPr="00892428">
        <w:t xml:space="preserve"> system average bundled rates. The November Update and subsequent Errata, filed on November 17, 2021, proposed a 13.8% increase to system average bundled rates based on energy market prices ending October 31, 2021. An October Update and a December Update were ordered to determine if the rate increase was a trend.</w:t>
      </w:r>
    </w:p>
    <w:p w:rsidRPr="00892428" w:rsidR="00797913" w:rsidP="00C21913" w:rsidRDefault="009B0154" w14:paraId="4BE0AA0D" w14:textId="0215B87B">
      <w:pPr>
        <w:pStyle w:val="OP"/>
        <w:numPr>
          <w:ilvl w:val="0"/>
          <w:numId w:val="14"/>
        </w:numPr>
        <w:ind w:left="0" w:firstLine="360"/>
      </w:pPr>
      <w:r w:rsidRPr="00892428">
        <w:t>T</w:t>
      </w:r>
      <w:r w:rsidRPr="00892428" w:rsidR="00797913">
        <w:t>he December Update included accounting close balances up to and including November 30, 2021, plus a December 2021 forecast using the November 30, 2021 forward electricity and natural gas price forecasts.</w:t>
      </w:r>
    </w:p>
    <w:p w:rsidR="00FE228E" w:rsidP="00C21913" w:rsidRDefault="00797913" w14:paraId="756013B9" w14:textId="77777777">
      <w:pPr>
        <w:pStyle w:val="OP"/>
        <w:numPr>
          <w:ilvl w:val="0"/>
          <w:numId w:val="14"/>
        </w:numPr>
        <w:ind w:left="0" w:firstLine="360"/>
      </w:pPr>
      <w:r w:rsidRPr="00892428">
        <w:t>The December Update provided more accurate information than the October Update and the November Update since it included more actual costs incurred by PG&amp;E throughout 2021.</w:t>
      </w:r>
    </w:p>
    <w:p w:rsidRPr="00892428" w:rsidR="00797913" w:rsidP="00C21913" w:rsidRDefault="00D031B8" w14:paraId="04E8A425" w14:textId="0DF1FCBA">
      <w:pPr>
        <w:pStyle w:val="OP"/>
        <w:numPr>
          <w:ilvl w:val="0"/>
          <w:numId w:val="14"/>
        </w:numPr>
        <w:ind w:left="0" w:firstLine="360"/>
      </w:pPr>
      <w:bookmarkStart w:name="_Hlk95129371" w:id="90"/>
      <w:r w:rsidRPr="00C21913">
        <w:t>As of the mailing of this Decision</w:t>
      </w:r>
      <w:r>
        <w:t>, PG&amp;E has the actual recorded year-end account balance for the ERRA-main balancing account.</w:t>
      </w:r>
    </w:p>
    <w:bookmarkEnd w:id="90"/>
    <w:p w:rsidRPr="00797913" w:rsidR="00797913" w:rsidP="00404B36" w:rsidRDefault="00797913" w14:paraId="6BEDD6BC" w14:textId="77777777">
      <w:pPr>
        <w:pStyle w:val="OP"/>
        <w:numPr>
          <w:ilvl w:val="0"/>
          <w:numId w:val="14"/>
        </w:numPr>
        <w:ind w:left="0" w:firstLine="270"/>
      </w:pPr>
      <w:r w:rsidRPr="00892428">
        <w:t xml:space="preserve">As of </w:t>
      </w:r>
      <w:r w:rsidR="00C61877">
        <w:t>the</w:t>
      </w:r>
      <w:r w:rsidRPr="00892428">
        <w:t xml:space="preserve"> December Update, PG&amp;E forecasts and requests approval for 2022 procurement revenue requirements as set forth below:</w:t>
      </w:r>
      <w:r w:rsidRPr="00797913">
        <w:t xml:space="preserve"> </w:t>
      </w:r>
    </w:p>
    <w:tbl>
      <w:tblPr>
        <w:tblW w:w="8910" w:type="dxa"/>
        <w:jc w:val="center"/>
        <w:tblLayout w:type="fixed"/>
        <w:tblCellMar>
          <w:left w:w="0" w:type="dxa"/>
          <w:right w:w="0" w:type="dxa"/>
        </w:tblCellMar>
        <w:tblLook w:val="04A0" w:firstRow="1" w:lastRow="0" w:firstColumn="1" w:lastColumn="0" w:noHBand="0" w:noVBand="1"/>
      </w:tblPr>
      <w:tblGrid>
        <w:gridCol w:w="7280"/>
        <w:gridCol w:w="1630"/>
      </w:tblGrid>
      <w:tr w:rsidRPr="00797913" w:rsidR="00797913" w:rsidTr="002F00E6" w14:paraId="088B5F44" w14:textId="77777777">
        <w:trPr>
          <w:jc w:val="center"/>
        </w:trPr>
        <w:tc>
          <w:tcPr>
            <w:tcW w:w="72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1E53EC73" w14:textId="77777777">
            <w:pPr>
              <w:keepNext/>
              <w:keepLines/>
              <w:spacing w:line="240" w:lineRule="auto"/>
              <w:ind w:firstLine="0"/>
              <w:rPr>
                <w:rFonts w:eastAsia="Times New Roman" w:cs="Times New Roman"/>
                <w:b/>
                <w:bCs/>
                <w:szCs w:val="26"/>
              </w:rPr>
            </w:pPr>
          </w:p>
          <w:p w:rsidRPr="00797913" w:rsidR="00797913" w:rsidP="00797913" w:rsidRDefault="00797913" w14:paraId="14A2BEE3" w14:textId="77777777">
            <w:pPr>
              <w:keepNext/>
              <w:keepLines/>
              <w:spacing w:line="240" w:lineRule="auto"/>
              <w:ind w:firstLine="0"/>
              <w:rPr>
                <w:rFonts w:eastAsia="Times New Roman" w:cs="Times New Roman"/>
                <w:b/>
                <w:bCs/>
                <w:szCs w:val="26"/>
              </w:rPr>
            </w:pPr>
          </w:p>
        </w:tc>
        <w:tc>
          <w:tcPr>
            <w:tcW w:w="163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4281CC67" w14:textId="77777777">
            <w:pPr>
              <w:keepNext/>
              <w:keepLines/>
              <w:spacing w:line="240" w:lineRule="auto"/>
              <w:ind w:firstLine="0"/>
              <w:rPr>
                <w:rFonts w:eastAsia="Times New Roman" w:cs="Times New Roman"/>
                <w:b/>
                <w:bCs/>
                <w:szCs w:val="26"/>
              </w:rPr>
            </w:pPr>
            <w:r w:rsidRPr="00797913">
              <w:rPr>
                <w:rFonts w:eastAsia="Times New Roman" w:cs="Times New Roman"/>
                <w:b/>
                <w:bCs/>
                <w:szCs w:val="26"/>
              </w:rPr>
              <w:t>Thousands</w:t>
            </w:r>
          </w:p>
        </w:tc>
      </w:tr>
      <w:tr w:rsidRPr="00797913" w:rsidR="00797913" w:rsidTr="002F00E6" w14:paraId="6D8EB5AA" w14:textId="77777777">
        <w:trPr>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797913" w:rsidP="00797913" w:rsidRDefault="00797913" w14:paraId="65D270FE" w14:textId="79D43189">
            <w:pPr>
              <w:keepNext/>
              <w:keepLines/>
              <w:spacing w:line="240" w:lineRule="auto"/>
              <w:ind w:firstLine="0"/>
              <w:rPr>
                <w:rFonts w:eastAsia="Times New Roman" w:cs="Times New Roman"/>
                <w:szCs w:val="26"/>
              </w:rPr>
            </w:pPr>
            <w:r w:rsidRPr="00797913">
              <w:rPr>
                <w:rFonts w:eastAsia="Times New Roman" w:cs="Times New Roman"/>
                <w:szCs w:val="26"/>
              </w:rPr>
              <w:t>Cost Allocation Mechanism/New System Generation Charge</w:t>
            </w:r>
            <w:r w:rsidR="007D2C8E">
              <w:rPr>
                <w:rFonts w:eastAsia="Times New Roman" w:cs="Times New Roman"/>
                <w:szCs w:val="26"/>
              </w:rPr>
              <w:t xml:space="preserve"> (CAM/ NSGC)</w:t>
            </w:r>
          </w:p>
        </w:tc>
        <w:tc>
          <w:tcPr>
            <w:tcW w:w="163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797913" w:rsidP="00797913" w:rsidRDefault="00797913" w14:paraId="5545B071" w14:textId="77777777">
            <w:pPr>
              <w:keepNext/>
              <w:keepLines/>
              <w:spacing w:line="240" w:lineRule="auto"/>
              <w:ind w:firstLine="0"/>
              <w:jc w:val="right"/>
              <w:rPr>
                <w:rFonts w:eastAsia="Times New Roman" w:cs="Times New Roman"/>
                <w:szCs w:val="26"/>
              </w:rPr>
            </w:pPr>
            <w:r w:rsidRPr="00797913">
              <w:rPr>
                <w:rFonts w:eastAsia="Times New Roman" w:cs="Times New Roman"/>
                <w:szCs w:val="26"/>
              </w:rPr>
              <w:t>$170,533</w:t>
            </w:r>
          </w:p>
        </w:tc>
      </w:tr>
      <w:tr w:rsidRPr="00797913" w:rsidR="00797913" w:rsidTr="002F00E6" w14:paraId="00865F36" w14:textId="77777777">
        <w:trPr>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797913" w:rsidP="00797913" w:rsidRDefault="00797913" w14:paraId="16DC3A10" w14:textId="77777777">
            <w:pPr>
              <w:keepNext/>
              <w:keepLines/>
              <w:spacing w:line="240" w:lineRule="auto"/>
              <w:ind w:firstLine="0"/>
              <w:rPr>
                <w:rFonts w:eastAsia="Times New Roman" w:cs="Times New Roman"/>
                <w:szCs w:val="26"/>
              </w:rPr>
            </w:pPr>
            <w:r w:rsidRPr="00797913">
              <w:rPr>
                <w:rFonts w:eastAsia="Times New Roman" w:cs="Times New Roman"/>
                <w:szCs w:val="26"/>
              </w:rPr>
              <w:t>Power Charge Indifference Adjustment (PCIA)</w:t>
            </w:r>
          </w:p>
        </w:tc>
        <w:tc>
          <w:tcPr>
            <w:tcW w:w="163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797913" w:rsidP="00797913" w:rsidRDefault="00797913" w14:paraId="19AC42AB" w14:textId="77777777">
            <w:pPr>
              <w:keepNext/>
              <w:keepLines/>
              <w:spacing w:line="240" w:lineRule="auto"/>
              <w:ind w:firstLine="0"/>
              <w:jc w:val="right"/>
              <w:rPr>
                <w:rFonts w:eastAsia="Times New Roman" w:cs="Times New Roman"/>
                <w:szCs w:val="26"/>
              </w:rPr>
            </w:pPr>
            <w:r w:rsidRPr="00797913">
              <w:rPr>
                <w:rFonts w:eastAsia="Times New Roman" w:cs="Times New Roman"/>
                <w:szCs w:val="26"/>
              </w:rPr>
              <w:t>$1,480,423</w:t>
            </w:r>
          </w:p>
        </w:tc>
      </w:tr>
      <w:tr w:rsidRPr="00797913" w:rsidR="00797913" w:rsidTr="002F00E6" w14:paraId="6D94F2B3" w14:textId="77777777">
        <w:trPr>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797913" w:rsidP="00797913" w:rsidRDefault="00797913" w14:paraId="3DFF39DD" w14:textId="3E304245">
            <w:pPr>
              <w:keepNext/>
              <w:keepLines/>
              <w:spacing w:line="240" w:lineRule="auto"/>
              <w:ind w:firstLine="0"/>
              <w:rPr>
                <w:rFonts w:eastAsia="Times New Roman" w:cs="Times New Roman"/>
                <w:szCs w:val="26"/>
              </w:rPr>
            </w:pPr>
            <w:r w:rsidRPr="00797913">
              <w:rPr>
                <w:rFonts w:eastAsia="Times New Roman" w:cs="Times New Roman"/>
                <w:szCs w:val="26"/>
              </w:rPr>
              <w:t>Ongoing Competition Transition Charge</w:t>
            </w:r>
            <w:r w:rsidR="007D2C8E">
              <w:rPr>
                <w:rFonts w:eastAsia="Times New Roman" w:cs="Times New Roman"/>
                <w:szCs w:val="26"/>
              </w:rPr>
              <w:t xml:space="preserve"> (CTC)</w:t>
            </w:r>
          </w:p>
        </w:tc>
        <w:tc>
          <w:tcPr>
            <w:tcW w:w="163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797913" w:rsidP="00797913" w:rsidRDefault="00797913" w14:paraId="035BA350" w14:textId="77777777">
            <w:pPr>
              <w:keepNext/>
              <w:keepLines/>
              <w:spacing w:line="240" w:lineRule="auto"/>
              <w:ind w:firstLine="0"/>
              <w:jc w:val="right"/>
              <w:rPr>
                <w:rFonts w:eastAsia="Times New Roman" w:cs="Times New Roman"/>
                <w:szCs w:val="26"/>
              </w:rPr>
            </w:pPr>
            <w:r w:rsidRPr="00797913">
              <w:rPr>
                <w:rFonts w:eastAsia="Times New Roman" w:cs="Times New Roman"/>
                <w:szCs w:val="26"/>
              </w:rPr>
              <w:t>$17,104</w:t>
            </w:r>
          </w:p>
        </w:tc>
      </w:tr>
      <w:tr w:rsidRPr="00797913" w:rsidR="00797913" w:rsidTr="002F00E6" w14:paraId="09251F62" w14:textId="77777777">
        <w:trPr>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797913" w:rsidP="00797913" w:rsidRDefault="00797913" w14:paraId="062FB78A" w14:textId="77777777">
            <w:pPr>
              <w:keepNext/>
              <w:keepLines/>
              <w:spacing w:line="240" w:lineRule="auto"/>
              <w:ind w:firstLine="0"/>
              <w:rPr>
                <w:rFonts w:eastAsia="Times New Roman" w:cs="Times New Roman"/>
                <w:szCs w:val="26"/>
              </w:rPr>
            </w:pPr>
            <w:r w:rsidRPr="00797913">
              <w:rPr>
                <w:rFonts w:eastAsia="Times New Roman" w:cs="Times New Roman"/>
                <w:szCs w:val="26"/>
              </w:rPr>
              <w:t>Energy Resource Recovery Account (ERRA)</w:t>
            </w:r>
          </w:p>
        </w:tc>
        <w:tc>
          <w:tcPr>
            <w:tcW w:w="163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797913" w:rsidP="00797913" w:rsidRDefault="00797913" w14:paraId="6FA0DC02" w14:textId="77777777">
            <w:pPr>
              <w:keepNext/>
              <w:keepLines/>
              <w:spacing w:line="240" w:lineRule="auto"/>
              <w:ind w:firstLine="0"/>
              <w:jc w:val="right"/>
              <w:rPr>
                <w:rFonts w:eastAsia="Times New Roman" w:cs="Times New Roman"/>
                <w:szCs w:val="26"/>
              </w:rPr>
            </w:pPr>
            <w:r w:rsidRPr="00797913">
              <w:rPr>
                <w:rFonts w:eastAsia="Times New Roman" w:cs="Times New Roman"/>
                <w:szCs w:val="26"/>
              </w:rPr>
              <w:t>$3,356,016</w:t>
            </w:r>
          </w:p>
        </w:tc>
      </w:tr>
      <w:tr w:rsidRPr="00797913" w:rsidR="00797913" w:rsidTr="002F00E6" w14:paraId="2471470A" w14:textId="77777777">
        <w:trPr>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7031A061" w14:textId="77777777">
            <w:pPr>
              <w:keepNext/>
              <w:keepLines/>
              <w:spacing w:line="240" w:lineRule="auto"/>
              <w:ind w:firstLine="0"/>
              <w:rPr>
                <w:rFonts w:eastAsia="Times New Roman" w:cs="Times New Roman"/>
                <w:szCs w:val="26"/>
              </w:rPr>
            </w:pPr>
            <w:r w:rsidRPr="00797913">
              <w:rPr>
                <w:rFonts w:eastAsia="Times New Roman" w:cs="Times New Roman"/>
                <w:szCs w:val="26"/>
              </w:rPr>
              <w:t>ERRA PCIA Financing Subaccount</w:t>
            </w:r>
          </w:p>
        </w:tc>
        <w:tc>
          <w:tcPr>
            <w:tcW w:w="163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3AE2A8C4" w14:textId="77777777">
            <w:pPr>
              <w:keepNext/>
              <w:keepLines/>
              <w:spacing w:line="240" w:lineRule="auto"/>
              <w:ind w:firstLine="0"/>
              <w:jc w:val="right"/>
              <w:rPr>
                <w:rFonts w:eastAsia="Times New Roman" w:cs="Times New Roman"/>
                <w:szCs w:val="26"/>
              </w:rPr>
            </w:pPr>
            <w:r w:rsidRPr="00797913">
              <w:rPr>
                <w:rFonts w:eastAsia="Times New Roman" w:cs="Times New Roman"/>
                <w:szCs w:val="26"/>
              </w:rPr>
              <w:t>($95,091)</w:t>
            </w:r>
          </w:p>
        </w:tc>
      </w:tr>
      <w:tr w:rsidRPr="00797913" w:rsidR="00797913" w:rsidTr="002F00E6" w14:paraId="2F1E290A" w14:textId="77777777">
        <w:trPr>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797913" w:rsidP="00797913" w:rsidRDefault="00797913" w14:paraId="28BF0A53" w14:textId="77777777">
            <w:pPr>
              <w:keepNext/>
              <w:keepLines/>
              <w:spacing w:line="240" w:lineRule="auto"/>
              <w:ind w:firstLine="0"/>
              <w:rPr>
                <w:rFonts w:eastAsia="Times New Roman" w:cs="Times New Roman"/>
                <w:szCs w:val="26"/>
              </w:rPr>
            </w:pPr>
            <w:r w:rsidRPr="00797913">
              <w:rPr>
                <w:rFonts w:eastAsia="Times New Roman" w:cs="Times New Roman"/>
                <w:szCs w:val="26"/>
              </w:rPr>
              <w:t xml:space="preserve">PCIA </w:t>
            </w:r>
            <w:proofErr w:type="spellStart"/>
            <w:r w:rsidRPr="00797913">
              <w:rPr>
                <w:rFonts w:eastAsia="Times New Roman" w:cs="Times New Roman"/>
                <w:szCs w:val="26"/>
              </w:rPr>
              <w:t>Undercollection</w:t>
            </w:r>
            <w:proofErr w:type="spellEnd"/>
            <w:r w:rsidRPr="00797913">
              <w:rPr>
                <w:rFonts w:eastAsia="Times New Roman" w:cs="Times New Roman"/>
                <w:szCs w:val="26"/>
              </w:rPr>
              <w:t xml:space="preserve"> Balancing Account</w:t>
            </w:r>
          </w:p>
        </w:tc>
        <w:tc>
          <w:tcPr>
            <w:tcW w:w="163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797913" w:rsidP="00797913" w:rsidRDefault="00797913" w14:paraId="43FBD4C4" w14:textId="77777777">
            <w:pPr>
              <w:keepNext/>
              <w:keepLines/>
              <w:spacing w:line="240" w:lineRule="auto"/>
              <w:ind w:firstLine="0"/>
              <w:jc w:val="right"/>
              <w:rPr>
                <w:rFonts w:eastAsia="Times New Roman" w:cs="Times New Roman"/>
                <w:szCs w:val="26"/>
              </w:rPr>
            </w:pPr>
            <w:r w:rsidRPr="00797913">
              <w:rPr>
                <w:rFonts w:eastAsia="Times New Roman" w:cs="Times New Roman"/>
                <w:szCs w:val="26"/>
              </w:rPr>
              <w:t>$91,526</w:t>
            </w:r>
          </w:p>
        </w:tc>
      </w:tr>
      <w:tr w:rsidRPr="00797913" w:rsidR="00797913" w:rsidTr="002F00E6" w14:paraId="44EE5EAD" w14:textId="77777777">
        <w:trPr>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797913" w:rsidP="00797913" w:rsidRDefault="00797913" w14:paraId="33192333" w14:textId="77777777">
            <w:pPr>
              <w:keepNext/>
              <w:keepLines/>
              <w:spacing w:line="240" w:lineRule="auto"/>
              <w:ind w:firstLine="0"/>
              <w:rPr>
                <w:rFonts w:eastAsia="Times New Roman" w:cs="Times New Roman"/>
                <w:szCs w:val="26"/>
              </w:rPr>
            </w:pPr>
            <w:r w:rsidRPr="00797913">
              <w:rPr>
                <w:rFonts w:eastAsia="Times New Roman" w:cs="Times New Roman"/>
                <w:szCs w:val="26"/>
              </w:rPr>
              <w:t>Non-Vintaged PCIA</w:t>
            </w:r>
          </w:p>
        </w:tc>
        <w:tc>
          <w:tcPr>
            <w:tcW w:w="163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797913" w:rsidP="00797913" w:rsidRDefault="00797913" w14:paraId="666828B4" w14:textId="77777777">
            <w:pPr>
              <w:keepNext/>
              <w:keepLines/>
              <w:spacing w:line="240" w:lineRule="auto"/>
              <w:ind w:firstLine="0"/>
              <w:jc w:val="right"/>
              <w:rPr>
                <w:rFonts w:eastAsia="Times New Roman" w:cs="Times New Roman"/>
                <w:szCs w:val="26"/>
              </w:rPr>
            </w:pPr>
            <w:r w:rsidRPr="00797913">
              <w:rPr>
                <w:rFonts w:eastAsia="Times New Roman" w:cs="Times New Roman"/>
                <w:szCs w:val="26"/>
              </w:rPr>
              <w:t>($16)</w:t>
            </w:r>
          </w:p>
        </w:tc>
      </w:tr>
      <w:tr w:rsidRPr="00797913" w:rsidR="00797913" w:rsidTr="002F00E6" w14:paraId="73728514" w14:textId="77777777">
        <w:trPr>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07B2F229" w14:textId="33EB406D">
            <w:pPr>
              <w:keepNext/>
              <w:keepLines/>
              <w:spacing w:line="240" w:lineRule="auto"/>
              <w:ind w:firstLine="0"/>
              <w:rPr>
                <w:rFonts w:eastAsia="Times New Roman" w:cs="Times New Roman"/>
                <w:szCs w:val="26"/>
              </w:rPr>
            </w:pPr>
            <w:r w:rsidRPr="00797913">
              <w:rPr>
                <w:rFonts w:eastAsia="Times New Roman" w:cs="Times New Roman"/>
                <w:szCs w:val="26"/>
              </w:rPr>
              <w:t>Tree Mortality Non</w:t>
            </w:r>
            <w:r w:rsidRPr="00797913">
              <w:rPr>
                <w:rFonts w:eastAsia="Times New Roman" w:cs="Times New Roman"/>
                <w:szCs w:val="26"/>
              </w:rPr>
              <w:noBreakHyphen/>
            </w:r>
            <w:proofErr w:type="spellStart"/>
            <w:r w:rsidRPr="00797913">
              <w:rPr>
                <w:rFonts w:eastAsia="Times New Roman" w:cs="Times New Roman"/>
                <w:szCs w:val="26"/>
              </w:rPr>
              <w:t>Bypassable</w:t>
            </w:r>
            <w:proofErr w:type="spellEnd"/>
            <w:r w:rsidRPr="00797913">
              <w:rPr>
                <w:rFonts w:eastAsia="Times New Roman" w:cs="Times New Roman"/>
                <w:szCs w:val="26"/>
              </w:rPr>
              <w:t xml:space="preserve"> Charge</w:t>
            </w:r>
            <w:r w:rsidR="007D2C8E">
              <w:rPr>
                <w:rFonts w:eastAsia="Times New Roman" w:cs="Times New Roman"/>
                <w:szCs w:val="26"/>
              </w:rPr>
              <w:t xml:space="preserve"> (TMNBC)</w:t>
            </w:r>
          </w:p>
        </w:tc>
        <w:tc>
          <w:tcPr>
            <w:tcW w:w="163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7700C42A" w14:textId="77777777">
            <w:pPr>
              <w:keepNext/>
              <w:keepLines/>
              <w:spacing w:line="240" w:lineRule="auto"/>
              <w:ind w:firstLine="0"/>
              <w:jc w:val="right"/>
              <w:rPr>
                <w:rFonts w:eastAsia="Times New Roman" w:cs="Times New Roman"/>
                <w:szCs w:val="26"/>
              </w:rPr>
            </w:pPr>
            <w:r w:rsidRPr="00797913">
              <w:t xml:space="preserve"> $</w:t>
            </w:r>
            <w:r w:rsidRPr="00797913">
              <w:rPr>
                <w:rFonts w:eastAsia="Times New Roman" w:cs="Times New Roman"/>
                <w:szCs w:val="26"/>
              </w:rPr>
              <w:t>12,597</w:t>
            </w:r>
          </w:p>
        </w:tc>
      </w:tr>
      <w:tr w:rsidRPr="00797913" w:rsidR="00797913" w:rsidTr="002F00E6" w14:paraId="752B1BC3" w14:textId="77777777">
        <w:trPr>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797913" w:rsidP="00797913" w:rsidRDefault="00797913" w14:paraId="0B6839FE" w14:textId="77777777">
            <w:pPr>
              <w:keepNext/>
              <w:keepLines/>
              <w:spacing w:line="240" w:lineRule="auto"/>
              <w:ind w:firstLine="0"/>
              <w:rPr>
                <w:rFonts w:eastAsia="Times New Roman" w:cs="Times New Roman"/>
                <w:szCs w:val="26"/>
              </w:rPr>
            </w:pPr>
            <w:r w:rsidRPr="00797913">
              <w:rPr>
                <w:rFonts w:eastAsia="Times New Roman" w:cs="Times New Roman"/>
                <w:szCs w:val="26"/>
              </w:rPr>
              <w:t>Bioenergy Market Adjusting Tariff</w:t>
            </w:r>
          </w:p>
        </w:tc>
        <w:tc>
          <w:tcPr>
            <w:tcW w:w="1630" w:type="dxa"/>
            <w:tcBorders>
              <w:top w:val="nil"/>
              <w:left w:val="single" w:color="auto" w:sz="8" w:space="0"/>
              <w:bottom w:val="double" w:color="auto" w:sz="4" w:space="0"/>
              <w:right w:val="single" w:color="auto" w:sz="8" w:space="0"/>
            </w:tcBorders>
            <w:tcMar>
              <w:top w:w="0" w:type="dxa"/>
              <w:left w:w="108" w:type="dxa"/>
              <w:bottom w:w="0" w:type="dxa"/>
              <w:right w:w="108" w:type="dxa"/>
            </w:tcMar>
          </w:tcPr>
          <w:p w:rsidRPr="00797913" w:rsidR="00797913" w:rsidP="00797913" w:rsidRDefault="00797913" w14:paraId="38858424" w14:textId="77777777">
            <w:pPr>
              <w:keepNext/>
              <w:keepLines/>
              <w:spacing w:line="240" w:lineRule="auto"/>
              <w:ind w:firstLine="0"/>
              <w:jc w:val="right"/>
              <w:rPr>
                <w:rFonts w:eastAsia="Times New Roman" w:cs="Times New Roman"/>
                <w:szCs w:val="26"/>
              </w:rPr>
            </w:pPr>
            <w:r w:rsidRPr="00797913">
              <w:rPr>
                <w:rFonts w:eastAsia="Times New Roman" w:cs="Times New Roman"/>
                <w:szCs w:val="26"/>
              </w:rPr>
              <w:t>$27,098</w:t>
            </w:r>
          </w:p>
        </w:tc>
      </w:tr>
      <w:tr w:rsidRPr="00797913" w:rsidR="00797913" w:rsidTr="002F00E6" w14:paraId="6063E367" w14:textId="77777777">
        <w:trPr>
          <w:trHeight w:val="295"/>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11D4FB02" w14:textId="77777777">
            <w:pPr>
              <w:keepNext/>
              <w:keepLines/>
              <w:spacing w:line="240" w:lineRule="auto"/>
              <w:ind w:firstLine="0"/>
              <w:rPr>
                <w:rFonts w:eastAsia="Times New Roman" w:cs="Times New Roman"/>
                <w:szCs w:val="26"/>
              </w:rPr>
            </w:pPr>
            <w:r w:rsidRPr="00797913">
              <w:rPr>
                <w:rFonts w:eastAsia="Times New Roman" w:cs="Times New Roman"/>
                <w:szCs w:val="26"/>
              </w:rPr>
              <w:t xml:space="preserve">Revenue Requirement for Rate Setting </w:t>
            </w:r>
          </w:p>
        </w:tc>
        <w:tc>
          <w:tcPr>
            <w:tcW w:w="1630" w:type="dxa"/>
            <w:tcBorders>
              <w:top w:val="double" w:color="auto" w:sz="4" w:space="0"/>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32AE363F" w14:textId="77777777">
            <w:pPr>
              <w:keepNext/>
              <w:keepLines/>
              <w:spacing w:line="240" w:lineRule="auto"/>
              <w:ind w:firstLine="0"/>
              <w:jc w:val="right"/>
              <w:rPr>
                <w:rFonts w:eastAsia="Times New Roman" w:cs="Times New Roman"/>
                <w:szCs w:val="26"/>
              </w:rPr>
            </w:pPr>
            <w:r w:rsidRPr="00797913">
              <w:rPr>
                <w:rFonts w:eastAsia="Times New Roman" w:cs="Times New Roman"/>
                <w:szCs w:val="26"/>
              </w:rPr>
              <w:t>$5,060,190</w:t>
            </w:r>
          </w:p>
        </w:tc>
      </w:tr>
      <w:tr w:rsidRPr="00797913" w:rsidR="00797913" w:rsidTr="002F00E6" w14:paraId="6515D8FC" w14:textId="77777777">
        <w:trPr>
          <w:trHeight w:val="44"/>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797913" w:rsidP="00797913" w:rsidRDefault="00797913" w14:paraId="7317E26C" w14:textId="77777777">
            <w:pPr>
              <w:keepNext/>
              <w:keepLines/>
              <w:spacing w:line="240" w:lineRule="auto"/>
              <w:ind w:firstLine="0"/>
              <w:rPr>
                <w:rFonts w:eastAsia="Times New Roman" w:cs="Times New Roman"/>
                <w:b/>
                <w:bCs/>
                <w:szCs w:val="26"/>
              </w:rPr>
            </w:pPr>
            <w:r w:rsidRPr="00797913">
              <w:rPr>
                <w:rFonts w:eastAsia="Times New Roman" w:cs="Times New Roman"/>
                <w:b/>
                <w:bCs/>
                <w:szCs w:val="26"/>
              </w:rPr>
              <w:t>Adjustments from Other Proceedings</w:t>
            </w:r>
          </w:p>
        </w:tc>
        <w:tc>
          <w:tcPr>
            <w:tcW w:w="1630" w:type="dxa"/>
            <w:tcBorders>
              <w:top w:val="nil"/>
              <w:left w:val="single" w:color="auto" w:sz="8" w:space="0"/>
              <w:bottom w:val="double" w:color="auto" w:sz="4" w:space="0"/>
              <w:right w:val="single" w:color="auto" w:sz="8" w:space="0"/>
            </w:tcBorders>
            <w:tcMar>
              <w:top w:w="0" w:type="dxa"/>
              <w:left w:w="108" w:type="dxa"/>
              <w:bottom w:w="0" w:type="dxa"/>
              <w:right w:w="108" w:type="dxa"/>
            </w:tcMar>
          </w:tcPr>
          <w:p w:rsidRPr="00797913" w:rsidR="00797913" w:rsidP="00797913" w:rsidRDefault="00797913" w14:paraId="76563AAC" w14:textId="77777777">
            <w:pPr>
              <w:keepNext/>
              <w:keepLines/>
              <w:spacing w:line="240" w:lineRule="auto"/>
              <w:ind w:firstLine="0"/>
              <w:jc w:val="right"/>
              <w:rPr>
                <w:rFonts w:eastAsia="Times New Roman" w:cs="Times New Roman"/>
                <w:szCs w:val="26"/>
              </w:rPr>
            </w:pPr>
          </w:p>
        </w:tc>
      </w:tr>
      <w:tr w:rsidRPr="00797913" w:rsidR="00797913" w:rsidTr="002F00E6" w14:paraId="356BA1BE" w14:textId="77777777">
        <w:trPr>
          <w:trHeight w:val="44"/>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797913" w:rsidP="00797913" w:rsidRDefault="00797913" w14:paraId="1232292C" w14:textId="09DCB567">
            <w:pPr>
              <w:keepNext/>
              <w:keepLines/>
              <w:spacing w:line="240" w:lineRule="auto"/>
              <w:ind w:firstLine="0"/>
              <w:rPr>
                <w:rFonts w:eastAsia="Times New Roman" w:cs="Times New Roman"/>
                <w:szCs w:val="26"/>
              </w:rPr>
            </w:pPr>
            <w:r w:rsidRPr="00797913">
              <w:rPr>
                <w:rFonts w:eastAsia="Times New Roman" w:cs="Times New Roman"/>
                <w:szCs w:val="26"/>
              </w:rPr>
              <w:t>Utility Owned Generation Related Costs</w:t>
            </w:r>
            <w:r w:rsidR="007D2C8E">
              <w:rPr>
                <w:rFonts w:eastAsia="Times New Roman" w:cs="Times New Roman"/>
                <w:szCs w:val="26"/>
              </w:rPr>
              <w:t xml:space="preserve"> (UOG)</w:t>
            </w:r>
          </w:p>
        </w:tc>
        <w:tc>
          <w:tcPr>
            <w:tcW w:w="1630" w:type="dxa"/>
            <w:tcBorders>
              <w:top w:val="nil"/>
              <w:left w:val="single" w:color="auto" w:sz="8" w:space="0"/>
              <w:bottom w:val="double" w:color="auto" w:sz="4" w:space="0"/>
              <w:right w:val="single" w:color="auto" w:sz="8" w:space="0"/>
            </w:tcBorders>
            <w:tcMar>
              <w:top w:w="0" w:type="dxa"/>
              <w:left w:w="108" w:type="dxa"/>
              <w:bottom w:w="0" w:type="dxa"/>
              <w:right w:w="108" w:type="dxa"/>
            </w:tcMar>
          </w:tcPr>
          <w:p w:rsidRPr="00797913" w:rsidR="00797913" w:rsidP="00797913" w:rsidRDefault="00797913" w14:paraId="2962267F" w14:textId="77777777">
            <w:pPr>
              <w:keepNext/>
              <w:keepLines/>
              <w:spacing w:line="240" w:lineRule="auto"/>
              <w:ind w:firstLine="0"/>
              <w:jc w:val="right"/>
              <w:rPr>
                <w:rFonts w:eastAsia="Times New Roman" w:cs="Times New Roman"/>
                <w:szCs w:val="26"/>
              </w:rPr>
            </w:pPr>
            <w:r w:rsidRPr="00797913">
              <w:rPr>
                <w:rFonts w:eastAsia="Times New Roman" w:cs="Times New Roman"/>
                <w:szCs w:val="26"/>
              </w:rPr>
              <w:t>($2,437,220)</w:t>
            </w:r>
          </w:p>
        </w:tc>
      </w:tr>
      <w:tr w:rsidRPr="00797913" w:rsidR="00797913" w:rsidTr="002F00E6" w14:paraId="532D7508" w14:textId="77777777">
        <w:trPr>
          <w:trHeight w:val="44"/>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797913" w:rsidP="00797913" w:rsidRDefault="00797913" w14:paraId="7D28B410" w14:textId="77777777">
            <w:pPr>
              <w:keepNext/>
              <w:keepLines/>
              <w:spacing w:line="240" w:lineRule="auto"/>
              <w:ind w:firstLine="0"/>
              <w:rPr>
                <w:rFonts w:eastAsia="Times New Roman" w:cs="Times New Roman"/>
                <w:szCs w:val="26"/>
              </w:rPr>
            </w:pPr>
            <w:r w:rsidRPr="00797913">
              <w:rPr>
                <w:rFonts w:eastAsia="Times New Roman" w:cs="Times New Roman"/>
                <w:szCs w:val="26"/>
              </w:rPr>
              <w:t xml:space="preserve">PCIA </w:t>
            </w:r>
            <w:proofErr w:type="spellStart"/>
            <w:r w:rsidRPr="00797913">
              <w:rPr>
                <w:rFonts w:eastAsia="Times New Roman" w:cs="Times New Roman"/>
                <w:szCs w:val="26"/>
              </w:rPr>
              <w:t>Undercollection</w:t>
            </w:r>
            <w:proofErr w:type="spellEnd"/>
            <w:r w:rsidRPr="00797913">
              <w:rPr>
                <w:rFonts w:eastAsia="Times New Roman" w:cs="Times New Roman"/>
                <w:szCs w:val="26"/>
              </w:rPr>
              <w:t xml:space="preserve"> Balancing Account (Adjustment)</w:t>
            </w:r>
          </w:p>
        </w:tc>
        <w:tc>
          <w:tcPr>
            <w:tcW w:w="1630" w:type="dxa"/>
            <w:tcBorders>
              <w:top w:val="nil"/>
              <w:left w:val="single" w:color="auto" w:sz="8" w:space="0"/>
              <w:bottom w:val="double" w:color="auto" w:sz="4" w:space="0"/>
              <w:right w:val="single" w:color="auto" w:sz="8" w:space="0"/>
            </w:tcBorders>
            <w:tcMar>
              <w:top w:w="0" w:type="dxa"/>
              <w:left w:w="108" w:type="dxa"/>
              <w:bottom w:w="0" w:type="dxa"/>
              <w:right w:w="108" w:type="dxa"/>
            </w:tcMar>
          </w:tcPr>
          <w:p w:rsidRPr="00797913" w:rsidR="00797913" w:rsidP="00797913" w:rsidRDefault="00797913" w14:paraId="1D90B2F0" w14:textId="77777777">
            <w:pPr>
              <w:keepNext/>
              <w:keepLines/>
              <w:spacing w:line="240" w:lineRule="auto"/>
              <w:ind w:firstLine="0"/>
              <w:jc w:val="right"/>
              <w:rPr>
                <w:rFonts w:eastAsia="Times New Roman" w:cs="Times New Roman"/>
                <w:szCs w:val="26"/>
              </w:rPr>
            </w:pPr>
            <w:r w:rsidRPr="00797913">
              <w:rPr>
                <w:rFonts w:eastAsia="Times New Roman" w:cs="Times New Roman"/>
                <w:szCs w:val="26"/>
              </w:rPr>
              <w:t>$95,091</w:t>
            </w:r>
          </w:p>
        </w:tc>
      </w:tr>
      <w:tr w:rsidRPr="00797913" w:rsidR="00797913" w:rsidTr="002F00E6" w14:paraId="311A0A84" w14:textId="77777777">
        <w:trPr>
          <w:trHeight w:val="44"/>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797913" w:rsidP="00797913" w:rsidRDefault="00797913" w14:paraId="11EF9790" w14:textId="77777777">
            <w:pPr>
              <w:keepNext/>
              <w:keepLines/>
              <w:spacing w:line="240" w:lineRule="auto"/>
              <w:ind w:firstLine="0"/>
              <w:rPr>
                <w:rFonts w:eastAsia="Times New Roman" w:cs="Times New Roman"/>
                <w:szCs w:val="26"/>
              </w:rPr>
            </w:pPr>
            <w:r w:rsidRPr="00797913">
              <w:rPr>
                <w:rFonts w:eastAsia="Times New Roman" w:cs="Times New Roman"/>
                <w:szCs w:val="26"/>
              </w:rPr>
              <w:t>ERRA PCIA Financing Subaccount (Adjustment)</w:t>
            </w:r>
          </w:p>
        </w:tc>
        <w:tc>
          <w:tcPr>
            <w:tcW w:w="1630" w:type="dxa"/>
            <w:tcBorders>
              <w:top w:val="nil"/>
              <w:left w:val="single" w:color="auto" w:sz="8" w:space="0"/>
              <w:bottom w:val="double" w:color="auto" w:sz="4" w:space="0"/>
              <w:right w:val="single" w:color="auto" w:sz="8" w:space="0"/>
            </w:tcBorders>
            <w:tcMar>
              <w:top w:w="0" w:type="dxa"/>
              <w:left w:w="108" w:type="dxa"/>
              <w:bottom w:w="0" w:type="dxa"/>
              <w:right w:w="108" w:type="dxa"/>
            </w:tcMar>
          </w:tcPr>
          <w:p w:rsidRPr="00797913" w:rsidR="00797913" w:rsidP="00797913" w:rsidRDefault="00797913" w14:paraId="2F96391E" w14:textId="77777777">
            <w:pPr>
              <w:keepNext/>
              <w:keepLines/>
              <w:spacing w:line="240" w:lineRule="auto"/>
              <w:ind w:firstLine="0"/>
              <w:jc w:val="right"/>
              <w:rPr>
                <w:rFonts w:eastAsia="Times New Roman" w:cs="Times New Roman"/>
                <w:szCs w:val="26"/>
              </w:rPr>
            </w:pPr>
            <w:r w:rsidRPr="00797913">
              <w:rPr>
                <w:rFonts w:eastAsia="Times New Roman" w:cs="Times New Roman"/>
                <w:szCs w:val="26"/>
              </w:rPr>
              <w:t>($91,526)</w:t>
            </w:r>
          </w:p>
        </w:tc>
      </w:tr>
      <w:tr w:rsidRPr="00797913" w:rsidR="00797913" w:rsidTr="002F00E6" w14:paraId="4760AF93" w14:textId="77777777">
        <w:trPr>
          <w:trHeight w:val="44"/>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797913" w:rsidP="00797913" w:rsidRDefault="00797913" w14:paraId="4F1242E4" w14:textId="77777777">
            <w:pPr>
              <w:keepNext/>
              <w:keepLines/>
              <w:spacing w:line="240" w:lineRule="auto"/>
              <w:ind w:firstLine="0"/>
              <w:rPr>
                <w:rFonts w:eastAsia="Times New Roman" w:cs="Times New Roman"/>
                <w:szCs w:val="26"/>
              </w:rPr>
            </w:pPr>
            <w:r w:rsidRPr="00797913">
              <w:rPr>
                <w:rFonts w:eastAsia="Times New Roman" w:cs="Times New Roman"/>
                <w:szCs w:val="26"/>
              </w:rPr>
              <w:t>Electric Risk Transfer Balancing Account</w:t>
            </w:r>
          </w:p>
        </w:tc>
        <w:tc>
          <w:tcPr>
            <w:tcW w:w="1630" w:type="dxa"/>
            <w:tcBorders>
              <w:top w:val="nil"/>
              <w:left w:val="single" w:color="auto" w:sz="8" w:space="0"/>
              <w:bottom w:val="double" w:color="auto" w:sz="4" w:space="0"/>
              <w:right w:val="single" w:color="auto" w:sz="8" w:space="0"/>
            </w:tcBorders>
            <w:tcMar>
              <w:top w:w="0" w:type="dxa"/>
              <w:left w:w="108" w:type="dxa"/>
              <w:bottom w:w="0" w:type="dxa"/>
              <w:right w:w="108" w:type="dxa"/>
            </w:tcMar>
          </w:tcPr>
          <w:p w:rsidRPr="00797913" w:rsidR="00797913" w:rsidP="00797913" w:rsidRDefault="00797913" w14:paraId="0A9D15F9" w14:textId="77777777">
            <w:pPr>
              <w:keepNext/>
              <w:keepLines/>
              <w:spacing w:line="240" w:lineRule="auto"/>
              <w:ind w:firstLine="0"/>
              <w:jc w:val="right"/>
              <w:rPr>
                <w:rFonts w:eastAsia="Times New Roman" w:cs="Times New Roman"/>
                <w:szCs w:val="26"/>
              </w:rPr>
            </w:pPr>
            <w:r w:rsidRPr="00797913">
              <w:rPr>
                <w:rFonts w:eastAsia="Times New Roman" w:cs="Times New Roman"/>
                <w:szCs w:val="26"/>
              </w:rPr>
              <w:t>($163,370)</w:t>
            </w:r>
          </w:p>
        </w:tc>
      </w:tr>
      <w:tr w:rsidRPr="00797913" w:rsidR="00797913" w:rsidTr="002F00E6" w14:paraId="353CA910" w14:textId="77777777">
        <w:trPr>
          <w:trHeight w:val="44"/>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797913" w:rsidP="00797913" w:rsidRDefault="00797913" w14:paraId="633C6421" w14:textId="77777777">
            <w:pPr>
              <w:keepNext/>
              <w:keepLines/>
              <w:spacing w:line="240" w:lineRule="auto"/>
              <w:ind w:firstLine="0"/>
              <w:rPr>
                <w:rFonts w:eastAsia="Times New Roman" w:cs="Times New Roman"/>
                <w:szCs w:val="26"/>
              </w:rPr>
            </w:pPr>
            <w:r w:rsidRPr="00797913">
              <w:rPr>
                <w:rFonts w:eastAsia="Times New Roman" w:cs="Times New Roman"/>
                <w:szCs w:val="26"/>
              </w:rPr>
              <w:t>2020 and 2021 Electric Residential Uncollectible Balancing Account</w:t>
            </w:r>
          </w:p>
        </w:tc>
        <w:tc>
          <w:tcPr>
            <w:tcW w:w="1630" w:type="dxa"/>
            <w:tcBorders>
              <w:top w:val="nil"/>
              <w:left w:val="single" w:color="auto" w:sz="8" w:space="0"/>
              <w:bottom w:val="double" w:color="auto" w:sz="4" w:space="0"/>
              <w:right w:val="single" w:color="auto" w:sz="8" w:space="0"/>
            </w:tcBorders>
            <w:tcMar>
              <w:top w:w="0" w:type="dxa"/>
              <w:left w:w="108" w:type="dxa"/>
              <w:bottom w:w="0" w:type="dxa"/>
              <w:right w:w="108" w:type="dxa"/>
            </w:tcMar>
          </w:tcPr>
          <w:p w:rsidRPr="00797913" w:rsidR="00797913" w:rsidP="00797913" w:rsidRDefault="00797913" w14:paraId="1EDA3C01" w14:textId="77777777">
            <w:pPr>
              <w:keepNext/>
              <w:keepLines/>
              <w:spacing w:line="240" w:lineRule="auto"/>
              <w:ind w:firstLine="0"/>
              <w:jc w:val="right"/>
              <w:rPr>
                <w:rFonts w:eastAsia="Times New Roman" w:cs="Times New Roman"/>
                <w:szCs w:val="26"/>
              </w:rPr>
            </w:pPr>
            <w:r w:rsidRPr="00797913">
              <w:rPr>
                <w:rFonts w:eastAsia="Times New Roman" w:cs="Times New Roman"/>
                <w:szCs w:val="26"/>
              </w:rPr>
              <w:t>($46,237)</w:t>
            </w:r>
          </w:p>
        </w:tc>
      </w:tr>
      <w:tr w:rsidRPr="00797913" w:rsidR="00797913" w:rsidTr="002F00E6" w14:paraId="13F2E985" w14:textId="77777777">
        <w:trPr>
          <w:trHeight w:val="44"/>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797913" w:rsidP="00797913" w:rsidRDefault="00797913" w14:paraId="732E9537" w14:textId="77777777">
            <w:pPr>
              <w:keepNext/>
              <w:keepLines/>
              <w:spacing w:line="240" w:lineRule="auto"/>
              <w:ind w:firstLine="0"/>
              <w:rPr>
                <w:rFonts w:eastAsia="Times New Roman" w:cs="Times New Roman"/>
                <w:szCs w:val="26"/>
              </w:rPr>
            </w:pPr>
            <w:r w:rsidRPr="00797913">
              <w:rPr>
                <w:rFonts w:eastAsia="Times New Roman" w:cs="Times New Roman"/>
                <w:szCs w:val="26"/>
              </w:rPr>
              <w:t>Subtotal from Other Proceedings</w:t>
            </w:r>
          </w:p>
        </w:tc>
        <w:tc>
          <w:tcPr>
            <w:tcW w:w="1630" w:type="dxa"/>
            <w:tcBorders>
              <w:top w:val="nil"/>
              <w:left w:val="single" w:color="auto" w:sz="8" w:space="0"/>
              <w:bottom w:val="double" w:color="auto" w:sz="4" w:space="0"/>
              <w:right w:val="single" w:color="auto" w:sz="8" w:space="0"/>
            </w:tcBorders>
            <w:tcMar>
              <w:top w:w="0" w:type="dxa"/>
              <w:left w:w="108" w:type="dxa"/>
              <w:bottom w:w="0" w:type="dxa"/>
              <w:right w:w="108" w:type="dxa"/>
            </w:tcMar>
          </w:tcPr>
          <w:p w:rsidRPr="00797913" w:rsidR="00797913" w:rsidP="00797913" w:rsidRDefault="00797913" w14:paraId="5D1F46FB" w14:textId="77777777">
            <w:pPr>
              <w:keepNext/>
              <w:keepLines/>
              <w:spacing w:line="240" w:lineRule="auto"/>
              <w:ind w:firstLine="0"/>
              <w:jc w:val="right"/>
              <w:rPr>
                <w:rFonts w:eastAsia="Times New Roman" w:cs="Times New Roman"/>
                <w:szCs w:val="26"/>
              </w:rPr>
            </w:pPr>
            <w:r w:rsidRPr="00797913">
              <w:rPr>
                <w:rFonts w:eastAsia="Times New Roman" w:cs="Times New Roman"/>
                <w:szCs w:val="26"/>
              </w:rPr>
              <w:t>($2,643,262)</w:t>
            </w:r>
          </w:p>
        </w:tc>
      </w:tr>
      <w:tr w:rsidRPr="00797913" w:rsidR="00797913" w:rsidTr="002F00E6" w14:paraId="4EAD30E2" w14:textId="77777777">
        <w:trPr>
          <w:jc w:val="center"/>
        </w:trPr>
        <w:tc>
          <w:tcPr>
            <w:tcW w:w="7280" w:type="dxa"/>
            <w:tcBorders>
              <w:top w:val="nil"/>
              <w:left w:val="single" w:color="auto" w:sz="8" w:space="0"/>
              <w:bottom w:val="nil"/>
              <w:right w:val="single" w:color="auto" w:sz="8" w:space="0"/>
            </w:tcBorders>
            <w:tcMar>
              <w:top w:w="0" w:type="dxa"/>
              <w:left w:w="108" w:type="dxa"/>
              <w:bottom w:w="0" w:type="dxa"/>
              <w:right w:w="108" w:type="dxa"/>
            </w:tcMar>
            <w:hideMark/>
          </w:tcPr>
          <w:p w:rsidRPr="00797913" w:rsidR="00797913" w:rsidP="00797913" w:rsidRDefault="00797913" w14:paraId="68F56117" w14:textId="77777777">
            <w:pPr>
              <w:keepNext/>
              <w:keepLines/>
              <w:spacing w:line="240" w:lineRule="auto"/>
              <w:ind w:firstLine="0"/>
              <w:jc w:val="right"/>
              <w:rPr>
                <w:rFonts w:eastAsia="Times New Roman" w:cs="Times New Roman"/>
                <w:szCs w:val="26"/>
              </w:rPr>
            </w:pPr>
            <w:r w:rsidRPr="00797913">
              <w:rPr>
                <w:rFonts w:eastAsia="Times New Roman" w:cs="Times New Roman"/>
                <w:szCs w:val="26"/>
              </w:rPr>
              <w:t>Total Request</w:t>
            </w:r>
          </w:p>
        </w:tc>
        <w:tc>
          <w:tcPr>
            <w:tcW w:w="1630" w:type="dxa"/>
            <w:tcBorders>
              <w:top w:val="double" w:color="auto" w:sz="4" w:space="0"/>
              <w:left w:val="single" w:color="auto" w:sz="8" w:space="0"/>
              <w:bottom w:val="double" w:color="auto" w:sz="4" w:space="0"/>
              <w:right w:val="single" w:color="auto" w:sz="8" w:space="0"/>
            </w:tcBorders>
            <w:tcMar>
              <w:top w:w="0" w:type="dxa"/>
              <w:left w:w="108" w:type="dxa"/>
              <w:bottom w:w="0" w:type="dxa"/>
              <w:right w:w="108" w:type="dxa"/>
            </w:tcMar>
            <w:hideMark/>
          </w:tcPr>
          <w:p w:rsidRPr="00797913" w:rsidR="00797913" w:rsidP="00797913" w:rsidRDefault="00797913" w14:paraId="289A9E07" w14:textId="77777777">
            <w:pPr>
              <w:keepNext/>
              <w:keepLines/>
              <w:spacing w:line="240" w:lineRule="auto"/>
              <w:ind w:firstLine="0"/>
              <w:jc w:val="right"/>
              <w:rPr>
                <w:rFonts w:eastAsia="Times New Roman" w:cs="Times New Roman"/>
                <w:szCs w:val="26"/>
              </w:rPr>
            </w:pPr>
            <w:r w:rsidRPr="00797913">
              <w:rPr>
                <w:rFonts w:eastAsia="Times New Roman" w:cs="Times New Roman"/>
                <w:szCs w:val="26"/>
              </w:rPr>
              <w:t>$2,416,928</w:t>
            </w:r>
          </w:p>
        </w:tc>
      </w:tr>
      <w:tr w:rsidRPr="00797913" w:rsidR="00797913" w:rsidTr="002F00E6" w14:paraId="159B4F1A" w14:textId="77777777">
        <w:trPr>
          <w:jc w:val="center"/>
        </w:trPr>
        <w:tc>
          <w:tcPr>
            <w:tcW w:w="7280" w:type="dxa"/>
            <w:tcBorders>
              <w:top w:val="nil"/>
              <w:left w:val="single" w:color="auto" w:sz="8" w:space="0"/>
              <w:bottom w:val="nil"/>
              <w:right w:val="single" w:color="auto" w:sz="8" w:space="0"/>
            </w:tcBorders>
            <w:tcMar>
              <w:top w:w="0" w:type="dxa"/>
              <w:left w:w="108" w:type="dxa"/>
              <w:bottom w:w="0" w:type="dxa"/>
              <w:right w:w="108" w:type="dxa"/>
            </w:tcMar>
          </w:tcPr>
          <w:p w:rsidRPr="00797913" w:rsidR="00797913" w:rsidP="00797913" w:rsidRDefault="00797913" w14:paraId="65392CBC" w14:textId="77777777">
            <w:pPr>
              <w:keepNext/>
              <w:keepLines/>
              <w:spacing w:line="240" w:lineRule="auto"/>
              <w:ind w:firstLine="0"/>
              <w:jc w:val="right"/>
              <w:rPr>
                <w:rFonts w:eastAsia="Times New Roman" w:cs="Times New Roman"/>
                <w:szCs w:val="26"/>
              </w:rPr>
            </w:pPr>
          </w:p>
        </w:tc>
        <w:tc>
          <w:tcPr>
            <w:tcW w:w="1630" w:type="dxa"/>
            <w:tcBorders>
              <w:top w:val="double" w:color="auto" w:sz="4" w:space="0"/>
              <w:left w:val="single" w:color="auto" w:sz="8" w:space="0"/>
              <w:bottom w:val="double" w:color="auto" w:sz="4" w:space="0"/>
              <w:right w:val="single" w:color="auto" w:sz="8" w:space="0"/>
            </w:tcBorders>
            <w:tcMar>
              <w:top w:w="0" w:type="dxa"/>
              <w:left w:w="108" w:type="dxa"/>
              <w:bottom w:w="0" w:type="dxa"/>
              <w:right w:w="108" w:type="dxa"/>
            </w:tcMar>
          </w:tcPr>
          <w:p w:rsidRPr="00797913" w:rsidR="00797913" w:rsidP="00797913" w:rsidRDefault="00797913" w14:paraId="5D7611F2" w14:textId="77777777">
            <w:pPr>
              <w:keepNext/>
              <w:keepLines/>
              <w:spacing w:line="240" w:lineRule="auto"/>
              <w:ind w:firstLine="0"/>
              <w:jc w:val="right"/>
              <w:rPr>
                <w:rFonts w:eastAsia="Times New Roman" w:cs="Times New Roman"/>
                <w:szCs w:val="26"/>
              </w:rPr>
            </w:pPr>
          </w:p>
        </w:tc>
      </w:tr>
      <w:tr w:rsidRPr="00797913" w:rsidR="00797913" w:rsidTr="002F00E6" w14:paraId="7CF9A521" w14:textId="77777777">
        <w:trPr>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797913" w:rsidP="00797913" w:rsidRDefault="00797913" w14:paraId="0236584A" w14:textId="77777777">
            <w:pPr>
              <w:keepNext/>
              <w:keepLines/>
              <w:spacing w:line="240" w:lineRule="auto"/>
              <w:ind w:firstLine="0"/>
              <w:jc w:val="right"/>
              <w:rPr>
                <w:rFonts w:eastAsia="Times New Roman" w:cs="Times New Roman"/>
                <w:szCs w:val="26"/>
              </w:rPr>
            </w:pPr>
          </w:p>
        </w:tc>
        <w:tc>
          <w:tcPr>
            <w:tcW w:w="1630" w:type="dxa"/>
            <w:tcBorders>
              <w:top w:val="double" w:color="auto" w:sz="4" w:space="0"/>
              <w:left w:val="single" w:color="auto" w:sz="8" w:space="0"/>
              <w:bottom w:val="single" w:color="auto" w:sz="8" w:space="0"/>
              <w:right w:val="single" w:color="auto" w:sz="8" w:space="0"/>
            </w:tcBorders>
            <w:tcMar>
              <w:top w:w="0" w:type="dxa"/>
              <w:left w:w="108" w:type="dxa"/>
              <w:bottom w:w="0" w:type="dxa"/>
              <w:right w:w="108" w:type="dxa"/>
            </w:tcMar>
          </w:tcPr>
          <w:p w:rsidRPr="00797913" w:rsidR="00797913" w:rsidP="00797913" w:rsidRDefault="00797913" w14:paraId="79E5B910" w14:textId="77777777">
            <w:pPr>
              <w:keepNext/>
              <w:keepLines/>
              <w:spacing w:line="240" w:lineRule="auto"/>
              <w:ind w:firstLine="0"/>
              <w:jc w:val="right"/>
              <w:rPr>
                <w:rFonts w:eastAsia="Times New Roman" w:cs="Times New Roman"/>
                <w:szCs w:val="26"/>
              </w:rPr>
            </w:pPr>
          </w:p>
        </w:tc>
      </w:tr>
    </w:tbl>
    <w:p w:rsidRPr="00797913" w:rsidR="00797913" w:rsidP="00797913" w:rsidRDefault="00797913" w14:paraId="1040DFBF" w14:textId="77777777">
      <w:pPr>
        <w:ind w:firstLine="0"/>
      </w:pPr>
    </w:p>
    <w:p w:rsidRPr="00797913" w:rsidR="00797913" w:rsidP="009B63BA" w:rsidRDefault="00797913" w14:paraId="23D46680" w14:textId="77777777">
      <w:pPr>
        <w:pStyle w:val="OP"/>
        <w:keepNext/>
        <w:keepLines/>
        <w:numPr>
          <w:ilvl w:val="0"/>
          <w:numId w:val="14"/>
        </w:numPr>
        <w:ind w:left="0" w:firstLine="270"/>
      </w:pPr>
      <w:r w:rsidRPr="00797913">
        <w:t>As of</w:t>
      </w:r>
      <w:r w:rsidR="00C61877">
        <w:t xml:space="preserve"> the</w:t>
      </w:r>
      <w:r w:rsidRPr="00797913">
        <w:t xml:space="preserve"> December Update, PG&amp;E forecasts and requests approval for 2022 Greenhouse Gas revenue return, costs and set-asides as set forth below: </w:t>
      </w:r>
    </w:p>
    <w:tbl>
      <w:tblPr>
        <w:tblW w:w="8910" w:type="dxa"/>
        <w:jc w:val="center"/>
        <w:tblLayout w:type="fixed"/>
        <w:tblCellMar>
          <w:left w:w="0" w:type="dxa"/>
          <w:right w:w="0" w:type="dxa"/>
        </w:tblCellMar>
        <w:tblLook w:val="04A0" w:firstRow="1" w:lastRow="0" w:firstColumn="1" w:lastColumn="0" w:noHBand="0" w:noVBand="1"/>
      </w:tblPr>
      <w:tblGrid>
        <w:gridCol w:w="7010"/>
        <w:gridCol w:w="1900"/>
      </w:tblGrid>
      <w:tr w:rsidRPr="00797913" w:rsidR="00797913" w:rsidTr="002F00E6" w14:paraId="69BC1DEE" w14:textId="77777777">
        <w:trPr>
          <w:jc w:val="center"/>
        </w:trPr>
        <w:tc>
          <w:tcPr>
            <w:tcW w:w="70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9B63BA" w:rsidRDefault="00797913" w14:paraId="266CF440" w14:textId="77777777">
            <w:pPr>
              <w:keepNext/>
              <w:keepLines/>
              <w:spacing w:line="240" w:lineRule="auto"/>
              <w:ind w:firstLine="270"/>
              <w:rPr>
                <w:rFonts w:eastAsia="Times New Roman" w:cs="Times New Roman"/>
                <w:b/>
                <w:bCs/>
                <w:szCs w:val="26"/>
              </w:rPr>
            </w:pPr>
            <w:r w:rsidRPr="00797913">
              <w:rPr>
                <w:rFonts w:eastAsia="Times New Roman" w:cs="Times New Roman"/>
                <w:b/>
                <w:bCs/>
                <w:szCs w:val="26"/>
              </w:rPr>
              <w:t>GHG Revenue Return, Costs and Set-Asides</w:t>
            </w:r>
          </w:p>
        </w:tc>
        <w:tc>
          <w:tcPr>
            <w:tcW w:w="190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9B63BA" w:rsidRDefault="00797913" w14:paraId="3CE2F41F" w14:textId="77777777">
            <w:pPr>
              <w:keepNext/>
              <w:keepLines/>
              <w:spacing w:line="240" w:lineRule="auto"/>
              <w:ind w:firstLine="270"/>
              <w:rPr>
                <w:rFonts w:eastAsia="Times New Roman" w:cs="Times New Roman"/>
                <w:b/>
                <w:bCs/>
                <w:szCs w:val="26"/>
              </w:rPr>
            </w:pPr>
          </w:p>
        </w:tc>
      </w:tr>
      <w:tr w:rsidRPr="00797913" w:rsidR="00797913" w:rsidTr="002F00E6" w14:paraId="25229D1E" w14:textId="77777777">
        <w:trPr>
          <w:jc w:val="center"/>
        </w:trPr>
        <w:tc>
          <w:tcPr>
            <w:tcW w:w="701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797913" w:rsidP="009B63BA" w:rsidRDefault="00797913" w14:paraId="70D5170A" w14:textId="77777777">
            <w:pPr>
              <w:keepNext/>
              <w:keepLines/>
              <w:spacing w:line="240" w:lineRule="auto"/>
              <w:ind w:firstLine="270"/>
              <w:rPr>
                <w:rFonts w:eastAsia="Times New Roman" w:cs="Times New Roman"/>
                <w:szCs w:val="26"/>
              </w:rPr>
            </w:pPr>
            <w:r w:rsidRPr="00797913">
              <w:rPr>
                <w:rFonts w:eastAsia="Times New Roman" w:cs="Times New Roman"/>
                <w:szCs w:val="26"/>
              </w:rPr>
              <w:t>2022 GHG Administrative and Outreach Expenses</w:t>
            </w:r>
          </w:p>
        </w:tc>
        <w:tc>
          <w:tcPr>
            <w:tcW w:w="190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797913" w:rsidP="009B63BA" w:rsidRDefault="00797913" w14:paraId="39E1C3D5" w14:textId="77777777">
            <w:pPr>
              <w:keepNext/>
              <w:keepLines/>
              <w:spacing w:line="240" w:lineRule="auto"/>
              <w:ind w:firstLine="270"/>
              <w:jc w:val="right"/>
              <w:rPr>
                <w:rFonts w:eastAsia="Times New Roman" w:cs="Times New Roman"/>
                <w:szCs w:val="26"/>
              </w:rPr>
            </w:pPr>
            <w:r w:rsidRPr="00797913">
              <w:rPr>
                <w:rFonts w:eastAsia="Times New Roman" w:cs="Times New Roman"/>
                <w:szCs w:val="26"/>
              </w:rPr>
              <w:t>$855,000</w:t>
            </w:r>
          </w:p>
        </w:tc>
      </w:tr>
      <w:tr w:rsidRPr="00797913" w:rsidR="00797913" w:rsidTr="002F00E6" w14:paraId="23A1CB21" w14:textId="77777777">
        <w:trPr>
          <w:jc w:val="center"/>
        </w:trPr>
        <w:tc>
          <w:tcPr>
            <w:tcW w:w="701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797913" w:rsidP="00797913" w:rsidRDefault="00797913" w14:paraId="3BF26077" w14:textId="77777777">
            <w:pPr>
              <w:keepNext/>
              <w:keepLines/>
              <w:spacing w:line="240" w:lineRule="auto"/>
              <w:ind w:firstLine="0"/>
              <w:rPr>
                <w:rFonts w:eastAsia="Times New Roman" w:cs="Times New Roman"/>
                <w:szCs w:val="26"/>
              </w:rPr>
            </w:pPr>
            <w:r w:rsidRPr="00797913">
              <w:rPr>
                <w:rFonts w:eastAsia="Times New Roman" w:cs="Times New Roman"/>
                <w:szCs w:val="26"/>
              </w:rPr>
              <w:t>2020 Recorded GHG Administrative and Outreach Expenses</w:t>
            </w:r>
          </w:p>
        </w:tc>
        <w:tc>
          <w:tcPr>
            <w:tcW w:w="190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797913" w:rsidP="00797913" w:rsidRDefault="00797913" w14:paraId="5C6B8387" w14:textId="77777777">
            <w:pPr>
              <w:keepNext/>
              <w:keepLines/>
              <w:spacing w:line="240" w:lineRule="auto"/>
              <w:ind w:firstLine="0"/>
              <w:jc w:val="right"/>
              <w:rPr>
                <w:rFonts w:eastAsia="Times New Roman" w:cs="Times New Roman"/>
                <w:szCs w:val="26"/>
              </w:rPr>
            </w:pPr>
            <w:r w:rsidRPr="00797913">
              <w:rPr>
                <w:rFonts w:eastAsia="Times New Roman" w:cs="Times New Roman"/>
                <w:szCs w:val="26"/>
              </w:rPr>
              <w:t>$598,000</w:t>
            </w:r>
          </w:p>
        </w:tc>
      </w:tr>
      <w:tr w:rsidRPr="00797913" w:rsidR="00797913" w:rsidTr="002F00E6" w14:paraId="7932CB91" w14:textId="77777777">
        <w:trPr>
          <w:jc w:val="center"/>
        </w:trPr>
        <w:tc>
          <w:tcPr>
            <w:tcW w:w="701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797913" w:rsidP="00797913" w:rsidRDefault="00797913" w14:paraId="10FA78D9" w14:textId="77777777">
            <w:pPr>
              <w:keepNext/>
              <w:keepLines/>
              <w:spacing w:line="240" w:lineRule="auto"/>
              <w:ind w:firstLine="0"/>
              <w:rPr>
                <w:rFonts w:eastAsia="Times New Roman" w:cs="Times New Roman"/>
                <w:szCs w:val="26"/>
              </w:rPr>
            </w:pPr>
            <w:r w:rsidRPr="00797913">
              <w:rPr>
                <w:rFonts w:eastAsia="Times New Roman" w:cs="Times New Roman"/>
                <w:szCs w:val="26"/>
              </w:rPr>
              <w:t>True-Up Set-Aside for GHG Administrative and Outreach</w:t>
            </w:r>
          </w:p>
        </w:tc>
        <w:tc>
          <w:tcPr>
            <w:tcW w:w="190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797913" w:rsidP="00797913" w:rsidRDefault="00797913" w14:paraId="73FAD7B9" w14:textId="77777777">
            <w:pPr>
              <w:keepNext/>
              <w:keepLines/>
              <w:spacing w:line="240" w:lineRule="auto"/>
              <w:ind w:firstLine="0"/>
              <w:jc w:val="right"/>
              <w:rPr>
                <w:rFonts w:eastAsia="Times New Roman" w:cs="Times New Roman"/>
                <w:szCs w:val="26"/>
              </w:rPr>
            </w:pPr>
            <w:r w:rsidRPr="00797913">
              <w:rPr>
                <w:rFonts w:eastAsia="Times New Roman" w:cs="Times New Roman"/>
                <w:szCs w:val="26"/>
              </w:rPr>
              <w:t>$285,000</w:t>
            </w:r>
          </w:p>
        </w:tc>
      </w:tr>
      <w:tr w:rsidRPr="00797913" w:rsidR="00797913" w:rsidTr="002F00E6" w14:paraId="51C4BB7C" w14:textId="77777777">
        <w:trPr>
          <w:jc w:val="center"/>
        </w:trPr>
        <w:tc>
          <w:tcPr>
            <w:tcW w:w="701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2CB86127" w14:textId="77777777">
            <w:pPr>
              <w:keepNext/>
              <w:keepLines/>
              <w:spacing w:line="240" w:lineRule="auto"/>
              <w:ind w:firstLine="0"/>
              <w:rPr>
                <w:rFonts w:eastAsia="Times New Roman" w:cs="Times New Roman"/>
                <w:szCs w:val="26"/>
              </w:rPr>
            </w:pPr>
            <w:r w:rsidRPr="00797913">
              <w:rPr>
                <w:rFonts w:eastAsia="Times New Roman" w:cs="Times New Roman"/>
                <w:szCs w:val="26"/>
              </w:rPr>
              <w:t>2022 Customer Generation Programs Funded by GHG Revenues</w:t>
            </w:r>
          </w:p>
        </w:tc>
        <w:tc>
          <w:tcPr>
            <w:tcW w:w="190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3873E92A" w14:textId="56C6388E">
            <w:pPr>
              <w:keepNext/>
              <w:keepLines/>
              <w:spacing w:line="240" w:lineRule="auto"/>
              <w:ind w:firstLine="0"/>
              <w:jc w:val="right"/>
              <w:rPr>
                <w:rFonts w:eastAsia="Times New Roman" w:cs="Times New Roman"/>
                <w:szCs w:val="26"/>
              </w:rPr>
            </w:pPr>
            <w:r w:rsidRPr="00797913">
              <w:rPr>
                <w:rFonts w:eastAsia="Times New Roman" w:cs="Times New Roman"/>
                <w:szCs w:val="26"/>
              </w:rPr>
              <w:t>$</w:t>
            </w:r>
            <w:r w:rsidR="007A6930">
              <w:rPr>
                <w:rFonts w:eastAsia="Times New Roman" w:cs="Times New Roman"/>
                <w:szCs w:val="26"/>
              </w:rPr>
              <w:t>56.55</w:t>
            </w:r>
            <w:r w:rsidRPr="00797913">
              <w:rPr>
                <w:rFonts w:eastAsia="Times New Roman" w:cs="Times New Roman"/>
                <w:szCs w:val="26"/>
              </w:rPr>
              <w:t>Million</w:t>
            </w:r>
          </w:p>
        </w:tc>
      </w:tr>
      <w:tr w:rsidRPr="00797913" w:rsidR="00797913" w:rsidTr="002F00E6" w14:paraId="68629E8C" w14:textId="77777777">
        <w:trPr>
          <w:jc w:val="center"/>
        </w:trPr>
        <w:tc>
          <w:tcPr>
            <w:tcW w:w="701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03596BFA" w14:textId="77777777">
            <w:pPr>
              <w:keepNext/>
              <w:keepLines/>
              <w:spacing w:line="240" w:lineRule="auto"/>
              <w:ind w:firstLine="0"/>
              <w:rPr>
                <w:rFonts w:eastAsia="Times New Roman" w:cs="Times New Roman"/>
                <w:szCs w:val="26"/>
              </w:rPr>
            </w:pPr>
            <w:r w:rsidRPr="00797913">
              <w:rPr>
                <w:rFonts w:eastAsia="Times New Roman" w:cs="Times New Roman"/>
                <w:szCs w:val="26"/>
              </w:rPr>
              <w:t>Net GHG Revenue Return</w:t>
            </w:r>
          </w:p>
        </w:tc>
        <w:tc>
          <w:tcPr>
            <w:tcW w:w="190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189006D3" w14:textId="77777777">
            <w:pPr>
              <w:keepNext/>
              <w:keepLines/>
              <w:spacing w:line="240" w:lineRule="auto"/>
              <w:ind w:firstLine="0"/>
              <w:jc w:val="right"/>
              <w:rPr>
                <w:rFonts w:eastAsia="Times New Roman" w:cs="Times New Roman"/>
                <w:szCs w:val="26"/>
              </w:rPr>
            </w:pPr>
            <w:r w:rsidRPr="00797913">
              <w:rPr>
                <w:rFonts w:eastAsia="Times New Roman" w:cs="Times New Roman"/>
                <w:szCs w:val="26"/>
              </w:rPr>
              <w:t>$469 Million</w:t>
            </w:r>
          </w:p>
        </w:tc>
      </w:tr>
      <w:tr w:rsidRPr="00797913" w:rsidR="00797913" w:rsidTr="002F00E6" w14:paraId="366DB692" w14:textId="77777777">
        <w:trPr>
          <w:jc w:val="center"/>
        </w:trPr>
        <w:tc>
          <w:tcPr>
            <w:tcW w:w="70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2A694F28" w14:textId="77777777">
            <w:pPr>
              <w:keepNext/>
              <w:keepLines/>
              <w:spacing w:line="240" w:lineRule="auto"/>
              <w:ind w:firstLine="0"/>
              <w:rPr>
                <w:rFonts w:eastAsia="Times New Roman" w:cs="Times New Roman"/>
                <w:szCs w:val="26"/>
              </w:rPr>
            </w:pPr>
            <w:r w:rsidRPr="00797913">
              <w:rPr>
                <w:rFonts w:eastAsia="Times New Roman" w:cs="Times New Roman"/>
                <w:szCs w:val="26"/>
              </w:rPr>
              <w:t>Semi-annual Residential and Small Business California Climate Credit</w:t>
            </w:r>
          </w:p>
        </w:tc>
        <w:tc>
          <w:tcPr>
            <w:tcW w:w="190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250E7365" w14:textId="77777777">
            <w:pPr>
              <w:keepNext/>
              <w:keepLines/>
              <w:spacing w:line="240" w:lineRule="auto"/>
              <w:ind w:firstLine="0"/>
              <w:jc w:val="right"/>
              <w:rPr>
                <w:rFonts w:eastAsia="Times New Roman" w:cs="Times New Roman"/>
                <w:szCs w:val="26"/>
              </w:rPr>
            </w:pPr>
            <w:r w:rsidRPr="00797913">
              <w:rPr>
                <w:rFonts w:eastAsia="Times New Roman" w:cs="Times New Roman"/>
                <w:szCs w:val="26"/>
              </w:rPr>
              <w:t xml:space="preserve">$39.30 </w:t>
            </w:r>
          </w:p>
        </w:tc>
      </w:tr>
    </w:tbl>
    <w:p w:rsidRPr="00797913" w:rsidR="00797913" w:rsidP="00797913" w:rsidRDefault="00797913" w14:paraId="2A01C074" w14:textId="77777777">
      <w:pPr>
        <w:ind w:left="540" w:firstLine="0"/>
      </w:pPr>
    </w:p>
    <w:p w:rsidRPr="00797913" w:rsidR="00797913" w:rsidP="00404B36" w:rsidRDefault="00797913" w14:paraId="2040EB93" w14:textId="4D782EE1">
      <w:pPr>
        <w:pStyle w:val="OP"/>
        <w:numPr>
          <w:ilvl w:val="0"/>
          <w:numId w:val="14"/>
        </w:numPr>
        <w:ind w:left="0" w:firstLine="270"/>
      </w:pPr>
      <w:r w:rsidRPr="00797913">
        <w:t>PG&amp;E over-enrolled its subscription to the Solar Choice Program, Green Tariff schedule, or Tariff E-GT. D.21-12-036 allows PG&amp;E, on a temporary basis, to use other renewable</w:t>
      </w:r>
      <w:r w:rsidR="0013643B">
        <w:t>s</w:t>
      </w:r>
      <w:r w:rsidRPr="00797913">
        <w:t xml:space="preserve"> portfolio sources to meet the E-GT over-subscription.  </w:t>
      </w:r>
    </w:p>
    <w:p w:rsidRPr="00797913" w:rsidR="00797913" w:rsidP="00404B36" w:rsidRDefault="00797913" w14:paraId="759A1A2D" w14:textId="5317E79B">
      <w:pPr>
        <w:pStyle w:val="OP"/>
        <w:numPr>
          <w:ilvl w:val="0"/>
          <w:numId w:val="14"/>
        </w:numPr>
        <w:ind w:left="0" w:firstLine="270"/>
      </w:pPr>
      <w:r w:rsidRPr="00797913">
        <w:t xml:space="preserve">The Joint Community Choice Aggregators (CCAs) filed a </w:t>
      </w:r>
      <w:r w:rsidR="00B51462">
        <w:t>PFM</w:t>
      </w:r>
      <w:r w:rsidRPr="00797913">
        <w:t xml:space="preserve"> to D.15</w:t>
      </w:r>
      <w:r w:rsidR="00B51462">
        <w:noBreakHyphen/>
      </w:r>
      <w:r w:rsidRPr="00797913">
        <w:t>01</w:t>
      </w:r>
      <w:r w:rsidR="00B51462">
        <w:noBreakHyphen/>
      </w:r>
      <w:r w:rsidRPr="00797913">
        <w:t xml:space="preserve">051 to request that PG&amp;E’s calculation to the </w:t>
      </w:r>
      <w:r w:rsidR="00673232">
        <w:t>R</w:t>
      </w:r>
      <w:r w:rsidR="00CE0043">
        <w:t xml:space="preserve">esource </w:t>
      </w:r>
      <w:r w:rsidR="00673232">
        <w:t>A</w:t>
      </w:r>
      <w:r w:rsidR="00CE0043">
        <w:t>dequacy</w:t>
      </w:r>
      <w:r w:rsidRPr="00797913">
        <w:t xml:space="preserve"> component in the GTSR program be amended to be consistent with D.19-10-001. The Joint CCA’s request was granted in D.21-12-036.</w:t>
      </w:r>
    </w:p>
    <w:p w:rsidRPr="00797913" w:rsidR="00797913" w:rsidP="00404B36" w:rsidRDefault="00797913" w14:paraId="33EB1DE5" w14:textId="16BA357E">
      <w:pPr>
        <w:pStyle w:val="OP"/>
        <w:numPr>
          <w:ilvl w:val="0"/>
          <w:numId w:val="14"/>
        </w:numPr>
        <w:ind w:left="0" w:firstLine="270"/>
      </w:pPr>
      <w:r w:rsidRPr="00797913">
        <w:t>PG&amp;E’s Application proposes to transfer the disposition of the year-end 2021 ERRA balance to the 2021 Vintage subaccount of PABA, to continue Commission approval of such in D.2</w:t>
      </w:r>
      <w:r w:rsidR="006D2D8A">
        <w:t>0</w:t>
      </w:r>
      <w:r w:rsidR="00275DE2">
        <w:noBreakHyphen/>
      </w:r>
      <w:r w:rsidRPr="00797913">
        <w:t>12-038. The year-end balance does not include the ERRA-PFS since the ERRA-PFS forecast 2021 year-end balance is the remainder of 2020 balances that will be amortized over 2022 and 2023 rates, as approved in D.2</w:t>
      </w:r>
      <w:r w:rsidR="006D2D8A">
        <w:t>0</w:t>
      </w:r>
      <w:r w:rsidRPr="00797913">
        <w:t xml:space="preserve">-12-038.  </w:t>
      </w:r>
    </w:p>
    <w:p w:rsidRPr="00797913" w:rsidR="00797913" w:rsidP="00404B36" w:rsidRDefault="00797913" w14:paraId="5DE6A33F" w14:textId="2C024977">
      <w:pPr>
        <w:pStyle w:val="OP"/>
        <w:numPr>
          <w:ilvl w:val="0"/>
          <w:numId w:val="14"/>
        </w:numPr>
        <w:ind w:left="0" w:firstLine="270"/>
      </w:pPr>
      <w:r w:rsidRPr="00797913">
        <w:t>PG&amp;E’s Application proposes to create a new subaccount in the Public Policy Charge Balance Account for recovery from all customers through the P</w:t>
      </w:r>
      <w:r w:rsidR="000D4F6F">
        <w:t>PP</w:t>
      </w:r>
      <w:r w:rsidRPr="00797913">
        <w:t xml:space="preserve"> charge in order to transfer certain public purpose procurement costs from its PABA non-vintaged subaccount on a going forward basis.</w:t>
      </w:r>
    </w:p>
    <w:p w:rsidRPr="00797913" w:rsidR="00797913" w:rsidP="00404B36" w:rsidRDefault="00797913" w14:paraId="7411858B" w14:textId="053E5636">
      <w:pPr>
        <w:pStyle w:val="OP"/>
        <w:numPr>
          <w:ilvl w:val="0"/>
          <w:numId w:val="14"/>
        </w:numPr>
        <w:ind w:left="0" w:firstLine="270"/>
      </w:pPr>
      <w:r w:rsidRPr="00797913">
        <w:t>PG&amp;E</w:t>
      </w:r>
      <w:r w:rsidR="00E02252">
        <w:t>’s</w:t>
      </w:r>
      <w:r w:rsidRPr="00797913">
        <w:t xml:space="preserve"> 2022 electric sales forecast </w:t>
      </w:r>
      <w:r w:rsidR="00C4428E">
        <w:t>is</w:t>
      </w:r>
      <w:r w:rsidRPr="00797913">
        <w:t xml:space="preserve"> uncontested. </w:t>
      </w:r>
    </w:p>
    <w:p w:rsidRPr="00797913" w:rsidR="00797913" w:rsidP="00404B36" w:rsidRDefault="00797913" w14:paraId="5F3D27A5" w14:textId="00A2E2FE">
      <w:pPr>
        <w:pStyle w:val="OP"/>
        <w:numPr>
          <w:ilvl w:val="0"/>
          <w:numId w:val="14"/>
        </w:numPr>
        <w:ind w:left="0" w:firstLine="270"/>
      </w:pPr>
      <w:r w:rsidRPr="00797913">
        <w:t>Based on its 2022 electric sales forecast, requested 2022 ERRA forecast revenue requirements, and the December Update, PG&amp;E forecasts that the total average rates for bundled customers will increase by 12.6 percent or 26.2 cents per kilowatt hours in 2022, and total average rates for unbundled customers will decrease by 15.9 percent or 13.1 cents per kilowatt hours in 2022.</w:t>
      </w:r>
    </w:p>
    <w:p w:rsidRPr="00797913" w:rsidR="00797913" w:rsidP="00404B36" w:rsidRDefault="00797913" w14:paraId="4826D269" w14:textId="77777777">
      <w:pPr>
        <w:pStyle w:val="OP"/>
        <w:numPr>
          <w:ilvl w:val="0"/>
          <w:numId w:val="14"/>
        </w:numPr>
        <w:ind w:left="0" w:firstLine="270"/>
      </w:pPr>
      <w:r w:rsidRPr="00797913">
        <w:t xml:space="preserve">As of the December Update, PG&amp;E forecasts and requests a net GHG revenue return of $469 million for 2022, and administrative and outreach expenses of $855,000 for 2022, recorded administrative and outreach expenses of $598,000 for 2020, and a set-aside of $285,000 for GHG administrative and outreach to true-up recorded and forecast administrative and outreach expenses through 2022. </w:t>
      </w:r>
    </w:p>
    <w:p w:rsidRPr="00797913" w:rsidR="00797913" w:rsidP="00404B36" w:rsidRDefault="00797913" w14:paraId="1462EE73" w14:textId="77777777">
      <w:pPr>
        <w:pStyle w:val="OP"/>
        <w:numPr>
          <w:ilvl w:val="0"/>
          <w:numId w:val="14"/>
        </w:numPr>
        <w:ind w:left="0" w:firstLine="270"/>
      </w:pPr>
      <w:r w:rsidRPr="00797913">
        <w:t>As of the December Update, PG&amp;E forecasts a semi</w:t>
      </w:r>
      <w:r w:rsidRPr="00797913">
        <w:noBreakHyphen/>
        <w:t>annual residential and small business California Climate Credit of $39.30 per household.</w:t>
      </w:r>
    </w:p>
    <w:p w:rsidRPr="00797913" w:rsidR="00797913" w:rsidP="00404B36" w:rsidRDefault="00797913" w14:paraId="32625F43" w14:textId="77777777">
      <w:pPr>
        <w:pStyle w:val="OP"/>
        <w:numPr>
          <w:ilvl w:val="0"/>
          <w:numId w:val="14"/>
        </w:numPr>
        <w:ind w:left="0" w:firstLine="270"/>
      </w:pPr>
      <w:r w:rsidRPr="00797913">
        <w:t>PG&amp;E rate design proposals for its 2022 Green Tariff Shared Renewables and Enhanced Community Renewables rate proposal includes a reformulated calculation to align with D.21-12-036.</w:t>
      </w:r>
    </w:p>
    <w:p w:rsidR="00797913" w:rsidP="00404B36" w:rsidRDefault="00797913" w14:paraId="02ED4AA3" w14:textId="03EAD0F1">
      <w:pPr>
        <w:pStyle w:val="OP"/>
        <w:numPr>
          <w:ilvl w:val="0"/>
          <w:numId w:val="14"/>
        </w:numPr>
        <w:ind w:left="0" w:firstLine="270"/>
      </w:pPr>
      <w:r w:rsidRPr="00797913">
        <w:t xml:space="preserve">As parties to the proceeding, the Joint CCAs require access to the </w:t>
      </w:r>
      <w:r w:rsidR="005D7753">
        <w:t xml:space="preserve">final PCIA </w:t>
      </w:r>
      <w:r w:rsidRPr="00797913">
        <w:t xml:space="preserve">workpapers to the prior year’s </w:t>
      </w:r>
      <w:r w:rsidR="000B1893">
        <w:t>ERRA Forecast</w:t>
      </w:r>
      <w:r w:rsidRPr="00797913">
        <w:t xml:space="preserve"> proceeding in order to accurately evaluate the validity of PG&amp;E’s ERRA forecast application.</w:t>
      </w:r>
    </w:p>
    <w:p w:rsidRPr="00797913" w:rsidR="00B55BDC" w:rsidP="00404B36" w:rsidRDefault="00E02252" w14:paraId="2AB0A443" w14:textId="6113B890">
      <w:pPr>
        <w:pStyle w:val="OP"/>
        <w:numPr>
          <w:ilvl w:val="0"/>
          <w:numId w:val="14"/>
        </w:numPr>
        <w:ind w:left="0" w:firstLine="270"/>
      </w:pPr>
      <w:r>
        <w:t>This decision advances health and safety and the Commission’s Environmental and Social Justice Action Plan.</w:t>
      </w:r>
    </w:p>
    <w:p w:rsidRPr="00797913" w:rsidR="00797913" w:rsidP="00074E97" w:rsidRDefault="00797913" w14:paraId="6454F2A7" w14:textId="77777777">
      <w:pPr>
        <w:pStyle w:val="Dummy"/>
      </w:pPr>
      <w:bookmarkStart w:name="_Toc93499899" w:id="91"/>
      <w:bookmarkStart w:name="_Toc95469397" w:id="92"/>
      <w:r w:rsidRPr="00797913">
        <w:t>Conclusions of Law</w:t>
      </w:r>
      <w:bookmarkEnd w:id="91"/>
      <w:bookmarkEnd w:id="92"/>
    </w:p>
    <w:p w:rsidRPr="00FD2A84" w:rsidR="0088650B" w:rsidP="00D6128F" w:rsidRDefault="00797913" w14:paraId="50DFC9E5" w14:textId="16F962B6">
      <w:pPr>
        <w:numPr>
          <w:ilvl w:val="0"/>
          <w:numId w:val="5"/>
        </w:numPr>
        <w:ind w:firstLine="547"/>
      </w:pPr>
      <w:r w:rsidRPr="003350F6">
        <w:rPr>
          <w:rFonts w:eastAsia="Times New Roman" w:cs="Times New Roman"/>
          <w:szCs w:val="24"/>
        </w:rPr>
        <w:t>PG&amp;E’s forecasted 2022 procurement-related revenue requirements set forth below are reasonable and should be adopted.</w:t>
      </w:r>
    </w:p>
    <w:tbl>
      <w:tblPr>
        <w:tblW w:w="8910" w:type="dxa"/>
        <w:jc w:val="center"/>
        <w:tblLayout w:type="fixed"/>
        <w:tblCellMar>
          <w:left w:w="0" w:type="dxa"/>
          <w:right w:w="0" w:type="dxa"/>
        </w:tblCellMar>
        <w:tblLook w:val="04A0" w:firstRow="1" w:lastRow="0" w:firstColumn="1" w:lastColumn="0" w:noHBand="0" w:noVBand="1"/>
      </w:tblPr>
      <w:tblGrid>
        <w:gridCol w:w="7280"/>
        <w:gridCol w:w="1630"/>
      </w:tblGrid>
      <w:tr w:rsidRPr="00797913" w:rsidR="0088650B" w:rsidTr="00D10C20" w14:paraId="13B93E87" w14:textId="77777777">
        <w:trPr>
          <w:jc w:val="center"/>
        </w:trPr>
        <w:tc>
          <w:tcPr>
            <w:tcW w:w="72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797913" w:rsidR="0088650B" w:rsidP="00C453E6" w:rsidRDefault="00816A06" w14:paraId="6684E74A" w14:textId="60500CE8">
            <w:pPr>
              <w:keepNext/>
              <w:keepLines/>
              <w:spacing w:line="240" w:lineRule="auto"/>
              <w:ind w:firstLine="0"/>
              <w:rPr>
                <w:rFonts w:eastAsia="Times New Roman" w:cs="Times New Roman"/>
                <w:b/>
                <w:bCs/>
                <w:szCs w:val="26"/>
              </w:rPr>
            </w:pPr>
            <w:r>
              <w:rPr>
                <w:rFonts w:eastAsia="Times New Roman" w:cs="Times New Roman"/>
                <w:b/>
                <w:bCs/>
                <w:szCs w:val="26"/>
              </w:rPr>
              <w:t>2022</w:t>
            </w:r>
            <w:r w:rsidR="00D41B9F">
              <w:rPr>
                <w:rFonts w:eastAsia="Times New Roman" w:cs="Times New Roman"/>
                <w:b/>
                <w:bCs/>
                <w:szCs w:val="26"/>
              </w:rPr>
              <w:t xml:space="preserve"> Revenue Requirement</w:t>
            </w:r>
          </w:p>
          <w:p w:rsidRPr="00797913" w:rsidR="0088650B" w:rsidP="00C453E6" w:rsidRDefault="0088650B" w14:paraId="13A9E7CA" w14:textId="77777777">
            <w:pPr>
              <w:keepNext/>
              <w:keepLines/>
              <w:spacing w:line="240" w:lineRule="auto"/>
              <w:ind w:firstLine="0"/>
              <w:rPr>
                <w:rFonts w:eastAsia="Times New Roman" w:cs="Times New Roman"/>
                <w:b/>
                <w:bCs/>
                <w:szCs w:val="26"/>
              </w:rPr>
            </w:pPr>
          </w:p>
        </w:tc>
        <w:tc>
          <w:tcPr>
            <w:tcW w:w="163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797913" w:rsidR="0088650B" w:rsidP="00C453E6" w:rsidRDefault="0088650B" w14:paraId="782DE50E" w14:textId="77777777">
            <w:pPr>
              <w:keepNext/>
              <w:keepLines/>
              <w:spacing w:line="240" w:lineRule="auto"/>
              <w:ind w:firstLine="0"/>
              <w:rPr>
                <w:rFonts w:eastAsia="Times New Roman" w:cs="Times New Roman"/>
                <w:b/>
                <w:bCs/>
                <w:szCs w:val="26"/>
              </w:rPr>
            </w:pPr>
            <w:r w:rsidRPr="00797913">
              <w:rPr>
                <w:rFonts w:eastAsia="Times New Roman" w:cs="Times New Roman"/>
                <w:b/>
                <w:bCs/>
                <w:szCs w:val="26"/>
              </w:rPr>
              <w:t>Thousands</w:t>
            </w:r>
          </w:p>
        </w:tc>
      </w:tr>
      <w:tr w:rsidRPr="00797913" w:rsidR="0088650B" w:rsidTr="00D10C20" w14:paraId="049322FF" w14:textId="77777777">
        <w:trPr>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88650B" w:rsidP="00C453E6" w:rsidRDefault="0088650B" w14:paraId="44A07F02" w14:textId="77777777">
            <w:pPr>
              <w:keepNext/>
              <w:keepLines/>
              <w:spacing w:line="240" w:lineRule="auto"/>
              <w:ind w:firstLine="0"/>
              <w:rPr>
                <w:rFonts w:eastAsia="Times New Roman" w:cs="Times New Roman"/>
                <w:szCs w:val="26"/>
              </w:rPr>
            </w:pPr>
            <w:r w:rsidRPr="00797913">
              <w:rPr>
                <w:rFonts w:eastAsia="Times New Roman" w:cs="Times New Roman"/>
                <w:szCs w:val="26"/>
              </w:rPr>
              <w:t>Cost Allocation Mechanism/New System Generation Charge</w:t>
            </w:r>
          </w:p>
        </w:tc>
        <w:tc>
          <w:tcPr>
            <w:tcW w:w="163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88650B" w:rsidP="00C453E6" w:rsidRDefault="0088650B" w14:paraId="5C3551E2" w14:textId="77777777">
            <w:pPr>
              <w:keepNext/>
              <w:keepLines/>
              <w:spacing w:line="240" w:lineRule="auto"/>
              <w:ind w:firstLine="0"/>
              <w:jc w:val="right"/>
              <w:rPr>
                <w:rFonts w:eastAsia="Times New Roman" w:cs="Times New Roman"/>
                <w:szCs w:val="26"/>
              </w:rPr>
            </w:pPr>
            <w:r w:rsidRPr="00797913">
              <w:rPr>
                <w:rFonts w:eastAsia="Times New Roman" w:cs="Times New Roman"/>
                <w:szCs w:val="26"/>
              </w:rPr>
              <w:t>$170,533</w:t>
            </w:r>
          </w:p>
        </w:tc>
      </w:tr>
      <w:tr w:rsidRPr="00797913" w:rsidR="0088650B" w:rsidTr="00D10C20" w14:paraId="4ACC1709" w14:textId="77777777">
        <w:trPr>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88650B" w:rsidP="00C453E6" w:rsidRDefault="0088650B" w14:paraId="1BB24696" w14:textId="77777777">
            <w:pPr>
              <w:keepNext/>
              <w:keepLines/>
              <w:spacing w:line="240" w:lineRule="auto"/>
              <w:ind w:firstLine="0"/>
              <w:rPr>
                <w:rFonts w:eastAsia="Times New Roman" w:cs="Times New Roman"/>
                <w:szCs w:val="26"/>
              </w:rPr>
            </w:pPr>
            <w:r w:rsidRPr="00797913">
              <w:rPr>
                <w:rFonts w:eastAsia="Times New Roman" w:cs="Times New Roman"/>
                <w:szCs w:val="26"/>
              </w:rPr>
              <w:t>Power Charge Indifference Adjustment (PCIA)</w:t>
            </w:r>
          </w:p>
        </w:tc>
        <w:tc>
          <w:tcPr>
            <w:tcW w:w="163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88650B" w:rsidP="00C453E6" w:rsidRDefault="0088650B" w14:paraId="214AB9F1" w14:textId="77777777">
            <w:pPr>
              <w:keepNext/>
              <w:keepLines/>
              <w:spacing w:line="240" w:lineRule="auto"/>
              <w:ind w:firstLine="0"/>
              <w:jc w:val="right"/>
              <w:rPr>
                <w:rFonts w:eastAsia="Times New Roman" w:cs="Times New Roman"/>
                <w:szCs w:val="26"/>
              </w:rPr>
            </w:pPr>
            <w:r w:rsidRPr="00797913">
              <w:rPr>
                <w:rFonts w:eastAsia="Times New Roman" w:cs="Times New Roman"/>
                <w:szCs w:val="26"/>
              </w:rPr>
              <w:t>$1,480,423</w:t>
            </w:r>
          </w:p>
        </w:tc>
      </w:tr>
      <w:tr w:rsidRPr="00797913" w:rsidR="0088650B" w:rsidTr="00D10C20" w14:paraId="694EEFC3" w14:textId="77777777">
        <w:trPr>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88650B" w:rsidP="00C453E6" w:rsidRDefault="0088650B" w14:paraId="129C8EDC" w14:textId="77777777">
            <w:pPr>
              <w:keepNext/>
              <w:keepLines/>
              <w:spacing w:line="240" w:lineRule="auto"/>
              <w:ind w:firstLine="0"/>
              <w:rPr>
                <w:rFonts w:eastAsia="Times New Roman" w:cs="Times New Roman"/>
                <w:szCs w:val="26"/>
              </w:rPr>
            </w:pPr>
            <w:r w:rsidRPr="00797913">
              <w:rPr>
                <w:rFonts w:eastAsia="Times New Roman" w:cs="Times New Roman"/>
                <w:szCs w:val="26"/>
              </w:rPr>
              <w:t>Ongoing Competition Transition Charge</w:t>
            </w:r>
          </w:p>
        </w:tc>
        <w:tc>
          <w:tcPr>
            <w:tcW w:w="163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88650B" w:rsidP="00C453E6" w:rsidRDefault="0088650B" w14:paraId="1B21588E" w14:textId="77777777">
            <w:pPr>
              <w:keepNext/>
              <w:keepLines/>
              <w:spacing w:line="240" w:lineRule="auto"/>
              <w:ind w:firstLine="0"/>
              <w:jc w:val="right"/>
              <w:rPr>
                <w:rFonts w:eastAsia="Times New Roman" w:cs="Times New Roman"/>
                <w:szCs w:val="26"/>
              </w:rPr>
            </w:pPr>
            <w:r w:rsidRPr="00797913">
              <w:rPr>
                <w:rFonts w:eastAsia="Times New Roman" w:cs="Times New Roman"/>
                <w:szCs w:val="26"/>
              </w:rPr>
              <w:t>$17,104</w:t>
            </w:r>
          </w:p>
        </w:tc>
      </w:tr>
      <w:tr w:rsidRPr="00797913" w:rsidR="0088650B" w:rsidTr="00D10C20" w14:paraId="17AEB1FE" w14:textId="77777777">
        <w:trPr>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88650B" w:rsidP="00C453E6" w:rsidRDefault="0088650B" w14:paraId="1451042D" w14:textId="77777777">
            <w:pPr>
              <w:keepNext/>
              <w:keepLines/>
              <w:spacing w:line="240" w:lineRule="auto"/>
              <w:ind w:firstLine="0"/>
              <w:rPr>
                <w:rFonts w:eastAsia="Times New Roman" w:cs="Times New Roman"/>
                <w:szCs w:val="26"/>
              </w:rPr>
            </w:pPr>
            <w:r w:rsidRPr="00797913">
              <w:rPr>
                <w:rFonts w:eastAsia="Times New Roman" w:cs="Times New Roman"/>
                <w:szCs w:val="26"/>
              </w:rPr>
              <w:t>Energy Resource Recovery Account (ERRA)</w:t>
            </w:r>
          </w:p>
        </w:tc>
        <w:tc>
          <w:tcPr>
            <w:tcW w:w="163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88650B" w:rsidP="00C453E6" w:rsidRDefault="0088650B" w14:paraId="031A0140" w14:textId="77777777">
            <w:pPr>
              <w:keepNext/>
              <w:keepLines/>
              <w:spacing w:line="240" w:lineRule="auto"/>
              <w:ind w:firstLine="0"/>
              <w:jc w:val="right"/>
              <w:rPr>
                <w:rFonts w:eastAsia="Times New Roman" w:cs="Times New Roman"/>
                <w:szCs w:val="26"/>
              </w:rPr>
            </w:pPr>
            <w:r w:rsidRPr="00797913">
              <w:rPr>
                <w:rFonts w:eastAsia="Times New Roman" w:cs="Times New Roman"/>
                <w:szCs w:val="26"/>
              </w:rPr>
              <w:t>$3,356,016</w:t>
            </w:r>
          </w:p>
        </w:tc>
      </w:tr>
      <w:tr w:rsidRPr="00797913" w:rsidR="0088650B" w:rsidTr="00D10C20" w14:paraId="7D37364E" w14:textId="77777777">
        <w:trPr>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97913" w:rsidR="0088650B" w:rsidP="00C453E6" w:rsidRDefault="0088650B" w14:paraId="23EF2A87" w14:textId="77777777">
            <w:pPr>
              <w:keepNext/>
              <w:keepLines/>
              <w:spacing w:line="240" w:lineRule="auto"/>
              <w:ind w:firstLine="0"/>
              <w:rPr>
                <w:rFonts w:eastAsia="Times New Roman" w:cs="Times New Roman"/>
                <w:szCs w:val="26"/>
              </w:rPr>
            </w:pPr>
            <w:r w:rsidRPr="00797913">
              <w:rPr>
                <w:rFonts w:eastAsia="Times New Roman" w:cs="Times New Roman"/>
                <w:szCs w:val="26"/>
              </w:rPr>
              <w:t>ERRA PCIA Financing Subaccount</w:t>
            </w:r>
          </w:p>
        </w:tc>
        <w:tc>
          <w:tcPr>
            <w:tcW w:w="163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97913" w:rsidR="0088650B" w:rsidP="00C453E6" w:rsidRDefault="0088650B" w14:paraId="293F51F0" w14:textId="77777777">
            <w:pPr>
              <w:keepNext/>
              <w:keepLines/>
              <w:spacing w:line="240" w:lineRule="auto"/>
              <w:ind w:firstLine="0"/>
              <w:jc w:val="right"/>
              <w:rPr>
                <w:rFonts w:eastAsia="Times New Roman" w:cs="Times New Roman"/>
                <w:szCs w:val="26"/>
              </w:rPr>
            </w:pPr>
            <w:r w:rsidRPr="00797913">
              <w:rPr>
                <w:rFonts w:eastAsia="Times New Roman" w:cs="Times New Roman"/>
                <w:szCs w:val="26"/>
              </w:rPr>
              <w:t>($95,091)</w:t>
            </w:r>
          </w:p>
        </w:tc>
      </w:tr>
      <w:tr w:rsidRPr="00797913" w:rsidR="0088650B" w:rsidTr="00D10C20" w14:paraId="10CA84BA" w14:textId="77777777">
        <w:trPr>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88650B" w:rsidP="00C453E6" w:rsidRDefault="0088650B" w14:paraId="4A2B5189" w14:textId="77777777">
            <w:pPr>
              <w:keepNext/>
              <w:keepLines/>
              <w:spacing w:line="240" w:lineRule="auto"/>
              <w:ind w:firstLine="0"/>
              <w:rPr>
                <w:rFonts w:eastAsia="Times New Roman" w:cs="Times New Roman"/>
                <w:szCs w:val="26"/>
              </w:rPr>
            </w:pPr>
            <w:r w:rsidRPr="00797913">
              <w:rPr>
                <w:rFonts w:eastAsia="Times New Roman" w:cs="Times New Roman"/>
                <w:szCs w:val="26"/>
              </w:rPr>
              <w:t xml:space="preserve">PCIA </w:t>
            </w:r>
            <w:proofErr w:type="spellStart"/>
            <w:r w:rsidRPr="00797913">
              <w:rPr>
                <w:rFonts w:eastAsia="Times New Roman" w:cs="Times New Roman"/>
                <w:szCs w:val="26"/>
              </w:rPr>
              <w:t>Undercollection</w:t>
            </w:r>
            <w:proofErr w:type="spellEnd"/>
            <w:r w:rsidRPr="00797913">
              <w:rPr>
                <w:rFonts w:eastAsia="Times New Roman" w:cs="Times New Roman"/>
                <w:szCs w:val="26"/>
              </w:rPr>
              <w:t xml:space="preserve"> Balancing Account</w:t>
            </w:r>
          </w:p>
        </w:tc>
        <w:tc>
          <w:tcPr>
            <w:tcW w:w="163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88650B" w:rsidP="00C453E6" w:rsidRDefault="0088650B" w14:paraId="7AE3D0B4" w14:textId="77777777">
            <w:pPr>
              <w:keepNext/>
              <w:keepLines/>
              <w:spacing w:line="240" w:lineRule="auto"/>
              <w:ind w:firstLine="0"/>
              <w:jc w:val="right"/>
              <w:rPr>
                <w:rFonts w:eastAsia="Times New Roman" w:cs="Times New Roman"/>
                <w:szCs w:val="26"/>
              </w:rPr>
            </w:pPr>
            <w:r w:rsidRPr="00797913">
              <w:rPr>
                <w:rFonts w:eastAsia="Times New Roman" w:cs="Times New Roman"/>
                <w:szCs w:val="26"/>
              </w:rPr>
              <w:t>$91,526</w:t>
            </w:r>
          </w:p>
        </w:tc>
      </w:tr>
      <w:tr w:rsidRPr="00797913" w:rsidR="0088650B" w:rsidTr="00D10C20" w14:paraId="7415222B" w14:textId="77777777">
        <w:trPr>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88650B" w:rsidP="00C453E6" w:rsidRDefault="0088650B" w14:paraId="44528672" w14:textId="77777777">
            <w:pPr>
              <w:keepNext/>
              <w:keepLines/>
              <w:spacing w:line="240" w:lineRule="auto"/>
              <w:ind w:firstLine="0"/>
              <w:rPr>
                <w:rFonts w:eastAsia="Times New Roman" w:cs="Times New Roman"/>
                <w:szCs w:val="26"/>
              </w:rPr>
            </w:pPr>
            <w:r w:rsidRPr="00797913">
              <w:rPr>
                <w:rFonts w:eastAsia="Times New Roman" w:cs="Times New Roman"/>
                <w:szCs w:val="26"/>
              </w:rPr>
              <w:t>Non-Vintaged PCIA</w:t>
            </w:r>
          </w:p>
        </w:tc>
        <w:tc>
          <w:tcPr>
            <w:tcW w:w="163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88650B" w:rsidP="00C453E6" w:rsidRDefault="0088650B" w14:paraId="2CFCAA11" w14:textId="77777777">
            <w:pPr>
              <w:keepNext/>
              <w:keepLines/>
              <w:spacing w:line="240" w:lineRule="auto"/>
              <w:ind w:firstLine="0"/>
              <w:jc w:val="right"/>
              <w:rPr>
                <w:rFonts w:eastAsia="Times New Roman" w:cs="Times New Roman"/>
                <w:szCs w:val="26"/>
              </w:rPr>
            </w:pPr>
            <w:r w:rsidRPr="00797913">
              <w:rPr>
                <w:rFonts w:eastAsia="Times New Roman" w:cs="Times New Roman"/>
                <w:szCs w:val="26"/>
              </w:rPr>
              <w:t>($16)</w:t>
            </w:r>
          </w:p>
        </w:tc>
      </w:tr>
      <w:tr w:rsidRPr="00797913" w:rsidR="0088650B" w:rsidTr="00D10C20" w14:paraId="4BE5B3DD" w14:textId="77777777">
        <w:trPr>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97913" w:rsidR="0088650B" w:rsidP="00C453E6" w:rsidRDefault="0088650B" w14:paraId="69CCBD36" w14:textId="77777777">
            <w:pPr>
              <w:keepNext/>
              <w:keepLines/>
              <w:spacing w:line="240" w:lineRule="auto"/>
              <w:ind w:firstLine="0"/>
              <w:rPr>
                <w:rFonts w:eastAsia="Times New Roman" w:cs="Times New Roman"/>
                <w:szCs w:val="26"/>
              </w:rPr>
            </w:pPr>
            <w:r w:rsidRPr="00797913">
              <w:rPr>
                <w:rFonts w:eastAsia="Times New Roman" w:cs="Times New Roman"/>
                <w:szCs w:val="26"/>
              </w:rPr>
              <w:t>Tree Mortality Non</w:t>
            </w:r>
            <w:r w:rsidRPr="00797913">
              <w:rPr>
                <w:rFonts w:eastAsia="Times New Roman" w:cs="Times New Roman"/>
                <w:szCs w:val="26"/>
              </w:rPr>
              <w:noBreakHyphen/>
            </w:r>
            <w:proofErr w:type="spellStart"/>
            <w:r w:rsidRPr="00797913">
              <w:rPr>
                <w:rFonts w:eastAsia="Times New Roman" w:cs="Times New Roman"/>
                <w:szCs w:val="26"/>
              </w:rPr>
              <w:t>Bypassable</w:t>
            </w:r>
            <w:proofErr w:type="spellEnd"/>
            <w:r w:rsidRPr="00797913">
              <w:rPr>
                <w:rFonts w:eastAsia="Times New Roman" w:cs="Times New Roman"/>
                <w:szCs w:val="26"/>
              </w:rPr>
              <w:t xml:space="preserve"> Charge</w:t>
            </w:r>
          </w:p>
        </w:tc>
        <w:tc>
          <w:tcPr>
            <w:tcW w:w="163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97913" w:rsidR="0088650B" w:rsidP="00C453E6" w:rsidRDefault="0088650B" w14:paraId="6E83A88A" w14:textId="77777777">
            <w:pPr>
              <w:keepNext/>
              <w:keepLines/>
              <w:spacing w:line="240" w:lineRule="auto"/>
              <w:ind w:firstLine="0"/>
              <w:jc w:val="right"/>
              <w:rPr>
                <w:rFonts w:eastAsia="Times New Roman" w:cs="Times New Roman"/>
                <w:szCs w:val="26"/>
              </w:rPr>
            </w:pPr>
            <w:r w:rsidRPr="00797913">
              <w:t xml:space="preserve"> $</w:t>
            </w:r>
            <w:r w:rsidRPr="00797913">
              <w:rPr>
                <w:rFonts w:eastAsia="Times New Roman" w:cs="Times New Roman"/>
                <w:szCs w:val="26"/>
              </w:rPr>
              <w:t>12,597</w:t>
            </w:r>
          </w:p>
        </w:tc>
      </w:tr>
      <w:tr w:rsidRPr="00797913" w:rsidR="0088650B" w:rsidTr="00D10C20" w14:paraId="08B57860" w14:textId="77777777">
        <w:trPr>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88650B" w:rsidP="00C453E6" w:rsidRDefault="0088650B" w14:paraId="4631F755" w14:textId="77777777">
            <w:pPr>
              <w:keepNext/>
              <w:keepLines/>
              <w:spacing w:line="240" w:lineRule="auto"/>
              <w:ind w:firstLine="0"/>
              <w:rPr>
                <w:rFonts w:eastAsia="Times New Roman" w:cs="Times New Roman"/>
                <w:szCs w:val="26"/>
              </w:rPr>
            </w:pPr>
            <w:r w:rsidRPr="00797913">
              <w:rPr>
                <w:rFonts w:eastAsia="Times New Roman" w:cs="Times New Roman"/>
                <w:szCs w:val="26"/>
              </w:rPr>
              <w:t>Bioenergy Market Adjusting Tariff</w:t>
            </w:r>
          </w:p>
        </w:tc>
        <w:tc>
          <w:tcPr>
            <w:tcW w:w="1630" w:type="dxa"/>
            <w:tcBorders>
              <w:top w:val="nil"/>
              <w:left w:val="single" w:color="auto" w:sz="8" w:space="0"/>
              <w:bottom w:val="double" w:color="auto" w:sz="4" w:space="0"/>
              <w:right w:val="single" w:color="auto" w:sz="8" w:space="0"/>
            </w:tcBorders>
            <w:tcMar>
              <w:top w:w="0" w:type="dxa"/>
              <w:left w:w="108" w:type="dxa"/>
              <w:bottom w:w="0" w:type="dxa"/>
              <w:right w:w="108" w:type="dxa"/>
            </w:tcMar>
          </w:tcPr>
          <w:p w:rsidRPr="00797913" w:rsidR="0088650B" w:rsidP="00C453E6" w:rsidRDefault="0088650B" w14:paraId="05EA4DC0" w14:textId="77777777">
            <w:pPr>
              <w:keepNext/>
              <w:keepLines/>
              <w:spacing w:line="240" w:lineRule="auto"/>
              <w:ind w:firstLine="0"/>
              <w:jc w:val="right"/>
              <w:rPr>
                <w:rFonts w:eastAsia="Times New Roman" w:cs="Times New Roman"/>
                <w:szCs w:val="26"/>
              </w:rPr>
            </w:pPr>
            <w:r w:rsidRPr="00797913">
              <w:rPr>
                <w:rFonts w:eastAsia="Times New Roman" w:cs="Times New Roman"/>
                <w:szCs w:val="26"/>
              </w:rPr>
              <w:t>$27,098</w:t>
            </w:r>
          </w:p>
        </w:tc>
      </w:tr>
      <w:tr w:rsidRPr="00797913" w:rsidR="0088650B" w:rsidTr="00D10C20" w14:paraId="2F35775C" w14:textId="77777777">
        <w:trPr>
          <w:trHeight w:val="295"/>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97913" w:rsidR="0088650B" w:rsidP="00C453E6" w:rsidRDefault="0088650B" w14:paraId="34D7A223" w14:textId="77777777">
            <w:pPr>
              <w:keepNext/>
              <w:keepLines/>
              <w:spacing w:line="240" w:lineRule="auto"/>
              <w:ind w:firstLine="0"/>
              <w:rPr>
                <w:rFonts w:eastAsia="Times New Roman" w:cs="Times New Roman"/>
                <w:szCs w:val="26"/>
              </w:rPr>
            </w:pPr>
            <w:r w:rsidRPr="00797913">
              <w:rPr>
                <w:rFonts w:eastAsia="Times New Roman" w:cs="Times New Roman"/>
                <w:szCs w:val="26"/>
              </w:rPr>
              <w:t xml:space="preserve">Revenue Requirement for Rate Setting </w:t>
            </w:r>
          </w:p>
        </w:tc>
        <w:tc>
          <w:tcPr>
            <w:tcW w:w="1630" w:type="dxa"/>
            <w:tcBorders>
              <w:top w:val="double" w:color="auto" w:sz="4" w:space="0"/>
              <w:left w:val="single" w:color="auto" w:sz="8" w:space="0"/>
              <w:bottom w:val="single" w:color="auto" w:sz="8" w:space="0"/>
              <w:right w:val="single" w:color="auto" w:sz="8" w:space="0"/>
            </w:tcBorders>
            <w:tcMar>
              <w:top w:w="0" w:type="dxa"/>
              <w:left w:w="108" w:type="dxa"/>
              <w:bottom w:w="0" w:type="dxa"/>
              <w:right w:w="108" w:type="dxa"/>
            </w:tcMar>
            <w:hideMark/>
          </w:tcPr>
          <w:p w:rsidRPr="00797913" w:rsidR="0088650B" w:rsidP="00C453E6" w:rsidRDefault="0088650B" w14:paraId="4F73F972" w14:textId="77777777">
            <w:pPr>
              <w:keepNext/>
              <w:keepLines/>
              <w:spacing w:line="240" w:lineRule="auto"/>
              <w:ind w:firstLine="0"/>
              <w:jc w:val="right"/>
              <w:rPr>
                <w:rFonts w:eastAsia="Times New Roman" w:cs="Times New Roman"/>
                <w:szCs w:val="26"/>
              </w:rPr>
            </w:pPr>
            <w:r w:rsidRPr="00797913">
              <w:rPr>
                <w:rFonts w:eastAsia="Times New Roman" w:cs="Times New Roman"/>
                <w:szCs w:val="26"/>
              </w:rPr>
              <w:t>$5,060,190</w:t>
            </w:r>
          </w:p>
        </w:tc>
      </w:tr>
      <w:tr w:rsidRPr="00797913" w:rsidR="0088650B" w:rsidTr="00D10C20" w14:paraId="6F21DC93" w14:textId="77777777">
        <w:trPr>
          <w:trHeight w:val="44"/>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88650B" w:rsidP="00C453E6" w:rsidRDefault="0088650B" w14:paraId="3130E24F" w14:textId="77777777">
            <w:pPr>
              <w:keepNext/>
              <w:keepLines/>
              <w:spacing w:line="240" w:lineRule="auto"/>
              <w:ind w:firstLine="0"/>
              <w:rPr>
                <w:rFonts w:eastAsia="Times New Roman" w:cs="Times New Roman"/>
                <w:b/>
                <w:bCs/>
                <w:szCs w:val="26"/>
              </w:rPr>
            </w:pPr>
            <w:r w:rsidRPr="00797913">
              <w:rPr>
                <w:rFonts w:eastAsia="Times New Roman" w:cs="Times New Roman"/>
                <w:b/>
                <w:bCs/>
                <w:szCs w:val="26"/>
              </w:rPr>
              <w:t>Adjustments from Other Proceedings</w:t>
            </w:r>
          </w:p>
        </w:tc>
        <w:tc>
          <w:tcPr>
            <w:tcW w:w="1630" w:type="dxa"/>
            <w:tcBorders>
              <w:top w:val="nil"/>
              <w:left w:val="single" w:color="auto" w:sz="8" w:space="0"/>
              <w:bottom w:val="double" w:color="auto" w:sz="4" w:space="0"/>
              <w:right w:val="single" w:color="auto" w:sz="8" w:space="0"/>
            </w:tcBorders>
            <w:tcMar>
              <w:top w:w="0" w:type="dxa"/>
              <w:left w:w="108" w:type="dxa"/>
              <w:bottom w:w="0" w:type="dxa"/>
              <w:right w:w="108" w:type="dxa"/>
            </w:tcMar>
          </w:tcPr>
          <w:p w:rsidRPr="00797913" w:rsidR="0088650B" w:rsidP="00C453E6" w:rsidRDefault="0088650B" w14:paraId="3B66BB07" w14:textId="77777777">
            <w:pPr>
              <w:keepNext/>
              <w:keepLines/>
              <w:spacing w:line="240" w:lineRule="auto"/>
              <w:ind w:firstLine="0"/>
              <w:jc w:val="right"/>
              <w:rPr>
                <w:rFonts w:eastAsia="Times New Roman" w:cs="Times New Roman"/>
                <w:szCs w:val="26"/>
              </w:rPr>
            </w:pPr>
          </w:p>
        </w:tc>
      </w:tr>
      <w:tr w:rsidRPr="00797913" w:rsidR="0088650B" w:rsidTr="00D10C20" w14:paraId="24F4C9B9" w14:textId="77777777">
        <w:trPr>
          <w:trHeight w:val="44"/>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88650B" w:rsidP="00C453E6" w:rsidRDefault="0088650B" w14:paraId="0117D5DD" w14:textId="77777777">
            <w:pPr>
              <w:keepNext/>
              <w:keepLines/>
              <w:spacing w:line="240" w:lineRule="auto"/>
              <w:ind w:firstLine="0"/>
              <w:rPr>
                <w:rFonts w:eastAsia="Times New Roman" w:cs="Times New Roman"/>
                <w:szCs w:val="26"/>
              </w:rPr>
            </w:pPr>
            <w:r w:rsidRPr="00797913">
              <w:rPr>
                <w:rFonts w:eastAsia="Times New Roman" w:cs="Times New Roman"/>
                <w:szCs w:val="26"/>
              </w:rPr>
              <w:t>Utility Owned Generation Related Costs</w:t>
            </w:r>
          </w:p>
        </w:tc>
        <w:tc>
          <w:tcPr>
            <w:tcW w:w="1630" w:type="dxa"/>
            <w:tcBorders>
              <w:top w:val="nil"/>
              <w:left w:val="single" w:color="auto" w:sz="8" w:space="0"/>
              <w:bottom w:val="double" w:color="auto" w:sz="4" w:space="0"/>
              <w:right w:val="single" w:color="auto" w:sz="8" w:space="0"/>
            </w:tcBorders>
            <w:tcMar>
              <w:top w:w="0" w:type="dxa"/>
              <w:left w:w="108" w:type="dxa"/>
              <w:bottom w:w="0" w:type="dxa"/>
              <w:right w:w="108" w:type="dxa"/>
            </w:tcMar>
          </w:tcPr>
          <w:p w:rsidRPr="00797913" w:rsidR="0088650B" w:rsidP="00C453E6" w:rsidRDefault="0088650B" w14:paraId="0A74267A" w14:textId="77777777">
            <w:pPr>
              <w:keepNext/>
              <w:keepLines/>
              <w:spacing w:line="240" w:lineRule="auto"/>
              <w:ind w:firstLine="0"/>
              <w:jc w:val="right"/>
              <w:rPr>
                <w:rFonts w:eastAsia="Times New Roman" w:cs="Times New Roman"/>
                <w:szCs w:val="26"/>
              </w:rPr>
            </w:pPr>
            <w:r w:rsidRPr="00797913">
              <w:rPr>
                <w:rFonts w:eastAsia="Times New Roman" w:cs="Times New Roman"/>
                <w:szCs w:val="26"/>
              </w:rPr>
              <w:t>($2,437,220)</w:t>
            </w:r>
          </w:p>
        </w:tc>
      </w:tr>
      <w:tr w:rsidRPr="00797913" w:rsidR="0088650B" w:rsidTr="00D10C20" w14:paraId="4BACBA90" w14:textId="77777777">
        <w:trPr>
          <w:trHeight w:val="44"/>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88650B" w:rsidP="00C453E6" w:rsidRDefault="0088650B" w14:paraId="5DEB9469" w14:textId="77777777">
            <w:pPr>
              <w:keepNext/>
              <w:keepLines/>
              <w:spacing w:line="240" w:lineRule="auto"/>
              <w:ind w:firstLine="0"/>
              <w:rPr>
                <w:rFonts w:eastAsia="Times New Roman" w:cs="Times New Roman"/>
                <w:szCs w:val="26"/>
              </w:rPr>
            </w:pPr>
            <w:r w:rsidRPr="00797913">
              <w:rPr>
                <w:rFonts w:eastAsia="Times New Roman" w:cs="Times New Roman"/>
                <w:szCs w:val="26"/>
              </w:rPr>
              <w:t xml:space="preserve">PCIA </w:t>
            </w:r>
            <w:proofErr w:type="spellStart"/>
            <w:r w:rsidRPr="00797913">
              <w:rPr>
                <w:rFonts w:eastAsia="Times New Roman" w:cs="Times New Roman"/>
                <w:szCs w:val="26"/>
              </w:rPr>
              <w:t>Undercollection</w:t>
            </w:r>
            <w:proofErr w:type="spellEnd"/>
            <w:r w:rsidRPr="00797913">
              <w:rPr>
                <w:rFonts w:eastAsia="Times New Roman" w:cs="Times New Roman"/>
                <w:szCs w:val="26"/>
              </w:rPr>
              <w:t xml:space="preserve"> Balancing Account (Adjustment)</w:t>
            </w:r>
          </w:p>
        </w:tc>
        <w:tc>
          <w:tcPr>
            <w:tcW w:w="1630" w:type="dxa"/>
            <w:tcBorders>
              <w:top w:val="nil"/>
              <w:left w:val="single" w:color="auto" w:sz="8" w:space="0"/>
              <w:bottom w:val="double" w:color="auto" w:sz="4" w:space="0"/>
              <w:right w:val="single" w:color="auto" w:sz="8" w:space="0"/>
            </w:tcBorders>
            <w:tcMar>
              <w:top w:w="0" w:type="dxa"/>
              <w:left w:w="108" w:type="dxa"/>
              <w:bottom w:w="0" w:type="dxa"/>
              <w:right w:w="108" w:type="dxa"/>
            </w:tcMar>
          </w:tcPr>
          <w:p w:rsidRPr="00797913" w:rsidR="0088650B" w:rsidP="00C453E6" w:rsidRDefault="0088650B" w14:paraId="31A96C4E" w14:textId="77777777">
            <w:pPr>
              <w:keepNext/>
              <w:keepLines/>
              <w:spacing w:line="240" w:lineRule="auto"/>
              <w:ind w:firstLine="0"/>
              <w:jc w:val="right"/>
              <w:rPr>
                <w:rFonts w:eastAsia="Times New Roman" w:cs="Times New Roman"/>
                <w:szCs w:val="26"/>
              </w:rPr>
            </w:pPr>
            <w:r w:rsidRPr="00797913">
              <w:rPr>
                <w:rFonts w:eastAsia="Times New Roman" w:cs="Times New Roman"/>
                <w:szCs w:val="26"/>
              </w:rPr>
              <w:t>$95,091</w:t>
            </w:r>
          </w:p>
        </w:tc>
      </w:tr>
      <w:tr w:rsidRPr="00797913" w:rsidR="0088650B" w:rsidTr="00D10C20" w14:paraId="3F42B30D" w14:textId="77777777">
        <w:trPr>
          <w:trHeight w:val="44"/>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88650B" w:rsidP="00C453E6" w:rsidRDefault="0088650B" w14:paraId="3C7DF211" w14:textId="77777777">
            <w:pPr>
              <w:keepNext/>
              <w:keepLines/>
              <w:spacing w:line="240" w:lineRule="auto"/>
              <w:ind w:firstLine="0"/>
              <w:rPr>
                <w:rFonts w:eastAsia="Times New Roman" w:cs="Times New Roman"/>
                <w:szCs w:val="26"/>
              </w:rPr>
            </w:pPr>
            <w:r w:rsidRPr="00797913">
              <w:rPr>
                <w:rFonts w:eastAsia="Times New Roman" w:cs="Times New Roman"/>
                <w:szCs w:val="26"/>
              </w:rPr>
              <w:t>ERRA PCIA Financing Subaccount (Adjustment)</w:t>
            </w:r>
          </w:p>
        </w:tc>
        <w:tc>
          <w:tcPr>
            <w:tcW w:w="1630" w:type="dxa"/>
            <w:tcBorders>
              <w:top w:val="nil"/>
              <w:left w:val="single" w:color="auto" w:sz="8" w:space="0"/>
              <w:bottom w:val="double" w:color="auto" w:sz="4" w:space="0"/>
              <w:right w:val="single" w:color="auto" w:sz="8" w:space="0"/>
            </w:tcBorders>
            <w:tcMar>
              <w:top w:w="0" w:type="dxa"/>
              <w:left w:w="108" w:type="dxa"/>
              <w:bottom w:w="0" w:type="dxa"/>
              <w:right w:w="108" w:type="dxa"/>
            </w:tcMar>
          </w:tcPr>
          <w:p w:rsidRPr="00797913" w:rsidR="0088650B" w:rsidP="00C453E6" w:rsidRDefault="0088650B" w14:paraId="46BC4227" w14:textId="77777777">
            <w:pPr>
              <w:keepNext/>
              <w:keepLines/>
              <w:spacing w:line="240" w:lineRule="auto"/>
              <w:ind w:firstLine="0"/>
              <w:jc w:val="right"/>
              <w:rPr>
                <w:rFonts w:eastAsia="Times New Roman" w:cs="Times New Roman"/>
                <w:szCs w:val="26"/>
              </w:rPr>
            </w:pPr>
            <w:r w:rsidRPr="00797913">
              <w:rPr>
                <w:rFonts w:eastAsia="Times New Roman" w:cs="Times New Roman"/>
                <w:szCs w:val="26"/>
              </w:rPr>
              <w:t>($91,526)</w:t>
            </w:r>
          </w:p>
        </w:tc>
      </w:tr>
      <w:tr w:rsidRPr="00797913" w:rsidR="0088650B" w:rsidTr="00D10C20" w14:paraId="3C879AC6" w14:textId="77777777">
        <w:trPr>
          <w:trHeight w:val="44"/>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88650B" w:rsidP="00C453E6" w:rsidRDefault="0088650B" w14:paraId="7CDBCE3D" w14:textId="77777777">
            <w:pPr>
              <w:keepNext/>
              <w:keepLines/>
              <w:spacing w:line="240" w:lineRule="auto"/>
              <w:ind w:firstLine="0"/>
              <w:rPr>
                <w:rFonts w:eastAsia="Times New Roman" w:cs="Times New Roman"/>
                <w:szCs w:val="26"/>
              </w:rPr>
            </w:pPr>
            <w:r w:rsidRPr="00797913">
              <w:rPr>
                <w:rFonts w:eastAsia="Times New Roman" w:cs="Times New Roman"/>
                <w:szCs w:val="26"/>
              </w:rPr>
              <w:t>Electric Risk Transfer Balancing Account</w:t>
            </w:r>
          </w:p>
        </w:tc>
        <w:tc>
          <w:tcPr>
            <w:tcW w:w="1630" w:type="dxa"/>
            <w:tcBorders>
              <w:top w:val="nil"/>
              <w:left w:val="single" w:color="auto" w:sz="8" w:space="0"/>
              <w:bottom w:val="double" w:color="auto" w:sz="4" w:space="0"/>
              <w:right w:val="single" w:color="auto" w:sz="8" w:space="0"/>
            </w:tcBorders>
            <w:tcMar>
              <w:top w:w="0" w:type="dxa"/>
              <w:left w:w="108" w:type="dxa"/>
              <w:bottom w:w="0" w:type="dxa"/>
              <w:right w:w="108" w:type="dxa"/>
            </w:tcMar>
          </w:tcPr>
          <w:p w:rsidRPr="00797913" w:rsidR="0088650B" w:rsidP="00C453E6" w:rsidRDefault="0088650B" w14:paraId="1783F62B" w14:textId="77777777">
            <w:pPr>
              <w:keepNext/>
              <w:keepLines/>
              <w:spacing w:line="240" w:lineRule="auto"/>
              <w:ind w:firstLine="0"/>
              <w:jc w:val="right"/>
              <w:rPr>
                <w:rFonts w:eastAsia="Times New Roman" w:cs="Times New Roman"/>
                <w:szCs w:val="26"/>
              </w:rPr>
            </w:pPr>
            <w:r w:rsidRPr="00797913">
              <w:rPr>
                <w:rFonts w:eastAsia="Times New Roman" w:cs="Times New Roman"/>
                <w:szCs w:val="26"/>
              </w:rPr>
              <w:t>($163,370)</w:t>
            </w:r>
          </w:p>
        </w:tc>
      </w:tr>
      <w:tr w:rsidRPr="00797913" w:rsidR="0088650B" w:rsidTr="00D10C20" w14:paraId="2F0C532A" w14:textId="77777777">
        <w:trPr>
          <w:trHeight w:val="44"/>
          <w:jc w:val="center"/>
        </w:trPr>
        <w:tc>
          <w:tcPr>
            <w:tcW w:w="728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88650B" w:rsidP="00C453E6" w:rsidRDefault="0088650B" w14:paraId="39497EE3" w14:textId="77777777">
            <w:pPr>
              <w:keepNext/>
              <w:keepLines/>
              <w:spacing w:line="240" w:lineRule="auto"/>
              <w:ind w:firstLine="0"/>
              <w:rPr>
                <w:rFonts w:eastAsia="Times New Roman" w:cs="Times New Roman"/>
                <w:szCs w:val="26"/>
              </w:rPr>
            </w:pPr>
            <w:r w:rsidRPr="00797913">
              <w:rPr>
                <w:rFonts w:eastAsia="Times New Roman" w:cs="Times New Roman"/>
                <w:szCs w:val="26"/>
              </w:rPr>
              <w:t>2020 and 2021 Electric Residential Uncollectible Balancing Account</w:t>
            </w:r>
          </w:p>
        </w:tc>
        <w:tc>
          <w:tcPr>
            <w:tcW w:w="1630" w:type="dxa"/>
            <w:tcBorders>
              <w:top w:val="nil"/>
              <w:left w:val="single" w:color="auto" w:sz="8" w:space="0"/>
              <w:bottom w:val="double" w:color="auto" w:sz="4" w:space="0"/>
              <w:right w:val="single" w:color="auto" w:sz="8" w:space="0"/>
            </w:tcBorders>
            <w:tcMar>
              <w:top w:w="0" w:type="dxa"/>
              <w:left w:w="108" w:type="dxa"/>
              <w:bottom w:w="0" w:type="dxa"/>
              <w:right w:w="108" w:type="dxa"/>
            </w:tcMar>
          </w:tcPr>
          <w:p w:rsidRPr="00797913" w:rsidR="0088650B" w:rsidP="00C453E6" w:rsidRDefault="0088650B" w14:paraId="5395A5F4" w14:textId="77777777">
            <w:pPr>
              <w:keepNext/>
              <w:keepLines/>
              <w:spacing w:line="240" w:lineRule="auto"/>
              <w:ind w:firstLine="0"/>
              <w:jc w:val="right"/>
              <w:rPr>
                <w:rFonts w:eastAsia="Times New Roman" w:cs="Times New Roman"/>
                <w:szCs w:val="26"/>
              </w:rPr>
            </w:pPr>
            <w:r w:rsidRPr="00797913">
              <w:rPr>
                <w:rFonts w:eastAsia="Times New Roman" w:cs="Times New Roman"/>
                <w:szCs w:val="26"/>
              </w:rPr>
              <w:t>($46,237)</w:t>
            </w:r>
          </w:p>
        </w:tc>
      </w:tr>
      <w:tr w:rsidRPr="00797913" w:rsidR="0088650B" w:rsidTr="003350F6" w14:paraId="252D567F" w14:textId="77777777">
        <w:trPr>
          <w:trHeight w:val="44"/>
          <w:jc w:val="center"/>
        </w:trPr>
        <w:tc>
          <w:tcPr>
            <w:tcW w:w="7280" w:type="dxa"/>
            <w:tcBorders>
              <w:top w:val="nil"/>
              <w:left w:val="single" w:color="auto" w:sz="8" w:space="0"/>
              <w:bottom w:val="single" w:color="auto" w:sz="4" w:space="0"/>
              <w:right w:val="single" w:color="auto" w:sz="8" w:space="0"/>
            </w:tcBorders>
            <w:tcMar>
              <w:top w:w="0" w:type="dxa"/>
              <w:left w:w="108" w:type="dxa"/>
              <w:bottom w:w="0" w:type="dxa"/>
              <w:right w:w="108" w:type="dxa"/>
            </w:tcMar>
          </w:tcPr>
          <w:p w:rsidRPr="00797913" w:rsidR="0088650B" w:rsidP="00C453E6" w:rsidRDefault="0088650B" w14:paraId="06DF3DB7" w14:textId="77777777">
            <w:pPr>
              <w:keepNext/>
              <w:keepLines/>
              <w:spacing w:line="240" w:lineRule="auto"/>
              <w:ind w:firstLine="0"/>
              <w:rPr>
                <w:rFonts w:eastAsia="Times New Roman" w:cs="Times New Roman"/>
                <w:szCs w:val="26"/>
              </w:rPr>
            </w:pPr>
            <w:r w:rsidRPr="00797913">
              <w:rPr>
                <w:rFonts w:eastAsia="Times New Roman" w:cs="Times New Roman"/>
                <w:szCs w:val="26"/>
              </w:rPr>
              <w:t>Subtotal from Other Proceedings</w:t>
            </w:r>
          </w:p>
        </w:tc>
        <w:tc>
          <w:tcPr>
            <w:tcW w:w="1630" w:type="dxa"/>
            <w:tcBorders>
              <w:top w:val="nil"/>
              <w:left w:val="single" w:color="auto" w:sz="8" w:space="0"/>
              <w:bottom w:val="single" w:color="auto" w:sz="4" w:space="0"/>
              <w:right w:val="single" w:color="auto" w:sz="8" w:space="0"/>
            </w:tcBorders>
            <w:tcMar>
              <w:top w:w="0" w:type="dxa"/>
              <w:left w:w="108" w:type="dxa"/>
              <w:bottom w:w="0" w:type="dxa"/>
              <w:right w:w="108" w:type="dxa"/>
            </w:tcMar>
          </w:tcPr>
          <w:p w:rsidRPr="00797913" w:rsidR="0088650B" w:rsidP="00C453E6" w:rsidRDefault="0088650B" w14:paraId="3D4F4596" w14:textId="77777777">
            <w:pPr>
              <w:keepNext/>
              <w:keepLines/>
              <w:spacing w:line="240" w:lineRule="auto"/>
              <w:ind w:firstLine="0"/>
              <w:jc w:val="right"/>
              <w:rPr>
                <w:rFonts w:eastAsia="Times New Roman" w:cs="Times New Roman"/>
                <w:szCs w:val="26"/>
              </w:rPr>
            </w:pPr>
            <w:r w:rsidRPr="00797913">
              <w:rPr>
                <w:rFonts w:eastAsia="Times New Roman" w:cs="Times New Roman"/>
                <w:szCs w:val="26"/>
              </w:rPr>
              <w:t>($2,643,262)</w:t>
            </w:r>
          </w:p>
        </w:tc>
      </w:tr>
      <w:tr w:rsidRPr="00797913" w:rsidR="0088650B" w:rsidTr="003350F6" w14:paraId="7B43961C" w14:textId="77777777">
        <w:trPr>
          <w:jc w:val="center"/>
        </w:trPr>
        <w:tc>
          <w:tcPr>
            <w:tcW w:w="7280"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hideMark/>
          </w:tcPr>
          <w:p w:rsidRPr="00797913" w:rsidR="0088650B" w:rsidP="00C453E6" w:rsidRDefault="0088650B" w14:paraId="575C1928" w14:textId="77777777">
            <w:pPr>
              <w:keepNext/>
              <w:keepLines/>
              <w:spacing w:line="240" w:lineRule="auto"/>
              <w:ind w:firstLine="0"/>
              <w:jc w:val="right"/>
              <w:rPr>
                <w:rFonts w:eastAsia="Times New Roman" w:cs="Times New Roman"/>
                <w:szCs w:val="26"/>
              </w:rPr>
            </w:pPr>
            <w:r w:rsidRPr="00797913">
              <w:rPr>
                <w:rFonts w:eastAsia="Times New Roman" w:cs="Times New Roman"/>
                <w:szCs w:val="26"/>
              </w:rPr>
              <w:t>Total Request</w:t>
            </w:r>
          </w:p>
        </w:tc>
        <w:tc>
          <w:tcPr>
            <w:tcW w:w="1630"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hideMark/>
          </w:tcPr>
          <w:p w:rsidRPr="00797913" w:rsidR="0088650B" w:rsidP="00C453E6" w:rsidRDefault="0088650B" w14:paraId="033DF744" w14:textId="77777777">
            <w:pPr>
              <w:keepNext/>
              <w:keepLines/>
              <w:spacing w:line="240" w:lineRule="auto"/>
              <w:ind w:firstLine="0"/>
              <w:jc w:val="right"/>
              <w:rPr>
                <w:rFonts w:eastAsia="Times New Roman" w:cs="Times New Roman"/>
                <w:szCs w:val="26"/>
              </w:rPr>
            </w:pPr>
            <w:r w:rsidRPr="00797913">
              <w:rPr>
                <w:rFonts w:eastAsia="Times New Roman" w:cs="Times New Roman"/>
                <w:szCs w:val="26"/>
              </w:rPr>
              <w:t>$2,416,928</w:t>
            </w:r>
          </w:p>
        </w:tc>
      </w:tr>
    </w:tbl>
    <w:p w:rsidRPr="00797913" w:rsidR="00797913" w:rsidP="003213D1" w:rsidRDefault="00797913" w14:paraId="06EE0AB4" w14:textId="77777777">
      <w:pPr>
        <w:numPr>
          <w:ilvl w:val="0"/>
          <w:numId w:val="5"/>
        </w:numPr>
        <w:spacing w:before="240"/>
        <w:ind w:firstLine="547"/>
      </w:pPr>
      <w:r w:rsidRPr="0038FF3D">
        <w:rPr>
          <w:rFonts w:eastAsia="Times New Roman" w:cs="Times New Roman"/>
        </w:rPr>
        <w:t>The Commission should adopt PG&amp;E’s 2021 GHG allowance revenue return forecast, clean energy program set-asides, and related costs as set forth below.</w:t>
      </w:r>
    </w:p>
    <w:tbl>
      <w:tblPr>
        <w:tblW w:w="8910" w:type="dxa"/>
        <w:jc w:val="center"/>
        <w:tblLayout w:type="fixed"/>
        <w:tblCellMar>
          <w:left w:w="0" w:type="dxa"/>
          <w:right w:w="0" w:type="dxa"/>
        </w:tblCellMar>
        <w:tblLook w:val="04A0" w:firstRow="1" w:lastRow="0" w:firstColumn="1" w:lastColumn="0" w:noHBand="0" w:noVBand="1"/>
      </w:tblPr>
      <w:tblGrid>
        <w:gridCol w:w="6920"/>
        <w:gridCol w:w="1990"/>
      </w:tblGrid>
      <w:tr w:rsidRPr="00797913" w:rsidR="00797913" w:rsidTr="002F00E6" w14:paraId="45A2FE9F" w14:textId="77777777">
        <w:trPr>
          <w:jc w:val="center"/>
        </w:trPr>
        <w:tc>
          <w:tcPr>
            <w:tcW w:w="692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751D5E60" w14:textId="77777777">
            <w:pPr>
              <w:keepNext/>
              <w:keepLines/>
              <w:spacing w:line="240" w:lineRule="auto"/>
              <w:ind w:firstLine="0"/>
              <w:rPr>
                <w:rFonts w:eastAsia="Times New Roman" w:cs="Times New Roman"/>
                <w:b/>
                <w:bCs/>
                <w:szCs w:val="26"/>
              </w:rPr>
            </w:pPr>
            <w:r w:rsidRPr="00797913">
              <w:rPr>
                <w:rFonts w:eastAsia="Times New Roman" w:cs="Times New Roman"/>
                <w:b/>
                <w:bCs/>
                <w:szCs w:val="26"/>
              </w:rPr>
              <w:t>GHG Revenue Return, Costs and Set-Asides</w:t>
            </w:r>
          </w:p>
        </w:tc>
        <w:tc>
          <w:tcPr>
            <w:tcW w:w="199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02BA718E" w14:textId="77777777">
            <w:pPr>
              <w:keepNext/>
              <w:keepLines/>
              <w:spacing w:line="240" w:lineRule="auto"/>
              <w:ind w:firstLine="0"/>
              <w:rPr>
                <w:rFonts w:eastAsia="Times New Roman" w:cs="Times New Roman"/>
                <w:b/>
                <w:bCs/>
                <w:szCs w:val="26"/>
              </w:rPr>
            </w:pPr>
          </w:p>
        </w:tc>
      </w:tr>
      <w:tr w:rsidRPr="00797913" w:rsidR="00797913" w:rsidTr="002F00E6" w14:paraId="59BBE2A9" w14:textId="77777777">
        <w:trPr>
          <w:jc w:val="center"/>
        </w:trPr>
        <w:tc>
          <w:tcPr>
            <w:tcW w:w="692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797913" w:rsidP="00797913" w:rsidRDefault="00797913" w14:paraId="190EEFC9" w14:textId="77777777">
            <w:pPr>
              <w:keepNext/>
              <w:keepLines/>
              <w:spacing w:line="240" w:lineRule="auto"/>
              <w:ind w:firstLine="0"/>
              <w:rPr>
                <w:rFonts w:eastAsia="Times New Roman" w:cs="Times New Roman"/>
                <w:szCs w:val="26"/>
              </w:rPr>
            </w:pPr>
            <w:r w:rsidRPr="00797913">
              <w:rPr>
                <w:rFonts w:eastAsia="Times New Roman" w:cs="Times New Roman"/>
                <w:szCs w:val="26"/>
              </w:rPr>
              <w:t>2022 GHG Administrative and Outreach Expenses</w:t>
            </w:r>
          </w:p>
        </w:tc>
        <w:tc>
          <w:tcPr>
            <w:tcW w:w="199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797913" w:rsidP="00797913" w:rsidRDefault="00797913" w14:paraId="6D11AA37" w14:textId="2AF9D9B5">
            <w:pPr>
              <w:keepNext/>
              <w:keepLines/>
              <w:spacing w:line="240" w:lineRule="auto"/>
              <w:ind w:firstLine="0"/>
              <w:jc w:val="right"/>
              <w:rPr>
                <w:rFonts w:eastAsia="Times New Roman" w:cs="Times New Roman"/>
                <w:szCs w:val="26"/>
              </w:rPr>
            </w:pPr>
            <w:r w:rsidRPr="00797913">
              <w:rPr>
                <w:rFonts w:eastAsia="Times New Roman" w:cs="Times New Roman"/>
                <w:szCs w:val="26"/>
              </w:rPr>
              <w:t>$</w:t>
            </w:r>
            <w:r w:rsidR="000862CB">
              <w:rPr>
                <w:rFonts w:eastAsia="Times New Roman" w:cs="Times New Roman"/>
                <w:szCs w:val="26"/>
              </w:rPr>
              <w:t>855</w:t>
            </w:r>
            <w:r w:rsidRPr="00797913">
              <w:rPr>
                <w:rFonts w:eastAsia="Times New Roman" w:cs="Times New Roman"/>
                <w:szCs w:val="26"/>
              </w:rPr>
              <w:t>,000</w:t>
            </w:r>
          </w:p>
        </w:tc>
      </w:tr>
      <w:tr w:rsidRPr="00797913" w:rsidR="00797913" w:rsidTr="002F00E6" w14:paraId="2C8DEE85" w14:textId="77777777">
        <w:trPr>
          <w:jc w:val="center"/>
        </w:trPr>
        <w:tc>
          <w:tcPr>
            <w:tcW w:w="692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797913" w:rsidP="00797913" w:rsidRDefault="00797913" w14:paraId="17F34FC7" w14:textId="77777777">
            <w:pPr>
              <w:keepNext/>
              <w:keepLines/>
              <w:spacing w:line="240" w:lineRule="auto"/>
              <w:ind w:firstLine="0"/>
              <w:rPr>
                <w:rFonts w:eastAsia="Times New Roman" w:cs="Times New Roman"/>
                <w:szCs w:val="26"/>
              </w:rPr>
            </w:pPr>
            <w:r w:rsidRPr="00797913">
              <w:rPr>
                <w:rFonts w:eastAsia="Times New Roman" w:cs="Times New Roman"/>
                <w:szCs w:val="26"/>
              </w:rPr>
              <w:t>True-Up Set-Aside for GHG Administrative and Outreach</w:t>
            </w:r>
          </w:p>
        </w:tc>
        <w:tc>
          <w:tcPr>
            <w:tcW w:w="199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97913" w:rsidR="00797913" w:rsidP="00797913" w:rsidRDefault="00797913" w14:paraId="6C484BB9" w14:textId="4E21C6A6">
            <w:pPr>
              <w:keepNext/>
              <w:keepLines/>
              <w:spacing w:line="240" w:lineRule="auto"/>
              <w:ind w:firstLine="0"/>
              <w:jc w:val="right"/>
              <w:rPr>
                <w:rFonts w:eastAsia="Times New Roman" w:cs="Times New Roman"/>
                <w:szCs w:val="26"/>
              </w:rPr>
            </w:pPr>
            <w:r w:rsidRPr="00797913">
              <w:rPr>
                <w:rFonts w:eastAsia="Times New Roman" w:cs="Times New Roman"/>
                <w:szCs w:val="26"/>
              </w:rPr>
              <w:t>$</w:t>
            </w:r>
            <w:r w:rsidR="000862CB">
              <w:rPr>
                <w:rFonts w:eastAsia="Times New Roman" w:cs="Times New Roman"/>
                <w:szCs w:val="26"/>
              </w:rPr>
              <w:t>28</w:t>
            </w:r>
            <w:r w:rsidRPr="00797913">
              <w:rPr>
                <w:rFonts w:eastAsia="Times New Roman" w:cs="Times New Roman"/>
                <w:szCs w:val="26"/>
              </w:rPr>
              <w:t>5,000</w:t>
            </w:r>
          </w:p>
        </w:tc>
      </w:tr>
      <w:tr w:rsidRPr="00797913" w:rsidR="00797913" w:rsidTr="002F00E6" w14:paraId="047D2CC8" w14:textId="77777777">
        <w:trPr>
          <w:jc w:val="center"/>
        </w:trPr>
        <w:tc>
          <w:tcPr>
            <w:tcW w:w="692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5C0436F6" w14:textId="77777777">
            <w:pPr>
              <w:keepNext/>
              <w:keepLines/>
              <w:spacing w:line="240" w:lineRule="auto"/>
              <w:ind w:firstLine="0"/>
              <w:rPr>
                <w:rFonts w:eastAsia="Times New Roman" w:cs="Times New Roman"/>
                <w:szCs w:val="26"/>
              </w:rPr>
            </w:pPr>
            <w:r w:rsidRPr="00797913">
              <w:rPr>
                <w:rFonts w:eastAsia="Times New Roman" w:cs="Times New Roman"/>
                <w:szCs w:val="26"/>
              </w:rPr>
              <w:t>2022 Customer Generation Programs Funded by GHG Revenues</w:t>
            </w:r>
          </w:p>
        </w:tc>
        <w:tc>
          <w:tcPr>
            <w:tcW w:w="199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28BD629F" w14:textId="482D60F1">
            <w:pPr>
              <w:keepNext/>
              <w:keepLines/>
              <w:spacing w:line="240" w:lineRule="auto"/>
              <w:ind w:firstLine="0"/>
              <w:jc w:val="right"/>
              <w:rPr>
                <w:rFonts w:eastAsia="Times New Roman" w:cs="Times New Roman"/>
                <w:szCs w:val="26"/>
              </w:rPr>
            </w:pPr>
            <w:r w:rsidRPr="00797913">
              <w:rPr>
                <w:rFonts w:eastAsia="Times New Roman" w:cs="Times New Roman"/>
                <w:szCs w:val="26"/>
              </w:rPr>
              <w:t>$</w:t>
            </w:r>
            <w:r w:rsidR="007A6930">
              <w:rPr>
                <w:rFonts w:eastAsia="Times New Roman" w:cs="Times New Roman"/>
                <w:szCs w:val="26"/>
              </w:rPr>
              <w:t>56.55</w:t>
            </w:r>
            <w:r w:rsidRPr="00797913">
              <w:rPr>
                <w:rFonts w:eastAsia="Times New Roman" w:cs="Times New Roman"/>
                <w:szCs w:val="26"/>
              </w:rPr>
              <w:t xml:space="preserve"> million </w:t>
            </w:r>
          </w:p>
        </w:tc>
      </w:tr>
      <w:tr w:rsidRPr="00797913" w:rsidR="00797913" w:rsidTr="002F00E6" w14:paraId="6BC5C904" w14:textId="77777777">
        <w:trPr>
          <w:jc w:val="center"/>
        </w:trPr>
        <w:tc>
          <w:tcPr>
            <w:tcW w:w="692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512B9EEA" w14:textId="77777777">
            <w:pPr>
              <w:keepNext/>
              <w:keepLines/>
              <w:spacing w:line="240" w:lineRule="auto"/>
              <w:ind w:firstLine="0"/>
              <w:rPr>
                <w:rFonts w:eastAsia="Times New Roman" w:cs="Times New Roman"/>
                <w:szCs w:val="26"/>
              </w:rPr>
            </w:pPr>
            <w:r w:rsidRPr="00797913">
              <w:rPr>
                <w:rFonts w:eastAsia="Times New Roman" w:cs="Times New Roman"/>
                <w:szCs w:val="26"/>
              </w:rPr>
              <w:t>Net GHG Revenue Return</w:t>
            </w:r>
          </w:p>
        </w:tc>
        <w:tc>
          <w:tcPr>
            <w:tcW w:w="199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117C61EF" w14:textId="77777777">
            <w:pPr>
              <w:keepNext/>
              <w:keepLines/>
              <w:spacing w:line="240" w:lineRule="auto"/>
              <w:ind w:firstLine="0"/>
              <w:jc w:val="right"/>
              <w:rPr>
                <w:rFonts w:eastAsia="Times New Roman" w:cs="Times New Roman"/>
                <w:szCs w:val="26"/>
              </w:rPr>
            </w:pPr>
            <w:r w:rsidRPr="00797913">
              <w:rPr>
                <w:rFonts w:eastAsia="Times New Roman" w:cs="Times New Roman"/>
                <w:szCs w:val="26"/>
              </w:rPr>
              <w:t>$469 million</w:t>
            </w:r>
          </w:p>
        </w:tc>
      </w:tr>
      <w:tr w:rsidRPr="00797913" w:rsidR="00797913" w:rsidTr="002F00E6" w14:paraId="323C4EDC" w14:textId="77777777">
        <w:trPr>
          <w:jc w:val="center"/>
        </w:trPr>
        <w:tc>
          <w:tcPr>
            <w:tcW w:w="692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1DBD8B54" w14:textId="77777777">
            <w:pPr>
              <w:keepNext/>
              <w:keepLines/>
              <w:spacing w:line="240" w:lineRule="auto"/>
              <w:ind w:firstLine="0"/>
              <w:rPr>
                <w:rFonts w:eastAsia="Times New Roman" w:cs="Times New Roman"/>
                <w:szCs w:val="26"/>
              </w:rPr>
            </w:pPr>
            <w:r w:rsidRPr="00797913">
              <w:rPr>
                <w:rFonts w:eastAsia="Times New Roman" w:cs="Times New Roman"/>
                <w:szCs w:val="26"/>
              </w:rPr>
              <w:t>Semi-annual Residential California Climate Credit</w:t>
            </w:r>
          </w:p>
        </w:tc>
        <w:tc>
          <w:tcPr>
            <w:tcW w:w="199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797913" w:rsidR="00797913" w:rsidP="00797913" w:rsidRDefault="00797913" w14:paraId="0B96C626" w14:textId="77777777">
            <w:pPr>
              <w:keepNext/>
              <w:keepLines/>
              <w:spacing w:line="240" w:lineRule="auto"/>
              <w:ind w:firstLine="0"/>
              <w:jc w:val="right"/>
              <w:rPr>
                <w:rFonts w:eastAsia="Times New Roman" w:cs="Times New Roman"/>
                <w:szCs w:val="26"/>
              </w:rPr>
            </w:pPr>
            <w:r w:rsidRPr="00797913">
              <w:rPr>
                <w:rFonts w:eastAsia="Times New Roman" w:cs="Times New Roman"/>
                <w:szCs w:val="26"/>
              </w:rPr>
              <w:t xml:space="preserve">$39.30 per household </w:t>
            </w:r>
          </w:p>
        </w:tc>
      </w:tr>
    </w:tbl>
    <w:p w:rsidRPr="00797913" w:rsidR="00797913" w:rsidP="003213D1" w:rsidRDefault="00797913" w14:paraId="4EAA2A75" w14:textId="4C60A8F4">
      <w:pPr>
        <w:numPr>
          <w:ilvl w:val="0"/>
          <w:numId w:val="5"/>
        </w:numPr>
        <w:spacing w:before="240"/>
        <w:ind w:firstLine="547"/>
      </w:pPr>
      <w:r>
        <w:t>PG&amp;E’s recorded administrative and outreach expenses related to the 2020</w:t>
      </w:r>
      <w:r w:rsidR="0098315B">
        <w:t> </w:t>
      </w:r>
      <w:r>
        <w:t xml:space="preserve">GHG revenue return of $598,000 were reasonable and should be adopted.  </w:t>
      </w:r>
    </w:p>
    <w:p w:rsidRPr="00797913" w:rsidR="00797913" w:rsidP="003213D1" w:rsidRDefault="00797913" w14:paraId="712BB0DA" w14:textId="6B108B72">
      <w:pPr>
        <w:numPr>
          <w:ilvl w:val="0"/>
          <w:numId w:val="5"/>
        </w:numPr>
        <w:ind w:firstLine="547"/>
      </w:pPr>
      <w:r w:rsidRPr="00797913">
        <w:t xml:space="preserve">PG&amp;E’s </w:t>
      </w:r>
      <w:r w:rsidRPr="0038FF3D">
        <w:rPr>
          <w:rFonts w:cs="BookAntiqua"/>
        </w:rPr>
        <w:t>rate design proposals associated with PG&amp;E’s proposed electric</w:t>
      </w:r>
      <w:r w:rsidR="008859CA">
        <w:rPr>
          <w:rFonts w:cs="BookAntiqua"/>
          <w:szCs w:val="26"/>
        </w:rPr>
        <w:noBreakHyphen/>
      </w:r>
      <w:r w:rsidRPr="0038FF3D">
        <w:rPr>
          <w:rFonts w:cs="BookAntiqua"/>
        </w:rPr>
        <w:t xml:space="preserve">procurement related revenue requirements, including its 2022 Green Tariff Shared Renewables and </w:t>
      </w:r>
      <w:r w:rsidRPr="00797913">
        <w:t>Enhanced Community Renewables</w:t>
      </w:r>
      <w:r w:rsidRPr="0038FF3D">
        <w:rPr>
          <w:rFonts w:cs="BookAntiqua"/>
        </w:rPr>
        <w:t xml:space="preserve"> rate proposal, are reasonable and should be adopted</w:t>
      </w:r>
      <w:r w:rsidRPr="00797913">
        <w:t>.</w:t>
      </w:r>
    </w:p>
    <w:p w:rsidR="00FB75D9" w:rsidP="003213D1" w:rsidRDefault="00797913" w14:paraId="512E3A9E" w14:textId="77777777">
      <w:pPr>
        <w:numPr>
          <w:ilvl w:val="0"/>
          <w:numId w:val="5"/>
        </w:numPr>
        <w:ind w:firstLine="547"/>
      </w:pPr>
      <w:r>
        <w:t xml:space="preserve">PG&amp;E’s proposal to transfer certain year-end 2021 ERRA balances, excluding deferred revenue resulting from capped vintage 2020 PCIA rates, to the latest vintage of the </w:t>
      </w:r>
      <w:r w:rsidR="006E39A8">
        <w:t xml:space="preserve">PABA </w:t>
      </w:r>
      <w:r>
        <w:t>is reasonable.</w:t>
      </w:r>
    </w:p>
    <w:p w:rsidRPr="00797913" w:rsidR="00797913" w:rsidP="003213D1" w:rsidRDefault="00224131" w14:paraId="342CA00B" w14:textId="386D99B1">
      <w:pPr>
        <w:numPr>
          <w:ilvl w:val="0"/>
          <w:numId w:val="5"/>
        </w:numPr>
        <w:ind w:firstLine="547"/>
      </w:pPr>
      <w:r>
        <w:t xml:space="preserve">Transferring the actual year-end 2021 ERRA balances promotes customer indifference and is reasonable. </w:t>
      </w:r>
      <w:r w:rsidR="00797913">
        <w:t xml:space="preserve"> </w:t>
      </w:r>
    </w:p>
    <w:p w:rsidRPr="00797913" w:rsidR="00797913" w:rsidP="003213D1" w:rsidRDefault="00797913" w14:paraId="2F04A1C9" w14:textId="625E5689">
      <w:pPr>
        <w:numPr>
          <w:ilvl w:val="0"/>
          <w:numId w:val="5"/>
        </w:numPr>
        <w:ind w:firstLine="547"/>
      </w:pPr>
      <w:r>
        <w:t xml:space="preserve">Transferring the ERRA-PFS </w:t>
      </w:r>
      <w:r w:rsidR="001619DF">
        <w:t>amount</w:t>
      </w:r>
      <w:r>
        <w:t xml:space="preserve"> for 2022 to the 2020 PABA vintage subaccount promotes indifference to bundled customer</w:t>
      </w:r>
      <w:r w:rsidR="00253941">
        <w:t>s</w:t>
      </w:r>
      <w:r w:rsidR="005F2BA4">
        <w:t xml:space="preserve"> and</w:t>
      </w:r>
      <w:r>
        <w:t xml:space="preserve"> is just and reasonable.</w:t>
      </w:r>
    </w:p>
    <w:p w:rsidRPr="00797913" w:rsidR="00797913" w:rsidP="003213D1" w:rsidRDefault="00797913" w14:paraId="5FBF630D" w14:textId="77777777">
      <w:pPr>
        <w:numPr>
          <w:ilvl w:val="0"/>
          <w:numId w:val="5"/>
        </w:numPr>
        <w:ind w:firstLine="547"/>
      </w:pPr>
      <w:r>
        <w:t>PG&amp;E’s proposal to transfer public-policy related procurement costs from the non-vintage PABA sub-account to the Public Policy Charge Balancing Account, for recovery of such public policy-related procurement from all customers through the Public Purpose Program Charge on a going forward basis is reasonable and should be adopted</w:t>
      </w:r>
      <w:r w:rsidRPr="0038FF3D">
        <w:rPr>
          <w:color w:val="000000" w:themeColor="text1"/>
        </w:rPr>
        <w:t xml:space="preserve">.  </w:t>
      </w:r>
    </w:p>
    <w:p w:rsidRPr="00797913" w:rsidR="00797913" w:rsidP="003213D1" w:rsidRDefault="00797913" w14:paraId="4C47CB0E" w14:textId="2BECA3DF">
      <w:pPr>
        <w:numPr>
          <w:ilvl w:val="0"/>
          <w:numId w:val="5"/>
        </w:numPr>
        <w:ind w:firstLine="547"/>
      </w:pPr>
      <w:r>
        <w:t xml:space="preserve">PG&amp;E’s proposal to </w:t>
      </w:r>
      <w:r w:rsidRPr="0038FF3D">
        <w:rPr>
          <w:rFonts w:eastAsia="Times New Roman" w:cs="Times New Roman"/>
        </w:rPr>
        <w:t>recover costs associated with the under 20 MW Q</w:t>
      </w:r>
      <w:r w:rsidR="00B47A14">
        <w:rPr>
          <w:rFonts w:eastAsia="Times New Roman" w:cs="Times New Roman"/>
        </w:rPr>
        <w:t xml:space="preserve">ualifying </w:t>
      </w:r>
      <w:r w:rsidRPr="0038FF3D">
        <w:rPr>
          <w:rFonts w:eastAsia="Times New Roman" w:cs="Times New Roman"/>
        </w:rPr>
        <w:t>F</w:t>
      </w:r>
      <w:r w:rsidR="00B47A14">
        <w:rPr>
          <w:rFonts w:eastAsia="Times New Roman" w:cs="Times New Roman"/>
        </w:rPr>
        <w:t>acility</w:t>
      </w:r>
      <w:r w:rsidRPr="0038FF3D">
        <w:rPr>
          <w:rFonts w:eastAsia="Times New Roman" w:cs="Times New Roman"/>
        </w:rPr>
        <w:t xml:space="preserve"> contracts through the PPP Charge is reasonable and should be adopted on a going forward basis.</w:t>
      </w:r>
    </w:p>
    <w:p w:rsidRPr="00797913" w:rsidR="00797913" w:rsidP="003213D1" w:rsidRDefault="00797913" w14:paraId="7945B00C" w14:textId="28D44B37">
      <w:pPr>
        <w:numPr>
          <w:ilvl w:val="0"/>
          <w:numId w:val="5"/>
        </w:numPr>
        <w:ind w:firstLine="547"/>
      </w:pPr>
      <w:r>
        <w:t xml:space="preserve">PG&amp;E’s proposal to </w:t>
      </w:r>
      <w:r w:rsidRPr="0038FF3D">
        <w:rPr>
          <w:rFonts w:eastAsia="Times New Roman" w:cs="Times New Roman"/>
        </w:rPr>
        <w:t>retire the non</w:t>
      </w:r>
      <w:r w:rsidR="00F01DED">
        <w:rPr>
          <w:rFonts w:eastAsia="Times New Roman" w:cs="Times New Roman"/>
        </w:rPr>
        <w:t>-</w:t>
      </w:r>
      <w:r w:rsidRPr="0038FF3D">
        <w:rPr>
          <w:rFonts w:eastAsia="Times New Roman" w:cs="Times New Roman"/>
        </w:rPr>
        <w:t>vintage PCIA subaccount created in D.20-05-006 by transferring the accumulated balances</w:t>
      </w:r>
      <w:r w:rsidR="00A447AA">
        <w:rPr>
          <w:rFonts w:eastAsia="Times New Roman" w:cs="Times New Roman"/>
        </w:rPr>
        <w:t xml:space="preserve"> </w:t>
      </w:r>
      <w:r w:rsidRPr="00797913" w:rsidR="00A447AA">
        <w:t xml:space="preserve">to a newly created subaccount in the </w:t>
      </w:r>
      <w:r w:rsidR="00C073CC">
        <w:t>Public P</w:t>
      </w:r>
      <w:r w:rsidR="00873DCA">
        <w:t>olicy</w:t>
      </w:r>
      <w:r w:rsidR="00C073CC">
        <w:t xml:space="preserve"> Charge Balancing Account </w:t>
      </w:r>
      <w:r w:rsidRPr="0038FF3D">
        <w:rPr>
          <w:rFonts w:eastAsia="Times New Roman" w:cs="Times New Roman"/>
        </w:rPr>
        <w:t>is reasonable and should be adopted.</w:t>
      </w:r>
    </w:p>
    <w:p w:rsidRPr="00797913" w:rsidR="00797913" w:rsidP="003213D1" w:rsidRDefault="00797913" w14:paraId="017FC602" w14:textId="77777777">
      <w:pPr>
        <w:numPr>
          <w:ilvl w:val="0"/>
          <w:numId w:val="5"/>
        </w:numPr>
        <w:ind w:firstLine="547"/>
      </w:pPr>
      <w:r>
        <w:t>PG&amp;E</w:t>
      </w:r>
      <w:r w:rsidRPr="0038FF3D">
        <w:rPr>
          <w:rFonts w:eastAsia="Times New Roman" w:cs="Times New Roman"/>
        </w:rPr>
        <w:t>’s proposal that the PPP is the appropriate rate component for costs associated with D.20-05-006 generation costs is reasonable and should be adopted.</w:t>
      </w:r>
    </w:p>
    <w:p w:rsidRPr="00797913" w:rsidR="00797913" w:rsidP="003213D1" w:rsidRDefault="00797913" w14:paraId="1DDBE1C4" w14:textId="77777777">
      <w:pPr>
        <w:numPr>
          <w:ilvl w:val="0"/>
          <w:numId w:val="5"/>
        </w:numPr>
      </w:pPr>
      <w:r>
        <w:t>PG&amp;E’s 2022 forecast of electric sales is reasonable and should be adopted.</w:t>
      </w:r>
    </w:p>
    <w:p w:rsidRPr="00797913" w:rsidR="00797913" w:rsidP="003213D1" w:rsidRDefault="00797913" w14:paraId="1770E809" w14:textId="60E38FAF">
      <w:pPr>
        <w:numPr>
          <w:ilvl w:val="0"/>
          <w:numId w:val="5"/>
        </w:numPr>
      </w:pPr>
      <w:r>
        <w:t>PG&amp;E’s requests to correct an error related to the 2021 Community Green Solar Tariff program set aside amount in D</w:t>
      </w:r>
      <w:r w:rsidR="0098315B">
        <w:t>.</w:t>
      </w:r>
      <w:r>
        <w:t>20-12-038 in this proceeding is reasonable and should be granted.</w:t>
      </w:r>
    </w:p>
    <w:p w:rsidRPr="00797913" w:rsidR="00797913" w:rsidP="003213D1" w:rsidRDefault="00797913" w14:paraId="6182595A" w14:textId="582AB8D1">
      <w:pPr>
        <w:numPr>
          <w:ilvl w:val="0"/>
          <w:numId w:val="5"/>
        </w:numPr>
        <w:ind w:firstLine="547"/>
      </w:pPr>
      <w:r>
        <w:t xml:space="preserve">This decision should be reflected in rates on </w:t>
      </w:r>
      <w:r w:rsidR="00E6191F">
        <w:t>March</w:t>
      </w:r>
      <w:r>
        <w:t> 1, 2022, or as soon thereafter as reasonably practicable.</w:t>
      </w:r>
    </w:p>
    <w:p w:rsidRPr="00797913" w:rsidR="00797913" w:rsidP="003213D1" w:rsidRDefault="00797913" w14:paraId="60AABD1A" w14:textId="77777777">
      <w:pPr>
        <w:numPr>
          <w:ilvl w:val="0"/>
          <w:numId w:val="5"/>
        </w:numPr>
        <w:ind w:firstLine="547"/>
      </w:pPr>
      <w:r>
        <w:t xml:space="preserve">Allowing parties to independently evaluate the validity of the utility’s projections is necessary for ensuring that ERRA forecast proceedings result in just and reasonable rates.  </w:t>
      </w:r>
    </w:p>
    <w:p w:rsidRPr="000A357D" w:rsidR="00271C49" w:rsidP="003213D1" w:rsidRDefault="00797913" w14:paraId="595F157B" w14:textId="7A010BDB">
      <w:pPr>
        <w:numPr>
          <w:ilvl w:val="0"/>
          <w:numId w:val="5"/>
        </w:numPr>
        <w:ind w:firstLine="547"/>
      </w:pPr>
      <w:bookmarkStart w:name="_Hlk95128940" w:id="93"/>
      <w:r w:rsidRPr="00797913">
        <w:rPr>
          <w:szCs w:val="26"/>
        </w:rPr>
        <w:t>PG&amp;E</w:t>
      </w:r>
      <w:r w:rsidR="005A2628">
        <w:rPr>
          <w:szCs w:val="26"/>
        </w:rPr>
        <w:t>’s</w:t>
      </w:r>
      <w:r w:rsidRPr="00797913">
        <w:rPr>
          <w:szCs w:val="26"/>
        </w:rPr>
        <w:t xml:space="preserve"> proposal to remove the zero-price floor on its Solar Value Adjustment Time-of-Day rate</w:t>
      </w:r>
      <w:r w:rsidR="001619DF">
        <w:rPr>
          <w:szCs w:val="26"/>
        </w:rPr>
        <w:t xml:space="preserve"> is reasonable and should be</w:t>
      </w:r>
      <w:r w:rsidRPr="00797913">
        <w:rPr>
          <w:szCs w:val="26"/>
        </w:rPr>
        <w:t xml:space="preserve"> approved.  </w:t>
      </w:r>
    </w:p>
    <w:bookmarkEnd w:id="93"/>
    <w:p w:rsidRPr="00860492" w:rsidR="000A357D" w:rsidP="003213D1" w:rsidRDefault="000A357D" w14:paraId="2D25157C" w14:textId="0958FED0">
      <w:pPr>
        <w:numPr>
          <w:ilvl w:val="0"/>
          <w:numId w:val="5"/>
        </w:numPr>
        <w:ind w:firstLine="547"/>
      </w:pPr>
      <w:r>
        <w:rPr>
          <w:szCs w:val="26"/>
        </w:rPr>
        <w:t xml:space="preserve">The term “final PCIA workpapers” refers to the PCIA workpapers submitted in the advice letter implementing </w:t>
      </w:r>
      <w:r w:rsidR="00860492">
        <w:rPr>
          <w:szCs w:val="26"/>
        </w:rPr>
        <w:t>the Commission decision in each ERRA forecast proceeding.</w:t>
      </w:r>
    </w:p>
    <w:p w:rsidRPr="00271C49" w:rsidR="00860492" w:rsidP="003213D1" w:rsidRDefault="00860492" w14:paraId="36341E12" w14:textId="23C7A427">
      <w:pPr>
        <w:numPr>
          <w:ilvl w:val="0"/>
          <w:numId w:val="5"/>
        </w:numPr>
        <w:ind w:firstLine="547"/>
      </w:pPr>
      <w:r>
        <w:rPr>
          <w:szCs w:val="26"/>
        </w:rPr>
        <w:t>Access to the final PCIA workpapers fr</w:t>
      </w:r>
      <w:r w:rsidR="004609D5">
        <w:rPr>
          <w:szCs w:val="26"/>
        </w:rPr>
        <w:t>o</w:t>
      </w:r>
      <w:r>
        <w:rPr>
          <w:szCs w:val="26"/>
        </w:rPr>
        <w:t>m the prior year’s ERRA proceeding is subject to the Commission’s existing confidentiality rules and regulations, and will only be provided upon execution of the applicable non</w:t>
      </w:r>
      <w:r w:rsidR="007F7DA1">
        <w:rPr>
          <w:szCs w:val="26"/>
        </w:rPr>
        <w:noBreakHyphen/>
      </w:r>
      <w:r>
        <w:rPr>
          <w:szCs w:val="26"/>
        </w:rPr>
        <w:t>disclosure agreements.</w:t>
      </w:r>
    </w:p>
    <w:p w:rsidR="00FD2A84" w:rsidP="00FD2A84" w:rsidRDefault="00FD2A84" w14:paraId="56D63A8B" w14:textId="77777777">
      <w:pPr>
        <w:pStyle w:val="Mainex"/>
      </w:pPr>
      <w:bookmarkStart w:name="_Toc95469398" w:id="94"/>
      <w:r>
        <w:t>ORDER</w:t>
      </w:r>
      <w:bookmarkEnd w:id="94"/>
    </w:p>
    <w:p w:rsidR="00FD2A84" w:rsidP="00FD2A84" w:rsidRDefault="00FD2A84" w14:paraId="7390B924" w14:textId="77777777">
      <w:pPr>
        <w:keepNext/>
      </w:pPr>
      <w:r w:rsidRPr="00BB0243">
        <w:rPr>
          <w:b/>
        </w:rPr>
        <w:t>IT IS ORDERED</w:t>
      </w:r>
      <w:r>
        <w:t xml:space="preserve"> that:</w:t>
      </w:r>
    </w:p>
    <w:p w:rsidR="00FD2A84" w:rsidP="003213D1" w:rsidRDefault="00FD2A84" w14:paraId="121B8155" w14:textId="311F9E6A">
      <w:pPr>
        <w:pStyle w:val="OP"/>
        <w:numPr>
          <w:ilvl w:val="0"/>
          <w:numId w:val="9"/>
        </w:numPr>
      </w:pPr>
      <w:bookmarkStart w:name="_Hlk95128489" w:id="95"/>
      <w:r w:rsidRPr="00FD2A84">
        <w:t xml:space="preserve">This decision adopts and approves Pacific Gas and Electric Company’s </w:t>
      </w:r>
      <w:r w:rsidR="008859CA">
        <w:t xml:space="preserve">(PG&amp;E’s) </w:t>
      </w:r>
      <w:r w:rsidRPr="00FD2A84">
        <w:t>updated forecasts and requests as modified herein</w:t>
      </w:r>
      <w:bookmarkEnd w:id="95"/>
      <w:r w:rsidRPr="00FD2A84">
        <w:t xml:space="preserve">: </w:t>
      </w:r>
      <w:r w:rsidR="0050313D">
        <w:t xml:space="preserve"> </w:t>
      </w:r>
      <w:r w:rsidRPr="00FD2A84">
        <w:t xml:space="preserve">(1) 2022 forecast of electric sales; (2) 2022 forecasted energy procurement revenue requirements to be effective in rates on or after </w:t>
      </w:r>
      <w:r w:rsidR="000A767B">
        <w:t>March 1</w:t>
      </w:r>
      <w:r w:rsidRPr="00FD2A84">
        <w:t>, 2022; (3) Greenhouse Gas allowance revenue return forecast and costs; (4</w:t>
      </w:r>
      <w:bookmarkStart w:name="_Hlk95128533" w:id="96"/>
      <w:r w:rsidRPr="00FD2A84">
        <w:t>) rate design proposals associated with PG&amp;E’s proposed electric-procurement related revenue requirements, including its 2022 Green Tariff Shared Renewables and Enhanced Community Renewables rate proposal;</w:t>
      </w:r>
      <w:bookmarkEnd w:id="96"/>
      <w:r w:rsidRPr="00FD2A84">
        <w:t xml:space="preserve"> (5) methodology to transfer certain year-end 2021 </w:t>
      </w:r>
      <w:r w:rsidRPr="006E39A8" w:rsidR="006E39A8">
        <w:t>Energy Resource Recovery Account</w:t>
      </w:r>
      <w:r w:rsidRPr="00FD2A84">
        <w:t xml:space="preserve"> balances to the latest vintage of the Portfolio Allocation Balancing Account; and (6)</w:t>
      </w:r>
      <w:r w:rsidR="006E39A8">
        <w:t> </w:t>
      </w:r>
      <w:r w:rsidRPr="00FD2A84">
        <w:t xml:space="preserve">transfer </w:t>
      </w:r>
      <w:r w:rsidR="00990EE1">
        <w:t>of</w:t>
      </w:r>
      <w:r w:rsidRPr="00FD2A84">
        <w:t xml:space="preserve"> public-policy related procurement costs from the non</w:t>
      </w:r>
      <w:r w:rsidR="008859CA">
        <w:noBreakHyphen/>
      </w:r>
      <w:r w:rsidRPr="00FD2A84">
        <w:t xml:space="preserve">vintage </w:t>
      </w:r>
      <w:r w:rsidRPr="006E39A8" w:rsidR="006E39A8">
        <w:t>Portfolio Allocation Balancing Account</w:t>
      </w:r>
      <w:r w:rsidRPr="00FD2A84">
        <w:t xml:space="preserve"> sub-account to the Public Policy Charge Balancing Account, for recovery of such public policy</w:t>
      </w:r>
      <w:r w:rsidR="00844C07">
        <w:noBreakHyphen/>
      </w:r>
      <w:r w:rsidRPr="00FD2A84">
        <w:t>related procurement from all customers through the Public Purpose Program Charge on a going-forward basis.</w:t>
      </w:r>
    </w:p>
    <w:p w:rsidR="00143A93" w:rsidP="00850D63" w:rsidRDefault="00941ED0" w14:paraId="6D7A998C" w14:textId="6EDBE571">
      <w:pPr>
        <w:pStyle w:val="OP"/>
        <w:numPr>
          <w:ilvl w:val="0"/>
          <w:numId w:val="9"/>
        </w:numPr>
      </w:pPr>
      <w:r>
        <w:t xml:space="preserve">Pacific Gas and Electric Company shall transfer the actual year-end balance of the Energy Resource Recovery Account-main balancing account to the 2021 Vintage Portfolio Allocation Balancing Account. </w:t>
      </w:r>
    </w:p>
    <w:p w:rsidRPr="00797913" w:rsidR="00797913" w:rsidP="00850D63" w:rsidRDefault="00797913" w14:paraId="5FCF3CC9" w14:textId="2A836A7B">
      <w:pPr>
        <w:pStyle w:val="OP"/>
        <w:numPr>
          <w:ilvl w:val="0"/>
          <w:numId w:val="9"/>
        </w:numPr>
      </w:pPr>
      <w:r w:rsidRPr="00797913">
        <w:t>Pacific Gas and Electric Company’s approved forecasts and requests</w:t>
      </w:r>
      <w:r w:rsidR="00F70CF3">
        <w:t>,</w:t>
      </w:r>
      <w:r w:rsidRPr="00F70CF3" w:rsidR="00F70CF3">
        <w:rPr>
          <w:sz w:val="28"/>
          <w:szCs w:val="28"/>
        </w:rPr>
        <w:t xml:space="preserve"> </w:t>
      </w:r>
      <w:r w:rsidRPr="00850D63" w:rsidR="00F70CF3">
        <w:rPr>
          <w:szCs w:val="26"/>
        </w:rPr>
        <w:t>including the G</w:t>
      </w:r>
      <w:r w:rsidR="00DF750D">
        <w:rPr>
          <w:szCs w:val="26"/>
        </w:rPr>
        <w:t xml:space="preserve">reen </w:t>
      </w:r>
      <w:r w:rsidRPr="00850D63" w:rsidR="00F70CF3">
        <w:rPr>
          <w:szCs w:val="26"/>
        </w:rPr>
        <w:t>T</w:t>
      </w:r>
      <w:r w:rsidR="00DF750D">
        <w:rPr>
          <w:szCs w:val="26"/>
        </w:rPr>
        <w:t xml:space="preserve">ariff </w:t>
      </w:r>
      <w:r w:rsidRPr="00850D63" w:rsidR="00F70CF3">
        <w:rPr>
          <w:szCs w:val="26"/>
        </w:rPr>
        <w:t>S</w:t>
      </w:r>
      <w:r w:rsidR="00DF750D">
        <w:rPr>
          <w:szCs w:val="26"/>
        </w:rPr>
        <w:t xml:space="preserve">hared </w:t>
      </w:r>
      <w:r w:rsidRPr="00850D63" w:rsidR="00F70CF3">
        <w:rPr>
          <w:szCs w:val="26"/>
        </w:rPr>
        <w:t>R</w:t>
      </w:r>
      <w:r w:rsidR="00DF750D">
        <w:rPr>
          <w:szCs w:val="26"/>
        </w:rPr>
        <w:t>enewable</w:t>
      </w:r>
      <w:r w:rsidR="00E93BEE">
        <w:rPr>
          <w:szCs w:val="26"/>
        </w:rPr>
        <w:t>,</w:t>
      </w:r>
      <w:r w:rsidRPr="00850D63" w:rsidR="00F70CF3">
        <w:rPr>
          <w:szCs w:val="26"/>
        </w:rPr>
        <w:t xml:space="preserve"> S</w:t>
      </w:r>
      <w:r w:rsidR="00DF750D">
        <w:rPr>
          <w:szCs w:val="26"/>
        </w:rPr>
        <w:t xml:space="preserve">olar </w:t>
      </w:r>
      <w:r w:rsidRPr="00850D63" w:rsidR="00F70CF3">
        <w:rPr>
          <w:szCs w:val="26"/>
        </w:rPr>
        <w:t>V</w:t>
      </w:r>
      <w:r w:rsidR="00DF750D">
        <w:rPr>
          <w:szCs w:val="26"/>
        </w:rPr>
        <w:t xml:space="preserve">alue </w:t>
      </w:r>
      <w:r w:rsidRPr="00850D63" w:rsidR="00F70CF3">
        <w:rPr>
          <w:szCs w:val="26"/>
        </w:rPr>
        <w:t>A</w:t>
      </w:r>
      <w:r w:rsidR="00DF750D">
        <w:rPr>
          <w:szCs w:val="26"/>
        </w:rPr>
        <w:t>djustment</w:t>
      </w:r>
      <w:r w:rsidRPr="00850D63" w:rsidR="00F70CF3">
        <w:rPr>
          <w:szCs w:val="26"/>
        </w:rPr>
        <w:t xml:space="preserve"> T</w:t>
      </w:r>
      <w:r w:rsidR="00DF750D">
        <w:rPr>
          <w:szCs w:val="26"/>
        </w:rPr>
        <w:t>ime</w:t>
      </w:r>
      <w:r w:rsidR="00844C07">
        <w:rPr>
          <w:szCs w:val="26"/>
        </w:rPr>
        <w:noBreakHyphen/>
      </w:r>
      <w:r w:rsidR="00DF750D">
        <w:rPr>
          <w:szCs w:val="26"/>
        </w:rPr>
        <w:t>of</w:t>
      </w:r>
      <w:r w:rsidR="00844C07">
        <w:rPr>
          <w:szCs w:val="26"/>
        </w:rPr>
        <w:noBreakHyphen/>
      </w:r>
      <w:r w:rsidRPr="00850D63" w:rsidR="00F70CF3">
        <w:rPr>
          <w:szCs w:val="26"/>
        </w:rPr>
        <w:t>D</w:t>
      </w:r>
      <w:r w:rsidR="00DF750D">
        <w:rPr>
          <w:szCs w:val="26"/>
        </w:rPr>
        <w:t>ay</w:t>
      </w:r>
      <w:r w:rsidRPr="00850D63" w:rsidR="00F70CF3">
        <w:rPr>
          <w:szCs w:val="26"/>
        </w:rPr>
        <w:t xml:space="preserve"> proposal</w:t>
      </w:r>
      <w:r w:rsidR="00F70CF3">
        <w:rPr>
          <w:szCs w:val="26"/>
        </w:rPr>
        <w:t>,</w:t>
      </w:r>
      <w:r w:rsidRPr="00797913">
        <w:t xml:space="preserve"> shall be effective in rates on </w:t>
      </w:r>
      <w:r w:rsidR="00E430C2">
        <w:t>March</w:t>
      </w:r>
      <w:r w:rsidRPr="00797913">
        <w:t> 1, 2022, or as soon thereafter as reasonably practicable, subject to the Annual Electric True</w:t>
      </w:r>
      <w:r w:rsidRPr="00797913">
        <w:noBreakHyphen/>
        <w:t>Up process.</w:t>
      </w:r>
    </w:p>
    <w:p w:rsidRPr="00797913" w:rsidR="00797913" w:rsidP="00850D63" w:rsidRDefault="00797913" w14:paraId="2C5BDB43" w14:textId="5CA46AD3">
      <w:pPr>
        <w:pStyle w:val="OP"/>
        <w:numPr>
          <w:ilvl w:val="0"/>
          <w:numId w:val="9"/>
        </w:numPr>
      </w:pPr>
      <w:r w:rsidRPr="00797913">
        <w:t>Pacific Gas and Electric Company shall file a Tier 1 Advice Letter within 15 days of the date of this decision including tariff sheets in compliance with this decision.</w:t>
      </w:r>
    </w:p>
    <w:p w:rsidRPr="00797913" w:rsidR="00797913" w:rsidP="00850D63" w:rsidRDefault="00044FDC" w14:paraId="5AF776ED" w14:textId="7B41507C">
      <w:pPr>
        <w:pStyle w:val="OP"/>
        <w:numPr>
          <w:ilvl w:val="0"/>
          <w:numId w:val="9"/>
        </w:numPr>
      </w:pPr>
      <w:r w:rsidRPr="00044FDC">
        <w:t xml:space="preserve">Pacific Gas and Electric Company </w:t>
      </w:r>
      <w:r w:rsidRPr="00797913" w:rsidR="00797913">
        <w:t xml:space="preserve">shall transfer the </w:t>
      </w:r>
      <w:r w:rsidRPr="00704683" w:rsidR="00704683">
        <w:t xml:space="preserve">Energy Resource Recovery Account </w:t>
      </w:r>
      <w:r w:rsidRPr="00044FDC">
        <w:t>-</w:t>
      </w:r>
      <w:r w:rsidR="00704683">
        <w:t xml:space="preserve"> </w:t>
      </w:r>
      <w:r w:rsidRPr="00704683" w:rsidR="00704683">
        <w:t>Power Charge Indifference Adjustment</w:t>
      </w:r>
      <w:r w:rsidRPr="00044FDC">
        <w:t xml:space="preserve"> Financing Subaccount </w:t>
      </w:r>
      <w:r w:rsidRPr="00797913" w:rsidR="00797913">
        <w:t xml:space="preserve">credit for 2022 to the 2020 </w:t>
      </w:r>
      <w:r w:rsidRPr="00044FDC">
        <w:t xml:space="preserve">Portfolio Allocation Balancing Account </w:t>
      </w:r>
      <w:r w:rsidRPr="00797913" w:rsidR="00797913">
        <w:t>vintage.</w:t>
      </w:r>
    </w:p>
    <w:p w:rsidRPr="00797913" w:rsidR="00797913" w:rsidP="00850D63" w:rsidRDefault="00797913" w14:paraId="629A36EA" w14:textId="71897C5D">
      <w:pPr>
        <w:pStyle w:val="OP"/>
        <w:numPr>
          <w:ilvl w:val="0"/>
          <w:numId w:val="9"/>
        </w:numPr>
      </w:pPr>
      <w:r w:rsidRPr="00797913">
        <w:t xml:space="preserve">All motions filed for confidential treatment of information have been independently evaluated and have been granted. The information deemed confidential shall be filed under seal and remain under seal </w:t>
      </w:r>
      <w:r w:rsidR="000C34E0">
        <w:t>for</w:t>
      </w:r>
      <w:r w:rsidRPr="00797913">
        <w:t xml:space="preserve"> three years from the issuance of this decision. </w:t>
      </w:r>
    </w:p>
    <w:p w:rsidRPr="00797913" w:rsidR="00797913" w:rsidP="00850D63" w:rsidRDefault="00797913" w14:paraId="5139A086" w14:textId="0D1EF6FD">
      <w:pPr>
        <w:pStyle w:val="OP"/>
        <w:numPr>
          <w:ilvl w:val="0"/>
          <w:numId w:val="9"/>
        </w:numPr>
      </w:pPr>
      <w:r w:rsidRPr="00797913">
        <w:t xml:space="preserve">Pacific Gas and Electric Company must include the confidential workpapers supporting the Power Charge Indifference Adjustment rates from the prior year’s Energy Resource Recovery Account (ERRA) Forecast proceeding as part of the Master Data Request it will provide in each subsequent ERRA Forecast proceeding. </w:t>
      </w:r>
      <w:r w:rsidR="00F4101A">
        <w:t>Access to these workpapers is subject to the existing confidentiality rules and of the California Public Utilities Commission (Commission) and will only be provided upon execution of the applicable non</w:t>
      </w:r>
      <w:r w:rsidR="00844C07">
        <w:noBreakHyphen/>
      </w:r>
      <w:r w:rsidR="00F4101A">
        <w:t xml:space="preserve">disclosure agreements. The Commission will not revisit the prior year’s </w:t>
      </w:r>
      <w:r w:rsidRPr="00D53994" w:rsidR="00D53994">
        <w:t xml:space="preserve">Power Charge Indifference Adjustment </w:t>
      </w:r>
      <w:r w:rsidR="00D53994">
        <w:t>(</w:t>
      </w:r>
      <w:r w:rsidR="00F4101A">
        <w:t>PCIA</w:t>
      </w:r>
      <w:r w:rsidR="00D53994">
        <w:t>)</w:t>
      </w:r>
      <w:r w:rsidR="00F4101A">
        <w:t xml:space="preserve"> rates based on the incorporation of the prior year’s final </w:t>
      </w:r>
      <w:r w:rsidR="000A357D">
        <w:t>PCIA workpapers in the evidentiary record of a pending ERRA forecast proceeding.</w:t>
      </w:r>
    </w:p>
    <w:p w:rsidR="00797913" w:rsidP="00850D63" w:rsidRDefault="00797913" w14:paraId="2AD015A3" w14:textId="4FFD1C2B">
      <w:pPr>
        <w:pStyle w:val="OP"/>
        <w:numPr>
          <w:ilvl w:val="0"/>
          <w:numId w:val="9"/>
        </w:numPr>
      </w:pPr>
      <w:bookmarkStart w:name="_Hlk95128600" w:id="97"/>
      <w:r w:rsidRPr="00797913">
        <w:t xml:space="preserve">Pacific Gas and Electric Company shall submit a Tier 2 Advice Letter within 30 days of this Decision revising and detailing its Green Tariff Shared Renewables rate calculations consistent with </w:t>
      </w:r>
      <w:r w:rsidR="00044FDC">
        <w:t>Decision (</w:t>
      </w:r>
      <w:r w:rsidRPr="00797913">
        <w:t>D.</w:t>
      </w:r>
      <w:r w:rsidR="00044FDC">
        <w:t>)</w:t>
      </w:r>
      <w:r w:rsidRPr="00797913">
        <w:t xml:space="preserve"> 21-12-036 to include the Retained Resource Adequacy capacity as authorized in D.19-10-001. The Tier</w:t>
      </w:r>
      <w:r w:rsidR="00044FDC">
        <w:t> </w:t>
      </w:r>
      <w:r w:rsidRPr="00797913">
        <w:t>2 Advice Letter shall include all workpapers, calculations, assumption to support it</w:t>
      </w:r>
      <w:r w:rsidR="000C34E0">
        <w:t>s</w:t>
      </w:r>
      <w:r w:rsidRPr="00797913">
        <w:t xml:space="preserve"> rate calculations.</w:t>
      </w:r>
    </w:p>
    <w:bookmarkEnd w:id="97"/>
    <w:p w:rsidRPr="00797913" w:rsidR="006E1416" w:rsidP="00850D63" w:rsidRDefault="006E1416" w14:paraId="613F4412" w14:textId="393ECB5D">
      <w:pPr>
        <w:pStyle w:val="OP"/>
        <w:numPr>
          <w:ilvl w:val="0"/>
          <w:numId w:val="9"/>
        </w:numPr>
      </w:pPr>
      <w:r>
        <w:t xml:space="preserve">Pacific Gas and Electric Company shall retire the non-vintage </w:t>
      </w:r>
      <w:r w:rsidRPr="00D53994" w:rsidR="00D53994">
        <w:t>Power Charge Indifference Adjustment</w:t>
      </w:r>
      <w:r>
        <w:t xml:space="preserve"> subaccount, transfer the balance to a newly created subaccount in the Public </w:t>
      </w:r>
      <w:r w:rsidR="00721C8B">
        <w:t xml:space="preserve">Policy </w:t>
      </w:r>
      <w:r>
        <w:t>Charge Balancing Account, and file a Tier</w:t>
      </w:r>
      <w:r w:rsidR="00D53994">
        <w:t> </w:t>
      </w:r>
      <w:r>
        <w:t xml:space="preserve">1 Advice Letter within 30 days of this Decision to establish a new subaccount in the Public </w:t>
      </w:r>
      <w:r w:rsidR="00721C8B">
        <w:t xml:space="preserve">Policy </w:t>
      </w:r>
      <w:r>
        <w:t>Charge Balancing Account to recover any current or future public policy costs associated with the new Public U</w:t>
      </w:r>
      <w:r w:rsidR="00F00EEC">
        <w:t xml:space="preserve">tility </w:t>
      </w:r>
      <w:r>
        <w:t>R</w:t>
      </w:r>
      <w:r w:rsidR="00F00EEC">
        <w:t xml:space="preserve">egulatory </w:t>
      </w:r>
      <w:r>
        <w:t>P</w:t>
      </w:r>
      <w:r w:rsidR="00F00EEC">
        <w:t>olic</w:t>
      </w:r>
      <w:r w:rsidR="003E5205">
        <w:t>ies</w:t>
      </w:r>
      <w:r w:rsidR="00F00EEC">
        <w:t xml:space="preserve"> </w:t>
      </w:r>
      <w:r>
        <w:t>A</w:t>
      </w:r>
      <w:r w:rsidR="00F00EEC">
        <w:t>ct</w:t>
      </w:r>
      <w:r>
        <w:t xml:space="preserve"> contracts.</w:t>
      </w:r>
    </w:p>
    <w:p w:rsidRPr="00797913" w:rsidR="00797913" w:rsidP="00220492" w:rsidRDefault="00797913" w14:paraId="0BDAE9B5" w14:textId="77777777">
      <w:pPr>
        <w:pStyle w:val="OP"/>
        <w:numPr>
          <w:ilvl w:val="0"/>
          <w:numId w:val="9"/>
        </w:numPr>
      </w:pPr>
      <w:r>
        <w:t>All motions not previously ruled on are hereby denied.</w:t>
      </w:r>
    </w:p>
    <w:p w:rsidRPr="00797913" w:rsidR="00797913" w:rsidP="00160B90" w:rsidRDefault="00797913" w14:paraId="68446FE9" w14:textId="77777777">
      <w:pPr>
        <w:pStyle w:val="OP"/>
        <w:numPr>
          <w:ilvl w:val="0"/>
          <w:numId w:val="9"/>
        </w:numPr>
      </w:pPr>
      <w:r>
        <w:t>Application 21-06-001 is closed.</w:t>
      </w:r>
    </w:p>
    <w:p w:rsidRPr="00797913" w:rsidR="00797913" w:rsidP="00797913" w:rsidRDefault="00797913" w14:paraId="24862F76" w14:textId="77777777">
      <w:r w:rsidRPr="00797913">
        <w:t>This order is effective today.</w:t>
      </w:r>
    </w:p>
    <w:p w:rsidR="00BC7F57" w:rsidP="00BC7F57" w:rsidRDefault="00797913" w14:paraId="1EF57F3A" w14:textId="3938CC87">
      <w:r w:rsidRPr="00797913">
        <w:t xml:space="preserve">Dated </w:t>
      </w:r>
      <w:r w:rsidR="00160B90">
        <w:t>February 10, 2022</w:t>
      </w:r>
      <w:r w:rsidRPr="00797913">
        <w:t>, at San Francisco, California</w:t>
      </w:r>
      <w:r w:rsidR="00BC7F57">
        <w:t>.</w:t>
      </w:r>
    </w:p>
    <w:p w:rsidR="00160B90" w:rsidP="00BC7F57" w:rsidRDefault="00160B90" w14:paraId="0A45AF4D" w14:textId="77777777"/>
    <w:p w:rsidRPr="00160B90" w:rsidR="00160B90" w:rsidP="00160B90" w:rsidRDefault="00160B90" w14:paraId="20573425" w14:textId="77777777">
      <w:pPr>
        <w:autoSpaceDE w:val="0"/>
        <w:autoSpaceDN w:val="0"/>
        <w:adjustRightInd w:val="0"/>
        <w:spacing w:line="240" w:lineRule="auto"/>
        <w:ind w:left="4320" w:firstLine="0"/>
        <w:jc w:val="both"/>
        <w:rPr>
          <w:rFonts w:ascii="Palatino" w:hAnsi="Palatino" w:eastAsia="Times New Roman" w:cs="Palatino"/>
          <w:szCs w:val="26"/>
        </w:rPr>
      </w:pPr>
      <w:bookmarkStart w:name="_Hlk17215919" w:id="98"/>
      <w:r w:rsidRPr="00160B90">
        <w:rPr>
          <w:rFonts w:ascii="Palatino" w:hAnsi="Palatino" w:eastAsia="Times New Roman" w:cs="Courier New"/>
          <w:szCs w:val="26"/>
        </w:rPr>
        <w:t>ALICE REYNOLDS</w:t>
      </w:r>
    </w:p>
    <w:p w:rsidRPr="00160B90" w:rsidR="00160B90" w:rsidP="00160B90" w:rsidRDefault="00160B90" w14:paraId="4C783772" w14:textId="77777777">
      <w:pPr>
        <w:autoSpaceDE w:val="0"/>
        <w:autoSpaceDN w:val="0"/>
        <w:adjustRightInd w:val="0"/>
        <w:spacing w:line="240" w:lineRule="auto"/>
        <w:jc w:val="both"/>
        <w:rPr>
          <w:rFonts w:ascii="Palatino" w:hAnsi="Palatino" w:eastAsia="Times New Roman" w:cs="Palatino"/>
          <w:szCs w:val="26"/>
        </w:rPr>
      </w:pPr>
      <w:r w:rsidRPr="00160B90">
        <w:rPr>
          <w:rFonts w:ascii="Palatino" w:hAnsi="Palatino" w:eastAsia="Times New Roman" w:cs="Palatino"/>
          <w:szCs w:val="26"/>
        </w:rPr>
        <w:tab/>
      </w:r>
      <w:r w:rsidRPr="00160B90">
        <w:rPr>
          <w:rFonts w:ascii="Palatino" w:hAnsi="Palatino" w:eastAsia="Times New Roman" w:cs="Palatino"/>
          <w:szCs w:val="26"/>
        </w:rPr>
        <w:tab/>
      </w:r>
      <w:r w:rsidRPr="00160B90">
        <w:rPr>
          <w:rFonts w:ascii="Palatino" w:hAnsi="Palatino" w:eastAsia="Times New Roman" w:cs="Palatino"/>
          <w:szCs w:val="26"/>
        </w:rPr>
        <w:tab/>
      </w:r>
      <w:r w:rsidRPr="00160B90">
        <w:rPr>
          <w:rFonts w:ascii="Palatino" w:hAnsi="Palatino" w:eastAsia="Times New Roman" w:cs="Palatino"/>
          <w:szCs w:val="26"/>
        </w:rPr>
        <w:tab/>
      </w:r>
      <w:r w:rsidRPr="00160B90">
        <w:rPr>
          <w:rFonts w:ascii="Palatino" w:hAnsi="Palatino" w:eastAsia="Times New Roman" w:cs="Palatino"/>
          <w:szCs w:val="26"/>
        </w:rPr>
        <w:tab/>
        <w:t xml:space="preserve">                   President</w:t>
      </w:r>
    </w:p>
    <w:p w:rsidRPr="00160B90" w:rsidR="00160B90" w:rsidP="00160B90" w:rsidRDefault="00160B90" w14:paraId="3AF3FF9C" w14:textId="77777777">
      <w:pPr>
        <w:autoSpaceDE w:val="0"/>
        <w:autoSpaceDN w:val="0"/>
        <w:adjustRightInd w:val="0"/>
        <w:spacing w:line="240" w:lineRule="auto"/>
        <w:ind w:left="4320" w:firstLine="0"/>
        <w:jc w:val="both"/>
        <w:rPr>
          <w:rFonts w:ascii="Palatino" w:hAnsi="Palatino" w:eastAsia="Times New Roman" w:cs="Times New Roman"/>
          <w:sz w:val="28"/>
          <w:szCs w:val="28"/>
        </w:rPr>
      </w:pPr>
      <w:r w:rsidRPr="00160B90">
        <w:rPr>
          <w:rFonts w:ascii="Palatino" w:hAnsi="Palatino" w:eastAsia="Times New Roman" w:cs="Times New Roman"/>
          <w:sz w:val="28"/>
          <w:szCs w:val="28"/>
        </w:rPr>
        <w:t>CLIFFORD RECHTSCHAFFEN</w:t>
      </w:r>
    </w:p>
    <w:p w:rsidRPr="00160B90" w:rsidR="00160B90" w:rsidP="00160B90" w:rsidRDefault="00160B90" w14:paraId="3DA1CC6D" w14:textId="77777777">
      <w:pPr>
        <w:autoSpaceDE w:val="0"/>
        <w:autoSpaceDN w:val="0"/>
        <w:adjustRightInd w:val="0"/>
        <w:spacing w:line="240" w:lineRule="auto"/>
        <w:ind w:left="4320" w:firstLine="0"/>
        <w:jc w:val="both"/>
        <w:rPr>
          <w:rFonts w:ascii="Palatino" w:hAnsi="Palatino" w:eastAsia="Times New Roman" w:cs="Times New Roman"/>
          <w:sz w:val="28"/>
          <w:szCs w:val="28"/>
        </w:rPr>
      </w:pPr>
      <w:r w:rsidRPr="00160B90">
        <w:rPr>
          <w:rFonts w:ascii="Palatino" w:hAnsi="Palatino" w:eastAsia="Times New Roman" w:cs="Times New Roman"/>
          <w:sz w:val="28"/>
          <w:szCs w:val="28"/>
        </w:rPr>
        <w:t>GENEVIEVE SHIROMA</w:t>
      </w:r>
    </w:p>
    <w:p w:rsidRPr="00160B90" w:rsidR="00160B90" w:rsidP="00160B90" w:rsidRDefault="00160B90" w14:paraId="032C59C1" w14:textId="77777777">
      <w:pPr>
        <w:autoSpaceDE w:val="0"/>
        <w:autoSpaceDN w:val="0"/>
        <w:adjustRightInd w:val="0"/>
        <w:spacing w:line="240" w:lineRule="auto"/>
        <w:ind w:left="4320" w:firstLine="0"/>
        <w:jc w:val="both"/>
        <w:rPr>
          <w:rFonts w:ascii="Palatino" w:hAnsi="Palatino" w:eastAsia="Times New Roman" w:cs="Times New Roman"/>
          <w:sz w:val="28"/>
          <w:szCs w:val="28"/>
        </w:rPr>
      </w:pPr>
      <w:r w:rsidRPr="00160B90">
        <w:rPr>
          <w:rFonts w:ascii="Palatino" w:hAnsi="Palatino" w:eastAsia="Times New Roman" w:cs="Times New Roman"/>
          <w:sz w:val="28"/>
          <w:szCs w:val="28"/>
        </w:rPr>
        <w:t>DARCIE HOUCK</w:t>
      </w:r>
    </w:p>
    <w:p w:rsidRPr="00160B90" w:rsidR="00160B90" w:rsidP="00160B90" w:rsidRDefault="00160B90" w14:paraId="577BE0A8" w14:textId="2195EED1">
      <w:pPr>
        <w:autoSpaceDE w:val="0"/>
        <w:autoSpaceDN w:val="0"/>
        <w:adjustRightInd w:val="0"/>
        <w:spacing w:line="240" w:lineRule="auto"/>
        <w:ind w:left="4320"/>
        <w:jc w:val="both"/>
        <w:rPr>
          <w:rFonts w:ascii="Palatino" w:hAnsi="Palatino" w:eastAsia="Times New Roman" w:cs="Palatino"/>
          <w:szCs w:val="26"/>
        </w:rPr>
      </w:pPr>
      <w:r>
        <w:rPr>
          <w:rFonts w:ascii="Palatino" w:hAnsi="Palatino" w:eastAsia="Times New Roman" w:cs="Palatino"/>
          <w:szCs w:val="26"/>
        </w:rPr>
        <w:tab/>
      </w:r>
      <w:r>
        <w:rPr>
          <w:rFonts w:ascii="Palatino" w:hAnsi="Palatino" w:eastAsia="Times New Roman" w:cs="Palatino"/>
          <w:szCs w:val="26"/>
        </w:rPr>
        <w:tab/>
      </w:r>
      <w:r w:rsidRPr="00160B90">
        <w:rPr>
          <w:rFonts w:ascii="Palatino" w:hAnsi="Palatino" w:eastAsia="Times New Roman" w:cs="Palatino"/>
          <w:szCs w:val="26"/>
        </w:rPr>
        <w:t>Commissioners</w:t>
      </w:r>
      <w:bookmarkEnd w:id="98"/>
    </w:p>
    <w:p w:rsidR="00160B90" w:rsidP="00160B90" w:rsidRDefault="00160B90" w14:paraId="79A983C7" w14:textId="77777777">
      <w:pPr>
        <w:ind w:firstLine="0"/>
      </w:pPr>
    </w:p>
    <w:p w:rsidR="00160B90" w:rsidP="00BC7F57" w:rsidRDefault="00160B90" w14:paraId="0AC3F7DC" w14:textId="1BE6A08A">
      <w:pPr>
        <w:sectPr w:rsidR="00160B90" w:rsidSect="00D15DC0">
          <w:footerReference w:type="default" r:id="rId18"/>
          <w:pgSz w:w="12240" w:h="15840"/>
          <w:pgMar w:top="1728" w:right="1440" w:bottom="1440" w:left="1440" w:header="720" w:footer="720" w:gutter="0"/>
          <w:pgNumType w:start="2"/>
          <w:cols w:space="720"/>
          <w:docGrid w:linePitch="360"/>
        </w:sectPr>
      </w:pPr>
    </w:p>
    <w:p w:rsidRPr="00BC7F57" w:rsidR="00BC7F57" w:rsidP="00BC7F57" w:rsidRDefault="00BC7F57" w14:paraId="1B0859D0" w14:textId="77777777">
      <w:pPr>
        <w:autoSpaceDE w:val="0"/>
        <w:autoSpaceDN w:val="0"/>
        <w:adjustRightInd w:val="0"/>
        <w:spacing w:line="240" w:lineRule="auto"/>
        <w:ind w:firstLine="0"/>
        <w:jc w:val="center"/>
        <w:rPr>
          <w:rFonts w:cs="BookAntiqua-Bold2"/>
          <w:b/>
          <w:bCs/>
          <w:szCs w:val="26"/>
        </w:rPr>
      </w:pPr>
      <w:r w:rsidRPr="00BC7F57">
        <w:rPr>
          <w:rFonts w:cs="BookAntiqua-Bold2"/>
          <w:b/>
          <w:bCs/>
          <w:szCs w:val="26"/>
        </w:rPr>
        <w:t>APPENDIX A</w:t>
      </w:r>
    </w:p>
    <w:p w:rsidRPr="00BC7F57" w:rsidR="00BC7F57" w:rsidP="00BC7F57" w:rsidRDefault="00BC7F57" w14:paraId="2A6A3E74" w14:textId="77777777">
      <w:pPr>
        <w:tabs>
          <w:tab w:val="center" w:pos="4680"/>
          <w:tab w:val="right" w:pos="9360"/>
        </w:tabs>
        <w:spacing w:line="240" w:lineRule="auto"/>
        <w:ind w:firstLine="0"/>
        <w:jc w:val="center"/>
        <w:rPr>
          <w:rFonts w:cs="BookAntiqua-Bold2"/>
          <w:b/>
          <w:bCs/>
          <w:szCs w:val="26"/>
        </w:rPr>
      </w:pPr>
      <w:r w:rsidRPr="00BC7F57">
        <w:rPr>
          <w:rFonts w:cs="BookAntiqua-Bold2"/>
          <w:b/>
          <w:bCs/>
          <w:szCs w:val="26"/>
        </w:rPr>
        <w:t>List of Acronyms and Abbreviations</w:t>
      </w:r>
    </w:p>
    <w:p w:rsidRPr="00BC7F57" w:rsidR="00BC7F57" w:rsidP="00BC7F57" w:rsidRDefault="00BC7F57" w14:paraId="48EAC354" w14:textId="0AA9E302">
      <w:pPr>
        <w:tabs>
          <w:tab w:val="center" w:pos="4680"/>
          <w:tab w:val="left" w:pos="5700"/>
        </w:tabs>
        <w:spacing w:line="240" w:lineRule="auto"/>
        <w:ind w:firstLine="0"/>
        <w:rPr>
          <w:rFonts w:cs="BookAntiqua-Bold2"/>
          <w:b/>
          <w:bCs/>
          <w:szCs w:val="26"/>
        </w:rPr>
      </w:pPr>
    </w:p>
    <w:tbl>
      <w:tblPr>
        <w:tblStyle w:val="TableGrid1"/>
        <w:tblW w:w="0" w:type="auto"/>
        <w:tblLook w:val="04A0" w:firstRow="1" w:lastRow="0" w:firstColumn="1" w:lastColumn="0" w:noHBand="0" w:noVBand="1"/>
      </w:tblPr>
      <w:tblGrid>
        <w:gridCol w:w="4670"/>
        <w:gridCol w:w="4680"/>
      </w:tblGrid>
      <w:tr w:rsidRPr="00537838" w:rsidR="00537838" w:rsidTr="00B51462" w14:paraId="76657182" w14:textId="77777777">
        <w:tc>
          <w:tcPr>
            <w:tcW w:w="4670" w:type="dxa"/>
          </w:tcPr>
          <w:p w:rsidRPr="00537838" w:rsidR="00537838" w:rsidP="00A74254" w:rsidRDefault="00537838" w14:paraId="767B3B04" w14:textId="327667D8">
            <w:pPr>
              <w:autoSpaceDE w:val="0"/>
              <w:autoSpaceDN w:val="0"/>
              <w:adjustRightInd w:val="0"/>
              <w:spacing w:line="240" w:lineRule="auto"/>
              <w:ind w:firstLine="0"/>
              <w:jc w:val="center"/>
              <w:rPr>
                <w:rFonts w:eastAsiaTheme="minorHAnsi" w:cstheme="minorBidi"/>
              </w:rPr>
            </w:pPr>
            <w:r w:rsidRPr="00537838">
              <w:rPr>
                <w:rFonts w:eastAsiaTheme="minorHAnsi" w:cstheme="minorBidi"/>
              </w:rPr>
              <w:t>Term</w:t>
            </w:r>
          </w:p>
        </w:tc>
        <w:tc>
          <w:tcPr>
            <w:tcW w:w="4680" w:type="dxa"/>
          </w:tcPr>
          <w:p w:rsidRPr="00537838" w:rsidR="00537838" w:rsidP="00A74254" w:rsidRDefault="00537838" w14:paraId="7093EFDA" w14:textId="77777777">
            <w:pPr>
              <w:autoSpaceDE w:val="0"/>
              <w:autoSpaceDN w:val="0"/>
              <w:adjustRightInd w:val="0"/>
              <w:spacing w:line="240" w:lineRule="auto"/>
              <w:ind w:firstLine="0"/>
              <w:jc w:val="center"/>
              <w:rPr>
                <w:rFonts w:eastAsiaTheme="minorHAnsi" w:cstheme="minorBidi"/>
              </w:rPr>
            </w:pPr>
            <w:r w:rsidRPr="00537838">
              <w:rPr>
                <w:rFonts w:eastAsiaTheme="minorHAnsi" w:cstheme="minorBidi"/>
              </w:rPr>
              <w:t>Definition</w:t>
            </w:r>
          </w:p>
        </w:tc>
      </w:tr>
      <w:tr w:rsidRPr="00537838" w:rsidR="00537838" w:rsidTr="00B51462" w14:paraId="1DFDCA7B" w14:textId="77777777">
        <w:tc>
          <w:tcPr>
            <w:tcW w:w="4670" w:type="dxa"/>
          </w:tcPr>
          <w:p w:rsidRPr="00537838" w:rsidR="00537838" w:rsidP="00537838" w:rsidRDefault="00537838" w14:paraId="2CC0770C"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A.</w:t>
            </w:r>
          </w:p>
        </w:tc>
        <w:tc>
          <w:tcPr>
            <w:tcW w:w="4680" w:type="dxa"/>
          </w:tcPr>
          <w:p w:rsidRPr="00537838" w:rsidR="00537838" w:rsidP="00537838" w:rsidRDefault="00537838" w14:paraId="6EA3D3B5"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Application</w:t>
            </w:r>
          </w:p>
        </w:tc>
      </w:tr>
      <w:tr w:rsidRPr="00537838" w:rsidR="00537838" w:rsidTr="00B51462" w14:paraId="1F1013B3" w14:textId="77777777">
        <w:tc>
          <w:tcPr>
            <w:tcW w:w="4670" w:type="dxa"/>
          </w:tcPr>
          <w:p w:rsidRPr="00537838" w:rsidR="00537838" w:rsidP="00537838" w:rsidRDefault="00537838" w14:paraId="2C4D90C0"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AB</w:t>
            </w:r>
          </w:p>
        </w:tc>
        <w:tc>
          <w:tcPr>
            <w:tcW w:w="4680" w:type="dxa"/>
          </w:tcPr>
          <w:p w:rsidRPr="00537838" w:rsidR="00537838" w:rsidP="00537838" w:rsidRDefault="00537838" w14:paraId="36B6D4D7"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Assembly Bill</w:t>
            </w:r>
          </w:p>
        </w:tc>
      </w:tr>
      <w:tr w:rsidRPr="00537838" w:rsidR="00537838" w:rsidTr="00B51462" w14:paraId="0E27533F" w14:textId="77777777">
        <w:tc>
          <w:tcPr>
            <w:tcW w:w="4670" w:type="dxa"/>
          </w:tcPr>
          <w:p w:rsidRPr="00537838" w:rsidR="00537838" w:rsidP="00537838" w:rsidRDefault="00537838" w14:paraId="46D07A77"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AECA</w:t>
            </w:r>
          </w:p>
        </w:tc>
        <w:tc>
          <w:tcPr>
            <w:tcW w:w="4680" w:type="dxa"/>
          </w:tcPr>
          <w:p w:rsidRPr="00537838" w:rsidR="00537838" w:rsidP="00537838" w:rsidRDefault="00537838" w14:paraId="46F70929" w14:textId="77777777">
            <w:pPr>
              <w:autoSpaceDE w:val="0"/>
              <w:autoSpaceDN w:val="0"/>
              <w:adjustRightInd w:val="0"/>
              <w:spacing w:line="240" w:lineRule="auto"/>
              <w:ind w:firstLine="0"/>
              <w:rPr>
                <w:rFonts w:eastAsiaTheme="minorHAnsi" w:cstheme="minorBidi"/>
              </w:rPr>
            </w:pPr>
            <w:bookmarkStart w:name="_Hlk93593994" w:id="99"/>
            <w:r w:rsidRPr="00537838">
              <w:rPr>
                <w:rFonts w:eastAsiaTheme="minorHAnsi" w:cstheme="minorBidi"/>
              </w:rPr>
              <w:t>Agricultural Energy Consumer Association</w:t>
            </w:r>
            <w:bookmarkEnd w:id="99"/>
          </w:p>
        </w:tc>
      </w:tr>
      <w:tr w:rsidRPr="00537838" w:rsidR="00537838" w:rsidTr="00B51462" w14:paraId="1885483F" w14:textId="77777777">
        <w:tc>
          <w:tcPr>
            <w:tcW w:w="4670" w:type="dxa"/>
          </w:tcPr>
          <w:p w:rsidRPr="00537838" w:rsidR="00537838" w:rsidP="00537838" w:rsidRDefault="00537838" w14:paraId="15B15A33"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AET</w:t>
            </w:r>
          </w:p>
        </w:tc>
        <w:tc>
          <w:tcPr>
            <w:tcW w:w="4680" w:type="dxa"/>
          </w:tcPr>
          <w:p w:rsidRPr="00537838" w:rsidR="00537838" w:rsidP="00537838" w:rsidRDefault="00537838" w14:paraId="4FDE26DA"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Annual Electric True-up</w:t>
            </w:r>
          </w:p>
        </w:tc>
      </w:tr>
      <w:tr w:rsidRPr="00537838" w:rsidR="00537838" w:rsidTr="00B51462" w14:paraId="7B24C593" w14:textId="77777777">
        <w:tc>
          <w:tcPr>
            <w:tcW w:w="4670" w:type="dxa"/>
          </w:tcPr>
          <w:p w:rsidRPr="00537838" w:rsidR="00537838" w:rsidP="00537838" w:rsidRDefault="00537838" w14:paraId="4C316490"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AL</w:t>
            </w:r>
          </w:p>
        </w:tc>
        <w:tc>
          <w:tcPr>
            <w:tcW w:w="4680" w:type="dxa"/>
          </w:tcPr>
          <w:p w:rsidRPr="00537838" w:rsidR="00537838" w:rsidP="00537838" w:rsidRDefault="00537838" w14:paraId="1DEBD3B0"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Advice Letter</w:t>
            </w:r>
          </w:p>
        </w:tc>
      </w:tr>
      <w:tr w:rsidRPr="00537838" w:rsidR="00537838" w:rsidTr="00B51462" w14:paraId="78533DC0" w14:textId="77777777">
        <w:tc>
          <w:tcPr>
            <w:tcW w:w="4670" w:type="dxa"/>
          </w:tcPr>
          <w:p w:rsidRPr="00537838" w:rsidR="00537838" w:rsidP="00537838" w:rsidRDefault="00537838" w14:paraId="4CBC92E9"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ALJ</w:t>
            </w:r>
          </w:p>
        </w:tc>
        <w:tc>
          <w:tcPr>
            <w:tcW w:w="4680" w:type="dxa"/>
          </w:tcPr>
          <w:p w:rsidRPr="00537838" w:rsidR="00537838" w:rsidP="00537838" w:rsidRDefault="00537838" w14:paraId="795CCDE2"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Administrative Law Judge</w:t>
            </w:r>
          </w:p>
        </w:tc>
      </w:tr>
      <w:tr w:rsidRPr="00537838" w:rsidR="00537838" w:rsidTr="00B51462" w14:paraId="6135BEA1" w14:textId="77777777">
        <w:tc>
          <w:tcPr>
            <w:tcW w:w="4670" w:type="dxa"/>
          </w:tcPr>
          <w:p w:rsidRPr="00537838" w:rsidR="00537838" w:rsidP="00537838" w:rsidRDefault="00537838" w14:paraId="2C74E942" w14:textId="77777777">
            <w:pPr>
              <w:autoSpaceDE w:val="0"/>
              <w:autoSpaceDN w:val="0"/>
              <w:adjustRightInd w:val="0"/>
              <w:spacing w:line="240" w:lineRule="auto"/>
              <w:ind w:firstLine="0"/>
              <w:rPr>
                <w:rFonts w:eastAsiaTheme="minorHAnsi" w:cstheme="minorBidi"/>
              </w:rPr>
            </w:pPr>
            <w:proofErr w:type="spellStart"/>
            <w:r w:rsidRPr="00537838">
              <w:rPr>
                <w:rFonts w:eastAsiaTheme="minorHAnsi" w:cstheme="minorBidi"/>
              </w:rPr>
              <w:t>BioMAT</w:t>
            </w:r>
            <w:proofErr w:type="spellEnd"/>
          </w:p>
        </w:tc>
        <w:tc>
          <w:tcPr>
            <w:tcW w:w="4680" w:type="dxa"/>
          </w:tcPr>
          <w:p w:rsidRPr="00537838" w:rsidR="00537838" w:rsidP="00537838" w:rsidRDefault="00537838" w14:paraId="1C256238"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Bioenergy Market Adjusting Tariff</w:t>
            </w:r>
          </w:p>
        </w:tc>
      </w:tr>
      <w:tr w:rsidRPr="00537838" w:rsidR="00537838" w:rsidTr="00B51462" w14:paraId="4B355760" w14:textId="77777777">
        <w:tc>
          <w:tcPr>
            <w:tcW w:w="4670" w:type="dxa"/>
          </w:tcPr>
          <w:p w:rsidRPr="00537838" w:rsidR="00537838" w:rsidP="00537838" w:rsidRDefault="00537838" w14:paraId="65DF20D8"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Cal Advocates</w:t>
            </w:r>
          </w:p>
        </w:tc>
        <w:tc>
          <w:tcPr>
            <w:tcW w:w="4680" w:type="dxa"/>
          </w:tcPr>
          <w:p w:rsidRPr="00537838" w:rsidR="00537838" w:rsidP="00537838" w:rsidRDefault="00537838" w14:paraId="3BFBF010"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Public Advocates Office</w:t>
            </w:r>
          </w:p>
        </w:tc>
      </w:tr>
      <w:tr w:rsidRPr="00537838" w:rsidR="00537838" w:rsidTr="00B51462" w14:paraId="3B82602B" w14:textId="77777777">
        <w:tc>
          <w:tcPr>
            <w:tcW w:w="4670" w:type="dxa"/>
          </w:tcPr>
          <w:p w:rsidRPr="00537838" w:rsidR="00537838" w:rsidP="00537838" w:rsidRDefault="00537838" w14:paraId="5865D53D"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CAM</w:t>
            </w:r>
          </w:p>
        </w:tc>
        <w:tc>
          <w:tcPr>
            <w:tcW w:w="4680" w:type="dxa"/>
          </w:tcPr>
          <w:p w:rsidRPr="00537838" w:rsidR="00537838" w:rsidP="00537838" w:rsidRDefault="00537838" w14:paraId="55B27D6B"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Cost Allocation Mechanism</w:t>
            </w:r>
          </w:p>
        </w:tc>
      </w:tr>
      <w:tr w:rsidRPr="00537838" w:rsidR="00CA3238" w:rsidTr="00B51462" w14:paraId="614DF832" w14:textId="77777777">
        <w:tc>
          <w:tcPr>
            <w:tcW w:w="4670" w:type="dxa"/>
          </w:tcPr>
          <w:p w:rsidRPr="00537838" w:rsidR="00CA3238" w:rsidP="00537838" w:rsidRDefault="00CA3238" w14:paraId="16B8F875" w14:textId="7EAB2385">
            <w:pPr>
              <w:autoSpaceDE w:val="0"/>
              <w:autoSpaceDN w:val="0"/>
              <w:adjustRightInd w:val="0"/>
              <w:spacing w:line="240" w:lineRule="auto"/>
              <w:ind w:firstLine="0"/>
            </w:pPr>
            <w:r>
              <w:t>CCA</w:t>
            </w:r>
          </w:p>
        </w:tc>
        <w:tc>
          <w:tcPr>
            <w:tcW w:w="4680" w:type="dxa"/>
          </w:tcPr>
          <w:p w:rsidRPr="00537838" w:rsidR="00CA3238" w:rsidP="00537838" w:rsidRDefault="00CA3238" w14:paraId="51205AF3" w14:textId="764709F5">
            <w:pPr>
              <w:autoSpaceDE w:val="0"/>
              <w:autoSpaceDN w:val="0"/>
              <w:adjustRightInd w:val="0"/>
              <w:spacing w:line="240" w:lineRule="auto"/>
              <w:ind w:firstLine="0"/>
            </w:pPr>
            <w:r>
              <w:t>Commun</w:t>
            </w:r>
            <w:r w:rsidR="00BD7B9B">
              <w:t>i</w:t>
            </w:r>
            <w:r>
              <w:t>ty Choice Aggregation</w:t>
            </w:r>
          </w:p>
        </w:tc>
      </w:tr>
      <w:tr w:rsidRPr="00537838" w:rsidR="00537838" w:rsidTr="00B51462" w14:paraId="3E426D83" w14:textId="77777777">
        <w:tc>
          <w:tcPr>
            <w:tcW w:w="4670" w:type="dxa"/>
          </w:tcPr>
          <w:p w:rsidRPr="00537838" w:rsidR="00537838" w:rsidP="00537838" w:rsidRDefault="00537838" w14:paraId="13B0137C"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CLECA</w:t>
            </w:r>
          </w:p>
        </w:tc>
        <w:tc>
          <w:tcPr>
            <w:tcW w:w="4680" w:type="dxa"/>
          </w:tcPr>
          <w:p w:rsidRPr="00537838" w:rsidR="00537838" w:rsidP="00537838" w:rsidRDefault="00537838" w14:paraId="64E848EC"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California Large Energy Consumers Association</w:t>
            </w:r>
          </w:p>
        </w:tc>
      </w:tr>
      <w:tr w:rsidRPr="00537838" w:rsidR="00537838" w:rsidTr="00B51462" w14:paraId="77BF372F" w14:textId="77777777">
        <w:tc>
          <w:tcPr>
            <w:tcW w:w="4670" w:type="dxa"/>
          </w:tcPr>
          <w:p w:rsidRPr="00537838" w:rsidR="00537838" w:rsidP="00537838" w:rsidRDefault="00537838" w14:paraId="15700406"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COL</w:t>
            </w:r>
          </w:p>
        </w:tc>
        <w:tc>
          <w:tcPr>
            <w:tcW w:w="4680" w:type="dxa"/>
          </w:tcPr>
          <w:p w:rsidRPr="00537838" w:rsidR="00537838" w:rsidP="00537838" w:rsidRDefault="00537838" w14:paraId="05570DF6"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Conclusions of Law</w:t>
            </w:r>
          </w:p>
        </w:tc>
      </w:tr>
      <w:tr w:rsidRPr="00537838" w:rsidR="00537838" w:rsidTr="00B51462" w14:paraId="666B4A46" w14:textId="77777777">
        <w:tc>
          <w:tcPr>
            <w:tcW w:w="4670" w:type="dxa"/>
          </w:tcPr>
          <w:p w:rsidRPr="00537838" w:rsidR="00537838" w:rsidP="00537838" w:rsidRDefault="00537838" w14:paraId="7DB4F557"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CSGT</w:t>
            </w:r>
          </w:p>
        </w:tc>
        <w:tc>
          <w:tcPr>
            <w:tcW w:w="4680" w:type="dxa"/>
          </w:tcPr>
          <w:p w:rsidRPr="00537838" w:rsidR="00537838" w:rsidP="00537838" w:rsidRDefault="00537838" w14:paraId="223500C5"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Community Solar Green Tariff</w:t>
            </w:r>
          </w:p>
        </w:tc>
      </w:tr>
      <w:tr w:rsidRPr="00537838" w:rsidR="00537838" w:rsidTr="00B51462" w14:paraId="1976FF74" w14:textId="77777777">
        <w:tc>
          <w:tcPr>
            <w:tcW w:w="4670" w:type="dxa"/>
          </w:tcPr>
          <w:p w:rsidRPr="00537838" w:rsidR="00537838" w:rsidP="00537838" w:rsidRDefault="00537838" w14:paraId="3D0D4EEC"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CTC</w:t>
            </w:r>
          </w:p>
        </w:tc>
        <w:tc>
          <w:tcPr>
            <w:tcW w:w="4680" w:type="dxa"/>
          </w:tcPr>
          <w:p w:rsidRPr="00537838" w:rsidR="00537838" w:rsidP="00537838" w:rsidRDefault="00537838" w14:paraId="4299985D"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Competition Transition Charge</w:t>
            </w:r>
          </w:p>
        </w:tc>
      </w:tr>
      <w:tr w:rsidRPr="00537838" w:rsidR="00537838" w:rsidTr="00B51462" w14:paraId="46002DD8" w14:textId="77777777">
        <w:trPr>
          <w:trHeight w:val="323"/>
        </w:trPr>
        <w:tc>
          <w:tcPr>
            <w:tcW w:w="4670" w:type="dxa"/>
          </w:tcPr>
          <w:p w:rsidRPr="00537838" w:rsidR="00537838" w:rsidP="00537838" w:rsidRDefault="00537838" w14:paraId="0532CC8D"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D.</w:t>
            </w:r>
          </w:p>
        </w:tc>
        <w:tc>
          <w:tcPr>
            <w:tcW w:w="4680" w:type="dxa"/>
          </w:tcPr>
          <w:p w:rsidRPr="00537838" w:rsidR="00537838" w:rsidP="00537838" w:rsidRDefault="00537838" w14:paraId="08DDF4AC"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Decision</w:t>
            </w:r>
          </w:p>
        </w:tc>
      </w:tr>
      <w:tr w:rsidRPr="00537838" w:rsidR="00537838" w:rsidTr="00B51462" w14:paraId="408A6C64" w14:textId="77777777">
        <w:tc>
          <w:tcPr>
            <w:tcW w:w="4670" w:type="dxa"/>
          </w:tcPr>
          <w:p w:rsidRPr="00537838" w:rsidR="00537838" w:rsidP="00537838" w:rsidRDefault="00537838" w14:paraId="0FEB9CA0"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DA</w:t>
            </w:r>
          </w:p>
        </w:tc>
        <w:tc>
          <w:tcPr>
            <w:tcW w:w="4680" w:type="dxa"/>
          </w:tcPr>
          <w:p w:rsidRPr="00537838" w:rsidR="00537838" w:rsidP="00537838" w:rsidRDefault="00537838" w14:paraId="5CE461D7"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Direct Access</w:t>
            </w:r>
          </w:p>
        </w:tc>
      </w:tr>
      <w:tr w:rsidRPr="00537838" w:rsidR="00537838" w:rsidTr="00B51462" w14:paraId="202AF604" w14:textId="77777777">
        <w:tc>
          <w:tcPr>
            <w:tcW w:w="4670" w:type="dxa"/>
          </w:tcPr>
          <w:p w:rsidRPr="00537838" w:rsidR="00537838" w:rsidP="00537838" w:rsidRDefault="00537838" w14:paraId="196D18C3"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DAC-SASH</w:t>
            </w:r>
          </w:p>
        </w:tc>
        <w:tc>
          <w:tcPr>
            <w:tcW w:w="4680" w:type="dxa"/>
          </w:tcPr>
          <w:p w:rsidRPr="00537838" w:rsidR="00537838" w:rsidP="00537838" w:rsidRDefault="00537838" w14:paraId="095BC1EA" w14:textId="1042BD1F">
            <w:pPr>
              <w:autoSpaceDE w:val="0"/>
              <w:autoSpaceDN w:val="0"/>
              <w:adjustRightInd w:val="0"/>
              <w:spacing w:line="240" w:lineRule="auto"/>
              <w:ind w:firstLine="0"/>
              <w:rPr>
                <w:rFonts w:eastAsiaTheme="minorHAnsi" w:cstheme="minorBidi"/>
              </w:rPr>
            </w:pPr>
            <w:r w:rsidRPr="00537838">
              <w:rPr>
                <w:rFonts w:eastAsiaTheme="minorHAnsi" w:cstheme="minorBidi"/>
              </w:rPr>
              <w:t>Disadvantaged Communities Single</w:t>
            </w:r>
            <w:r w:rsidR="00A74254">
              <w:rPr>
                <w:rFonts w:eastAsiaTheme="minorHAnsi" w:cstheme="minorBidi"/>
              </w:rPr>
              <w:noBreakHyphen/>
            </w:r>
            <w:r w:rsidRPr="00537838">
              <w:rPr>
                <w:rFonts w:eastAsiaTheme="minorHAnsi" w:cstheme="minorBidi"/>
              </w:rPr>
              <w:t>Family Affordable Solar Housing</w:t>
            </w:r>
          </w:p>
        </w:tc>
      </w:tr>
      <w:tr w:rsidRPr="00537838" w:rsidR="00537838" w:rsidTr="00B51462" w14:paraId="280E5A95" w14:textId="77777777">
        <w:tc>
          <w:tcPr>
            <w:tcW w:w="4670" w:type="dxa"/>
          </w:tcPr>
          <w:p w:rsidRPr="00537838" w:rsidR="00537838" w:rsidP="00537838" w:rsidRDefault="00537838" w14:paraId="2B2CC049"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DAC-GT</w:t>
            </w:r>
          </w:p>
        </w:tc>
        <w:tc>
          <w:tcPr>
            <w:tcW w:w="4680" w:type="dxa"/>
          </w:tcPr>
          <w:p w:rsidRPr="00537838" w:rsidR="00537838" w:rsidP="00537838" w:rsidRDefault="00537838" w14:paraId="6ED97946" w14:textId="77777777">
            <w:pPr>
              <w:autoSpaceDE w:val="0"/>
              <w:autoSpaceDN w:val="0"/>
              <w:adjustRightInd w:val="0"/>
              <w:spacing w:line="240" w:lineRule="auto"/>
              <w:ind w:firstLine="0"/>
              <w:rPr>
                <w:rFonts w:eastAsiaTheme="minorHAnsi" w:cstheme="minorBidi"/>
              </w:rPr>
            </w:pPr>
            <w:bookmarkStart w:name="_Hlk93594642" w:id="100"/>
            <w:r w:rsidRPr="00537838">
              <w:rPr>
                <w:rFonts w:eastAsiaTheme="minorHAnsi" w:cstheme="minorBidi"/>
              </w:rPr>
              <w:t>Disadvantaged Communities Green Tariff</w:t>
            </w:r>
            <w:bookmarkEnd w:id="100"/>
          </w:p>
        </w:tc>
      </w:tr>
      <w:tr w:rsidRPr="00537838" w:rsidR="00537838" w:rsidTr="00B51462" w14:paraId="35664B75" w14:textId="77777777">
        <w:tc>
          <w:tcPr>
            <w:tcW w:w="4670" w:type="dxa"/>
          </w:tcPr>
          <w:p w:rsidRPr="00537838" w:rsidR="00537838" w:rsidP="00537838" w:rsidRDefault="00537838" w14:paraId="49B5CC30"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DL</w:t>
            </w:r>
          </w:p>
        </w:tc>
        <w:tc>
          <w:tcPr>
            <w:tcW w:w="4680" w:type="dxa"/>
          </w:tcPr>
          <w:p w:rsidRPr="00537838" w:rsidR="00537838" w:rsidP="00537838" w:rsidRDefault="00537838" w14:paraId="5E6720E8"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Departing Load</w:t>
            </w:r>
          </w:p>
        </w:tc>
      </w:tr>
      <w:tr w:rsidRPr="00537838" w:rsidR="00537838" w:rsidTr="00B51462" w14:paraId="34516E4D" w14:textId="77777777">
        <w:tc>
          <w:tcPr>
            <w:tcW w:w="4670" w:type="dxa"/>
          </w:tcPr>
          <w:p w:rsidRPr="00537838" w:rsidR="00537838" w:rsidP="00537838" w:rsidRDefault="00537838" w14:paraId="3069A5EA"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ERRA</w:t>
            </w:r>
          </w:p>
        </w:tc>
        <w:tc>
          <w:tcPr>
            <w:tcW w:w="4680" w:type="dxa"/>
          </w:tcPr>
          <w:p w:rsidRPr="00537838" w:rsidR="00537838" w:rsidP="00537838" w:rsidRDefault="00537838" w14:paraId="600ED6C0" w14:textId="77777777">
            <w:pPr>
              <w:autoSpaceDE w:val="0"/>
              <w:autoSpaceDN w:val="0"/>
              <w:adjustRightInd w:val="0"/>
              <w:spacing w:line="240" w:lineRule="auto"/>
              <w:ind w:firstLine="0"/>
              <w:rPr>
                <w:rFonts w:eastAsiaTheme="minorHAnsi" w:cstheme="minorBidi"/>
              </w:rPr>
            </w:pPr>
            <w:bookmarkStart w:name="_Hlk95214063" w:id="101"/>
            <w:r w:rsidRPr="00537838">
              <w:rPr>
                <w:rFonts w:eastAsiaTheme="minorHAnsi" w:cstheme="minorBidi"/>
              </w:rPr>
              <w:t>Energy Resource Recovery Account</w:t>
            </w:r>
            <w:bookmarkEnd w:id="101"/>
          </w:p>
        </w:tc>
      </w:tr>
      <w:tr w:rsidRPr="00537838" w:rsidR="00537838" w:rsidTr="00B51462" w14:paraId="03D0E4C5" w14:textId="77777777">
        <w:tc>
          <w:tcPr>
            <w:tcW w:w="4670" w:type="dxa"/>
          </w:tcPr>
          <w:p w:rsidRPr="00537838" w:rsidR="00537838" w:rsidP="00537838" w:rsidRDefault="00537838" w14:paraId="33013EB0"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ERRA-Main</w:t>
            </w:r>
          </w:p>
        </w:tc>
        <w:tc>
          <w:tcPr>
            <w:tcW w:w="4680" w:type="dxa"/>
          </w:tcPr>
          <w:p w:rsidRPr="00537838" w:rsidR="00537838" w:rsidP="00537838" w:rsidRDefault="00537838" w14:paraId="51CEC10D"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PG&amp;E’s main balancing account in ERRA</w:t>
            </w:r>
          </w:p>
        </w:tc>
      </w:tr>
      <w:tr w:rsidRPr="00537838" w:rsidR="00537838" w:rsidTr="00B51462" w14:paraId="0E563E84" w14:textId="77777777">
        <w:tc>
          <w:tcPr>
            <w:tcW w:w="4670" w:type="dxa"/>
          </w:tcPr>
          <w:p w:rsidRPr="00537838" w:rsidR="00537838" w:rsidP="00537838" w:rsidRDefault="00537838" w14:paraId="7FE51342"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ERRA-PFS</w:t>
            </w:r>
          </w:p>
        </w:tc>
        <w:tc>
          <w:tcPr>
            <w:tcW w:w="4680" w:type="dxa"/>
          </w:tcPr>
          <w:p w:rsidRPr="00537838" w:rsidR="00537838" w:rsidP="00537838" w:rsidRDefault="00537838" w14:paraId="1220C5F0" w14:textId="77777777">
            <w:pPr>
              <w:autoSpaceDE w:val="0"/>
              <w:autoSpaceDN w:val="0"/>
              <w:adjustRightInd w:val="0"/>
              <w:spacing w:line="240" w:lineRule="auto"/>
              <w:ind w:firstLine="0"/>
              <w:rPr>
                <w:rFonts w:eastAsiaTheme="minorHAnsi" w:cstheme="minorBidi"/>
              </w:rPr>
            </w:pPr>
            <w:bookmarkStart w:name="_Hlk93593561" w:id="102"/>
            <w:r w:rsidRPr="00537838">
              <w:rPr>
                <w:rFonts w:eastAsiaTheme="minorHAnsi" w:cstheme="minorBidi"/>
              </w:rPr>
              <w:t>ERRA-PCIA Financing Subaccount</w:t>
            </w:r>
            <w:bookmarkEnd w:id="102"/>
          </w:p>
        </w:tc>
      </w:tr>
      <w:tr w:rsidRPr="00537838" w:rsidR="00537838" w:rsidTr="00B51462" w14:paraId="1EEB1DA1" w14:textId="77777777">
        <w:tc>
          <w:tcPr>
            <w:tcW w:w="4670" w:type="dxa"/>
          </w:tcPr>
          <w:p w:rsidRPr="00537838" w:rsidR="00537838" w:rsidP="00537838" w:rsidRDefault="00537838" w14:paraId="1DA8F585"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GHG</w:t>
            </w:r>
          </w:p>
        </w:tc>
        <w:tc>
          <w:tcPr>
            <w:tcW w:w="4680" w:type="dxa"/>
          </w:tcPr>
          <w:p w:rsidRPr="00537838" w:rsidR="00537838" w:rsidP="00537838" w:rsidRDefault="00537838" w14:paraId="75DF9F31"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Greenhouse Gas</w:t>
            </w:r>
          </w:p>
        </w:tc>
      </w:tr>
      <w:tr w:rsidRPr="00537838" w:rsidR="00537838" w:rsidTr="00B51462" w14:paraId="3BAC5580" w14:textId="77777777">
        <w:tc>
          <w:tcPr>
            <w:tcW w:w="4670" w:type="dxa"/>
          </w:tcPr>
          <w:p w:rsidRPr="00537838" w:rsidR="00537838" w:rsidP="00537838" w:rsidRDefault="00537838" w14:paraId="3CDC62A9"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Farm Bureau</w:t>
            </w:r>
          </w:p>
        </w:tc>
        <w:tc>
          <w:tcPr>
            <w:tcW w:w="4680" w:type="dxa"/>
          </w:tcPr>
          <w:p w:rsidRPr="00537838" w:rsidR="00537838" w:rsidP="00537838" w:rsidRDefault="00537838" w14:paraId="6DC1B792"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California Farm Bureau Federation</w:t>
            </w:r>
          </w:p>
        </w:tc>
      </w:tr>
      <w:tr w:rsidRPr="00537838" w:rsidR="00537838" w:rsidTr="00B51462" w14:paraId="5D27B074" w14:textId="77777777">
        <w:tc>
          <w:tcPr>
            <w:tcW w:w="4670" w:type="dxa"/>
          </w:tcPr>
          <w:p w:rsidRPr="00537838" w:rsidR="00537838" w:rsidP="00537838" w:rsidRDefault="00537838" w14:paraId="5D58D3E8"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GHGACMA</w:t>
            </w:r>
          </w:p>
        </w:tc>
        <w:tc>
          <w:tcPr>
            <w:tcW w:w="4680" w:type="dxa"/>
          </w:tcPr>
          <w:p w:rsidRPr="00537838" w:rsidR="00537838" w:rsidP="00537838" w:rsidRDefault="00537838" w14:paraId="33C66544"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GHG Administrative Costs Memorandum Account</w:t>
            </w:r>
          </w:p>
        </w:tc>
      </w:tr>
      <w:tr w:rsidRPr="00537838" w:rsidR="00537838" w:rsidTr="00B51462" w14:paraId="61EB1F4E" w14:textId="77777777">
        <w:tc>
          <w:tcPr>
            <w:tcW w:w="4670" w:type="dxa"/>
          </w:tcPr>
          <w:p w:rsidRPr="00537838" w:rsidR="00537838" w:rsidP="00537838" w:rsidRDefault="00537838" w14:paraId="56A9284F"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GHGCOEMA</w:t>
            </w:r>
          </w:p>
        </w:tc>
        <w:tc>
          <w:tcPr>
            <w:tcW w:w="4680" w:type="dxa"/>
          </w:tcPr>
          <w:p w:rsidRPr="00537838" w:rsidR="00537838" w:rsidP="00537838" w:rsidRDefault="00537838" w14:paraId="327C3432"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GHG Customer Outreach and Education Memorandum Account</w:t>
            </w:r>
          </w:p>
        </w:tc>
      </w:tr>
      <w:tr w:rsidRPr="00537838" w:rsidR="00537838" w:rsidTr="00B51462" w14:paraId="184D31F6" w14:textId="77777777">
        <w:tc>
          <w:tcPr>
            <w:tcW w:w="4670" w:type="dxa"/>
          </w:tcPr>
          <w:p w:rsidRPr="00537838" w:rsidR="00537838" w:rsidP="00537838" w:rsidRDefault="00537838" w14:paraId="141CD592"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GHGRBA</w:t>
            </w:r>
          </w:p>
        </w:tc>
        <w:tc>
          <w:tcPr>
            <w:tcW w:w="4680" w:type="dxa"/>
          </w:tcPr>
          <w:p w:rsidRPr="00537838" w:rsidR="00537838" w:rsidP="00537838" w:rsidRDefault="00537838" w14:paraId="3139FA89"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GHG Revenue Balancing Account</w:t>
            </w:r>
          </w:p>
        </w:tc>
      </w:tr>
      <w:tr w:rsidRPr="00537838" w:rsidR="00537838" w:rsidTr="00B51462" w14:paraId="2E1C22DD" w14:textId="77777777">
        <w:tc>
          <w:tcPr>
            <w:tcW w:w="4670" w:type="dxa"/>
          </w:tcPr>
          <w:p w:rsidRPr="00537838" w:rsidR="00537838" w:rsidP="00537838" w:rsidRDefault="00537838" w14:paraId="56CCB317" w14:textId="41D72A12">
            <w:pPr>
              <w:autoSpaceDE w:val="0"/>
              <w:autoSpaceDN w:val="0"/>
              <w:adjustRightInd w:val="0"/>
              <w:spacing w:line="240" w:lineRule="auto"/>
              <w:ind w:firstLine="0"/>
              <w:rPr>
                <w:rFonts w:eastAsiaTheme="minorHAnsi" w:cstheme="minorBidi"/>
              </w:rPr>
            </w:pPr>
            <w:r w:rsidRPr="00537838">
              <w:rPr>
                <w:rFonts w:eastAsiaTheme="minorHAnsi" w:cstheme="minorBidi"/>
              </w:rPr>
              <w:t>GTSR</w:t>
            </w:r>
          </w:p>
        </w:tc>
        <w:tc>
          <w:tcPr>
            <w:tcW w:w="4680" w:type="dxa"/>
          </w:tcPr>
          <w:p w:rsidRPr="00537838" w:rsidR="00537838" w:rsidP="00537838" w:rsidRDefault="00537838" w14:paraId="05FF4C3B"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Green Tariff Shared Renewables</w:t>
            </w:r>
          </w:p>
        </w:tc>
      </w:tr>
      <w:tr w:rsidRPr="00537838" w:rsidR="00537838" w:rsidTr="00B51462" w14:paraId="07121B35" w14:textId="77777777">
        <w:tc>
          <w:tcPr>
            <w:tcW w:w="4670" w:type="dxa"/>
          </w:tcPr>
          <w:p w:rsidRPr="00537838" w:rsidR="00537838" w:rsidP="00537838" w:rsidRDefault="00537838" w14:paraId="0872514E"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GTSRBA</w:t>
            </w:r>
          </w:p>
        </w:tc>
        <w:tc>
          <w:tcPr>
            <w:tcW w:w="4680" w:type="dxa"/>
          </w:tcPr>
          <w:p w:rsidRPr="00537838" w:rsidR="00537838" w:rsidP="00537838" w:rsidRDefault="00537838" w14:paraId="24A5C8B9" w14:textId="4F5033D7">
            <w:pPr>
              <w:autoSpaceDE w:val="0"/>
              <w:autoSpaceDN w:val="0"/>
              <w:adjustRightInd w:val="0"/>
              <w:spacing w:line="240" w:lineRule="auto"/>
              <w:ind w:firstLine="0"/>
              <w:rPr>
                <w:rFonts w:eastAsiaTheme="minorHAnsi" w:cstheme="minorBidi"/>
              </w:rPr>
            </w:pPr>
            <w:r w:rsidRPr="00537838">
              <w:rPr>
                <w:rFonts w:eastAsiaTheme="minorHAnsi" w:cstheme="minorBidi"/>
              </w:rPr>
              <w:t>Green Tariff Shared Renewable</w:t>
            </w:r>
            <w:r w:rsidR="00A820AF">
              <w:rPr>
                <w:rFonts w:eastAsiaTheme="minorHAnsi" w:cstheme="minorBidi"/>
              </w:rPr>
              <w:t>s</w:t>
            </w:r>
            <w:r w:rsidRPr="00537838">
              <w:rPr>
                <w:rFonts w:eastAsiaTheme="minorHAnsi" w:cstheme="minorBidi"/>
              </w:rPr>
              <w:t xml:space="preserve"> Balancing Account</w:t>
            </w:r>
          </w:p>
        </w:tc>
      </w:tr>
      <w:tr w:rsidRPr="00537838" w:rsidR="00537838" w:rsidTr="00B51462" w14:paraId="78DC9CA8" w14:textId="77777777">
        <w:tc>
          <w:tcPr>
            <w:tcW w:w="4670" w:type="dxa"/>
          </w:tcPr>
          <w:p w:rsidRPr="00537838" w:rsidR="00537838" w:rsidP="00537838" w:rsidRDefault="00537838" w14:paraId="5CAA63FE"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IOU</w:t>
            </w:r>
          </w:p>
        </w:tc>
        <w:tc>
          <w:tcPr>
            <w:tcW w:w="4680" w:type="dxa"/>
          </w:tcPr>
          <w:p w:rsidRPr="00537838" w:rsidR="00537838" w:rsidP="00537838" w:rsidRDefault="00537838" w14:paraId="0FCAF9C4"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Investor-Owned Utility</w:t>
            </w:r>
          </w:p>
        </w:tc>
      </w:tr>
      <w:tr w:rsidRPr="00537838" w:rsidR="00537838" w:rsidTr="00B51462" w14:paraId="14634A84" w14:textId="77777777">
        <w:tc>
          <w:tcPr>
            <w:tcW w:w="4670" w:type="dxa"/>
          </w:tcPr>
          <w:p w:rsidRPr="00537838" w:rsidR="00537838" w:rsidP="00537838" w:rsidRDefault="00537838" w14:paraId="4272CBAC"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IOUs</w:t>
            </w:r>
          </w:p>
        </w:tc>
        <w:tc>
          <w:tcPr>
            <w:tcW w:w="4680" w:type="dxa"/>
          </w:tcPr>
          <w:p w:rsidRPr="00537838" w:rsidR="00537838" w:rsidP="00537838" w:rsidRDefault="00537838" w14:paraId="48FC5C07"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Investor-Owned Utilities</w:t>
            </w:r>
          </w:p>
        </w:tc>
      </w:tr>
      <w:tr w:rsidRPr="00537838" w:rsidR="00537838" w:rsidTr="00B51462" w14:paraId="78F38238" w14:textId="77777777">
        <w:tc>
          <w:tcPr>
            <w:tcW w:w="4670" w:type="dxa"/>
          </w:tcPr>
          <w:p w:rsidRPr="00537838" w:rsidR="00537838" w:rsidP="00537838" w:rsidRDefault="00537838" w14:paraId="402E78DA"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Joint CCAs</w:t>
            </w:r>
          </w:p>
        </w:tc>
        <w:tc>
          <w:tcPr>
            <w:tcW w:w="4680" w:type="dxa"/>
          </w:tcPr>
          <w:p w:rsidRPr="00537838" w:rsidR="00537838" w:rsidP="00537838" w:rsidRDefault="00537838" w14:paraId="51DF274C"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Joint Community Choice Aggregators</w:t>
            </w:r>
          </w:p>
        </w:tc>
      </w:tr>
      <w:tr w:rsidRPr="00537838" w:rsidR="00537838" w:rsidTr="00B51462" w14:paraId="45E2A357" w14:textId="77777777">
        <w:tc>
          <w:tcPr>
            <w:tcW w:w="4670" w:type="dxa"/>
          </w:tcPr>
          <w:p w:rsidRPr="00537838" w:rsidR="00537838" w:rsidP="00537838" w:rsidRDefault="00537838" w14:paraId="30D7A8F6" w14:textId="12DEF1DA">
            <w:pPr>
              <w:autoSpaceDE w:val="0"/>
              <w:autoSpaceDN w:val="0"/>
              <w:adjustRightInd w:val="0"/>
              <w:spacing w:line="240" w:lineRule="auto"/>
              <w:ind w:firstLine="0"/>
              <w:rPr>
                <w:rFonts w:eastAsiaTheme="minorHAnsi" w:cstheme="minorBidi"/>
              </w:rPr>
            </w:pPr>
            <w:r w:rsidRPr="00537838">
              <w:rPr>
                <w:rFonts w:eastAsiaTheme="minorHAnsi" w:cstheme="minorBidi"/>
              </w:rPr>
              <w:t>MTCBA</w:t>
            </w:r>
          </w:p>
        </w:tc>
        <w:tc>
          <w:tcPr>
            <w:tcW w:w="4680" w:type="dxa"/>
          </w:tcPr>
          <w:p w:rsidRPr="00537838" w:rsidR="00537838" w:rsidP="00537838" w:rsidRDefault="00537838" w14:paraId="5C79C0B4" w14:textId="33D399BF">
            <w:pPr>
              <w:autoSpaceDE w:val="0"/>
              <w:autoSpaceDN w:val="0"/>
              <w:adjustRightInd w:val="0"/>
              <w:spacing w:line="240" w:lineRule="auto"/>
              <w:ind w:firstLine="0"/>
              <w:rPr>
                <w:rFonts w:eastAsiaTheme="minorHAnsi" w:cstheme="minorBidi"/>
              </w:rPr>
            </w:pPr>
            <w:r w:rsidRPr="00537838">
              <w:rPr>
                <w:rFonts w:eastAsiaTheme="minorHAnsi" w:cstheme="minorBidi"/>
              </w:rPr>
              <w:t>Modified Transition Cost Balancing Account</w:t>
            </w:r>
          </w:p>
        </w:tc>
      </w:tr>
      <w:tr w:rsidRPr="00537838" w:rsidR="00537838" w:rsidTr="00B51462" w14:paraId="19588F5A" w14:textId="77777777">
        <w:tc>
          <w:tcPr>
            <w:tcW w:w="4670" w:type="dxa"/>
          </w:tcPr>
          <w:p w:rsidRPr="00537838" w:rsidR="00537838" w:rsidP="00537838" w:rsidRDefault="00537838" w14:paraId="22A1144D"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MW</w:t>
            </w:r>
          </w:p>
        </w:tc>
        <w:tc>
          <w:tcPr>
            <w:tcW w:w="4680" w:type="dxa"/>
          </w:tcPr>
          <w:p w:rsidRPr="00537838" w:rsidR="00537838" w:rsidP="00537838" w:rsidRDefault="00537838" w14:paraId="1894A3B1"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Megawatt</w:t>
            </w:r>
          </w:p>
        </w:tc>
      </w:tr>
      <w:tr w:rsidRPr="00537838" w:rsidR="00537838" w:rsidTr="00B51462" w14:paraId="76A7BA4A" w14:textId="77777777">
        <w:tc>
          <w:tcPr>
            <w:tcW w:w="4670" w:type="dxa"/>
          </w:tcPr>
          <w:p w:rsidRPr="00537838" w:rsidR="00537838" w:rsidP="00537838" w:rsidRDefault="00537838" w14:paraId="75801F32"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NDA</w:t>
            </w:r>
          </w:p>
        </w:tc>
        <w:tc>
          <w:tcPr>
            <w:tcW w:w="4680" w:type="dxa"/>
          </w:tcPr>
          <w:p w:rsidRPr="00537838" w:rsidR="00537838" w:rsidP="00537838" w:rsidRDefault="00537838" w14:paraId="4F39C783"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Non-Disclosure Agreement</w:t>
            </w:r>
          </w:p>
        </w:tc>
      </w:tr>
      <w:tr w:rsidRPr="00537838" w:rsidR="00537838" w:rsidTr="00B51462" w14:paraId="58D94AE6" w14:textId="77777777">
        <w:tc>
          <w:tcPr>
            <w:tcW w:w="4670" w:type="dxa"/>
          </w:tcPr>
          <w:p w:rsidRPr="00537838" w:rsidR="00537838" w:rsidP="00537838" w:rsidRDefault="00537838" w14:paraId="1BA29096"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NSGC</w:t>
            </w:r>
          </w:p>
        </w:tc>
        <w:tc>
          <w:tcPr>
            <w:tcW w:w="4680" w:type="dxa"/>
          </w:tcPr>
          <w:p w:rsidRPr="00537838" w:rsidR="00537838" w:rsidP="00537838" w:rsidRDefault="00537838" w14:paraId="46918CF4"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New System Generation Charge</w:t>
            </w:r>
          </w:p>
        </w:tc>
      </w:tr>
      <w:tr w:rsidRPr="00537838" w:rsidR="00537838" w:rsidTr="00B51462" w14:paraId="6F732FF7" w14:textId="77777777">
        <w:tc>
          <w:tcPr>
            <w:tcW w:w="4670" w:type="dxa"/>
          </w:tcPr>
          <w:p w:rsidRPr="00537838" w:rsidR="00537838" w:rsidP="00537838" w:rsidRDefault="00537838" w14:paraId="231B46BA"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OP</w:t>
            </w:r>
          </w:p>
        </w:tc>
        <w:tc>
          <w:tcPr>
            <w:tcW w:w="4680" w:type="dxa"/>
          </w:tcPr>
          <w:p w:rsidRPr="00537838" w:rsidR="00537838" w:rsidP="00537838" w:rsidRDefault="00537838" w14:paraId="687519FF"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Ordering Paragraph</w:t>
            </w:r>
          </w:p>
        </w:tc>
      </w:tr>
      <w:tr w:rsidRPr="00537838" w:rsidR="00537838" w:rsidTr="00B51462" w14:paraId="6203E31C" w14:textId="77777777">
        <w:tc>
          <w:tcPr>
            <w:tcW w:w="4670" w:type="dxa"/>
          </w:tcPr>
          <w:p w:rsidRPr="00537838" w:rsidR="00537838" w:rsidP="00537838" w:rsidRDefault="00537838" w14:paraId="3103F8E3"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PABA</w:t>
            </w:r>
          </w:p>
        </w:tc>
        <w:tc>
          <w:tcPr>
            <w:tcW w:w="4680" w:type="dxa"/>
          </w:tcPr>
          <w:p w:rsidRPr="00537838" w:rsidR="00537838" w:rsidP="00537838" w:rsidRDefault="00537838" w14:paraId="006FF483"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Portfolio Allocation Balancing Account</w:t>
            </w:r>
          </w:p>
        </w:tc>
      </w:tr>
      <w:tr w:rsidRPr="00537838" w:rsidR="00537838" w:rsidTr="00B51462" w14:paraId="01C9F51C" w14:textId="77777777">
        <w:tc>
          <w:tcPr>
            <w:tcW w:w="4670" w:type="dxa"/>
          </w:tcPr>
          <w:p w:rsidRPr="00537838" w:rsidR="00537838" w:rsidP="00537838" w:rsidRDefault="00537838" w14:paraId="536746BB"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PCIA</w:t>
            </w:r>
          </w:p>
        </w:tc>
        <w:tc>
          <w:tcPr>
            <w:tcW w:w="4680" w:type="dxa"/>
          </w:tcPr>
          <w:p w:rsidRPr="00537838" w:rsidR="00537838" w:rsidP="00537838" w:rsidRDefault="00537838" w14:paraId="3C11612E" w14:textId="77777777">
            <w:pPr>
              <w:autoSpaceDE w:val="0"/>
              <w:autoSpaceDN w:val="0"/>
              <w:adjustRightInd w:val="0"/>
              <w:spacing w:line="240" w:lineRule="auto"/>
              <w:ind w:firstLine="0"/>
              <w:rPr>
                <w:rFonts w:eastAsiaTheme="minorHAnsi" w:cstheme="minorBidi"/>
              </w:rPr>
            </w:pPr>
            <w:bookmarkStart w:name="_Hlk95212966" w:id="103"/>
            <w:r w:rsidRPr="00537838">
              <w:rPr>
                <w:rFonts w:eastAsiaTheme="minorHAnsi" w:cstheme="minorBidi"/>
              </w:rPr>
              <w:t>Power Charge Indifference Adjustment</w:t>
            </w:r>
            <w:bookmarkEnd w:id="103"/>
          </w:p>
        </w:tc>
      </w:tr>
      <w:tr w:rsidRPr="00537838" w:rsidR="00537838" w:rsidTr="00B51462" w14:paraId="013972EC" w14:textId="77777777">
        <w:tc>
          <w:tcPr>
            <w:tcW w:w="4670" w:type="dxa"/>
          </w:tcPr>
          <w:p w:rsidRPr="00537838" w:rsidR="00537838" w:rsidP="00537838" w:rsidRDefault="00537838" w14:paraId="3BCCED04"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PFM</w:t>
            </w:r>
          </w:p>
        </w:tc>
        <w:tc>
          <w:tcPr>
            <w:tcW w:w="4680" w:type="dxa"/>
          </w:tcPr>
          <w:p w:rsidRPr="00537838" w:rsidR="00537838" w:rsidP="00537838" w:rsidRDefault="00537838" w14:paraId="3FAD94FD"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Petition For Modification</w:t>
            </w:r>
          </w:p>
        </w:tc>
      </w:tr>
      <w:tr w:rsidRPr="00537838" w:rsidR="00537838" w:rsidTr="00B51462" w14:paraId="1CBBD57C" w14:textId="77777777">
        <w:tc>
          <w:tcPr>
            <w:tcW w:w="4670" w:type="dxa"/>
          </w:tcPr>
          <w:p w:rsidRPr="00537838" w:rsidR="00537838" w:rsidP="00537838" w:rsidRDefault="00537838" w14:paraId="13FA8661"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PFS</w:t>
            </w:r>
          </w:p>
        </w:tc>
        <w:tc>
          <w:tcPr>
            <w:tcW w:w="4680" w:type="dxa"/>
          </w:tcPr>
          <w:p w:rsidRPr="00537838" w:rsidR="00537838" w:rsidP="00537838" w:rsidRDefault="00537838" w14:paraId="0D01E506"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PCIA Financing Subaccount</w:t>
            </w:r>
          </w:p>
        </w:tc>
      </w:tr>
      <w:tr w:rsidRPr="00537838" w:rsidR="00537838" w:rsidTr="00B51462" w14:paraId="2136B639" w14:textId="77777777">
        <w:tc>
          <w:tcPr>
            <w:tcW w:w="4670" w:type="dxa"/>
          </w:tcPr>
          <w:p w:rsidRPr="00537838" w:rsidR="00537838" w:rsidP="00537838" w:rsidRDefault="00537838" w14:paraId="6CF9BE03"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PG&amp;E</w:t>
            </w:r>
          </w:p>
        </w:tc>
        <w:tc>
          <w:tcPr>
            <w:tcW w:w="4680" w:type="dxa"/>
          </w:tcPr>
          <w:p w:rsidRPr="00537838" w:rsidR="00537838" w:rsidP="00537838" w:rsidRDefault="00537838" w14:paraId="43FB77FB"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Pacific Gas and Electric Company</w:t>
            </w:r>
          </w:p>
        </w:tc>
      </w:tr>
      <w:tr w:rsidRPr="00537838" w:rsidR="00537838" w:rsidTr="00B51462" w14:paraId="72F6F112" w14:textId="77777777">
        <w:tc>
          <w:tcPr>
            <w:tcW w:w="4670" w:type="dxa"/>
          </w:tcPr>
          <w:p w:rsidRPr="00537838" w:rsidR="00537838" w:rsidP="00537838" w:rsidRDefault="00537838" w14:paraId="4AF95A9C"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PHC</w:t>
            </w:r>
          </w:p>
        </w:tc>
        <w:tc>
          <w:tcPr>
            <w:tcW w:w="4680" w:type="dxa"/>
          </w:tcPr>
          <w:p w:rsidRPr="00537838" w:rsidR="00537838" w:rsidP="00537838" w:rsidRDefault="00537838" w14:paraId="5B15EB76" w14:textId="016A8C41">
            <w:pPr>
              <w:autoSpaceDE w:val="0"/>
              <w:autoSpaceDN w:val="0"/>
              <w:adjustRightInd w:val="0"/>
              <w:spacing w:line="240" w:lineRule="auto"/>
              <w:ind w:firstLine="0"/>
              <w:rPr>
                <w:rFonts w:eastAsiaTheme="minorHAnsi" w:cstheme="minorBidi"/>
              </w:rPr>
            </w:pPr>
            <w:r w:rsidRPr="00537838">
              <w:rPr>
                <w:rFonts w:eastAsiaTheme="minorHAnsi" w:cstheme="minorBidi"/>
              </w:rPr>
              <w:t>Pre</w:t>
            </w:r>
            <w:r w:rsidR="00A74254">
              <w:rPr>
                <w:rFonts w:eastAsiaTheme="minorHAnsi" w:cstheme="minorBidi"/>
              </w:rPr>
              <w:t>h</w:t>
            </w:r>
            <w:r w:rsidRPr="00537838">
              <w:rPr>
                <w:rFonts w:eastAsiaTheme="minorHAnsi" w:cstheme="minorBidi"/>
              </w:rPr>
              <w:t>earing Conference</w:t>
            </w:r>
          </w:p>
        </w:tc>
      </w:tr>
      <w:tr w:rsidRPr="00537838" w:rsidR="00745971" w:rsidTr="00B51462" w14:paraId="052305BB" w14:textId="77777777">
        <w:tc>
          <w:tcPr>
            <w:tcW w:w="4670" w:type="dxa"/>
          </w:tcPr>
          <w:p w:rsidRPr="00537838" w:rsidR="00745971" w:rsidP="00537838" w:rsidRDefault="00745971" w14:paraId="714E2207" w14:textId="5905CE5B">
            <w:pPr>
              <w:autoSpaceDE w:val="0"/>
              <w:autoSpaceDN w:val="0"/>
              <w:adjustRightInd w:val="0"/>
              <w:spacing w:line="240" w:lineRule="auto"/>
              <w:ind w:firstLine="0"/>
            </w:pPr>
            <w:r>
              <w:t>PPCBA</w:t>
            </w:r>
          </w:p>
        </w:tc>
        <w:tc>
          <w:tcPr>
            <w:tcW w:w="4680" w:type="dxa"/>
          </w:tcPr>
          <w:p w:rsidRPr="00537838" w:rsidR="00745971" w:rsidP="00537838" w:rsidRDefault="00745971" w14:paraId="5D7C5057" w14:textId="163B8963">
            <w:pPr>
              <w:autoSpaceDE w:val="0"/>
              <w:autoSpaceDN w:val="0"/>
              <w:adjustRightInd w:val="0"/>
              <w:spacing w:line="240" w:lineRule="auto"/>
              <w:ind w:firstLine="0"/>
            </w:pPr>
            <w:r>
              <w:t xml:space="preserve">Public </w:t>
            </w:r>
            <w:r w:rsidR="00721C8B">
              <w:t xml:space="preserve">Policy </w:t>
            </w:r>
            <w:r>
              <w:t>Charge Balancing Account</w:t>
            </w:r>
          </w:p>
        </w:tc>
      </w:tr>
      <w:tr w:rsidRPr="00537838" w:rsidR="00537838" w:rsidTr="00B51462" w14:paraId="0C7A335B" w14:textId="77777777">
        <w:tc>
          <w:tcPr>
            <w:tcW w:w="4670" w:type="dxa"/>
          </w:tcPr>
          <w:p w:rsidRPr="00537838" w:rsidR="00537838" w:rsidP="00537838" w:rsidRDefault="00537838" w14:paraId="068B2C44"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PPP</w:t>
            </w:r>
          </w:p>
        </w:tc>
        <w:tc>
          <w:tcPr>
            <w:tcW w:w="4680" w:type="dxa"/>
          </w:tcPr>
          <w:p w:rsidRPr="00537838" w:rsidR="00537838" w:rsidP="00537838" w:rsidRDefault="00537838" w14:paraId="242DCF66"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Public Purpose Program</w:t>
            </w:r>
          </w:p>
        </w:tc>
      </w:tr>
      <w:tr w:rsidRPr="00537838" w:rsidR="00537838" w:rsidTr="00B51462" w14:paraId="3EFE6399" w14:textId="77777777">
        <w:tc>
          <w:tcPr>
            <w:tcW w:w="4670" w:type="dxa"/>
          </w:tcPr>
          <w:p w:rsidRPr="00537838" w:rsidR="00537838" w:rsidP="00537838" w:rsidRDefault="00537838" w14:paraId="4710DF7B"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PUBA</w:t>
            </w:r>
          </w:p>
        </w:tc>
        <w:tc>
          <w:tcPr>
            <w:tcW w:w="4680" w:type="dxa"/>
          </w:tcPr>
          <w:p w:rsidRPr="00537838" w:rsidR="00537838" w:rsidP="00537838" w:rsidRDefault="00537838" w14:paraId="6D5A5F14"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 xml:space="preserve">PCIA </w:t>
            </w:r>
            <w:proofErr w:type="spellStart"/>
            <w:r w:rsidRPr="00537838">
              <w:rPr>
                <w:rFonts w:eastAsiaTheme="minorHAnsi" w:cstheme="minorBidi"/>
              </w:rPr>
              <w:t>Undercollection</w:t>
            </w:r>
            <w:proofErr w:type="spellEnd"/>
            <w:r w:rsidRPr="00537838">
              <w:rPr>
                <w:rFonts w:eastAsiaTheme="minorHAnsi" w:cstheme="minorBidi"/>
              </w:rPr>
              <w:t xml:space="preserve"> Balancing Account</w:t>
            </w:r>
          </w:p>
        </w:tc>
      </w:tr>
      <w:tr w:rsidRPr="00537838" w:rsidR="00537838" w:rsidTr="00B51462" w14:paraId="2F70DE4C" w14:textId="77777777">
        <w:tc>
          <w:tcPr>
            <w:tcW w:w="4670" w:type="dxa"/>
          </w:tcPr>
          <w:p w:rsidRPr="00537838" w:rsidR="00537838" w:rsidP="00537838" w:rsidRDefault="00537838" w14:paraId="403FBCA0"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PURPA</w:t>
            </w:r>
          </w:p>
        </w:tc>
        <w:tc>
          <w:tcPr>
            <w:tcW w:w="4680" w:type="dxa"/>
          </w:tcPr>
          <w:p w:rsidRPr="00537838" w:rsidR="00537838" w:rsidP="00537838" w:rsidRDefault="00537838" w14:paraId="68340A02" w14:textId="390C6F00">
            <w:pPr>
              <w:autoSpaceDE w:val="0"/>
              <w:autoSpaceDN w:val="0"/>
              <w:adjustRightInd w:val="0"/>
              <w:spacing w:line="240" w:lineRule="auto"/>
              <w:ind w:firstLine="0"/>
              <w:rPr>
                <w:rFonts w:eastAsiaTheme="minorHAnsi" w:cstheme="minorBidi"/>
              </w:rPr>
            </w:pPr>
            <w:r w:rsidRPr="00537838">
              <w:rPr>
                <w:rFonts w:eastAsiaTheme="minorHAnsi" w:cstheme="minorBidi"/>
              </w:rPr>
              <w:t>Public Utility Regulatory Polic</w:t>
            </w:r>
            <w:r w:rsidR="00793386">
              <w:rPr>
                <w:rFonts w:eastAsiaTheme="minorHAnsi" w:cstheme="minorBidi"/>
              </w:rPr>
              <w:t>ies</w:t>
            </w:r>
            <w:r w:rsidRPr="00537838">
              <w:rPr>
                <w:rFonts w:eastAsiaTheme="minorHAnsi" w:cstheme="minorBidi"/>
              </w:rPr>
              <w:t xml:space="preserve"> Act</w:t>
            </w:r>
          </w:p>
        </w:tc>
      </w:tr>
      <w:tr w:rsidRPr="00537838" w:rsidR="00537838" w:rsidTr="00B51462" w14:paraId="3808493C" w14:textId="77777777">
        <w:tc>
          <w:tcPr>
            <w:tcW w:w="4670" w:type="dxa"/>
          </w:tcPr>
          <w:p w:rsidRPr="00537838" w:rsidR="00537838" w:rsidP="00537838" w:rsidRDefault="00537838" w14:paraId="180CCED9"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Pub. Util.</w:t>
            </w:r>
          </w:p>
        </w:tc>
        <w:tc>
          <w:tcPr>
            <w:tcW w:w="4680" w:type="dxa"/>
          </w:tcPr>
          <w:p w:rsidRPr="00537838" w:rsidR="00537838" w:rsidP="00537838" w:rsidRDefault="00537838" w14:paraId="3E680804"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Public Utilities</w:t>
            </w:r>
          </w:p>
        </w:tc>
      </w:tr>
      <w:tr w:rsidRPr="00537838" w:rsidR="00537838" w:rsidTr="00B51462" w14:paraId="1DA31B33" w14:textId="77777777">
        <w:tc>
          <w:tcPr>
            <w:tcW w:w="4670" w:type="dxa"/>
          </w:tcPr>
          <w:p w:rsidRPr="00537838" w:rsidR="00537838" w:rsidP="00537838" w:rsidRDefault="00537838" w14:paraId="30EE5D16"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QF</w:t>
            </w:r>
          </w:p>
        </w:tc>
        <w:tc>
          <w:tcPr>
            <w:tcW w:w="4680" w:type="dxa"/>
          </w:tcPr>
          <w:p w:rsidRPr="00537838" w:rsidR="00537838" w:rsidP="00537838" w:rsidRDefault="00537838" w14:paraId="4375EA1C"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Qualifying Facility</w:t>
            </w:r>
          </w:p>
        </w:tc>
      </w:tr>
      <w:tr w:rsidRPr="00537838" w:rsidR="00537838" w:rsidTr="00B51462" w14:paraId="423EFD59" w14:textId="77777777">
        <w:tc>
          <w:tcPr>
            <w:tcW w:w="4670" w:type="dxa"/>
          </w:tcPr>
          <w:p w:rsidRPr="00537838" w:rsidR="00537838" w:rsidP="00537838" w:rsidRDefault="00537838" w14:paraId="15574401"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R.</w:t>
            </w:r>
          </w:p>
        </w:tc>
        <w:tc>
          <w:tcPr>
            <w:tcW w:w="4680" w:type="dxa"/>
          </w:tcPr>
          <w:p w:rsidRPr="00537838" w:rsidR="00537838" w:rsidP="00537838" w:rsidRDefault="00537838" w14:paraId="4FD890FC"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Rulemaking</w:t>
            </w:r>
          </w:p>
        </w:tc>
      </w:tr>
      <w:tr w:rsidRPr="00537838" w:rsidR="00537838" w:rsidTr="00B51462" w14:paraId="55F4F1B9" w14:textId="77777777">
        <w:tc>
          <w:tcPr>
            <w:tcW w:w="4670" w:type="dxa"/>
          </w:tcPr>
          <w:p w:rsidRPr="00537838" w:rsidR="00537838" w:rsidP="00537838" w:rsidRDefault="00537838" w14:paraId="058A0518"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RA</w:t>
            </w:r>
          </w:p>
        </w:tc>
        <w:tc>
          <w:tcPr>
            <w:tcW w:w="4680" w:type="dxa"/>
          </w:tcPr>
          <w:p w:rsidRPr="00537838" w:rsidR="00537838" w:rsidP="00537838" w:rsidRDefault="00537838" w14:paraId="1AF22151"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Resource Adequacy</w:t>
            </w:r>
          </w:p>
        </w:tc>
      </w:tr>
      <w:tr w:rsidRPr="00537838" w:rsidR="00537838" w:rsidTr="00B51462" w14:paraId="658B87D0" w14:textId="77777777">
        <w:tc>
          <w:tcPr>
            <w:tcW w:w="4670" w:type="dxa"/>
          </w:tcPr>
          <w:p w:rsidRPr="00537838" w:rsidR="00537838" w:rsidP="00537838" w:rsidRDefault="00537838" w14:paraId="30EA231F"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RF&amp;U</w:t>
            </w:r>
          </w:p>
        </w:tc>
        <w:tc>
          <w:tcPr>
            <w:tcW w:w="4680" w:type="dxa"/>
          </w:tcPr>
          <w:p w:rsidRPr="00537838" w:rsidR="00537838" w:rsidP="00537838" w:rsidRDefault="00537838" w14:paraId="215218BB" w14:textId="6DFA92F3">
            <w:pPr>
              <w:autoSpaceDE w:val="0"/>
              <w:autoSpaceDN w:val="0"/>
              <w:adjustRightInd w:val="0"/>
              <w:spacing w:line="240" w:lineRule="auto"/>
              <w:ind w:firstLine="0"/>
              <w:rPr>
                <w:rFonts w:eastAsiaTheme="minorHAnsi" w:cstheme="minorBidi"/>
              </w:rPr>
            </w:pPr>
            <w:r w:rsidRPr="00537838">
              <w:rPr>
                <w:rFonts w:eastAsiaTheme="minorHAnsi" w:cstheme="minorBidi"/>
              </w:rPr>
              <w:t xml:space="preserve">Revenues, Fees &amp; </w:t>
            </w:r>
            <w:proofErr w:type="spellStart"/>
            <w:r w:rsidRPr="00537838" w:rsidR="00D63752">
              <w:rPr>
                <w:rFonts w:eastAsiaTheme="minorHAnsi" w:cstheme="minorBidi"/>
              </w:rPr>
              <w:t>Uncollect</w:t>
            </w:r>
            <w:r w:rsidR="00D63752">
              <w:rPr>
                <w:rFonts w:eastAsiaTheme="minorHAnsi" w:cstheme="minorBidi"/>
              </w:rPr>
              <w:t>i</w:t>
            </w:r>
            <w:r w:rsidRPr="00537838" w:rsidR="00D63752">
              <w:rPr>
                <w:rFonts w:eastAsiaTheme="minorHAnsi" w:cstheme="minorBidi"/>
              </w:rPr>
              <w:t>bles</w:t>
            </w:r>
            <w:proofErr w:type="spellEnd"/>
          </w:p>
        </w:tc>
      </w:tr>
      <w:tr w:rsidRPr="00537838" w:rsidR="00537838" w:rsidTr="00B51462" w14:paraId="022D2748" w14:textId="77777777">
        <w:tc>
          <w:tcPr>
            <w:tcW w:w="4670" w:type="dxa"/>
          </w:tcPr>
          <w:p w:rsidRPr="00537838" w:rsidR="00537838" w:rsidP="00537838" w:rsidRDefault="00537838" w14:paraId="34E61426"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RTBA-E</w:t>
            </w:r>
          </w:p>
        </w:tc>
        <w:tc>
          <w:tcPr>
            <w:tcW w:w="4680" w:type="dxa"/>
          </w:tcPr>
          <w:p w:rsidRPr="00537838" w:rsidR="00537838" w:rsidP="00537838" w:rsidRDefault="00537838" w14:paraId="799FCA9F"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Electric Risk Transfer Balancing Account</w:t>
            </w:r>
          </w:p>
        </w:tc>
      </w:tr>
      <w:tr w:rsidRPr="00537838" w:rsidR="00537838" w:rsidTr="00B51462" w14:paraId="29A65A94" w14:textId="77777777">
        <w:tc>
          <w:tcPr>
            <w:tcW w:w="4670" w:type="dxa"/>
          </w:tcPr>
          <w:p w:rsidRPr="00537838" w:rsidR="00537838" w:rsidP="00537838" w:rsidRDefault="00537838" w14:paraId="1948AFD4"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RUBA-E</w:t>
            </w:r>
          </w:p>
        </w:tc>
        <w:tc>
          <w:tcPr>
            <w:tcW w:w="4680" w:type="dxa"/>
          </w:tcPr>
          <w:p w:rsidRPr="00537838" w:rsidR="00537838" w:rsidP="00537838" w:rsidRDefault="00537838" w14:paraId="148E141D"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Electric Residential Uncollectible Balancing Account</w:t>
            </w:r>
          </w:p>
        </w:tc>
      </w:tr>
      <w:tr w:rsidRPr="00537838" w:rsidR="00537838" w:rsidTr="00B51462" w14:paraId="7C705065" w14:textId="77777777">
        <w:tc>
          <w:tcPr>
            <w:tcW w:w="4670" w:type="dxa"/>
          </w:tcPr>
          <w:p w:rsidRPr="00537838" w:rsidR="00537838" w:rsidP="00537838" w:rsidRDefault="00537838" w14:paraId="6DEDA286"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SFGO</w:t>
            </w:r>
          </w:p>
        </w:tc>
        <w:tc>
          <w:tcPr>
            <w:tcW w:w="4680" w:type="dxa"/>
          </w:tcPr>
          <w:p w:rsidRPr="00537838" w:rsidR="00537838" w:rsidP="00537838" w:rsidRDefault="00537838" w14:paraId="5080E8D0"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San Francisco General Office</w:t>
            </w:r>
          </w:p>
        </w:tc>
      </w:tr>
      <w:tr w:rsidRPr="00537838" w:rsidR="00537838" w:rsidTr="00B51462" w14:paraId="24AE7E8A" w14:textId="77777777">
        <w:tc>
          <w:tcPr>
            <w:tcW w:w="4670" w:type="dxa"/>
          </w:tcPr>
          <w:p w:rsidRPr="00537838" w:rsidR="00537838" w:rsidP="00537838" w:rsidRDefault="00537838" w14:paraId="7BC934EA"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SOMAH</w:t>
            </w:r>
          </w:p>
        </w:tc>
        <w:tc>
          <w:tcPr>
            <w:tcW w:w="4680" w:type="dxa"/>
          </w:tcPr>
          <w:p w:rsidRPr="00537838" w:rsidR="00537838" w:rsidP="00537838" w:rsidRDefault="00537838" w14:paraId="70FFE985"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Solar on Multifamily Affordable Housing</w:t>
            </w:r>
          </w:p>
        </w:tc>
      </w:tr>
      <w:tr w:rsidRPr="00537838" w:rsidR="00537838" w:rsidTr="00B51462" w14:paraId="1643B651" w14:textId="77777777">
        <w:tc>
          <w:tcPr>
            <w:tcW w:w="4670" w:type="dxa"/>
          </w:tcPr>
          <w:p w:rsidRPr="00537838" w:rsidR="00537838" w:rsidP="00537838" w:rsidRDefault="00537838" w14:paraId="55394B46"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SVA</w:t>
            </w:r>
          </w:p>
        </w:tc>
        <w:tc>
          <w:tcPr>
            <w:tcW w:w="4680" w:type="dxa"/>
          </w:tcPr>
          <w:p w:rsidRPr="00537838" w:rsidR="00537838" w:rsidP="00537838" w:rsidRDefault="00537838" w14:paraId="12099FCA"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Solar Value Adjustment</w:t>
            </w:r>
          </w:p>
        </w:tc>
      </w:tr>
      <w:tr w:rsidRPr="00537838" w:rsidR="00537838" w:rsidTr="00B51462" w14:paraId="628897E4" w14:textId="77777777">
        <w:tc>
          <w:tcPr>
            <w:tcW w:w="4670" w:type="dxa"/>
          </w:tcPr>
          <w:p w:rsidRPr="00537838" w:rsidR="00537838" w:rsidP="00537838" w:rsidRDefault="00537838" w14:paraId="3EB6022A"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The Commission</w:t>
            </w:r>
            <w:r w:rsidRPr="00537838">
              <w:rPr>
                <w:rFonts w:eastAsiaTheme="minorHAnsi" w:cstheme="minorBidi"/>
              </w:rPr>
              <w:tab/>
            </w:r>
          </w:p>
        </w:tc>
        <w:tc>
          <w:tcPr>
            <w:tcW w:w="4680" w:type="dxa"/>
          </w:tcPr>
          <w:p w:rsidRPr="00537838" w:rsidR="00537838" w:rsidP="00537838" w:rsidRDefault="00537838" w14:paraId="677DDCB2"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California Public Utilities Commission</w:t>
            </w:r>
          </w:p>
        </w:tc>
      </w:tr>
      <w:tr w:rsidRPr="00537838" w:rsidR="00537838" w:rsidTr="00B51462" w14:paraId="365F954D" w14:textId="77777777">
        <w:tc>
          <w:tcPr>
            <w:tcW w:w="4670" w:type="dxa"/>
          </w:tcPr>
          <w:p w:rsidRPr="00537838" w:rsidR="00537838" w:rsidP="00537838" w:rsidRDefault="00537838" w14:paraId="2D37F001"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TM</w:t>
            </w:r>
          </w:p>
        </w:tc>
        <w:tc>
          <w:tcPr>
            <w:tcW w:w="4680" w:type="dxa"/>
          </w:tcPr>
          <w:p w:rsidRPr="00537838" w:rsidR="00537838" w:rsidP="00537838" w:rsidRDefault="00537838" w14:paraId="55FF1899"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Tree Mortality</w:t>
            </w:r>
          </w:p>
        </w:tc>
      </w:tr>
      <w:tr w:rsidRPr="00537838" w:rsidR="00537838" w:rsidTr="00B51462" w14:paraId="5AA693EA" w14:textId="77777777">
        <w:tc>
          <w:tcPr>
            <w:tcW w:w="4670" w:type="dxa"/>
          </w:tcPr>
          <w:p w:rsidRPr="00537838" w:rsidR="00537838" w:rsidP="00537838" w:rsidRDefault="00537838" w14:paraId="0BEF7E26"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TM NBC</w:t>
            </w:r>
          </w:p>
        </w:tc>
        <w:tc>
          <w:tcPr>
            <w:tcW w:w="4680" w:type="dxa"/>
          </w:tcPr>
          <w:p w:rsidRPr="00537838" w:rsidR="00537838" w:rsidP="00537838" w:rsidRDefault="00537838" w14:paraId="7DC71CBE"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Tree Mortality Non-</w:t>
            </w:r>
            <w:proofErr w:type="spellStart"/>
            <w:r w:rsidRPr="00537838">
              <w:rPr>
                <w:rFonts w:eastAsiaTheme="minorHAnsi" w:cstheme="minorBidi"/>
              </w:rPr>
              <w:t>Bypassable</w:t>
            </w:r>
            <w:proofErr w:type="spellEnd"/>
            <w:r w:rsidRPr="00537838">
              <w:rPr>
                <w:rFonts w:eastAsiaTheme="minorHAnsi" w:cstheme="minorBidi"/>
              </w:rPr>
              <w:t xml:space="preserve"> Charge Balancing Account</w:t>
            </w:r>
          </w:p>
        </w:tc>
      </w:tr>
      <w:tr w:rsidRPr="00537838" w:rsidR="00537838" w:rsidTr="00B51462" w14:paraId="397566E5" w14:textId="77777777">
        <w:tc>
          <w:tcPr>
            <w:tcW w:w="4670" w:type="dxa"/>
          </w:tcPr>
          <w:p w:rsidRPr="00537838" w:rsidR="00537838" w:rsidP="00537838" w:rsidRDefault="00537838" w14:paraId="4385719E"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TOD</w:t>
            </w:r>
          </w:p>
        </w:tc>
        <w:tc>
          <w:tcPr>
            <w:tcW w:w="4680" w:type="dxa"/>
          </w:tcPr>
          <w:p w:rsidRPr="00537838" w:rsidR="00537838" w:rsidP="00537838" w:rsidRDefault="00537838" w14:paraId="71648CAB" w14:textId="35C3F05B">
            <w:pPr>
              <w:autoSpaceDE w:val="0"/>
              <w:autoSpaceDN w:val="0"/>
              <w:adjustRightInd w:val="0"/>
              <w:spacing w:line="240" w:lineRule="auto"/>
              <w:ind w:firstLine="0"/>
              <w:rPr>
                <w:rFonts w:eastAsiaTheme="minorHAnsi" w:cstheme="minorBidi"/>
              </w:rPr>
            </w:pPr>
            <w:r w:rsidRPr="00537838">
              <w:rPr>
                <w:rFonts w:eastAsiaTheme="minorHAnsi" w:cstheme="minorBidi"/>
              </w:rPr>
              <w:t>Time</w:t>
            </w:r>
            <w:r w:rsidR="00FF326A">
              <w:rPr>
                <w:rFonts w:eastAsiaTheme="minorHAnsi" w:cstheme="minorBidi"/>
              </w:rPr>
              <w:t>-</w:t>
            </w:r>
            <w:r w:rsidRPr="00537838">
              <w:rPr>
                <w:rFonts w:eastAsiaTheme="minorHAnsi" w:cstheme="minorBidi"/>
              </w:rPr>
              <w:t>of</w:t>
            </w:r>
            <w:r w:rsidR="00FF326A">
              <w:rPr>
                <w:rFonts w:eastAsiaTheme="minorHAnsi" w:cstheme="minorBidi"/>
              </w:rPr>
              <w:t>-</w:t>
            </w:r>
            <w:r w:rsidRPr="00537838">
              <w:rPr>
                <w:rFonts w:eastAsiaTheme="minorHAnsi" w:cstheme="minorBidi"/>
              </w:rPr>
              <w:t>Delivery</w:t>
            </w:r>
          </w:p>
        </w:tc>
      </w:tr>
      <w:tr w:rsidRPr="00537838" w:rsidR="00537838" w:rsidTr="00B51462" w14:paraId="3FA63315" w14:textId="77777777">
        <w:tc>
          <w:tcPr>
            <w:tcW w:w="4670" w:type="dxa"/>
          </w:tcPr>
          <w:p w:rsidRPr="00537838" w:rsidR="00537838" w:rsidP="00537838" w:rsidRDefault="00537838" w14:paraId="65BFE821"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UOG</w:t>
            </w:r>
          </w:p>
        </w:tc>
        <w:tc>
          <w:tcPr>
            <w:tcW w:w="4680" w:type="dxa"/>
          </w:tcPr>
          <w:p w:rsidRPr="00537838" w:rsidR="00537838" w:rsidP="00537838" w:rsidRDefault="00537838" w14:paraId="0E3919FA"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Utility Owned Generation</w:t>
            </w:r>
          </w:p>
        </w:tc>
      </w:tr>
      <w:tr w:rsidRPr="00537838" w:rsidR="00537838" w:rsidTr="00B51462" w14:paraId="17ECC709" w14:textId="77777777">
        <w:tc>
          <w:tcPr>
            <w:tcW w:w="4670" w:type="dxa"/>
          </w:tcPr>
          <w:p w:rsidRPr="00537838" w:rsidR="00537838" w:rsidP="00537838" w:rsidRDefault="00537838" w14:paraId="66028D5C" w14:textId="3BD9DEF0">
            <w:pPr>
              <w:autoSpaceDE w:val="0"/>
              <w:autoSpaceDN w:val="0"/>
              <w:adjustRightInd w:val="0"/>
              <w:spacing w:line="240" w:lineRule="auto"/>
              <w:ind w:firstLine="0"/>
              <w:rPr>
                <w:rFonts w:eastAsiaTheme="minorHAnsi" w:cstheme="minorBidi"/>
              </w:rPr>
            </w:pPr>
            <w:r w:rsidRPr="00537838">
              <w:rPr>
                <w:rFonts w:eastAsiaTheme="minorHAnsi" w:cstheme="minorBidi"/>
              </w:rPr>
              <w:t>WEM</w:t>
            </w:r>
            <w:r w:rsidR="00901412">
              <w:rPr>
                <w:rFonts w:eastAsiaTheme="minorHAnsi" w:cstheme="minorBidi"/>
              </w:rPr>
              <w:t>A</w:t>
            </w:r>
            <w:r w:rsidRPr="00537838">
              <w:rPr>
                <w:rFonts w:eastAsiaTheme="minorHAnsi" w:cstheme="minorBidi"/>
              </w:rPr>
              <w:tab/>
            </w:r>
          </w:p>
        </w:tc>
        <w:tc>
          <w:tcPr>
            <w:tcW w:w="4680" w:type="dxa"/>
          </w:tcPr>
          <w:p w:rsidRPr="00537838" w:rsidR="00537838" w:rsidP="00537838" w:rsidRDefault="00537838" w14:paraId="0AF5EF5F" w14:textId="77777777">
            <w:pPr>
              <w:autoSpaceDE w:val="0"/>
              <w:autoSpaceDN w:val="0"/>
              <w:adjustRightInd w:val="0"/>
              <w:spacing w:line="240" w:lineRule="auto"/>
              <w:ind w:firstLine="0"/>
              <w:rPr>
                <w:rFonts w:eastAsiaTheme="minorHAnsi" w:cstheme="minorBidi"/>
              </w:rPr>
            </w:pPr>
            <w:r w:rsidRPr="00537838">
              <w:rPr>
                <w:rFonts w:eastAsiaTheme="minorHAnsi" w:cstheme="minorBidi"/>
              </w:rPr>
              <w:t>Wildfire Expense Memorandum Account</w:t>
            </w:r>
          </w:p>
        </w:tc>
      </w:tr>
    </w:tbl>
    <w:p w:rsidRPr="00537838" w:rsidR="00537838" w:rsidP="00537838" w:rsidRDefault="00537838" w14:paraId="719C6E98" w14:textId="77777777">
      <w:pPr>
        <w:autoSpaceDE w:val="0"/>
        <w:autoSpaceDN w:val="0"/>
        <w:adjustRightInd w:val="0"/>
        <w:spacing w:line="240" w:lineRule="auto"/>
        <w:ind w:firstLine="0"/>
      </w:pPr>
    </w:p>
    <w:p w:rsidR="00044FEE" w:rsidP="00537838" w:rsidRDefault="00537838" w14:paraId="5E8261F1" w14:textId="322EF0B4">
      <w:pPr>
        <w:jc w:val="center"/>
        <w:rPr>
          <w:b/>
          <w:bCs/>
        </w:rPr>
      </w:pPr>
      <w:r w:rsidRPr="00A74254">
        <w:rPr>
          <w:b/>
          <w:bCs/>
        </w:rPr>
        <w:t>Definition of Terms</w:t>
      </w:r>
    </w:p>
    <w:p w:rsidRPr="00A74254" w:rsidR="00A74254" w:rsidP="00A74254" w:rsidRDefault="00A74254" w14:paraId="4DD505B4" w14:textId="77777777">
      <w:pPr>
        <w:spacing w:line="240" w:lineRule="auto"/>
        <w:jc w:val="center"/>
        <w:rPr>
          <w:b/>
          <w:bCs/>
        </w:rPr>
      </w:pPr>
    </w:p>
    <w:p w:rsidRPr="00537838" w:rsidR="00537838" w:rsidP="00537838" w:rsidRDefault="00537838" w14:paraId="3547FF4C" w14:textId="77777777">
      <w:pPr>
        <w:spacing w:after="160" w:line="259" w:lineRule="auto"/>
        <w:ind w:firstLine="0"/>
      </w:pPr>
      <w:r w:rsidRPr="00537838">
        <w:t xml:space="preserve">The October Update – updated testimony reflecting accounting close balances and market information as of September 30, 2021.  </w:t>
      </w:r>
    </w:p>
    <w:p w:rsidRPr="00537838" w:rsidR="00537838" w:rsidP="00537838" w:rsidRDefault="00537838" w14:paraId="2619E8D8" w14:textId="77777777">
      <w:pPr>
        <w:spacing w:after="160" w:line="259" w:lineRule="auto"/>
        <w:ind w:firstLine="0"/>
      </w:pPr>
      <w:r w:rsidRPr="00537838">
        <w:t xml:space="preserve">The November Update – updated testimony reflecting accounting close balances and market information as of October 30, 2021.  </w:t>
      </w:r>
    </w:p>
    <w:p w:rsidRPr="00537838" w:rsidR="00537838" w:rsidP="00537838" w:rsidRDefault="00537838" w14:paraId="4B065EF7" w14:textId="77777777">
      <w:pPr>
        <w:spacing w:after="160" w:line="259" w:lineRule="auto"/>
        <w:ind w:firstLine="0"/>
      </w:pPr>
      <w:r w:rsidRPr="00537838">
        <w:t xml:space="preserve">The December Update – updated testimony reflecting accounting close balances as of November 30, 2021 and the most recent market value at that time.  </w:t>
      </w:r>
    </w:p>
    <w:p w:rsidRPr="00537838" w:rsidR="00537838" w:rsidP="00537838" w:rsidRDefault="00537838" w14:paraId="4E7601EC" w14:textId="77777777">
      <w:pPr>
        <w:spacing w:after="160" w:line="259" w:lineRule="auto"/>
        <w:ind w:firstLine="0"/>
      </w:pPr>
    </w:p>
    <w:p w:rsidR="00E91FC2" w:rsidP="00A74254" w:rsidRDefault="00A74254" w14:paraId="441388A0" w14:textId="51DD4F10">
      <w:pPr>
        <w:jc w:val="center"/>
      </w:pPr>
      <w:r>
        <w:t>(End of Appendix A)</w:t>
      </w:r>
    </w:p>
    <w:sectPr w:rsidR="00E91FC2" w:rsidSect="00A74254">
      <w:footerReference w:type="default" r:id="rId19"/>
      <w:pgSz w:w="12240" w:h="15840"/>
      <w:pgMar w:top="1728"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209B6" w14:textId="77777777" w:rsidR="00FE0A37" w:rsidRDefault="00FE0A37" w:rsidP="0098138E">
      <w:pPr>
        <w:spacing w:line="240" w:lineRule="auto"/>
      </w:pPr>
      <w:r>
        <w:separator/>
      </w:r>
    </w:p>
  </w:endnote>
  <w:endnote w:type="continuationSeparator" w:id="0">
    <w:p w14:paraId="6B6D021B" w14:textId="77777777" w:rsidR="00FE0A37" w:rsidRDefault="00FE0A37" w:rsidP="0098138E">
      <w:pPr>
        <w:spacing w:line="240" w:lineRule="auto"/>
      </w:pPr>
      <w:r>
        <w:continuationSeparator/>
      </w:r>
    </w:p>
  </w:endnote>
  <w:endnote w:type="continuationNotice" w:id="1">
    <w:p w14:paraId="4953900C" w14:textId="77777777" w:rsidR="00FE0A37" w:rsidRDefault="00FE0A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Cambri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Yu Gothic Light">
    <w:altName w:val="?a?S?V?b?N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ookAntiqua">
    <w:altName w:val="Calibri"/>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BookAntiqua-Bold2">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93B90" w14:textId="77777777" w:rsidR="00F92385" w:rsidRDefault="00F92385" w:rsidP="007E0FEE">
    <w:pPr>
      <w:ind w:firstLine="0"/>
      <w:jc w:val="center"/>
    </w:pPr>
    <w:r>
      <w:t>-</w:t>
    </w:r>
    <w:sdt>
      <w:sdtPr>
        <w:rPr>
          <w:color w:val="2B579A"/>
          <w:shd w:val="clear" w:color="auto" w:fill="E6E6E6"/>
        </w:rPr>
        <w:id w:val="-1472208903"/>
        <w:docPartObj>
          <w:docPartGallery w:val="Page Numbers (Bottom of Page)"/>
          <w:docPartUnique/>
        </w:docPartObj>
      </w:sdtPr>
      <w:sdtEndPr>
        <w:rPr>
          <w:noProof/>
          <w:color w:val="auto"/>
          <w:shd w:val="clear" w:color="auto" w:fill="auto"/>
        </w:rPr>
      </w:sdtEndPr>
      <w:sdtContent>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r>
          <w:rPr>
            <w:noProof/>
          </w:rPr>
          <w: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C0CAF" w14:textId="0F331665" w:rsidR="00632207" w:rsidRDefault="00FE0A37" w:rsidP="007E0FEE">
    <w:pPr>
      <w:tabs>
        <w:tab w:val="center" w:pos="4680"/>
      </w:tabs>
      <w:ind w:firstLine="0"/>
      <w:rPr>
        <w:noProof/>
      </w:rPr>
    </w:pPr>
    <w:sdt>
      <w:sdtPr>
        <w:id w:val="-1352874971"/>
        <w:docPartObj>
          <w:docPartGallery w:val="Page Numbers (Bottom of Page)"/>
          <w:docPartUnique/>
        </w:docPartObj>
      </w:sdtPr>
      <w:sdtEndPr>
        <w:rPr>
          <w:noProof/>
        </w:rPr>
      </w:sdtEndPr>
      <w:sdtContent>
        <w:r w:rsidR="000F78FF" w:rsidRPr="000F78FF">
          <w:rPr>
            <w:rFonts w:ascii="Arial" w:hAnsi="Arial" w:cs="Arial"/>
            <w:sz w:val="16"/>
            <w:szCs w:val="16"/>
          </w:rPr>
          <w:t>450219273</w:t>
        </w:r>
        <w:r w:rsidR="00632207">
          <w:rPr>
            <w:rFonts w:ascii="Arial" w:hAnsi="Arial" w:cs="Arial"/>
            <w:sz w:val="16"/>
            <w:szCs w:val="16"/>
          </w:rPr>
          <w:tab/>
        </w:r>
        <w:r w:rsidR="00F92385">
          <w:t>-</w:t>
        </w:r>
        <w:r w:rsidR="00EE4315">
          <w:t xml:space="preserve"> </w:t>
        </w:r>
        <w:r w:rsidR="0055722F">
          <w:t>1</w:t>
        </w:r>
      </w:sdtContent>
    </w:sdt>
    <w:r w:rsidR="00EE4315">
      <w:rPr>
        <w:noProof/>
      </w:rPr>
      <w:t xml:space="preserve"> </w:t>
    </w:r>
    <w:r w:rsidR="00F92385">
      <w:rPr>
        <w:noProof/>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F43A7" w14:textId="77777777" w:rsidR="00E23CBB" w:rsidRDefault="00E23CBB" w:rsidP="007E0FEE">
    <w:pPr>
      <w:ind w:firstLine="0"/>
      <w:jc w:val="center"/>
    </w:pPr>
    <w:r>
      <w:t>-</w:t>
    </w:r>
    <w:r w:rsidR="00EE4315">
      <w:t xml:space="preserve"> </w:t>
    </w:r>
    <w:sdt>
      <w:sdtPr>
        <w:rPr>
          <w:color w:val="2B579A"/>
          <w:shd w:val="clear" w:color="auto" w:fill="E6E6E6"/>
        </w:rPr>
        <w:id w:val="1793169647"/>
        <w:docPartObj>
          <w:docPartGallery w:val="Page Numbers (Bottom of Page)"/>
          <w:docPartUnique/>
        </w:docPartObj>
      </w:sdtPr>
      <w:sdtEndPr>
        <w:rPr>
          <w:noProof/>
          <w:color w:val="auto"/>
          <w:shd w:val="clear" w:color="auto" w:fill="auto"/>
        </w:rPr>
      </w:sdtEndPr>
      <w:sdtContent>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r w:rsidR="00EE4315">
          <w:rPr>
            <w:noProof/>
          </w:rPr>
          <w:t xml:space="preserve"> </w:t>
        </w:r>
        <w:r>
          <w:rPr>
            <w:noProof/>
          </w:rPr>
          <w:t>-</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4EAF" w14:textId="4783E9B8" w:rsidR="00EE4315" w:rsidRDefault="00EE4315" w:rsidP="007E0FEE">
    <w:pPr>
      <w:ind w:firstLine="0"/>
      <w:jc w:val="center"/>
    </w:pPr>
    <w:r>
      <w:t>-</w:t>
    </w:r>
    <w:r w:rsidRPr="00FC1492">
      <w:t xml:space="preserve"> </w:t>
    </w:r>
    <w:sdt>
      <w:sdtPr>
        <w:id w:val="1935164809"/>
        <w:docPartObj>
          <w:docPartGallery w:val="Page Numbers (Bottom of Page)"/>
          <w:docPartUnique/>
        </w:docPartObj>
      </w:sdtPr>
      <w:sdtEndPr>
        <w:rPr>
          <w:noProof/>
        </w:rPr>
      </w:sdtEndPr>
      <w:sdtContent>
        <w:r w:rsidRPr="00FC1492">
          <w:fldChar w:fldCharType="begin"/>
        </w:r>
        <w:r w:rsidRPr="00FC1492">
          <w:instrText xml:space="preserve"> PAGE   \* MERGEFORMAT </w:instrText>
        </w:r>
        <w:r w:rsidRPr="00FC1492">
          <w:fldChar w:fldCharType="separate"/>
        </w:r>
        <w:r w:rsidRPr="00FC1492">
          <w:rPr>
            <w:noProof/>
          </w:rPr>
          <w:t>2</w:t>
        </w:r>
        <w:r w:rsidRPr="00FC1492">
          <w:fldChar w:fldCharType="end"/>
        </w:r>
        <w:r w:rsidRPr="00FC1492">
          <w:rPr>
            <w:noProof/>
          </w:rPr>
          <w:t xml:space="preserve"> -</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4CFA" w14:textId="77777777" w:rsidR="00A74254" w:rsidRDefault="00A74254" w:rsidP="007E0FEE">
    <w:pPr>
      <w:ind w:firstLine="0"/>
      <w:jc w:val="center"/>
    </w:pPr>
    <w:r>
      <w:t xml:space="preserve">- </w:t>
    </w:r>
    <w:sdt>
      <w:sdtPr>
        <w:rPr>
          <w:color w:val="2B579A"/>
          <w:shd w:val="clear" w:color="auto" w:fill="E6E6E6"/>
        </w:rPr>
        <w:id w:val="1163672907"/>
        <w:docPartObj>
          <w:docPartGallery w:val="Page Numbers (Bottom of Page)"/>
          <w:docPartUnique/>
        </w:docPartObj>
      </w:sdtPr>
      <w:sdtEndPr>
        <w:rPr>
          <w:noProof/>
          <w:color w:val="auto"/>
          <w:shd w:val="clear" w:color="auto" w:fill="auto"/>
        </w:rPr>
      </w:sdtEndPr>
      <w:sdtContent>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r>
          <w:rPr>
            <w:noProof/>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BB43B" w14:textId="77777777" w:rsidR="00FE0A37" w:rsidRDefault="00FE0A37" w:rsidP="00DF58E7">
      <w:pPr>
        <w:spacing w:line="240" w:lineRule="auto"/>
        <w:ind w:firstLine="0"/>
      </w:pPr>
      <w:r>
        <w:separator/>
      </w:r>
    </w:p>
  </w:footnote>
  <w:footnote w:type="continuationSeparator" w:id="0">
    <w:p w14:paraId="42D8399E" w14:textId="77777777" w:rsidR="00FE0A37" w:rsidRDefault="00FE0A37" w:rsidP="00DF58E7">
      <w:pPr>
        <w:spacing w:line="240" w:lineRule="auto"/>
        <w:ind w:firstLine="0"/>
      </w:pPr>
      <w:r>
        <w:continuationSeparator/>
      </w:r>
    </w:p>
  </w:footnote>
  <w:footnote w:type="continuationNotice" w:id="1">
    <w:p w14:paraId="0533C4E2" w14:textId="77777777" w:rsidR="00FE0A37" w:rsidRPr="00DF58E7" w:rsidRDefault="00FE0A37" w:rsidP="00DF58E7">
      <w:pPr>
        <w:spacing w:line="240" w:lineRule="auto"/>
        <w:ind w:firstLine="0"/>
        <w:jc w:val="right"/>
        <w:rPr>
          <w:i/>
          <w:sz w:val="22"/>
        </w:rPr>
      </w:pPr>
      <w:r w:rsidRPr="00DF58E7">
        <w:rPr>
          <w:i/>
          <w:sz w:val="22"/>
        </w:rPr>
        <w:t>Footnote continued on next page.</w:t>
      </w:r>
    </w:p>
  </w:footnote>
  <w:footnote w:id="2">
    <w:p w14:paraId="2730189C" w14:textId="7815B122" w:rsidR="00797913" w:rsidRDefault="00797913" w:rsidP="00797913">
      <w:pPr>
        <w:pStyle w:val="FootnoteText"/>
      </w:pPr>
      <w:r>
        <w:rPr>
          <w:rStyle w:val="FootnoteReference"/>
        </w:rPr>
        <w:footnoteRef/>
      </w:r>
      <w:r>
        <w:t xml:space="preserve"> </w:t>
      </w:r>
      <w:r w:rsidRPr="00332F54">
        <w:rPr>
          <w:szCs w:val="22"/>
        </w:rPr>
        <w:t xml:space="preserve">D.02-10-062 at 47, 50 and </w:t>
      </w:r>
      <w:r w:rsidR="00771DBB">
        <w:rPr>
          <w:szCs w:val="22"/>
        </w:rPr>
        <w:t>Conclusions of Law (</w:t>
      </w:r>
      <w:r w:rsidRPr="00332F54">
        <w:rPr>
          <w:szCs w:val="22"/>
        </w:rPr>
        <w:t>COL</w:t>
      </w:r>
      <w:r w:rsidR="00771DBB">
        <w:rPr>
          <w:szCs w:val="22"/>
        </w:rPr>
        <w:t>)</w:t>
      </w:r>
      <w:r w:rsidRPr="00332F54">
        <w:rPr>
          <w:szCs w:val="22"/>
        </w:rPr>
        <w:t xml:space="preserve"> 7.</w:t>
      </w:r>
    </w:p>
  </w:footnote>
  <w:footnote w:id="3">
    <w:p w14:paraId="7B2CF308" w14:textId="712BDB76" w:rsidR="00797913" w:rsidRPr="00FC1492" w:rsidRDefault="00797913" w:rsidP="00797913">
      <w:pPr>
        <w:pStyle w:val="FootnoteText"/>
      </w:pPr>
      <w:r>
        <w:rPr>
          <w:rStyle w:val="FootnoteReference"/>
        </w:rPr>
        <w:footnoteRef/>
      </w:r>
      <w:r>
        <w:t xml:space="preserve"> </w:t>
      </w:r>
      <w:r w:rsidR="000208A9">
        <w:t xml:space="preserve">D.12-12-033 directed </w:t>
      </w:r>
      <w:r w:rsidRPr="00FC1492">
        <w:t xml:space="preserve">Pacific Gas and Electric Company, Southern California Edison Company, San Diego Gas &amp; Electric Company, PacifiCorp, and </w:t>
      </w:r>
      <w:r w:rsidR="00C700F4" w:rsidRPr="00FC1492">
        <w:t>Liberty Utilities (</w:t>
      </w:r>
      <w:proofErr w:type="spellStart"/>
      <w:r w:rsidR="00C700F4" w:rsidRPr="00FC1492">
        <w:t>CalPeco</w:t>
      </w:r>
      <w:proofErr w:type="spellEnd"/>
      <w:r w:rsidR="00C700F4" w:rsidRPr="00FC1492">
        <w:t xml:space="preserve"> Electric) LLC </w:t>
      </w:r>
      <w:r w:rsidR="000208A9" w:rsidRPr="00FC1492">
        <w:t xml:space="preserve">(formerly known as </w:t>
      </w:r>
      <w:r w:rsidRPr="00FC1492">
        <w:t>California Pacific Electric Company</w:t>
      </w:r>
      <w:r w:rsidR="000208A9" w:rsidRPr="00FC1492">
        <w:t>)</w:t>
      </w:r>
      <w:r w:rsidRPr="00FC1492">
        <w:t xml:space="preserve"> to </w:t>
      </w:r>
      <w:r w:rsidRPr="00A93961">
        <w:t xml:space="preserve">set aside greenhouse gas revenues to cover customer outreach and education efforts in advance of distributing remaining greenhouse gas revenues to emissions-intensive and trade-exposed, small business, and residential customers. Customer outreach costs must be tracked in a memorandum account. Any remaining customer outreach and </w:t>
      </w:r>
      <w:r w:rsidRPr="00FC1492">
        <w:t>education funds at the end of a calendar year must be rolled over for use in subsequent years. D.12-12-033, Ordering Paragraph (OP) 1</w:t>
      </w:r>
      <w:r w:rsidR="002A0AFF" w:rsidRPr="00FC1492">
        <w:t>8 at 213</w:t>
      </w:r>
      <w:r w:rsidRPr="00FC1492">
        <w:t>.</w:t>
      </w:r>
    </w:p>
  </w:footnote>
  <w:footnote w:id="4">
    <w:p w14:paraId="06747C5C" w14:textId="5646CB52" w:rsidR="00797913" w:rsidRPr="0002707D" w:rsidRDefault="00797913" w:rsidP="00797913">
      <w:pPr>
        <w:pStyle w:val="FootnoteText"/>
        <w:rPr>
          <w:szCs w:val="22"/>
        </w:rPr>
      </w:pPr>
      <w:r w:rsidRPr="00FC1492">
        <w:rPr>
          <w:rStyle w:val="FootnoteReference"/>
        </w:rPr>
        <w:footnoteRef/>
      </w:r>
      <w:r w:rsidRPr="00FC1492">
        <w:t xml:space="preserve"> </w:t>
      </w:r>
      <w:r w:rsidRPr="00FC1492">
        <w:rPr>
          <w:szCs w:val="22"/>
        </w:rPr>
        <w:t xml:space="preserve">Pacific Gas and Electric Company, Southern California Edison Company, San Diego Gas </w:t>
      </w:r>
      <w:r w:rsidR="00DF6919" w:rsidRPr="00FC1492">
        <w:rPr>
          <w:szCs w:val="22"/>
        </w:rPr>
        <w:t xml:space="preserve">&amp; </w:t>
      </w:r>
      <w:r w:rsidRPr="00FC1492">
        <w:rPr>
          <w:szCs w:val="22"/>
        </w:rPr>
        <w:t>Electric Company</w:t>
      </w:r>
      <w:r w:rsidR="00DF6919" w:rsidRPr="00FC1492">
        <w:rPr>
          <w:szCs w:val="22"/>
        </w:rPr>
        <w:t>,</w:t>
      </w:r>
      <w:r w:rsidRPr="00FC1492">
        <w:rPr>
          <w:szCs w:val="22"/>
        </w:rPr>
        <w:t xml:space="preserve"> PacifiCorp, and California Pacific Electric Company are authorized to use greenhouse gas revenues to fund initial and ongoing administrative costs necessary to the implementation of the greenhouse gas revenue allocation methodology adopted in this decision. Administrative costs must be tracked in a memorandum account and are </w:t>
      </w:r>
      <w:r w:rsidRPr="0002707D">
        <w:rPr>
          <w:szCs w:val="22"/>
        </w:rPr>
        <w:t>subject to</w:t>
      </w:r>
      <w:r>
        <w:rPr>
          <w:szCs w:val="22"/>
        </w:rPr>
        <w:t xml:space="preserve"> r</w:t>
      </w:r>
      <w:r w:rsidRPr="0002707D">
        <w:rPr>
          <w:szCs w:val="22"/>
        </w:rPr>
        <w:t>easonableness review. Any remaining administrative funds at the end of a calendar year must be rolled over for use in subsequent years</w:t>
      </w:r>
      <w:r w:rsidRPr="00FC1492">
        <w:rPr>
          <w:szCs w:val="22"/>
        </w:rPr>
        <w:t>. D.</w:t>
      </w:r>
      <w:r w:rsidR="002A0AFF" w:rsidRPr="00FC1492">
        <w:rPr>
          <w:szCs w:val="22"/>
        </w:rPr>
        <w:t>12</w:t>
      </w:r>
      <w:r w:rsidR="002A0AFF" w:rsidRPr="00794362">
        <w:rPr>
          <w:szCs w:val="22"/>
        </w:rPr>
        <w:t xml:space="preserve">-12-033, Findings of Fact (FOF) 161 at 187 and COL 58, 59 at 201. </w:t>
      </w:r>
      <w:r w:rsidRPr="0002707D">
        <w:rPr>
          <w:szCs w:val="22"/>
        </w:rPr>
        <w:t xml:space="preserve"> </w:t>
      </w:r>
    </w:p>
  </w:footnote>
  <w:footnote w:id="5">
    <w:p w14:paraId="3DD3920A" w14:textId="74F2E253" w:rsidR="00797913" w:rsidRDefault="00797913" w:rsidP="00797913">
      <w:pPr>
        <w:pStyle w:val="FootnoteText"/>
      </w:pPr>
      <w:r>
        <w:rPr>
          <w:rStyle w:val="FootnoteReference"/>
        </w:rPr>
        <w:footnoteRef/>
      </w:r>
      <w:r>
        <w:t xml:space="preserve"> </w:t>
      </w:r>
      <w:r w:rsidR="003D7F01">
        <w:t>All references to Rule or Rules refer to the Commission’s Rules of Practice and Procedure</w:t>
      </w:r>
      <w:r w:rsidR="006D40B4">
        <w:t>,</w:t>
      </w:r>
      <w:r w:rsidR="003D7F01">
        <w:t xml:space="preserve"> unless otherwise stated</w:t>
      </w:r>
      <w:r>
        <w:t>.</w:t>
      </w:r>
    </w:p>
  </w:footnote>
  <w:footnote w:id="6">
    <w:p w14:paraId="78966172" w14:textId="39E06CC1" w:rsidR="00797913" w:rsidRDefault="00797913" w:rsidP="00797913">
      <w:pPr>
        <w:pStyle w:val="FootnoteText"/>
      </w:pPr>
      <w:r>
        <w:rPr>
          <w:rStyle w:val="FootnoteReference"/>
        </w:rPr>
        <w:footnoteRef/>
      </w:r>
      <w:r>
        <w:t xml:space="preserve"> PGE’s Fourth Supplemental Testimony</w:t>
      </w:r>
      <w:r w:rsidR="00A11A1C">
        <w:t>, December 14, 2021,</w:t>
      </w:r>
      <w:r>
        <w:t xml:space="preserve"> at 14-15.</w:t>
      </w:r>
    </w:p>
  </w:footnote>
  <w:footnote w:id="7">
    <w:p w14:paraId="3C254E1F" w14:textId="77777777" w:rsidR="00797913" w:rsidRDefault="00797913" w:rsidP="00797913">
      <w:pPr>
        <w:pStyle w:val="FootnoteText"/>
      </w:pPr>
      <w:r>
        <w:rPr>
          <w:rStyle w:val="FootnoteReference"/>
        </w:rPr>
        <w:footnoteRef/>
      </w:r>
      <w:r>
        <w:t xml:space="preserve"> Comments of the Joint CCAs, December 20, 2021, at 3.</w:t>
      </w:r>
    </w:p>
  </w:footnote>
  <w:footnote w:id="8">
    <w:p w14:paraId="7E32D0E7" w14:textId="77777777" w:rsidR="00797913" w:rsidRDefault="00797913" w:rsidP="00797913">
      <w:pPr>
        <w:pStyle w:val="FootnoteText"/>
      </w:pPr>
      <w:r>
        <w:rPr>
          <w:rStyle w:val="FootnoteReference"/>
        </w:rPr>
        <w:footnoteRef/>
      </w:r>
      <w:r>
        <w:t xml:space="preserve"> Reply Comments by CLECA/AECA at 4-5.</w:t>
      </w:r>
    </w:p>
  </w:footnote>
  <w:footnote w:id="9">
    <w:p w14:paraId="7E851F5B" w14:textId="42C1C87B" w:rsidR="00797913" w:rsidRDefault="00797913" w:rsidP="00797913">
      <w:pPr>
        <w:pStyle w:val="FootnoteText"/>
      </w:pPr>
      <w:r>
        <w:rPr>
          <w:rStyle w:val="FootnoteReference"/>
        </w:rPr>
        <w:footnoteRef/>
      </w:r>
      <w:r>
        <w:t xml:space="preserve"> PG&amp;E’s Fourth Supplemental Testimony, December 14, 2021, at Appendix B-1. Table 1-1B, Summary of 2022 Forecast Energy Procurement Revenue Requirements</w:t>
      </w:r>
      <w:r w:rsidR="00982C35">
        <w:t>.</w:t>
      </w:r>
    </w:p>
  </w:footnote>
  <w:footnote w:id="10">
    <w:p w14:paraId="5410E68F" w14:textId="660DF199" w:rsidR="00797913" w:rsidRDefault="00797913" w:rsidP="00797913">
      <w:pPr>
        <w:pStyle w:val="FootnoteText"/>
      </w:pPr>
      <w:r>
        <w:rPr>
          <w:rStyle w:val="FootnoteReference"/>
        </w:rPr>
        <w:footnoteRef/>
      </w:r>
      <w:r>
        <w:t xml:space="preserve"> </w:t>
      </w:r>
      <w:r w:rsidR="00601749">
        <w:t>P</w:t>
      </w:r>
      <w:r w:rsidR="007F699F">
        <w:t xml:space="preserve">G&amp;E, </w:t>
      </w:r>
      <w:r w:rsidR="00601749">
        <w:t xml:space="preserve">DACC, </w:t>
      </w:r>
      <w:r w:rsidR="00432CD4">
        <w:t>the Joint</w:t>
      </w:r>
      <w:r w:rsidR="00601749">
        <w:t xml:space="preserve"> CCAS </w:t>
      </w:r>
      <w:r w:rsidR="00612726">
        <w:t xml:space="preserve">and </w:t>
      </w:r>
      <w:r w:rsidR="00432CD4">
        <w:t>Cal</w:t>
      </w:r>
      <w:r w:rsidR="00601749">
        <w:t xml:space="preserve"> CCA, </w:t>
      </w:r>
      <w:r w:rsidR="00626F57">
        <w:t xml:space="preserve">and Cal </w:t>
      </w:r>
      <w:r w:rsidR="00601749">
        <w:t>A</w:t>
      </w:r>
      <w:r w:rsidR="00626F57">
        <w:t>dvocates</w:t>
      </w:r>
      <w:r w:rsidR="00601749">
        <w:t xml:space="preserve"> S</w:t>
      </w:r>
      <w:r w:rsidR="00626F57">
        <w:t>tat</w:t>
      </w:r>
      <w:r w:rsidR="002F221B">
        <w:t>e</w:t>
      </w:r>
      <w:r w:rsidR="00626F57">
        <w:t>ment</w:t>
      </w:r>
      <w:r w:rsidR="002F221B">
        <w:t>s</w:t>
      </w:r>
      <w:r w:rsidR="00601749">
        <w:t xml:space="preserve"> </w:t>
      </w:r>
      <w:r w:rsidR="002F221B">
        <w:t xml:space="preserve">Concerning Additional  </w:t>
      </w:r>
      <w:r w:rsidR="00601749">
        <w:t>ERRA-M</w:t>
      </w:r>
      <w:r w:rsidR="002F221B">
        <w:t>ain</w:t>
      </w:r>
      <w:r w:rsidR="00601749">
        <w:t xml:space="preserve"> D</w:t>
      </w:r>
      <w:r w:rsidR="002F221B">
        <w:t>ata</w:t>
      </w:r>
      <w:r>
        <w:t xml:space="preserve"> at 3-4.</w:t>
      </w:r>
    </w:p>
  </w:footnote>
  <w:footnote w:id="11">
    <w:p w14:paraId="2769E992" w14:textId="77777777" w:rsidR="00797913" w:rsidRDefault="00797913" w:rsidP="00797913">
      <w:pPr>
        <w:pStyle w:val="FootnoteText"/>
      </w:pPr>
      <w:r>
        <w:rPr>
          <w:rStyle w:val="FootnoteReference"/>
        </w:rPr>
        <w:footnoteRef/>
      </w:r>
      <w:r>
        <w:t xml:space="preserve"> </w:t>
      </w:r>
      <w:r w:rsidRPr="005D12E7">
        <w:rPr>
          <w:i/>
          <w:iCs/>
        </w:rPr>
        <w:t>Ibid</w:t>
      </w:r>
      <w:r>
        <w:t>. at 4.</w:t>
      </w:r>
    </w:p>
  </w:footnote>
  <w:footnote w:id="12">
    <w:p w14:paraId="253255EA" w14:textId="77777777" w:rsidR="00797913" w:rsidRDefault="00797913" w:rsidP="00797913">
      <w:pPr>
        <w:pStyle w:val="FootnoteText"/>
      </w:pPr>
      <w:r>
        <w:rPr>
          <w:rStyle w:val="FootnoteReference"/>
        </w:rPr>
        <w:footnoteRef/>
      </w:r>
      <w:r>
        <w:t xml:space="preserve"> </w:t>
      </w:r>
      <w:r w:rsidRPr="005D12E7">
        <w:rPr>
          <w:i/>
          <w:iCs/>
        </w:rPr>
        <w:t>Ibid</w:t>
      </w:r>
      <w:r>
        <w:t>. at 5.</w:t>
      </w:r>
    </w:p>
  </w:footnote>
  <w:footnote w:id="13">
    <w:p w14:paraId="1716BD9D" w14:textId="77777777" w:rsidR="00797913" w:rsidRDefault="00797913" w:rsidP="00797913">
      <w:pPr>
        <w:pStyle w:val="FootnoteText"/>
      </w:pPr>
      <w:r>
        <w:rPr>
          <w:rStyle w:val="FootnoteReference"/>
        </w:rPr>
        <w:footnoteRef/>
      </w:r>
      <w:r>
        <w:t xml:space="preserve"> </w:t>
      </w:r>
      <w:r>
        <w:rPr>
          <w:i/>
          <w:iCs/>
        </w:rPr>
        <w:t>Ibid</w:t>
      </w:r>
      <w:r>
        <w:t>.</w:t>
      </w:r>
    </w:p>
  </w:footnote>
  <w:footnote w:id="14">
    <w:p w14:paraId="5E74EE13" w14:textId="24E18CAE" w:rsidR="00797913" w:rsidRDefault="00797913" w:rsidP="00797913">
      <w:pPr>
        <w:pStyle w:val="FootnoteText"/>
      </w:pPr>
      <w:r>
        <w:rPr>
          <w:rStyle w:val="FootnoteReference"/>
        </w:rPr>
        <w:footnoteRef/>
      </w:r>
      <w:r>
        <w:t xml:space="preserve"> The Commission adopted a rate increase of </w:t>
      </w:r>
      <w:r w:rsidR="003D04A1">
        <w:t>7.5</w:t>
      </w:r>
      <w:r>
        <w:t>% for system average bundled electric rate, effective January 1, 2022.</w:t>
      </w:r>
    </w:p>
  </w:footnote>
  <w:footnote w:id="15">
    <w:p w14:paraId="46DE3807" w14:textId="204F3271" w:rsidR="00797913" w:rsidRDefault="00797913" w:rsidP="00797913">
      <w:pPr>
        <w:pStyle w:val="FootnoteText"/>
      </w:pPr>
      <w:r>
        <w:rPr>
          <w:rStyle w:val="FootnoteReference"/>
        </w:rPr>
        <w:footnoteRef/>
      </w:r>
      <w:r>
        <w:t xml:space="preserve"> Joint Statement of CLECA, AECA and Farm Bureau Regarding Amortization of </w:t>
      </w:r>
      <w:r w:rsidR="00BF1835">
        <w:t xml:space="preserve">the </w:t>
      </w:r>
      <w:r>
        <w:t>ERRA Main Balance at 2-3.</w:t>
      </w:r>
    </w:p>
  </w:footnote>
  <w:footnote w:id="16">
    <w:p w14:paraId="18AAEFED" w14:textId="59EE8866" w:rsidR="00E220D7" w:rsidRDefault="00E220D7">
      <w:pPr>
        <w:pStyle w:val="FootnoteText"/>
      </w:pPr>
      <w:r>
        <w:rPr>
          <w:rStyle w:val="FootnoteReference"/>
        </w:rPr>
        <w:footnoteRef/>
      </w:r>
      <w:r>
        <w:t xml:space="preserve"> </w:t>
      </w:r>
      <w:r w:rsidR="007A2065">
        <w:t xml:space="preserve">Compare </w:t>
      </w:r>
      <w:r w:rsidR="00D12851">
        <w:t>PG</w:t>
      </w:r>
      <w:r w:rsidR="007A2065">
        <w:t>E</w:t>
      </w:r>
      <w:r w:rsidR="002F1FE8">
        <w:t>-</w:t>
      </w:r>
      <w:r w:rsidR="00D12851">
        <w:t xml:space="preserve"> 7</w:t>
      </w:r>
      <w:r w:rsidR="007A2065">
        <w:t>, Fourth Supplemental Testimony</w:t>
      </w:r>
      <w:r w:rsidR="005628F7">
        <w:t>,</w:t>
      </w:r>
      <w:r w:rsidR="00D60CCD">
        <w:t xml:space="preserve"> Total System Bundled Average Rate at </w:t>
      </w:r>
      <w:r w:rsidR="005628F7">
        <w:t xml:space="preserve">12.6% at </w:t>
      </w:r>
      <w:r w:rsidR="00D12851">
        <w:t>App</w:t>
      </w:r>
      <w:r w:rsidR="007C07C9">
        <w:t xml:space="preserve">B-23 </w:t>
      </w:r>
      <w:r w:rsidR="005628F7">
        <w:t>to</w:t>
      </w:r>
      <w:r w:rsidR="007C07C9">
        <w:t xml:space="preserve"> </w:t>
      </w:r>
      <w:r w:rsidR="002F1FE8">
        <w:t>PGE-9</w:t>
      </w:r>
      <w:r w:rsidR="00585A39">
        <w:t>, Fifth Supplement Testimony</w:t>
      </w:r>
      <w:r w:rsidR="005628F7">
        <w:t>, Total System Bundled Average Rate at 10</w:t>
      </w:r>
      <w:r w:rsidR="00B93184">
        <w:t>.1</w:t>
      </w:r>
      <w:r w:rsidR="005628F7">
        <w:t>% at</w:t>
      </w:r>
      <w:r w:rsidR="002F1FE8">
        <w:t xml:space="preserve"> AppC-24.</w:t>
      </w:r>
    </w:p>
  </w:footnote>
  <w:footnote w:id="17">
    <w:p w14:paraId="56183850" w14:textId="77777777" w:rsidR="00797913" w:rsidRDefault="00797913" w:rsidP="00797913">
      <w:pPr>
        <w:pStyle w:val="FootnoteText"/>
      </w:pPr>
      <w:r>
        <w:rPr>
          <w:rStyle w:val="FootnoteReference"/>
        </w:rPr>
        <w:footnoteRef/>
      </w:r>
      <w:r>
        <w:t xml:space="preserve"> Exhibit PGE-1 at 1-18 to 1-19.</w:t>
      </w:r>
    </w:p>
  </w:footnote>
  <w:footnote w:id="18">
    <w:p w14:paraId="7A3531BF" w14:textId="77777777" w:rsidR="00797913" w:rsidRDefault="00797913" w:rsidP="00797913">
      <w:pPr>
        <w:pStyle w:val="FootnoteText"/>
      </w:pPr>
      <w:r>
        <w:rPr>
          <w:rStyle w:val="FootnoteReference"/>
        </w:rPr>
        <w:footnoteRef/>
      </w:r>
      <w:r>
        <w:t xml:space="preserve"> </w:t>
      </w:r>
      <w:r>
        <w:rPr>
          <w:i/>
          <w:iCs/>
        </w:rPr>
        <w:t>Ibid.</w:t>
      </w:r>
      <w:r>
        <w:t xml:space="preserve"> at 1-19 to 1-20.</w:t>
      </w:r>
    </w:p>
  </w:footnote>
  <w:footnote w:id="19">
    <w:p w14:paraId="6D03A316" w14:textId="40CCE135" w:rsidR="00797913" w:rsidRPr="00761972" w:rsidRDefault="00797913" w:rsidP="00797913">
      <w:pPr>
        <w:pStyle w:val="FootnoteText"/>
        <w:rPr>
          <w:szCs w:val="22"/>
        </w:rPr>
      </w:pPr>
      <w:r w:rsidRPr="005C43D2">
        <w:rPr>
          <w:rStyle w:val="FootnoteReference"/>
          <w:szCs w:val="22"/>
        </w:rPr>
        <w:footnoteRef/>
      </w:r>
      <w:r w:rsidRPr="005C43D2">
        <w:rPr>
          <w:szCs w:val="22"/>
        </w:rPr>
        <w:t xml:space="preserve"> D.20-02-047 at 7, D.12</w:t>
      </w:r>
      <w:r w:rsidRPr="005C43D2">
        <w:rPr>
          <w:szCs w:val="22"/>
        </w:rPr>
        <w:noBreakHyphen/>
        <w:t>12</w:t>
      </w:r>
      <w:r w:rsidRPr="005C43D2">
        <w:rPr>
          <w:szCs w:val="22"/>
        </w:rPr>
        <w:noBreakHyphen/>
        <w:t>008 at 5.</w:t>
      </w:r>
    </w:p>
  </w:footnote>
  <w:footnote w:id="20">
    <w:p w14:paraId="3F9485D1" w14:textId="3FFA65F4" w:rsidR="00797913" w:rsidRDefault="00797913" w:rsidP="00797913">
      <w:pPr>
        <w:pStyle w:val="FootnoteText"/>
      </w:pPr>
      <w:r>
        <w:rPr>
          <w:rStyle w:val="FootnoteReference"/>
        </w:rPr>
        <w:footnoteRef/>
      </w:r>
      <w:r>
        <w:t xml:space="preserve"> Exhibit PGE-1 at 1-20.</w:t>
      </w:r>
    </w:p>
  </w:footnote>
  <w:footnote w:id="21">
    <w:p w14:paraId="3FDE8276" w14:textId="042626A6" w:rsidR="00797913" w:rsidRDefault="00797913" w:rsidP="00797913">
      <w:pPr>
        <w:pStyle w:val="FootnoteText"/>
      </w:pPr>
      <w:r>
        <w:rPr>
          <w:rStyle w:val="FootnoteReference"/>
        </w:rPr>
        <w:footnoteRef/>
      </w:r>
      <w:r>
        <w:t xml:space="preserve"> Exhibit PGE-1 at 1-20.</w:t>
      </w:r>
    </w:p>
  </w:footnote>
  <w:footnote w:id="22">
    <w:p w14:paraId="563FB30C" w14:textId="0EE895A9" w:rsidR="00797913" w:rsidRPr="00761972" w:rsidRDefault="00797913" w:rsidP="00797913">
      <w:pPr>
        <w:pStyle w:val="FootnoteText"/>
        <w:rPr>
          <w:szCs w:val="22"/>
        </w:rPr>
      </w:pPr>
      <w:r w:rsidRPr="00761972">
        <w:rPr>
          <w:rStyle w:val="FootnoteReference"/>
          <w:szCs w:val="22"/>
        </w:rPr>
        <w:footnoteRef/>
      </w:r>
      <w:r w:rsidRPr="00761972">
        <w:rPr>
          <w:szCs w:val="22"/>
        </w:rPr>
        <w:t xml:space="preserve"> </w:t>
      </w:r>
      <w:r>
        <w:rPr>
          <w:i/>
          <w:iCs/>
          <w:szCs w:val="22"/>
        </w:rPr>
        <w:t xml:space="preserve">See </w:t>
      </w:r>
      <w:r w:rsidRPr="00761972">
        <w:rPr>
          <w:szCs w:val="22"/>
        </w:rPr>
        <w:t>D.18</w:t>
      </w:r>
      <w:r w:rsidRPr="00761972">
        <w:rPr>
          <w:szCs w:val="22"/>
        </w:rPr>
        <w:noBreakHyphen/>
        <w:t>12</w:t>
      </w:r>
      <w:r w:rsidRPr="00761972">
        <w:rPr>
          <w:szCs w:val="22"/>
        </w:rPr>
        <w:noBreakHyphen/>
        <w:t>003.</w:t>
      </w:r>
    </w:p>
  </w:footnote>
  <w:footnote w:id="23">
    <w:p w14:paraId="64C4A674" w14:textId="0BC21AFC" w:rsidR="00797913" w:rsidRPr="00FB04D6" w:rsidRDefault="00797913" w:rsidP="00797913">
      <w:pPr>
        <w:pStyle w:val="FootnoteText"/>
        <w:rPr>
          <w:szCs w:val="22"/>
        </w:rPr>
      </w:pPr>
      <w:r w:rsidRPr="00761972">
        <w:rPr>
          <w:rStyle w:val="FootnoteReference"/>
          <w:szCs w:val="22"/>
        </w:rPr>
        <w:footnoteRef/>
      </w:r>
      <w:r w:rsidRPr="00761972">
        <w:rPr>
          <w:szCs w:val="22"/>
        </w:rPr>
        <w:t xml:space="preserve"> D.18</w:t>
      </w:r>
      <w:r w:rsidRPr="00761972">
        <w:rPr>
          <w:szCs w:val="22"/>
        </w:rPr>
        <w:noBreakHyphen/>
        <w:t>12</w:t>
      </w:r>
      <w:r w:rsidRPr="00761972">
        <w:rPr>
          <w:szCs w:val="22"/>
        </w:rPr>
        <w:noBreakHyphen/>
        <w:t>003 at Ordering Paragraph 9</w:t>
      </w:r>
      <w:r w:rsidRPr="00A75A1C">
        <w:rPr>
          <w:szCs w:val="22"/>
        </w:rPr>
        <w:t>.</w:t>
      </w:r>
    </w:p>
  </w:footnote>
  <w:footnote w:id="24">
    <w:p w14:paraId="67329AD6" w14:textId="77777777" w:rsidR="00797913" w:rsidRDefault="00797913" w:rsidP="00797913">
      <w:pPr>
        <w:pStyle w:val="FootnoteText"/>
      </w:pPr>
      <w:r>
        <w:rPr>
          <w:rStyle w:val="FootnoteReference"/>
        </w:rPr>
        <w:footnoteRef/>
      </w:r>
      <w:r>
        <w:t xml:space="preserve"> Exhibit PGE-1 at 1-11 to 1-12.</w:t>
      </w:r>
    </w:p>
  </w:footnote>
  <w:footnote w:id="25">
    <w:p w14:paraId="2D6E1234" w14:textId="13AE5BE9" w:rsidR="002F69E6" w:rsidRDefault="002F69E6">
      <w:pPr>
        <w:pStyle w:val="FootnoteText"/>
      </w:pPr>
      <w:r>
        <w:rPr>
          <w:rStyle w:val="FootnoteReference"/>
        </w:rPr>
        <w:footnoteRef/>
      </w:r>
      <w:r>
        <w:t xml:space="preserve"> Exhibit PGE-1 at 15-8.</w:t>
      </w:r>
    </w:p>
  </w:footnote>
  <w:footnote w:id="26">
    <w:p w14:paraId="09AE8ED0" w14:textId="2FC2A226" w:rsidR="002F69E6" w:rsidRDefault="002F69E6">
      <w:pPr>
        <w:pStyle w:val="FootnoteText"/>
      </w:pPr>
      <w:r>
        <w:rPr>
          <w:rStyle w:val="FootnoteReference"/>
        </w:rPr>
        <w:footnoteRef/>
      </w:r>
      <w:r>
        <w:t xml:space="preserve"> Exhibit PGE-1 at 15-4.</w:t>
      </w:r>
    </w:p>
  </w:footnote>
  <w:footnote w:id="27">
    <w:p w14:paraId="1B6AF6C2" w14:textId="77777777" w:rsidR="00797913" w:rsidRDefault="00797913" w:rsidP="00797913">
      <w:pPr>
        <w:pStyle w:val="FootnoteText"/>
      </w:pPr>
      <w:r>
        <w:rPr>
          <w:rStyle w:val="FootnoteReference"/>
        </w:rPr>
        <w:footnoteRef/>
      </w:r>
      <w:r>
        <w:t xml:space="preserve"> November Update at 12-13.</w:t>
      </w:r>
    </w:p>
  </w:footnote>
  <w:footnote w:id="28">
    <w:p w14:paraId="71894358" w14:textId="77777777" w:rsidR="00797913" w:rsidRDefault="00797913" w:rsidP="00797913">
      <w:pPr>
        <w:pStyle w:val="FootnoteText"/>
      </w:pPr>
      <w:r>
        <w:rPr>
          <w:rStyle w:val="FootnoteReference"/>
        </w:rPr>
        <w:footnoteRef/>
      </w:r>
      <w:r>
        <w:t xml:space="preserve"> November Update at 13.</w:t>
      </w:r>
    </w:p>
  </w:footnote>
  <w:footnote w:id="29">
    <w:p w14:paraId="39E98320" w14:textId="77777777" w:rsidR="00797913" w:rsidRDefault="00797913" w:rsidP="00797913">
      <w:pPr>
        <w:pStyle w:val="FootnoteText"/>
      </w:pPr>
      <w:r>
        <w:rPr>
          <w:rStyle w:val="FootnoteReference"/>
        </w:rPr>
        <w:footnoteRef/>
      </w:r>
      <w:r>
        <w:t xml:space="preserve"> Opening Brief of Joint CCAs at 30.</w:t>
      </w:r>
    </w:p>
  </w:footnote>
  <w:footnote w:id="30">
    <w:p w14:paraId="4E583BB7" w14:textId="77777777" w:rsidR="00797913" w:rsidRDefault="00797913" w:rsidP="00797913">
      <w:pPr>
        <w:pStyle w:val="FootnoteText"/>
      </w:pPr>
      <w:r>
        <w:rPr>
          <w:rStyle w:val="FootnoteReference"/>
        </w:rPr>
        <w:footnoteRef/>
      </w:r>
      <w:r>
        <w:t xml:space="preserve"> </w:t>
      </w:r>
      <w:r w:rsidRPr="00B823CA">
        <w:rPr>
          <w:i/>
          <w:iCs/>
        </w:rPr>
        <w:t>Ibid</w:t>
      </w:r>
      <w:r>
        <w:t>. citing Exhibit PGE-3, at 8.</w:t>
      </w:r>
    </w:p>
  </w:footnote>
  <w:footnote w:id="31">
    <w:p w14:paraId="29F7B432" w14:textId="77777777" w:rsidR="00797913" w:rsidRDefault="00797913" w:rsidP="00797913">
      <w:pPr>
        <w:pStyle w:val="FootnoteText"/>
      </w:pPr>
      <w:r>
        <w:rPr>
          <w:rStyle w:val="FootnoteReference"/>
        </w:rPr>
        <w:footnoteRef/>
      </w:r>
      <w:r>
        <w:t xml:space="preserve"> Protest of the Joint CCAs to the Application at 6-8.</w:t>
      </w:r>
    </w:p>
  </w:footnote>
  <w:footnote w:id="32">
    <w:p w14:paraId="1EC8BE67" w14:textId="77777777" w:rsidR="00797913" w:rsidRDefault="00797913" w:rsidP="00797913">
      <w:pPr>
        <w:pStyle w:val="FootnoteText"/>
      </w:pPr>
      <w:r>
        <w:rPr>
          <w:rStyle w:val="FootnoteReference"/>
        </w:rPr>
        <w:footnoteRef/>
      </w:r>
      <w:r>
        <w:t xml:space="preserve"> November Update at 13.</w:t>
      </w:r>
    </w:p>
  </w:footnote>
  <w:footnote w:id="33">
    <w:p w14:paraId="46C92329" w14:textId="77777777" w:rsidR="00797913" w:rsidRDefault="00797913" w:rsidP="00797913">
      <w:pPr>
        <w:pStyle w:val="FootnoteText"/>
      </w:pPr>
      <w:r>
        <w:rPr>
          <w:rStyle w:val="FootnoteReference"/>
        </w:rPr>
        <w:footnoteRef/>
      </w:r>
      <w:r>
        <w:t xml:space="preserve"> </w:t>
      </w:r>
      <w:r w:rsidRPr="00AD5C13">
        <w:rPr>
          <w:i/>
          <w:iCs/>
        </w:rPr>
        <w:t>Ibid.</w:t>
      </w:r>
    </w:p>
  </w:footnote>
  <w:footnote w:id="34">
    <w:p w14:paraId="2D56B61C" w14:textId="77777777" w:rsidR="00797913" w:rsidRDefault="00797913" w:rsidP="00797913">
      <w:pPr>
        <w:pStyle w:val="FootnoteText"/>
      </w:pPr>
      <w:r>
        <w:rPr>
          <w:rStyle w:val="FootnoteReference"/>
        </w:rPr>
        <w:footnoteRef/>
      </w:r>
      <w:r>
        <w:t xml:space="preserve"> </w:t>
      </w:r>
      <w:r>
        <w:rPr>
          <w:i/>
          <w:iCs/>
        </w:rPr>
        <w:t>Ibid.</w:t>
      </w:r>
      <w:r>
        <w:t xml:space="preserve"> at 15-16.</w:t>
      </w:r>
    </w:p>
  </w:footnote>
  <w:footnote w:id="35">
    <w:p w14:paraId="72951E52" w14:textId="77777777" w:rsidR="00797913" w:rsidRDefault="00797913" w:rsidP="00797913">
      <w:pPr>
        <w:pStyle w:val="FootnoteText"/>
      </w:pPr>
      <w:r>
        <w:rPr>
          <w:rStyle w:val="FootnoteReference"/>
        </w:rPr>
        <w:footnoteRef/>
      </w:r>
      <w:r>
        <w:t xml:space="preserve"> </w:t>
      </w:r>
      <w:r>
        <w:rPr>
          <w:i/>
          <w:iCs/>
        </w:rPr>
        <w:t>Ibid.</w:t>
      </w:r>
      <w:r>
        <w:t xml:space="preserve"> at 16.</w:t>
      </w:r>
    </w:p>
  </w:footnote>
  <w:footnote w:id="36">
    <w:p w14:paraId="5DB91AEF" w14:textId="77777777" w:rsidR="00797913" w:rsidRDefault="00797913" w:rsidP="00797913">
      <w:pPr>
        <w:pStyle w:val="FootnoteText"/>
      </w:pPr>
      <w:r>
        <w:rPr>
          <w:rStyle w:val="FootnoteReference"/>
        </w:rPr>
        <w:footnoteRef/>
      </w:r>
      <w:r>
        <w:t xml:space="preserve"> November Update at 18.</w:t>
      </w:r>
    </w:p>
  </w:footnote>
  <w:footnote w:id="37">
    <w:p w14:paraId="214B3970" w14:textId="77777777" w:rsidR="00797913" w:rsidRDefault="00797913" w:rsidP="00797913">
      <w:pPr>
        <w:pStyle w:val="FootnoteText"/>
      </w:pPr>
      <w:r>
        <w:rPr>
          <w:rStyle w:val="FootnoteReference"/>
        </w:rPr>
        <w:footnoteRef/>
      </w:r>
      <w:r>
        <w:t xml:space="preserve"> November Update at 19.</w:t>
      </w:r>
    </w:p>
  </w:footnote>
  <w:footnote w:id="38">
    <w:p w14:paraId="5DE745C4" w14:textId="77777777" w:rsidR="00797913" w:rsidRDefault="00797913" w:rsidP="00797913">
      <w:pPr>
        <w:pStyle w:val="FootnoteText"/>
      </w:pPr>
      <w:r>
        <w:rPr>
          <w:rStyle w:val="FootnoteReference"/>
        </w:rPr>
        <w:footnoteRef/>
      </w:r>
      <w:r>
        <w:t xml:space="preserve"> PG&amp;E’s Fourth Supplemental Testimony, December 14, 2021, Table 1-1B at AppB-1.</w:t>
      </w:r>
    </w:p>
  </w:footnote>
  <w:footnote w:id="39">
    <w:p w14:paraId="359FE8C9" w14:textId="6BC758C4" w:rsidR="00797913" w:rsidRDefault="00797913" w:rsidP="00797913">
      <w:pPr>
        <w:pStyle w:val="FootnoteText"/>
        <w:tabs>
          <w:tab w:val="center" w:pos="4680"/>
        </w:tabs>
        <w:spacing w:after="0"/>
      </w:pPr>
      <w:r>
        <w:rPr>
          <w:rStyle w:val="FootnoteReference"/>
        </w:rPr>
        <w:footnoteRef/>
      </w:r>
      <w:r>
        <w:t xml:space="preserve"> November Update at 18. PG&amp;E states that on July 8, 2021, the Commission approved PG&amp;E’s</w:t>
      </w:r>
      <w:r w:rsidR="00596139">
        <w:t xml:space="preserve"> </w:t>
      </w:r>
      <w:r>
        <w:t>AL 4444-G/6210-E to recover the cost of excess liability insurance above $1.4 billion in coverage obtained by PG&amp;E in 2020.</w:t>
      </w:r>
    </w:p>
  </w:footnote>
  <w:footnote w:id="40">
    <w:p w14:paraId="52B2292E" w14:textId="77777777" w:rsidR="00797913" w:rsidRDefault="00797913" w:rsidP="00797913">
      <w:pPr>
        <w:pStyle w:val="FootnoteText"/>
      </w:pPr>
      <w:r>
        <w:rPr>
          <w:rStyle w:val="FootnoteReference"/>
        </w:rPr>
        <w:footnoteRef/>
      </w:r>
      <w:r>
        <w:t xml:space="preserve"> PG&amp;E’s Fourth Supplemental Testimony, December 14, 2021, Table 1-1B at AppB-1.</w:t>
      </w:r>
    </w:p>
  </w:footnote>
  <w:footnote w:id="41">
    <w:p w14:paraId="17E2B277" w14:textId="77777777" w:rsidR="00797913" w:rsidRPr="00761972" w:rsidRDefault="00797913" w:rsidP="00797913">
      <w:pPr>
        <w:pStyle w:val="FootnoteText"/>
        <w:rPr>
          <w:szCs w:val="22"/>
        </w:rPr>
      </w:pPr>
      <w:r w:rsidRPr="00761972">
        <w:rPr>
          <w:rStyle w:val="FootnoteReference"/>
          <w:szCs w:val="22"/>
        </w:rPr>
        <w:footnoteRef/>
      </w:r>
      <w:r w:rsidRPr="00761972">
        <w:rPr>
          <w:szCs w:val="22"/>
        </w:rPr>
        <w:t xml:space="preserve"> </w:t>
      </w:r>
      <w:r w:rsidRPr="00761972">
        <w:rPr>
          <w:i/>
          <w:iCs/>
          <w:szCs w:val="22"/>
        </w:rPr>
        <w:t>See</w:t>
      </w:r>
      <w:r w:rsidRPr="00761972">
        <w:rPr>
          <w:szCs w:val="22"/>
        </w:rPr>
        <w:t xml:space="preserve"> D.18-10-019 at </w:t>
      </w:r>
      <w:r>
        <w:rPr>
          <w:szCs w:val="22"/>
        </w:rPr>
        <w:t>7</w:t>
      </w:r>
      <w:r w:rsidRPr="00761972">
        <w:rPr>
          <w:szCs w:val="22"/>
        </w:rPr>
        <w:t>.</w:t>
      </w:r>
    </w:p>
  </w:footnote>
  <w:footnote w:id="42">
    <w:p w14:paraId="6EE53028" w14:textId="77777777" w:rsidR="00797913" w:rsidRDefault="00797913" w:rsidP="00797913">
      <w:pPr>
        <w:pStyle w:val="FootnoteText"/>
      </w:pPr>
      <w:r>
        <w:rPr>
          <w:rStyle w:val="FootnoteReference"/>
        </w:rPr>
        <w:footnoteRef/>
      </w:r>
      <w:r>
        <w:t xml:space="preserve"> Exhibit JCCA-01 at 4 and Opening Brief of Joint CCAs at 6.</w:t>
      </w:r>
    </w:p>
  </w:footnote>
  <w:footnote w:id="43">
    <w:p w14:paraId="69755FD2" w14:textId="46A55C16" w:rsidR="00797913" w:rsidRPr="009800C3" w:rsidRDefault="00797913" w:rsidP="00797913">
      <w:pPr>
        <w:pStyle w:val="FootnoteText"/>
      </w:pPr>
      <w:r>
        <w:rPr>
          <w:rStyle w:val="FootnoteReference"/>
        </w:rPr>
        <w:footnoteRef/>
      </w:r>
      <w:r>
        <w:t xml:space="preserve"> </w:t>
      </w:r>
      <w:r>
        <w:rPr>
          <w:i/>
          <w:iCs/>
        </w:rPr>
        <w:t xml:space="preserve">See </w:t>
      </w:r>
      <w:r>
        <w:t>D.2</w:t>
      </w:r>
      <w:r w:rsidR="00DD0318">
        <w:t>0</w:t>
      </w:r>
      <w:r>
        <w:t>-12-038, Conclusions of Law 9 at 37.</w:t>
      </w:r>
    </w:p>
  </w:footnote>
  <w:footnote w:id="44">
    <w:p w14:paraId="56E9EDB4" w14:textId="0321C1CE" w:rsidR="00797913" w:rsidRDefault="00797913" w:rsidP="00797913">
      <w:pPr>
        <w:pStyle w:val="FootnoteText"/>
      </w:pPr>
      <w:r>
        <w:rPr>
          <w:rStyle w:val="FootnoteReference"/>
        </w:rPr>
        <w:footnoteRef/>
      </w:r>
      <w:r>
        <w:t xml:space="preserve"> PG&amp;E’s Fourth Supplemental Testimony</w:t>
      </w:r>
      <w:r w:rsidR="00EF050C">
        <w:t>, December 14, 2021,</w:t>
      </w:r>
      <w:r>
        <w:t xml:space="preserve"> at 14.</w:t>
      </w:r>
    </w:p>
  </w:footnote>
  <w:footnote w:id="45">
    <w:p w14:paraId="6750FA3D" w14:textId="062F8B38" w:rsidR="00797913" w:rsidRDefault="00797913" w:rsidP="00797913">
      <w:pPr>
        <w:pStyle w:val="FootnoteText"/>
      </w:pPr>
      <w:r>
        <w:rPr>
          <w:rStyle w:val="FootnoteReference"/>
        </w:rPr>
        <w:footnoteRef/>
      </w:r>
      <w:r>
        <w:t xml:space="preserve"> </w:t>
      </w:r>
      <w:r w:rsidR="00DD0318">
        <w:t>PG&amp;E’s Fourth Supplemental Testimony</w:t>
      </w:r>
      <w:r w:rsidR="00EF050C">
        <w:t>, December 14, 2021, at</w:t>
      </w:r>
      <w:r>
        <w:t xml:space="preserve"> Appendix B-25.</w:t>
      </w:r>
    </w:p>
  </w:footnote>
  <w:footnote w:id="46">
    <w:p w14:paraId="289CECEC" w14:textId="77777777" w:rsidR="00797913" w:rsidRDefault="00797913" w:rsidP="00797913">
      <w:pPr>
        <w:pStyle w:val="FootnoteText"/>
      </w:pPr>
      <w:r>
        <w:rPr>
          <w:rStyle w:val="FootnoteReference"/>
        </w:rPr>
        <w:footnoteRef/>
      </w:r>
      <w:r>
        <w:t xml:space="preserve"> The PFM re-opened A.12-04-021, In the Matter of the Application of Pacific Gas and Electric Company to Establish a Green Option Tariff (U39E).</w:t>
      </w:r>
    </w:p>
  </w:footnote>
  <w:footnote w:id="47">
    <w:p w14:paraId="2739EFC1" w14:textId="77777777" w:rsidR="00797913" w:rsidRDefault="00797913" w:rsidP="00797913">
      <w:pPr>
        <w:pStyle w:val="FootnoteText"/>
      </w:pPr>
      <w:r>
        <w:rPr>
          <w:rStyle w:val="FootnoteReference"/>
        </w:rPr>
        <w:footnoteRef/>
      </w:r>
      <w:r>
        <w:t xml:space="preserve"> </w:t>
      </w:r>
      <w:r>
        <w:rPr>
          <w:i/>
          <w:iCs/>
        </w:rPr>
        <w:t>See</w:t>
      </w:r>
      <w:r>
        <w:t xml:space="preserve"> Exhibit JCCA-01 at 15-19.</w:t>
      </w:r>
    </w:p>
  </w:footnote>
  <w:footnote w:id="48">
    <w:p w14:paraId="74AF86AB" w14:textId="77777777" w:rsidR="00797913" w:rsidRDefault="00797913" w:rsidP="00797913">
      <w:pPr>
        <w:pStyle w:val="FootnoteText"/>
      </w:pPr>
      <w:r>
        <w:rPr>
          <w:rStyle w:val="FootnoteReference"/>
        </w:rPr>
        <w:footnoteRef/>
      </w:r>
      <w:r>
        <w:t xml:space="preserve"> PG&amp;E’s Opening Brief at 15.</w:t>
      </w:r>
    </w:p>
  </w:footnote>
  <w:footnote w:id="49">
    <w:p w14:paraId="0CCE39DF" w14:textId="77777777" w:rsidR="00797913" w:rsidRDefault="00797913" w:rsidP="00797913">
      <w:pPr>
        <w:pStyle w:val="FootnoteText"/>
      </w:pPr>
      <w:r>
        <w:rPr>
          <w:rStyle w:val="FootnoteReference"/>
        </w:rPr>
        <w:footnoteRef/>
      </w:r>
      <w:r>
        <w:t xml:space="preserve"> D.21-12-036, OP 14 at 56.</w:t>
      </w:r>
    </w:p>
  </w:footnote>
  <w:footnote w:id="50">
    <w:p w14:paraId="5E8EDB47" w14:textId="77777777" w:rsidR="00797913" w:rsidRDefault="00797913" w:rsidP="00797913">
      <w:pPr>
        <w:pStyle w:val="FootnoteText"/>
      </w:pPr>
      <w:r>
        <w:rPr>
          <w:rStyle w:val="FootnoteReference"/>
        </w:rPr>
        <w:footnoteRef/>
      </w:r>
      <w:r>
        <w:t xml:space="preserve"> Exhibit PGE-7 at 16.</w:t>
      </w:r>
    </w:p>
  </w:footnote>
  <w:footnote w:id="51">
    <w:p w14:paraId="297F26A2" w14:textId="13B15ECF" w:rsidR="00797913" w:rsidRDefault="00797913" w:rsidP="00797913">
      <w:pPr>
        <w:pStyle w:val="FootnoteText"/>
      </w:pPr>
      <w:r>
        <w:rPr>
          <w:rStyle w:val="FootnoteReference"/>
        </w:rPr>
        <w:footnoteRef/>
      </w:r>
      <w:r>
        <w:t xml:space="preserve"> PG&amp;E’s Fourth Supplemental Testimony, December 14, 2021</w:t>
      </w:r>
      <w:r w:rsidR="007E67B8">
        <w:t>,</w:t>
      </w:r>
      <w:r>
        <w:t xml:space="preserve"> at 14 and AppB-1.</w:t>
      </w:r>
    </w:p>
  </w:footnote>
  <w:footnote w:id="52">
    <w:p w14:paraId="0DF9E7A7" w14:textId="77777777" w:rsidR="00797913" w:rsidRDefault="00797913" w:rsidP="00797913">
      <w:pPr>
        <w:pStyle w:val="FootnoteText"/>
      </w:pPr>
      <w:r>
        <w:rPr>
          <w:rStyle w:val="FootnoteReference"/>
        </w:rPr>
        <w:footnoteRef/>
      </w:r>
      <w:r>
        <w:t xml:space="preserve"> Exhibit PGE-1 at 15-2.</w:t>
      </w:r>
    </w:p>
  </w:footnote>
  <w:footnote w:id="53">
    <w:p w14:paraId="47389A21" w14:textId="60BFD2DD" w:rsidR="00797913" w:rsidRDefault="00797913" w:rsidP="00797913">
      <w:pPr>
        <w:pStyle w:val="FootnoteText"/>
      </w:pPr>
      <w:r>
        <w:rPr>
          <w:rStyle w:val="FootnoteReference"/>
        </w:rPr>
        <w:footnoteRef/>
      </w:r>
      <w:r>
        <w:t xml:space="preserve"> </w:t>
      </w:r>
      <w:r>
        <w:rPr>
          <w:i/>
          <w:iCs/>
        </w:rPr>
        <w:t>Ibid.</w:t>
      </w:r>
      <w:r>
        <w:t xml:space="preserve"> at 1-13 to 1-14</w:t>
      </w:r>
      <w:r w:rsidR="002223E6">
        <w:t>.</w:t>
      </w:r>
    </w:p>
  </w:footnote>
  <w:footnote w:id="54">
    <w:p w14:paraId="617DC11F" w14:textId="77777777" w:rsidR="00797913" w:rsidRDefault="00797913" w:rsidP="00797913">
      <w:pPr>
        <w:pStyle w:val="FootnoteText"/>
      </w:pPr>
      <w:r>
        <w:rPr>
          <w:rStyle w:val="FootnoteReference"/>
        </w:rPr>
        <w:footnoteRef/>
      </w:r>
      <w:r>
        <w:t xml:space="preserve"> </w:t>
      </w:r>
      <w:r>
        <w:rPr>
          <w:i/>
          <w:iCs/>
        </w:rPr>
        <w:t>Ibid.</w:t>
      </w:r>
      <w:r>
        <w:t xml:space="preserve"> at 15-2.</w:t>
      </w:r>
    </w:p>
  </w:footnote>
  <w:footnote w:id="55">
    <w:p w14:paraId="3066BA00" w14:textId="77777777" w:rsidR="00797913" w:rsidRDefault="00797913" w:rsidP="00797913">
      <w:pPr>
        <w:pStyle w:val="FootnoteText"/>
      </w:pPr>
      <w:r>
        <w:rPr>
          <w:rStyle w:val="FootnoteReference"/>
        </w:rPr>
        <w:footnoteRef/>
      </w:r>
      <w:r>
        <w:t xml:space="preserve"> Exhibit JCCA-01 at 20.</w:t>
      </w:r>
    </w:p>
  </w:footnote>
  <w:footnote w:id="56">
    <w:p w14:paraId="6FFA4F83" w14:textId="77777777" w:rsidR="00797913" w:rsidRDefault="00797913" w:rsidP="00797913">
      <w:pPr>
        <w:pStyle w:val="FootnoteText"/>
      </w:pPr>
      <w:r>
        <w:rPr>
          <w:rStyle w:val="FootnoteReference"/>
        </w:rPr>
        <w:footnoteRef/>
      </w:r>
      <w:r>
        <w:t xml:space="preserve"> </w:t>
      </w:r>
      <w:r w:rsidRPr="00576915">
        <w:t>Exh</w:t>
      </w:r>
      <w:r>
        <w:t>ibit</w:t>
      </w:r>
      <w:r w:rsidRPr="00576915">
        <w:t xml:space="preserve"> PGE-1 at 15-4</w:t>
      </w:r>
      <w:r>
        <w:t>.</w:t>
      </w:r>
    </w:p>
  </w:footnote>
  <w:footnote w:id="57">
    <w:p w14:paraId="70C959A9" w14:textId="520ECC32" w:rsidR="00797913" w:rsidRDefault="00797913" w:rsidP="00797913">
      <w:pPr>
        <w:pStyle w:val="FootnoteText"/>
      </w:pPr>
      <w:r>
        <w:rPr>
          <w:rStyle w:val="FootnoteReference"/>
        </w:rPr>
        <w:footnoteRef/>
      </w:r>
      <w:r>
        <w:t xml:space="preserve"> PG&amp;E’s Fourth Supplemental Testimony</w:t>
      </w:r>
      <w:r w:rsidR="00656C78">
        <w:t>, December 14, 2021,</w:t>
      </w:r>
      <w:r>
        <w:t xml:space="preserve"> at 14.</w:t>
      </w:r>
    </w:p>
  </w:footnote>
  <w:footnote w:id="58">
    <w:p w14:paraId="77819902" w14:textId="77777777" w:rsidR="00797913" w:rsidRDefault="00797913" w:rsidP="00797913">
      <w:pPr>
        <w:pStyle w:val="FootnoteText"/>
      </w:pPr>
      <w:r>
        <w:rPr>
          <w:rStyle w:val="FootnoteReference"/>
        </w:rPr>
        <w:footnoteRef/>
      </w:r>
      <w:r>
        <w:t xml:space="preserve"> Opening Brief of the Joint CCAs at 28.</w:t>
      </w:r>
    </w:p>
  </w:footnote>
  <w:footnote w:id="59">
    <w:p w14:paraId="41D7E23B" w14:textId="77777777" w:rsidR="00797913" w:rsidRDefault="00797913" w:rsidP="00797913">
      <w:pPr>
        <w:pStyle w:val="FootnoteText"/>
      </w:pPr>
      <w:r>
        <w:rPr>
          <w:rStyle w:val="FootnoteReference"/>
        </w:rPr>
        <w:footnoteRef/>
      </w:r>
      <w:r>
        <w:t xml:space="preserve"> </w:t>
      </w:r>
      <w:r w:rsidRPr="00AD0AA7">
        <w:rPr>
          <w:i/>
          <w:iCs/>
        </w:rPr>
        <w:t>Ibid.</w:t>
      </w:r>
      <w:r>
        <w:t xml:space="preserve"> citing R.17-06-026, Opening Comments of California Community Choice Association on Data-Related PCIA Issues, pp. 27-29 (October 1, 2021).</w:t>
      </w:r>
    </w:p>
  </w:footnote>
  <w:footnote w:id="60">
    <w:p w14:paraId="120EB8B2" w14:textId="77777777" w:rsidR="00797913" w:rsidRDefault="00797913" w:rsidP="00797913">
      <w:pPr>
        <w:pStyle w:val="FootnoteText"/>
      </w:pPr>
      <w:r>
        <w:rPr>
          <w:rStyle w:val="FootnoteReference"/>
        </w:rPr>
        <w:footnoteRef/>
      </w:r>
      <w:r>
        <w:t xml:space="preserve"> Reply Brief of DACC at 2.</w:t>
      </w:r>
    </w:p>
  </w:footnote>
  <w:footnote w:id="61">
    <w:p w14:paraId="59D02E2C" w14:textId="77777777" w:rsidR="00797913" w:rsidRPr="00BB7F9D" w:rsidRDefault="00797913" w:rsidP="00797913">
      <w:pPr>
        <w:pStyle w:val="FootnoteText"/>
        <w:rPr>
          <w:szCs w:val="22"/>
        </w:rPr>
      </w:pPr>
      <w:r w:rsidRPr="00BB7F9D">
        <w:rPr>
          <w:rStyle w:val="FootnoteReference"/>
          <w:szCs w:val="22"/>
        </w:rPr>
        <w:footnoteRef/>
      </w:r>
      <w:r w:rsidRPr="00BB7F9D">
        <w:rPr>
          <w:szCs w:val="22"/>
        </w:rPr>
        <w:t xml:space="preserve"> Exh</w:t>
      </w:r>
      <w:r>
        <w:rPr>
          <w:szCs w:val="22"/>
        </w:rPr>
        <w:t>ibit</w:t>
      </w:r>
      <w:r w:rsidRPr="00BB7F9D">
        <w:rPr>
          <w:szCs w:val="22"/>
        </w:rPr>
        <w:t xml:space="preserve"> PGE-1 at 2-</w:t>
      </w:r>
      <w:r>
        <w:rPr>
          <w:szCs w:val="22"/>
        </w:rPr>
        <w:t>4</w:t>
      </w:r>
      <w:r w:rsidRPr="00BB7F9D">
        <w:rPr>
          <w:szCs w:val="22"/>
        </w:rPr>
        <w:t>.</w:t>
      </w:r>
    </w:p>
  </w:footnote>
  <w:footnote w:id="62">
    <w:p w14:paraId="22883FF4" w14:textId="77777777" w:rsidR="00797913" w:rsidRPr="00BB7F9D" w:rsidRDefault="00797913" w:rsidP="00797913">
      <w:pPr>
        <w:pStyle w:val="FootnoteText"/>
        <w:rPr>
          <w:szCs w:val="22"/>
        </w:rPr>
      </w:pPr>
      <w:r w:rsidRPr="00BB7F9D">
        <w:rPr>
          <w:rStyle w:val="FootnoteReference"/>
          <w:szCs w:val="22"/>
        </w:rPr>
        <w:footnoteRef/>
      </w:r>
      <w:r w:rsidRPr="00BB7F9D">
        <w:rPr>
          <w:szCs w:val="22"/>
        </w:rPr>
        <w:t xml:space="preserve"> Exh</w:t>
      </w:r>
      <w:r>
        <w:rPr>
          <w:szCs w:val="22"/>
        </w:rPr>
        <w:t>ibit</w:t>
      </w:r>
      <w:r w:rsidRPr="00BB7F9D">
        <w:rPr>
          <w:szCs w:val="22"/>
        </w:rPr>
        <w:t xml:space="preserve"> PGE-1 at 2-</w:t>
      </w:r>
      <w:r>
        <w:rPr>
          <w:szCs w:val="22"/>
        </w:rPr>
        <w:t>11 to 2-17.</w:t>
      </w:r>
    </w:p>
  </w:footnote>
  <w:footnote w:id="63">
    <w:p w14:paraId="600A31AE" w14:textId="2C106887" w:rsidR="00797913" w:rsidRDefault="00797913" w:rsidP="00797913">
      <w:pPr>
        <w:pStyle w:val="FootnoteText"/>
      </w:pPr>
      <w:r>
        <w:rPr>
          <w:rStyle w:val="FootnoteReference"/>
        </w:rPr>
        <w:footnoteRef/>
      </w:r>
      <w:r>
        <w:t xml:space="preserve"> </w:t>
      </w:r>
      <w:r w:rsidRPr="00BB7F9D">
        <w:rPr>
          <w:szCs w:val="22"/>
        </w:rPr>
        <w:t>Exh</w:t>
      </w:r>
      <w:r>
        <w:rPr>
          <w:szCs w:val="22"/>
        </w:rPr>
        <w:t>ibit</w:t>
      </w:r>
      <w:r w:rsidRPr="00BB7F9D">
        <w:rPr>
          <w:szCs w:val="22"/>
        </w:rPr>
        <w:t xml:space="preserve"> PGE-1 at 2-</w:t>
      </w:r>
      <w:r>
        <w:rPr>
          <w:szCs w:val="22"/>
        </w:rPr>
        <w:t>1.</w:t>
      </w:r>
    </w:p>
  </w:footnote>
  <w:footnote w:id="64">
    <w:p w14:paraId="0220C957" w14:textId="77777777" w:rsidR="00797913" w:rsidRDefault="00797913" w:rsidP="00797913">
      <w:pPr>
        <w:pStyle w:val="FootnoteText"/>
      </w:pPr>
      <w:r>
        <w:rPr>
          <w:rStyle w:val="FootnoteReference"/>
        </w:rPr>
        <w:footnoteRef/>
      </w:r>
      <w:r>
        <w:t xml:space="preserve"> November Update 24-25.</w:t>
      </w:r>
    </w:p>
  </w:footnote>
  <w:footnote w:id="65">
    <w:p w14:paraId="2C38F89F" w14:textId="1AA82DF8" w:rsidR="00BF361B" w:rsidRDefault="00BF361B">
      <w:pPr>
        <w:pStyle w:val="FootnoteText"/>
      </w:pPr>
      <w:r>
        <w:rPr>
          <w:rStyle w:val="FootnoteReference"/>
        </w:rPr>
        <w:footnoteRef/>
      </w:r>
      <w:r>
        <w:t xml:space="preserve"> </w:t>
      </w:r>
      <w:r w:rsidRPr="00537838">
        <w:t>Public Utility Regulatory Polic</w:t>
      </w:r>
      <w:r>
        <w:t>ies</w:t>
      </w:r>
      <w:r w:rsidRPr="00537838">
        <w:t xml:space="preserve"> Act</w:t>
      </w:r>
      <w:r w:rsidR="006043CA">
        <w:t>.</w:t>
      </w:r>
    </w:p>
  </w:footnote>
  <w:footnote w:id="66">
    <w:p w14:paraId="6114A00F" w14:textId="7C6B776F" w:rsidR="006043CA" w:rsidRDefault="006043CA">
      <w:pPr>
        <w:pStyle w:val="FootnoteText"/>
      </w:pPr>
      <w:r>
        <w:rPr>
          <w:rStyle w:val="FootnoteReference"/>
        </w:rPr>
        <w:footnoteRef/>
      </w:r>
      <w:r>
        <w:t xml:space="preserve"> Public Policy Charge Balancing Account.</w:t>
      </w:r>
    </w:p>
  </w:footnote>
  <w:footnote w:id="67">
    <w:p w14:paraId="1BB19BC8" w14:textId="77777777" w:rsidR="00797913" w:rsidRDefault="00797913" w:rsidP="00797913">
      <w:pPr>
        <w:pStyle w:val="FootnoteText"/>
      </w:pPr>
      <w:r>
        <w:rPr>
          <w:rStyle w:val="FootnoteReference"/>
        </w:rPr>
        <w:footnoteRef/>
      </w:r>
      <w:r>
        <w:t xml:space="preserve"> Exhibit PGE-1 at 14-3 and</w:t>
      </w:r>
      <w:r>
        <w:rPr>
          <w:rFonts w:eastAsia="Times New Roman" w:cs="Times New Roman"/>
          <w:szCs w:val="26"/>
        </w:rPr>
        <w:t xml:space="preserve"> </w:t>
      </w:r>
      <w:r>
        <w:t>November Update at 8.</w:t>
      </w:r>
    </w:p>
  </w:footnote>
  <w:footnote w:id="68">
    <w:p w14:paraId="07B2063A" w14:textId="44E11914" w:rsidR="00797913" w:rsidRDefault="00797913" w:rsidP="00797913">
      <w:pPr>
        <w:pStyle w:val="FootnoteText"/>
      </w:pPr>
      <w:r>
        <w:rPr>
          <w:rStyle w:val="FootnoteReference"/>
        </w:rPr>
        <w:footnoteRef/>
      </w:r>
      <w:r>
        <w:t xml:space="preserve"> </w:t>
      </w:r>
      <w:r w:rsidR="00A822FE">
        <w:rPr>
          <w:i/>
          <w:iCs/>
        </w:rPr>
        <w:t>Ibid</w:t>
      </w:r>
      <w:r>
        <w:rPr>
          <w:i/>
          <w:iCs/>
        </w:rPr>
        <w:t>.</w:t>
      </w:r>
      <w:r>
        <w:t xml:space="preserve"> at 14-2.</w:t>
      </w:r>
    </w:p>
  </w:footnote>
  <w:footnote w:id="69">
    <w:p w14:paraId="53A585E2" w14:textId="26BE9489" w:rsidR="00797913" w:rsidRDefault="00797913" w:rsidP="00797913">
      <w:pPr>
        <w:spacing w:line="240" w:lineRule="auto"/>
        <w:ind w:firstLine="0"/>
      </w:pPr>
      <w:r>
        <w:rPr>
          <w:rStyle w:val="FootnoteReference"/>
        </w:rPr>
        <w:footnoteRef/>
      </w:r>
      <w:r>
        <w:t xml:space="preserve"> </w:t>
      </w:r>
      <w:r w:rsidRPr="00A14467">
        <w:rPr>
          <w:sz w:val="22"/>
        </w:rPr>
        <w:t xml:space="preserve">D.21-12-036 </w:t>
      </w:r>
      <w:r>
        <w:rPr>
          <w:sz w:val="22"/>
        </w:rPr>
        <w:t xml:space="preserve">Ordering Paragraph (OP) 1 at 49 and OP 5 at 50. </w:t>
      </w:r>
      <w:r w:rsidRPr="00CA7B93">
        <w:rPr>
          <w:i/>
          <w:iCs/>
          <w:sz w:val="22"/>
        </w:rPr>
        <w:t xml:space="preserve">See </w:t>
      </w:r>
      <w:r>
        <w:rPr>
          <w:sz w:val="22"/>
        </w:rPr>
        <w:t xml:space="preserve">also D.21-12-036 </w:t>
      </w:r>
      <w:r w:rsidRPr="00A14467">
        <w:rPr>
          <w:sz w:val="22"/>
        </w:rPr>
        <w:t xml:space="preserve">at page </w:t>
      </w:r>
      <w:r>
        <w:rPr>
          <w:sz w:val="22"/>
        </w:rPr>
        <w:t>7: This decision grants</w:t>
      </w:r>
      <w:r w:rsidRPr="00A14467">
        <w:rPr>
          <w:rFonts w:cs="BookAntiqua"/>
          <w:sz w:val="22"/>
        </w:rPr>
        <w:t xml:space="preserve"> PG&amp;E permission to temporarily count those extra green resources towards the GTSR service but imposes an obligation for</w:t>
      </w:r>
      <w:r w:rsidRPr="00C77DE1">
        <w:rPr>
          <w:rFonts w:cs="BookAntiqua"/>
          <w:szCs w:val="26"/>
        </w:rPr>
        <w:t xml:space="preserve"> </w:t>
      </w:r>
      <w:r w:rsidRPr="00A14467">
        <w:rPr>
          <w:rFonts w:cs="BookAntiqua"/>
          <w:sz w:val="22"/>
        </w:rPr>
        <w:t>PG&amp;E to track those resources and procure and bring online new resources in an expedited timeframe. PG&amp;E must conduct GTSR solicitations to make up for the</w:t>
      </w:r>
      <w:r w:rsidRPr="00C77DE1">
        <w:rPr>
          <w:rFonts w:cs="BookAntiqua"/>
          <w:szCs w:val="26"/>
        </w:rPr>
        <w:t xml:space="preserve"> </w:t>
      </w:r>
      <w:r w:rsidRPr="00A14467">
        <w:rPr>
          <w:rFonts w:cs="BookAntiqua"/>
          <w:sz w:val="22"/>
        </w:rPr>
        <w:t>oversubscription which is temporarily</w:t>
      </w:r>
      <w:r>
        <w:rPr>
          <w:rFonts w:cs="BookAntiqua"/>
          <w:sz w:val="22"/>
        </w:rPr>
        <w:t xml:space="preserve"> served</w:t>
      </w:r>
      <w:r w:rsidRPr="00C77DE1">
        <w:rPr>
          <w:rFonts w:cs="BookAntiqua"/>
          <w:szCs w:val="26"/>
        </w:rPr>
        <w:t xml:space="preserve"> </w:t>
      </w:r>
      <w:r w:rsidRPr="00A14467">
        <w:rPr>
          <w:rFonts w:cs="BookAntiqua"/>
          <w:sz w:val="22"/>
        </w:rPr>
        <w:t>by existing green resources available in its RPS portfolio. PG&amp;E must stop enrolling new GTSR customers</w:t>
      </w:r>
      <w:r w:rsidRPr="00A14467">
        <w:rPr>
          <w:sz w:val="22"/>
        </w:rPr>
        <w:t xml:space="preserve"> </w:t>
      </w:r>
      <w:r w:rsidRPr="00A14467">
        <w:rPr>
          <w:rFonts w:cs="BookAntiqua"/>
          <w:sz w:val="22"/>
        </w:rPr>
        <w:t xml:space="preserve">until it has first brought new sources </w:t>
      </w:r>
      <w:r w:rsidRPr="000828C6">
        <w:rPr>
          <w:rFonts w:cs="BookAntiqua"/>
          <w:sz w:val="22"/>
        </w:rPr>
        <w:t>online</w:t>
      </w:r>
      <w:r>
        <w:rPr>
          <w:rFonts w:cs="BookAntiqua"/>
          <w:sz w:val="22"/>
        </w:rPr>
        <w:t>.</w:t>
      </w:r>
    </w:p>
  </w:footnote>
  <w:footnote w:id="70">
    <w:p w14:paraId="100E0C64" w14:textId="77777777" w:rsidR="00797913" w:rsidRDefault="00797913" w:rsidP="00797913">
      <w:pPr>
        <w:pStyle w:val="FootnoteText"/>
      </w:pPr>
      <w:r>
        <w:rPr>
          <w:rStyle w:val="FootnoteReference"/>
        </w:rPr>
        <w:footnoteRef/>
      </w:r>
      <w:r>
        <w:t xml:space="preserve"> Exhibit PGE-1 at 1-6. </w:t>
      </w:r>
    </w:p>
  </w:footnote>
  <w:footnote w:id="71">
    <w:p w14:paraId="1A90DBD7" w14:textId="77777777" w:rsidR="00675008" w:rsidRDefault="00675008" w:rsidP="00675008">
      <w:pPr>
        <w:pStyle w:val="FootnoteText"/>
      </w:pPr>
      <w:r>
        <w:rPr>
          <w:rStyle w:val="FootnoteReference"/>
        </w:rPr>
        <w:footnoteRef/>
      </w:r>
      <w:r>
        <w:t xml:space="preserve"> Exhibit PGE-3 at 21-22. </w:t>
      </w:r>
    </w:p>
  </w:footnote>
  <w:footnote w:id="72">
    <w:p w14:paraId="7EE98610" w14:textId="77777777" w:rsidR="00797913" w:rsidRPr="00C01C68" w:rsidRDefault="00797913" w:rsidP="00797913">
      <w:pPr>
        <w:pStyle w:val="FootnoteText"/>
        <w:rPr>
          <w:szCs w:val="22"/>
        </w:rPr>
      </w:pPr>
      <w:r w:rsidRPr="00C01C68">
        <w:rPr>
          <w:rStyle w:val="FootnoteReference"/>
          <w:szCs w:val="22"/>
        </w:rPr>
        <w:footnoteRef/>
      </w:r>
      <w:r w:rsidRPr="00C01C68">
        <w:rPr>
          <w:szCs w:val="22"/>
        </w:rPr>
        <w:t xml:space="preserve"> Exh</w:t>
      </w:r>
      <w:r>
        <w:rPr>
          <w:szCs w:val="22"/>
        </w:rPr>
        <w:t>ibit</w:t>
      </w:r>
      <w:r w:rsidRPr="00C01C68">
        <w:rPr>
          <w:szCs w:val="22"/>
        </w:rPr>
        <w:t xml:space="preserve"> PGE-1 at</w:t>
      </w:r>
      <w:r>
        <w:rPr>
          <w:szCs w:val="22"/>
        </w:rPr>
        <w:t xml:space="preserve"> Chapter 17</w:t>
      </w:r>
      <w:r w:rsidRPr="00C01C68">
        <w:rPr>
          <w:szCs w:val="22"/>
        </w:rPr>
        <w:t>.</w:t>
      </w:r>
    </w:p>
  </w:footnote>
  <w:footnote w:id="73">
    <w:p w14:paraId="5FC919A2" w14:textId="77777777" w:rsidR="00797913" w:rsidRPr="00AF0879" w:rsidRDefault="00797913" w:rsidP="00797913">
      <w:pPr>
        <w:pStyle w:val="FootnoteText"/>
        <w:rPr>
          <w:szCs w:val="22"/>
        </w:rPr>
      </w:pPr>
      <w:r w:rsidRPr="00C01C68">
        <w:rPr>
          <w:rStyle w:val="FootnoteReference"/>
          <w:szCs w:val="22"/>
        </w:rPr>
        <w:footnoteRef/>
      </w:r>
      <w:r w:rsidRPr="00C01C68">
        <w:rPr>
          <w:szCs w:val="22"/>
        </w:rPr>
        <w:t xml:space="preserve"> November Update at</w:t>
      </w:r>
      <w:r>
        <w:rPr>
          <w:szCs w:val="22"/>
        </w:rPr>
        <w:t xml:space="preserve"> 29-40 and 42</w:t>
      </w:r>
      <w:r w:rsidRPr="00C01C68">
        <w:rPr>
          <w:szCs w:val="22"/>
        </w:rPr>
        <w:t>.</w:t>
      </w:r>
    </w:p>
  </w:footnote>
  <w:footnote w:id="74">
    <w:p w14:paraId="40E94593" w14:textId="77777777" w:rsidR="00797913" w:rsidRDefault="00797913" w:rsidP="00797913">
      <w:pPr>
        <w:pStyle w:val="FootnoteText"/>
      </w:pPr>
      <w:r>
        <w:rPr>
          <w:rStyle w:val="FootnoteReference"/>
        </w:rPr>
        <w:footnoteRef/>
      </w:r>
      <w:r>
        <w:t xml:space="preserve"> November Update at 42.</w:t>
      </w:r>
    </w:p>
  </w:footnote>
  <w:footnote w:id="75">
    <w:p w14:paraId="501EFD8E" w14:textId="77777777" w:rsidR="00797913" w:rsidRDefault="00797913" w:rsidP="00797913">
      <w:pPr>
        <w:pStyle w:val="FootnoteText"/>
      </w:pPr>
      <w:r>
        <w:rPr>
          <w:rStyle w:val="FootnoteReference"/>
        </w:rPr>
        <w:footnoteRef/>
      </w:r>
      <w:r>
        <w:t xml:space="preserve"> </w:t>
      </w:r>
      <w:r w:rsidRPr="00665452">
        <w:rPr>
          <w:i/>
          <w:iCs/>
        </w:rPr>
        <w:t>Ibid.</w:t>
      </w:r>
      <w:r>
        <w:t xml:space="preserve"> at 42.</w:t>
      </w:r>
    </w:p>
  </w:footnote>
  <w:footnote w:id="76">
    <w:p w14:paraId="4FF212AB" w14:textId="77777777" w:rsidR="00797913" w:rsidRPr="00BB7F9D" w:rsidRDefault="00797913" w:rsidP="00797913">
      <w:pPr>
        <w:pStyle w:val="FootnoteText"/>
        <w:rPr>
          <w:szCs w:val="22"/>
        </w:rPr>
      </w:pPr>
      <w:r w:rsidRPr="00BB7F9D">
        <w:rPr>
          <w:rStyle w:val="FootnoteReference"/>
          <w:szCs w:val="22"/>
        </w:rPr>
        <w:footnoteRef/>
      </w:r>
      <w:r w:rsidRPr="00BB7F9D">
        <w:rPr>
          <w:szCs w:val="22"/>
        </w:rPr>
        <w:t xml:space="preserve">  November Update </w:t>
      </w:r>
      <w:r>
        <w:rPr>
          <w:szCs w:val="22"/>
        </w:rPr>
        <w:t>at 40 and 42</w:t>
      </w:r>
      <w:r w:rsidRPr="00BB7F9D">
        <w:rPr>
          <w:szCs w:val="22"/>
        </w:rPr>
        <w:t>.</w:t>
      </w:r>
    </w:p>
  </w:footnote>
  <w:footnote w:id="77">
    <w:p w14:paraId="14C2FB0C" w14:textId="5D3E42F0" w:rsidR="00797913" w:rsidRPr="00BB7F9D" w:rsidRDefault="00797913" w:rsidP="00797913">
      <w:pPr>
        <w:pStyle w:val="FootnoteText"/>
        <w:rPr>
          <w:szCs w:val="22"/>
        </w:rPr>
      </w:pPr>
      <w:r w:rsidRPr="00BB7F9D">
        <w:rPr>
          <w:rStyle w:val="FootnoteReference"/>
          <w:szCs w:val="22"/>
        </w:rPr>
        <w:footnoteRef/>
      </w:r>
      <w:r w:rsidRPr="00BB7F9D">
        <w:rPr>
          <w:szCs w:val="22"/>
        </w:rPr>
        <w:t xml:space="preserve"> November Update at 30.</w:t>
      </w:r>
    </w:p>
  </w:footnote>
  <w:footnote w:id="78">
    <w:p w14:paraId="1725B56E" w14:textId="77777777" w:rsidR="00797913" w:rsidRDefault="00797913" w:rsidP="00797913">
      <w:pPr>
        <w:pStyle w:val="FootnoteText"/>
      </w:pPr>
      <w:r>
        <w:rPr>
          <w:rStyle w:val="FootnoteReference"/>
        </w:rPr>
        <w:footnoteRef/>
      </w:r>
      <w:r>
        <w:t xml:space="preserve"> November Update at 37.</w:t>
      </w:r>
    </w:p>
  </w:footnote>
  <w:footnote w:id="79">
    <w:p w14:paraId="1CAE0E09" w14:textId="77777777" w:rsidR="00797913" w:rsidRDefault="00797913" w:rsidP="00797913">
      <w:pPr>
        <w:pStyle w:val="FootnoteText"/>
      </w:pPr>
      <w:r>
        <w:rPr>
          <w:rStyle w:val="FootnoteReference"/>
        </w:rPr>
        <w:footnoteRef/>
      </w:r>
      <w:r>
        <w:t xml:space="preserve"> November Update at 32.</w:t>
      </w:r>
    </w:p>
  </w:footnote>
  <w:footnote w:id="80">
    <w:p w14:paraId="5C5D3746" w14:textId="77777777" w:rsidR="00797913" w:rsidRDefault="00797913" w:rsidP="00797913">
      <w:pPr>
        <w:pStyle w:val="FootnoteText"/>
      </w:pPr>
      <w:r>
        <w:rPr>
          <w:rStyle w:val="FootnoteReference"/>
        </w:rPr>
        <w:footnoteRef/>
      </w:r>
      <w:r>
        <w:t xml:space="preserve"> November Update at 37.</w:t>
      </w:r>
    </w:p>
  </w:footnote>
  <w:footnote w:id="81">
    <w:p w14:paraId="7F1E679F" w14:textId="68FC9518" w:rsidR="00797913" w:rsidRDefault="00797913" w:rsidP="00797913">
      <w:pPr>
        <w:pStyle w:val="FootnoteText"/>
      </w:pPr>
      <w:r>
        <w:rPr>
          <w:rStyle w:val="FootnoteReference"/>
        </w:rPr>
        <w:footnoteRef/>
      </w:r>
      <w:r>
        <w:t xml:space="preserve"> </w:t>
      </w:r>
      <w:r w:rsidR="00DC4536">
        <w:rPr>
          <w:i/>
          <w:iCs/>
        </w:rPr>
        <w:t>Ibid</w:t>
      </w:r>
      <w:r>
        <w:t>.</w:t>
      </w:r>
    </w:p>
  </w:footnote>
  <w:footnote w:id="82">
    <w:p w14:paraId="4C7A2DE1" w14:textId="77777777" w:rsidR="00797913" w:rsidRDefault="00797913" w:rsidP="00797913">
      <w:pPr>
        <w:pStyle w:val="FootnoteText"/>
      </w:pPr>
      <w:r>
        <w:rPr>
          <w:rStyle w:val="FootnoteReference"/>
        </w:rPr>
        <w:footnoteRef/>
      </w:r>
      <w:r>
        <w:t xml:space="preserve"> </w:t>
      </w:r>
      <w:r>
        <w:rPr>
          <w:i/>
          <w:iCs/>
        </w:rPr>
        <w:t xml:space="preserve">See </w:t>
      </w:r>
      <w:r>
        <w:t>D. 21-08-026, Findings of Fact (FOF) 40, OP 6.</w:t>
      </w:r>
    </w:p>
  </w:footnote>
  <w:footnote w:id="83">
    <w:p w14:paraId="063EF8F8" w14:textId="77777777" w:rsidR="00797913" w:rsidRDefault="00797913" w:rsidP="00797913">
      <w:pPr>
        <w:pStyle w:val="FootnoteText"/>
      </w:pPr>
      <w:r>
        <w:rPr>
          <w:rStyle w:val="FootnoteReference"/>
        </w:rPr>
        <w:footnoteRef/>
      </w:r>
      <w:r>
        <w:t xml:space="preserve"> November Update at 29-30.</w:t>
      </w:r>
    </w:p>
  </w:footnote>
  <w:footnote w:id="84">
    <w:p w14:paraId="38E1E89C" w14:textId="77777777" w:rsidR="00797913" w:rsidRDefault="00797913" w:rsidP="00797913">
      <w:pPr>
        <w:pStyle w:val="FootnoteText"/>
      </w:pPr>
      <w:r>
        <w:rPr>
          <w:rStyle w:val="FootnoteReference"/>
        </w:rPr>
        <w:footnoteRef/>
      </w:r>
      <w:r>
        <w:t xml:space="preserve"> November Update at 27-28.</w:t>
      </w:r>
    </w:p>
  </w:footnote>
  <w:footnote w:id="85">
    <w:p w14:paraId="4DA56A15" w14:textId="77777777" w:rsidR="00797913" w:rsidRDefault="00797913" w:rsidP="00797913">
      <w:pPr>
        <w:pStyle w:val="FootnoteText"/>
      </w:pPr>
      <w:r>
        <w:rPr>
          <w:rStyle w:val="FootnoteReference"/>
        </w:rPr>
        <w:footnoteRef/>
      </w:r>
      <w:r>
        <w:t xml:space="preserve"> November Update at 28-29.</w:t>
      </w:r>
    </w:p>
  </w:footnote>
  <w:footnote w:id="86">
    <w:p w14:paraId="5DE3976C" w14:textId="77777777" w:rsidR="00797913" w:rsidRDefault="00797913" w:rsidP="00797913">
      <w:pPr>
        <w:pStyle w:val="FootnoteText"/>
      </w:pPr>
      <w:r>
        <w:rPr>
          <w:rStyle w:val="FootnoteReference"/>
        </w:rPr>
        <w:footnoteRef/>
      </w:r>
      <w:r>
        <w:t xml:space="preserve"> November Update at 8, fn. 10.</w:t>
      </w:r>
    </w:p>
  </w:footnote>
  <w:footnote w:id="87">
    <w:p w14:paraId="7F34E45F" w14:textId="77777777" w:rsidR="00797913" w:rsidRDefault="00797913" w:rsidP="00797913">
      <w:pPr>
        <w:pStyle w:val="FootnoteText"/>
      </w:pPr>
      <w:r>
        <w:rPr>
          <w:rStyle w:val="FootnoteReference"/>
        </w:rPr>
        <w:footnoteRef/>
      </w:r>
      <w:r>
        <w:t xml:space="preserve"> November Update at 8, fn. 10.</w:t>
      </w:r>
    </w:p>
  </w:footnote>
  <w:footnote w:id="88">
    <w:p w14:paraId="2B29FE0F" w14:textId="77777777" w:rsidR="00797913" w:rsidRDefault="00797913" w:rsidP="00797913">
      <w:pPr>
        <w:pStyle w:val="FootnoteText"/>
      </w:pPr>
      <w:r>
        <w:rPr>
          <w:rStyle w:val="FootnoteReference"/>
        </w:rPr>
        <w:footnoteRef/>
      </w:r>
      <w:r>
        <w:t xml:space="preserve"> November Update at 9. </w:t>
      </w:r>
    </w:p>
  </w:footnote>
  <w:footnote w:id="89">
    <w:p w14:paraId="05044E82" w14:textId="77777777" w:rsidR="00797913" w:rsidRPr="00087261" w:rsidRDefault="00797913" w:rsidP="00797913">
      <w:pPr>
        <w:pStyle w:val="FootnoteText"/>
      </w:pPr>
      <w:r>
        <w:rPr>
          <w:rStyle w:val="FootnoteReference"/>
        </w:rPr>
        <w:footnoteRef/>
      </w:r>
      <w:r>
        <w:t xml:space="preserve"> </w:t>
      </w:r>
      <w:r>
        <w:rPr>
          <w:i/>
          <w:iCs/>
        </w:rPr>
        <w:t>Ibid.</w:t>
      </w:r>
      <w:r>
        <w:t xml:space="preserve"> at 9.</w:t>
      </w:r>
    </w:p>
  </w:footnote>
  <w:footnote w:id="90">
    <w:p w14:paraId="11448887" w14:textId="77777777" w:rsidR="00797913" w:rsidRDefault="00797913" w:rsidP="00797913">
      <w:pPr>
        <w:pStyle w:val="FootnoteText"/>
      </w:pPr>
      <w:r>
        <w:rPr>
          <w:rStyle w:val="FootnoteReference"/>
        </w:rPr>
        <w:footnoteRef/>
      </w:r>
      <w:r>
        <w:t xml:space="preserve"> PG&amp;E’s Fourth Supplemental Testimony, Appendix D: December Update Tables (Assumes GTSR Proposed Decision is Adopted), Tables 14-2 and 14-4.</w:t>
      </w:r>
    </w:p>
  </w:footnote>
  <w:footnote w:id="91">
    <w:p w14:paraId="0D365878" w14:textId="5AAF0748" w:rsidR="00797913" w:rsidRDefault="00797913" w:rsidP="00797913">
      <w:pPr>
        <w:pStyle w:val="FootnoteText"/>
      </w:pPr>
      <w:r>
        <w:rPr>
          <w:rStyle w:val="FootnoteReference"/>
        </w:rPr>
        <w:footnoteRef/>
      </w:r>
      <w:r>
        <w:t xml:space="preserve"> Comments of the </w:t>
      </w:r>
      <w:r w:rsidRPr="001C1FDC">
        <w:t xml:space="preserve">Joint </w:t>
      </w:r>
      <w:r>
        <w:t xml:space="preserve">CCAs, </w:t>
      </w:r>
      <w:r>
        <w:rPr>
          <w:rFonts w:ascii="TimesNewRomanPSMT" w:hAnsi="TimesNewRomanPSMT" w:cs="TimesNewRomanPSMT"/>
          <w:sz w:val="24"/>
          <w:szCs w:val="24"/>
        </w:rPr>
        <w:t>November 18, 2021, at 10.</w:t>
      </w:r>
    </w:p>
  </w:footnote>
  <w:footnote w:id="92">
    <w:p w14:paraId="78ECBA9F" w14:textId="3CF0AAF0" w:rsidR="00797913" w:rsidRDefault="00797913" w:rsidP="00797913">
      <w:pPr>
        <w:pStyle w:val="FootnoteText"/>
      </w:pPr>
      <w:r>
        <w:rPr>
          <w:rStyle w:val="FootnoteReference"/>
        </w:rPr>
        <w:footnoteRef/>
      </w:r>
      <w:r>
        <w:t xml:space="preserve"> PG&amp;E’s Response to Motion to Compel Discover at 3, citing, Settlement Agreement Between PG&amp;E, the California Community Choice Association, the Joint Community Choice Aggregators, and The Utility Reform Network, dated November 20, 2021, Terms and Conditions item 3, p. 4 (indicating PG&amp;E’s agreement as a Settling Party to provide additional information to ERRA Forecast parties). While D.20-12-038 did not adopt the Settlement Agreement, PG&amp;E continued to support the establishment of an MDR process to address transparency concerns. Such process was ultimately adopted in COL 11 of D.20-12-038.</w:t>
      </w:r>
    </w:p>
  </w:footnote>
  <w:footnote w:id="93">
    <w:p w14:paraId="2CC06D75" w14:textId="77777777" w:rsidR="00797913" w:rsidRDefault="00797913" w:rsidP="00797913">
      <w:pPr>
        <w:pStyle w:val="FootnoteText"/>
      </w:pPr>
      <w:r>
        <w:rPr>
          <w:rStyle w:val="FootnoteReference"/>
        </w:rPr>
        <w:footnoteRef/>
      </w:r>
      <w:r>
        <w:t xml:space="preserve"> Motion to Compel Discovery of the Joint CCAs at 1.</w:t>
      </w:r>
    </w:p>
  </w:footnote>
  <w:footnote w:id="94">
    <w:p w14:paraId="6D33F98B" w14:textId="77777777" w:rsidR="00797913" w:rsidRDefault="00797913" w:rsidP="00797913">
      <w:pPr>
        <w:pStyle w:val="FootnoteText"/>
      </w:pPr>
      <w:r>
        <w:rPr>
          <w:rStyle w:val="FootnoteReference"/>
        </w:rPr>
        <w:footnoteRef/>
      </w:r>
      <w:r>
        <w:t xml:space="preserve"> Opening Brief of PG&amp;E at 34, citing Pub. Util. Code § 454.5(d)(3).</w:t>
      </w:r>
    </w:p>
  </w:footnote>
  <w:footnote w:id="95">
    <w:p w14:paraId="7DF933BE" w14:textId="520694BB" w:rsidR="00797913" w:rsidRDefault="00797913" w:rsidP="00797913">
      <w:pPr>
        <w:pStyle w:val="FootnoteText"/>
      </w:pPr>
      <w:r>
        <w:rPr>
          <w:rStyle w:val="FootnoteReference"/>
        </w:rPr>
        <w:footnoteRef/>
      </w:r>
      <w:r>
        <w:t xml:space="preserve"> </w:t>
      </w:r>
      <w:r w:rsidR="00D73C26">
        <w:t xml:space="preserve">Exhibit JCCA-01 at 40 and </w:t>
      </w:r>
      <w:r>
        <w:t xml:space="preserve">Opening Brief </w:t>
      </w:r>
      <w:r w:rsidR="00C54497">
        <w:t xml:space="preserve">of the Joint CCAs </w:t>
      </w:r>
      <w:r>
        <w:t xml:space="preserve">at </w:t>
      </w:r>
      <w:r w:rsidR="00C54497">
        <w:t>1</w:t>
      </w:r>
      <w:r>
        <w:t>6.</w:t>
      </w:r>
    </w:p>
  </w:footnote>
  <w:footnote w:id="96">
    <w:p w14:paraId="5C42EFBD" w14:textId="77777777" w:rsidR="00797913" w:rsidRDefault="00797913" w:rsidP="00797913">
      <w:pPr>
        <w:pStyle w:val="FootnoteText"/>
      </w:pPr>
      <w:r>
        <w:rPr>
          <w:rStyle w:val="FootnoteReference"/>
        </w:rPr>
        <w:footnoteRef/>
      </w:r>
      <w:r>
        <w:t xml:space="preserve"> Exhibit JCCA-01 at 40.</w:t>
      </w:r>
    </w:p>
  </w:footnote>
  <w:footnote w:id="97">
    <w:p w14:paraId="0EF41F46" w14:textId="6184AA71" w:rsidR="00797913" w:rsidRDefault="00797913" w:rsidP="00797913">
      <w:pPr>
        <w:pStyle w:val="FootnoteText"/>
      </w:pPr>
      <w:r w:rsidRPr="00850D63">
        <w:rPr>
          <w:rStyle w:val="FootnoteReference"/>
          <w:i/>
          <w:iCs/>
        </w:rPr>
        <w:footnoteRef/>
      </w:r>
      <w:r>
        <w:t xml:space="preserve"> </w:t>
      </w:r>
      <w:r w:rsidR="00D73C26">
        <w:rPr>
          <w:i/>
          <w:iCs/>
        </w:rPr>
        <w:t>Ibid.</w:t>
      </w:r>
      <w:r>
        <w:t xml:space="preserve"> at 41.</w:t>
      </w:r>
    </w:p>
  </w:footnote>
  <w:footnote w:id="98">
    <w:p w14:paraId="46606C56" w14:textId="398B8918" w:rsidR="00797913" w:rsidRDefault="00797913" w:rsidP="00797913">
      <w:pPr>
        <w:pStyle w:val="FootnoteText"/>
      </w:pPr>
      <w:r>
        <w:rPr>
          <w:rStyle w:val="FootnoteReference"/>
        </w:rPr>
        <w:footnoteRef/>
      </w:r>
      <w:r>
        <w:t xml:space="preserve"> </w:t>
      </w:r>
      <w:r w:rsidRPr="00311B74">
        <w:rPr>
          <w:i/>
          <w:iCs/>
        </w:rPr>
        <w:t>Ibid.</w:t>
      </w:r>
    </w:p>
  </w:footnote>
  <w:footnote w:id="99">
    <w:p w14:paraId="7C290A03" w14:textId="613D610A" w:rsidR="00797913" w:rsidRDefault="00797913" w:rsidP="00797913">
      <w:pPr>
        <w:pStyle w:val="FootnoteText"/>
      </w:pPr>
      <w:r>
        <w:rPr>
          <w:rStyle w:val="FootnoteReference"/>
        </w:rPr>
        <w:footnoteRef/>
      </w:r>
      <w:r>
        <w:t xml:space="preserve"> Opening Brief of PG&amp;E at 35</w:t>
      </w:r>
      <w:r w:rsidR="0017406F">
        <w:t>-37 and Reply Brief of PG&amp;E at 11-13</w:t>
      </w:r>
      <w:r>
        <w:t>.</w:t>
      </w:r>
    </w:p>
  </w:footnote>
  <w:footnote w:id="100">
    <w:p w14:paraId="4D720F13" w14:textId="77777777" w:rsidR="00797913" w:rsidRPr="00E51C4C" w:rsidRDefault="00797913" w:rsidP="00797913">
      <w:pPr>
        <w:pStyle w:val="FootnoteText"/>
        <w:rPr>
          <w:szCs w:val="22"/>
        </w:rPr>
      </w:pPr>
      <w:r w:rsidRPr="00E51C4C">
        <w:rPr>
          <w:rStyle w:val="FootnoteReference"/>
          <w:szCs w:val="22"/>
        </w:rPr>
        <w:footnoteRef/>
      </w:r>
      <w:r w:rsidRPr="00E51C4C">
        <w:rPr>
          <w:szCs w:val="22"/>
        </w:rPr>
        <w:t xml:space="preserve"> AB 32 </w:t>
      </w:r>
      <w:r>
        <w:rPr>
          <w:szCs w:val="22"/>
        </w:rPr>
        <w:t>§</w:t>
      </w:r>
      <w:r w:rsidRPr="00E51C4C">
        <w:rPr>
          <w:szCs w:val="22"/>
        </w:rPr>
        <w:t xml:space="preserve"> 38501(a).</w:t>
      </w:r>
    </w:p>
  </w:footnote>
  <w:footnote w:id="101">
    <w:p w14:paraId="2BB91AA7" w14:textId="389AD4EB" w:rsidR="00797913" w:rsidRPr="002223E6" w:rsidRDefault="00797913" w:rsidP="00797913">
      <w:pPr>
        <w:pStyle w:val="FootnoteText"/>
      </w:pPr>
      <w:r>
        <w:rPr>
          <w:rStyle w:val="FootnoteReference"/>
        </w:rPr>
        <w:footnoteRef/>
      </w:r>
      <w:r>
        <w:t xml:space="preserve"> The ESJ Action plan is available as of this writing at </w:t>
      </w:r>
      <w:hyperlink r:id="rId1" w:history="1">
        <w:r>
          <w:rPr>
            <w:rStyle w:val="Hyperlink"/>
          </w:rPr>
          <w:t>http://www.cpuc.ca.gov/uploadedFiles/CPUCWebsite/Content/UtilitiesIndustries/Energy/EnergyPrograms/Infrastructure/DC/Env%20and%20Social%20Justice%20ActionPlan_%202019-02-21.docx.pdf</w:t>
        </w:r>
      </w:hyperlink>
      <w:r w:rsidR="002223E6">
        <w:rPr>
          <w:rStyle w:val="Hyperlink"/>
          <w:u w:val="none"/>
        </w:rPr>
        <w:t>.</w:t>
      </w:r>
    </w:p>
  </w:footnote>
  <w:footnote w:id="102">
    <w:p w14:paraId="77404ED5" w14:textId="68406F73" w:rsidR="00797913" w:rsidRDefault="00797913" w:rsidP="00797913">
      <w:pPr>
        <w:pStyle w:val="FootnoteText"/>
      </w:pPr>
      <w:r>
        <w:rPr>
          <w:rStyle w:val="FootnoteReference"/>
        </w:rPr>
        <w:footnoteRef/>
      </w:r>
      <w:r>
        <w:t xml:space="preserve"> The Commission adopted a Safety Policy Statement and declared its ultimate safety goal as “</w:t>
      </w:r>
      <w:r w:rsidR="009B63BA">
        <w:t> </w:t>
      </w:r>
      <w:r>
        <w:t>. . . zero accidents and injuries across all the utilities and businesses we regulate, and within our own workplace.” (Adopted July 10,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08BFC" w14:textId="77777777" w:rsidR="00F92385" w:rsidRDefault="00F92385" w:rsidP="007E0FEE">
    <w:pPr>
      <w:pStyle w:val="Header"/>
      <w:tabs>
        <w:tab w:val="clear" w:pos="4680"/>
      </w:tabs>
      <w:ind w:firstLine="0"/>
      <w:jc w:val="center"/>
      <w:rPr>
        <w:b/>
      </w:rPr>
    </w:pPr>
    <w:r w:rsidRPr="00F92385">
      <w:rPr>
        <w:i/>
        <w:color w:val="FF0000"/>
        <w:sz w:val="20"/>
        <w:szCs w:val="20"/>
      </w:rPr>
      <w:t xml:space="preserve">Internal Review Draft; Subject to </w:t>
    </w:r>
    <w:r w:rsidRPr="00F92385">
      <w:rPr>
        <w:b/>
        <w:i/>
        <w:color w:val="FF0000"/>
        <w:sz w:val="20"/>
        <w:szCs w:val="20"/>
      </w:rPr>
      <w:t>ALJ Division Review</w:t>
    </w:r>
    <w:r w:rsidRPr="00F92385">
      <w:rPr>
        <w:i/>
        <w:color w:val="FF0000"/>
        <w:sz w:val="20"/>
        <w:szCs w:val="20"/>
      </w:rPr>
      <w:t xml:space="preserve"> /</w:t>
    </w:r>
    <w:r w:rsidRPr="00585390">
      <w:rPr>
        <w:color w:val="FF0000"/>
        <w:sz w:val="20"/>
        <w:szCs w:val="20"/>
      </w:rPr>
      <w:t xml:space="preserve"> </w:t>
    </w:r>
    <w:r w:rsidRPr="00F92385">
      <w:rPr>
        <w:b/>
        <w:color w:val="FF0000"/>
        <w:sz w:val="20"/>
        <w:szCs w:val="20"/>
      </w:rPr>
      <w:t>CONFIDENTIA</w:t>
    </w:r>
    <w:r w:rsidRPr="008F0116">
      <w:rPr>
        <w:b/>
        <w:color w:val="FF0000"/>
        <w:sz w:val="20"/>
        <w:szCs w:val="20"/>
      </w:rPr>
      <w:t>L;</w:t>
    </w:r>
    <w:r w:rsidRPr="008F0116">
      <w:rPr>
        <w:color w:val="FF0000"/>
        <w:sz w:val="20"/>
        <w:szCs w:val="20"/>
      </w:rPr>
      <w:t xml:space="preserve"> </w:t>
    </w:r>
    <w:r w:rsidRPr="008F0116">
      <w:rPr>
        <w:i/>
        <w:color w:val="FF0000"/>
        <w:sz w:val="20"/>
        <w:szCs w:val="20"/>
      </w:rPr>
      <w:t>Deliberative Process Privilege</w:t>
    </w:r>
    <w:r w:rsidRPr="008F0116">
      <w:br/>
    </w:r>
    <w:r>
      <w:t>X.XX-XX-XXX  ^^^/^^^/^^^</w:t>
    </w:r>
    <w:r w:rsidR="007E0FEE">
      <w:tab/>
    </w:r>
    <w:r>
      <w:rPr>
        <w:b/>
      </w:rPr>
      <w:t>PROPOSED DECISION</w:t>
    </w:r>
  </w:p>
  <w:p w14:paraId="59B71F28" w14:textId="77777777" w:rsidR="00F92385" w:rsidRPr="00585390" w:rsidRDefault="00F92385" w:rsidP="00F92385">
    <w:pPr>
      <w:pStyle w:val="Header"/>
      <w:ind w:firstLine="0"/>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9C32" w14:textId="0A07442F" w:rsidR="00F92385" w:rsidRPr="00BA181A" w:rsidRDefault="00F92385" w:rsidP="00BA181A">
    <w:pPr>
      <w:pStyle w:val="Header"/>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AAE3" w14:textId="7FFB3473" w:rsidR="00D177FF" w:rsidRDefault="00797913" w:rsidP="00D177FF">
    <w:pPr>
      <w:tabs>
        <w:tab w:val="right" w:pos="9360"/>
      </w:tabs>
      <w:spacing w:line="240" w:lineRule="auto"/>
      <w:ind w:firstLine="0"/>
      <w:rPr>
        <w:b/>
        <w:szCs w:val="26"/>
      </w:rPr>
    </w:pPr>
    <w:r>
      <w:t>A.21-06-001</w:t>
    </w:r>
    <w:r w:rsidR="00D177FF" w:rsidRPr="00D177FF">
      <w:t xml:space="preserve">  ALJ/</w:t>
    </w:r>
    <w:r>
      <w:t>SNE</w:t>
    </w:r>
    <w:r w:rsidR="00D177FF" w:rsidRPr="00D177FF">
      <w:t>/</w:t>
    </w:r>
    <w:proofErr w:type="spellStart"/>
    <w:r w:rsidR="00D177FF" w:rsidRPr="00D177FF">
      <w:t>lil</w:t>
    </w:r>
    <w:proofErr w:type="spellEnd"/>
  </w:p>
  <w:p w14:paraId="165A76C3" w14:textId="278AE5BE" w:rsidR="00BA181A" w:rsidRDefault="00BA181A" w:rsidP="00D177FF">
    <w:pPr>
      <w:tabs>
        <w:tab w:val="right" w:pos="9360"/>
      </w:tabs>
      <w:spacing w:line="240" w:lineRule="auto"/>
      <w:ind w:firstLine="0"/>
      <w:rPr>
        <w:b/>
        <w:szCs w:val="26"/>
      </w:rPr>
    </w:pPr>
  </w:p>
  <w:p w14:paraId="169C67C4" w14:textId="77777777" w:rsidR="00BA181A" w:rsidRPr="00D177FF" w:rsidRDefault="00BA181A" w:rsidP="00D177FF">
    <w:pPr>
      <w:tabs>
        <w:tab w:val="right" w:pos="9360"/>
      </w:tabs>
      <w:spacing w:line="240" w:lineRule="auto"/>
      <w:ind w:firstLine="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352B17"/>
    <w:multiLevelType w:val="multilevel"/>
    <w:tmpl w:val="A504F654"/>
    <w:lvl w:ilvl="0">
      <w:start w:val="6"/>
      <w:numFmt w:val="decimal"/>
      <w:pStyle w:val="Heading1"/>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146C1C14"/>
    <w:multiLevelType w:val="multilevel"/>
    <w:tmpl w:val="18F4A5AC"/>
    <w:styleLink w:val="FoFCoLOP"/>
    <w:lvl w:ilvl="0">
      <w:start w:val="1"/>
      <w:numFmt w:val="decimal"/>
      <w:lvlText w:val="%1."/>
      <w:lvlJc w:val="right"/>
      <w:pPr>
        <w:ind w:left="0" w:firstLine="540"/>
      </w:pPr>
      <w:rPr>
        <w:rFonts w:hint="default"/>
      </w:rPr>
    </w:lvl>
    <w:lvl w:ilvl="1">
      <w:start w:val="1"/>
      <w:numFmt w:val="lowerLetter"/>
      <w:lvlText w:val="(%2)"/>
      <w:lvlJc w:val="right"/>
      <w:pPr>
        <w:ind w:left="1692" w:hanging="72"/>
      </w:pPr>
      <w:rPr>
        <w:rFonts w:hint="default"/>
      </w:rPr>
    </w:lvl>
    <w:lvl w:ilvl="2">
      <w:start w:val="1"/>
      <w:numFmt w:val="none"/>
      <w:lvlText w:val=""/>
      <w:lvlJc w:val="left"/>
      <w:pPr>
        <w:ind w:left="1260" w:firstLine="0"/>
      </w:pPr>
      <w:rPr>
        <w:rFonts w:hint="default"/>
      </w:rPr>
    </w:lvl>
    <w:lvl w:ilvl="3">
      <w:start w:val="1"/>
      <w:numFmt w:val="none"/>
      <w:lvlText w:val=""/>
      <w:lvlJc w:val="left"/>
      <w:pPr>
        <w:ind w:left="1260" w:firstLine="0"/>
      </w:pPr>
      <w:rPr>
        <w:rFonts w:hint="default"/>
      </w:rPr>
    </w:lvl>
    <w:lvl w:ilvl="4">
      <w:start w:val="1"/>
      <w:numFmt w:val="none"/>
      <w:lvlText w:val=""/>
      <w:lvlJc w:val="left"/>
      <w:pPr>
        <w:ind w:left="1260" w:firstLine="0"/>
      </w:pPr>
      <w:rPr>
        <w:rFonts w:hint="default"/>
      </w:rPr>
    </w:lvl>
    <w:lvl w:ilvl="5">
      <w:start w:val="1"/>
      <w:numFmt w:val="none"/>
      <w:lvlText w:val=""/>
      <w:lvlJc w:val="left"/>
      <w:pPr>
        <w:ind w:left="1260" w:firstLine="0"/>
      </w:pPr>
      <w:rPr>
        <w:rFonts w:hint="default"/>
      </w:rPr>
    </w:lvl>
    <w:lvl w:ilvl="6">
      <w:start w:val="1"/>
      <w:numFmt w:val="none"/>
      <w:lvlText w:val=""/>
      <w:lvlJc w:val="left"/>
      <w:pPr>
        <w:ind w:left="1260" w:firstLine="0"/>
      </w:pPr>
      <w:rPr>
        <w:rFonts w:hint="default"/>
      </w:rPr>
    </w:lvl>
    <w:lvl w:ilvl="7">
      <w:start w:val="1"/>
      <w:numFmt w:val="none"/>
      <w:lvlText w:val=""/>
      <w:lvlJc w:val="left"/>
      <w:pPr>
        <w:ind w:left="1260" w:firstLine="0"/>
      </w:pPr>
      <w:rPr>
        <w:rFonts w:hint="default"/>
      </w:rPr>
    </w:lvl>
    <w:lvl w:ilvl="8">
      <w:start w:val="1"/>
      <w:numFmt w:val="none"/>
      <w:lvlText w:val=""/>
      <w:lvlJc w:val="left"/>
      <w:pPr>
        <w:ind w:left="1260" w:firstLine="0"/>
      </w:pPr>
      <w:rPr>
        <w:rFonts w:hint="default"/>
      </w:rPr>
    </w:lvl>
  </w:abstractNum>
  <w:abstractNum w:abstractNumId="3" w15:restartNumberingAfterBreak="0">
    <w:nsid w:val="15F056CB"/>
    <w:multiLevelType w:val="multilevel"/>
    <w:tmpl w:val="18F4A5AC"/>
    <w:numStyleLink w:val="FoFCoLOP"/>
  </w:abstractNum>
  <w:abstractNum w:abstractNumId="4" w15:restartNumberingAfterBreak="0">
    <w:nsid w:val="331F6D42"/>
    <w:multiLevelType w:val="multilevel"/>
    <w:tmpl w:val="3C526EDE"/>
    <w:styleLink w:val="Headings"/>
    <w:lvl w:ilvl="0">
      <w:start w:val="1"/>
      <w:numFmt w:val="decimal"/>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5" w15:restartNumberingAfterBreak="0">
    <w:nsid w:val="47097807"/>
    <w:multiLevelType w:val="multilevel"/>
    <w:tmpl w:val="8EDE79F8"/>
    <w:lvl w:ilvl="0">
      <w:start w:val="1"/>
      <w:numFmt w:val="decimal"/>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2"/>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6" w15:restartNumberingAfterBreak="0">
    <w:nsid w:val="47315788"/>
    <w:multiLevelType w:val="hybridMultilevel"/>
    <w:tmpl w:val="AB4615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2CE00BF"/>
    <w:multiLevelType w:val="hybridMultilevel"/>
    <w:tmpl w:val="351A95E8"/>
    <w:lvl w:ilvl="0" w:tplc="FCCE0A4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9D042D7"/>
    <w:multiLevelType w:val="multilevel"/>
    <w:tmpl w:val="18F4A5AC"/>
    <w:numStyleLink w:val="FoFCoLOP"/>
  </w:abstractNum>
  <w:abstractNum w:abstractNumId="9" w15:restartNumberingAfterBreak="0">
    <w:nsid w:val="5A9E2171"/>
    <w:multiLevelType w:val="multilevel"/>
    <w:tmpl w:val="3C526EDE"/>
    <w:numStyleLink w:val="Headings"/>
  </w:abstractNum>
  <w:abstractNum w:abstractNumId="10" w15:restartNumberingAfterBreak="0">
    <w:nsid w:val="615547A3"/>
    <w:multiLevelType w:val="multilevel"/>
    <w:tmpl w:val="F098ADEE"/>
    <w:lvl w:ilvl="0">
      <w:start w:val="6"/>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61A25780"/>
    <w:multiLevelType w:val="multilevel"/>
    <w:tmpl w:val="B0960D26"/>
    <w:lvl w:ilvl="0">
      <w:start w:val="1"/>
      <w:numFmt w:val="decimal"/>
      <w:lvlText w:val="%1."/>
      <w:lvlJc w:val="left"/>
      <w:pPr>
        <w:ind w:left="720" w:hanging="720"/>
      </w:pPr>
      <w:rPr>
        <w:rFonts w:ascii="Book Antiqua" w:eastAsiaTheme="minorHAnsi" w:hAnsi="Book Antiqua" w:cstheme="minorBidi"/>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2"/>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2" w15:restartNumberingAfterBreak="0">
    <w:nsid w:val="6D9079B9"/>
    <w:multiLevelType w:val="multilevel"/>
    <w:tmpl w:val="B298F476"/>
    <w:lvl w:ilvl="0">
      <w:start w:val="4"/>
      <w:numFmt w:val="decimal"/>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8"/>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3" w15:restartNumberingAfterBreak="0">
    <w:nsid w:val="793B1976"/>
    <w:multiLevelType w:val="hybridMultilevel"/>
    <w:tmpl w:val="1B0637EE"/>
    <w:lvl w:ilvl="0" w:tplc="B8AE6B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1"/>
  </w:num>
  <w:num w:numId="5">
    <w:abstractNumId w:val="3"/>
    <w:lvlOverride w:ilvl="0">
      <w:lvl w:ilvl="0">
        <w:start w:val="1"/>
        <w:numFmt w:val="decimal"/>
        <w:pStyle w:val="CoL"/>
        <w:lvlText w:val="%1."/>
        <w:lvlJc w:val="right"/>
        <w:pPr>
          <w:ind w:left="0" w:firstLine="540"/>
        </w:pPr>
        <w:rPr>
          <w:rFonts w:hint="default"/>
        </w:rPr>
      </w:lvl>
    </w:lvlOverride>
    <w:lvlOverride w:ilvl="1">
      <w:lvl w:ilvl="1">
        <w:start w:val="1"/>
        <w:numFmt w:val="lowerLetter"/>
        <w:lvlText w:val="(%2)"/>
        <w:lvlJc w:val="right"/>
        <w:pPr>
          <w:ind w:left="1152" w:hanging="72"/>
        </w:pPr>
        <w:rPr>
          <w:rFonts w:hint="default"/>
        </w:rPr>
      </w:lvl>
    </w:lvlOverride>
    <w:lvlOverride w:ilvl="2">
      <w:lvl w:ilvl="2">
        <w:start w:val="1"/>
        <w:numFmt w:val="none"/>
        <w:lvlText w:val=""/>
        <w:lvlJc w:val="left"/>
        <w:pPr>
          <w:ind w:left="720" w:firstLine="0"/>
        </w:pPr>
        <w:rPr>
          <w:rFonts w:hint="default"/>
        </w:rPr>
      </w:lvl>
    </w:lvlOverride>
    <w:lvlOverride w:ilvl="3">
      <w:lvl w:ilvl="3">
        <w:start w:val="1"/>
        <w:numFmt w:val="none"/>
        <w:lvlText w:val=""/>
        <w:lvlJc w:val="left"/>
        <w:pPr>
          <w:ind w:left="720" w:firstLine="0"/>
        </w:pPr>
        <w:rPr>
          <w:rFonts w:hint="default"/>
        </w:rPr>
      </w:lvl>
    </w:lvlOverride>
    <w:lvlOverride w:ilvl="4">
      <w:lvl w:ilvl="4">
        <w:start w:val="1"/>
        <w:numFmt w:val="none"/>
        <w:lvlText w:val=""/>
        <w:lvlJc w:val="left"/>
        <w:pPr>
          <w:ind w:left="720" w:firstLine="0"/>
        </w:pPr>
        <w:rPr>
          <w:rFonts w:hint="default"/>
        </w:rPr>
      </w:lvl>
    </w:lvlOverride>
    <w:lvlOverride w:ilvl="5">
      <w:lvl w:ilvl="5">
        <w:start w:val="1"/>
        <w:numFmt w:val="none"/>
        <w:lvlText w:val=""/>
        <w:lvlJc w:val="left"/>
        <w:pPr>
          <w:ind w:left="720" w:firstLine="0"/>
        </w:pPr>
        <w:rPr>
          <w:rFonts w:hint="default"/>
        </w:rPr>
      </w:lvl>
    </w:lvlOverride>
    <w:lvlOverride w:ilvl="6">
      <w:lvl w:ilvl="6">
        <w:start w:val="1"/>
        <w:numFmt w:val="none"/>
        <w:lvlText w:val=""/>
        <w:lvlJc w:val="left"/>
        <w:pPr>
          <w:ind w:left="720" w:firstLine="0"/>
        </w:pPr>
        <w:rPr>
          <w:rFonts w:hint="default"/>
        </w:rPr>
      </w:lvl>
    </w:lvlOverride>
    <w:lvlOverride w:ilvl="7">
      <w:lvl w:ilvl="7">
        <w:start w:val="1"/>
        <w:numFmt w:val="none"/>
        <w:lvlText w:val=""/>
        <w:lvlJc w:val="left"/>
        <w:pPr>
          <w:ind w:left="720" w:firstLine="0"/>
        </w:pPr>
        <w:rPr>
          <w:rFonts w:hint="default"/>
        </w:rPr>
      </w:lvl>
    </w:lvlOverride>
    <w:lvlOverride w:ilvl="8">
      <w:lvl w:ilvl="8">
        <w:start w:val="1"/>
        <w:numFmt w:val="none"/>
        <w:lvlText w:val=""/>
        <w:lvlJc w:val="left"/>
        <w:pPr>
          <w:ind w:left="720" w:firstLine="0"/>
        </w:pPr>
        <w:rPr>
          <w:rFonts w:hint="default"/>
        </w:rPr>
      </w:lvl>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lvlOverride w:ilvl="0">
      <w:startOverride w:val="4"/>
      <w:lvl w:ilvl="0">
        <w:start w:val="4"/>
        <w:numFmt w:val="decimal"/>
        <w:pStyle w:val="CoL"/>
        <w:lvlText w:val="%1."/>
        <w:lvlJc w:val="right"/>
        <w:pPr>
          <w:ind w:left="0" w:firstLine="540"/>
        </w:pPr>
        <w:rPr>
          <w:rFonts w:hint="default"/>
        </w:rPr>
      </w:lvl>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5"/>
  </w:num>
  <w:num w:numId="12">
    <w:abstractNumId w:val="12"/>
  </w:num>
  <w:num w:numId="13">
    <w:abstractNumId w:val="1"/>
  </w:num>
  <w:num w:numId="14">
    <w:abstractNumId w:val="6"/>
  </w:num>
  <w:num w:numId="15">
    <w:abstractNumId w:val="7"/>
  </w:num>
  <w:num w:numId="16">
    <w:abstractNumId w:val="5"/>
  </w:num>
  <w:num w:numId="17">
    <w:abstractNumId w:val="5"/>
  </w:num>
  <w:num w:numId="18">
    <w:abstractNumId w:val="10"/>
  </w:num>
  <w:num w:numId="19">
    <w:abstractNumId w:val="5"/>
  </w:num>
  <w:num w:numId="20">
    <w:abstractNumId w:val="5"/>
  </w:num>
  <w:num w:numId="21">
    <w:abstractNumId w:val="5"/>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F1F"/>
    <w:rsid w:val="000000C5"/>
    <w:rsid w:val="00000F6A"/>
    <w:rsid w:val="000037D7"/>
    <w:rsid w:val="000146FA"/>
    <w:rsid w:val="000159F6"/>
    <w:rsid w:val="000200C4"/>
    <w:rsid w:val="000208A9"/>
    <w:rsid w:val="00021000"/>
    <w:rsid w:val="000240D6"/>
    <w:rsid w:val="0002460B"/>
    <w:rsid w:val="00044838"/>
    <w:rsid w:val="00044FDC"/>
    <w:rsid w:val="00044FEE"/>
    <w:rsid w:val="00046514"/>
    <w:rsid w:val="00051A41"/>
    <w:rsid w:val="00052CB7"/>
    <w:rsid w:val="00054BFA"/>
    <w:rsid w:val="00056AC3"/>
    <w:rsid w:val="0006397D"/>
    <w:rsid w:val="00066052"/>
    <w:rsid w:val="00070302"/>
    <w:rsid w:val="0007115A"/>
    <w:rsid w:val="00074E97"/>
    <w:rsid w:val="0008071E"/>
    <w:rsid w:val="000815B3"/>
    <w:rsid w:val="00081FE6"/>
    <w:rsid w:val="000862CB"/>
    <w:rsid w:val="000933E5"/>
    <w:rsid w:val="000973C8"/>
    <w:rsid w:val="000975F2"/>
    <w:rsid w:val="000A1EAF"/>
    <w:rsid w:val="000A2AA9"/>
    <w:rsid w:val="000A357D"/>
    <w:rsid w:val="000A3FA9"/>
    <w:rsid w:val="000A56F2"/>
    <w:rsid w:val="000A6E05"/>
    <w:rsid w:val="000A767B"/>
    <w:rsid w:val="000A7996"/>
    <w:rsid w:val="000B12FA"/>
    <w:rsid w:val="000B1893"/>
    <w:rsid w:val="000B4865"/>
    <w:rsid w:val="000C08BF"/>
    <w:rsid w:val="000C0E0A"/>
    <w:rsid w:val="000C34E0"/>
    <w:rsid w:val="000C3B9A"/>
    <w:rsid w:val="000D25A8"/>
    <w:rsid w:val="000D4F6F"/>
    <w:rsid w:val="000D6E07"/>
    <w:rsid w:val="000E270A"/>
    <w:rsid w:val="000E3391"/>
    <w:rsid w:val="000E4C53"/>
    <w:rsid w:val="000E5AED"/>
    <w:rsid w:val="000E734A"/>
    <w:rsid w:val="000E775A"/>
    <w:rsid w:val="000F43F6"/>
    <w:rsid w:val="000F532A"/>
    <w:rsid w:val="000F78D7"/>
    <w:rsid w:val="000F78FF"/>
    <w:rsid w:val="00112BD4"/>
    <w:rsid w:val="0011627E"/>
    <w:rsid w:val="00116986"/>
    <w:rsid w:val="00121089"/>
    <w:rsid w:val="001212F2"/>
    <w:rsid w:val="00122441"/>
    <w:rsid w:val="0013643B"/>
    <w:rsid w:val="0014177E"/>
    <w:rsid w:val="00143A93"/>
    <w:rsid w:val="00145446"/>
    <w:rsid w:val="001517B8"/>
    <w:rsid w:val="00155418"/>
    <w:rsid w:val="00155CE6"/>
    <w:rsid w:val="00157413"/>
    <w:rsid w:val="00160B90"/>
    <w:rsid w:val="0016194E"/>
    <w:rsid w:val="001619DF"/>
    <w:rsid w:val="0017406F"/>
    <w:rsid w:val="00185B12"/>
    <w:rsid w:val="00192AE7"/>
    <w:rsid w:val="00196687"/>
    <w:rsid w:val="001B2494"/>
    <w:rsid w:val="001C35AE"/>
    <w:rsid w:val="001C363F"/>
    <w:rsid w:val="001D4C0E"/>
    <w:rsid w:val="001E2A62"/>
    <w:rsid w:val="001F2819"/>
    <w:rsid w:val="001F2E29"/>
    <w:rsid w:val="001F3A79"/>
    <w:rsid w:val="002004FC"/>
    <w:rsid w:val="00201D5C"/>
    <w:rsid w:val="00202F4E"/>
    <w:rsid w:val="002043EC"/>
    <w:rsid w:val="00204A04"/>
    <w:rsid w:val="00210E27"/>
    <w:rsid w:val="00211D08"/>
    <w:rsid w:val="00216F5C"/>
    <w:rsid w:val="00220492"/>
    <w:rsid w:val="002207C2"/>
    <w:rsid w:val="002223E6"/>
    <w:rsid w:val="00223F6A"/>
    <w:rsid w:val="00224131"/>
    <w:rsid w:val="0022435B"/>
    <w:rsid w:val="00231B41"/>
    <w:rsid w:val="00233FEF"/>
    <w:rsid w:val="00236BBB"/>
    <w:rsid w:val="00243DC0"/>
    <w:rsid w:val="0024473E"/>
    <w:rsid w:val="002447E3"/>
    <w:rsid w:val="00247477"/>
    <w:rsid w:val="0024778C"/>
    <w:rsid w:val="0025376F"/>
    <w:rsid w:val="00253941"/>
    <w:rsid w:val="002551E3"/>
    <w:rsid w:val="002659FA"/>
    <w:rsid w:val="0026692F"/>
    <w:rsid w:val="0026750F"/>
    <w:rsid w:val="00270440"/>
    <w:rsid w:val="00271C49"/>
    <w:rsid w:val="00273215"/>
    <w:rsid w:val="00275DE2"/>
    <w:rsid w:val="00283DA4"/>
    <w:rsid w:val="00287BC5"/>
    <w:rsid w:val="00287DE3"/>
    <w:rsid w:val="00293DEE"/>
    <w:rsid w:val="00295008"/>
    <w:rsid w:val="002A0AFF"/>
    <w:rsid w:val="002A0B5D"/>
    <w:rsid w:val="002A2BA3"/>
    <w:rsid w:val="002B3AFF"/>
    <w:rsid w:val="002C09B8"/>
    <w:rsid w:val="002C0EBA"/>
    <w:rsid w:val="002C4273"/>
    <w:rsid w:val="002C5660"/>
    <w:rsid w:val="002C7FE9"/>
    <w:rsid w:val="002D0DC5"/>
    <w:rsid w:val="002D2968"/>
    <w:rsid w:val="002D353E"/>
    <w:rsid w:val="002D4EFD"/>
    <w:rsid w:val="002E092D"/>
    <w:rsid w:val="002E48B3"/>
    <w:rsid w:val="002E4F40"/>
    <w:rsid w:val="002E5536"/>
    <w:rsid w:val="002E7BD3"/>
    <w:rsid w:val="002F00E6"/>
    <w:rsid w:val="002F1FE8"/>
    <w:rsid w:val="002F221B"/>
    <w:rsid w:val="002F48F2"/>
    <w:rsid w:val="002F524F"/>
    <w:rsid w:val="002F69E6"/>
    <w:rsid w:val="002F6C56"/>
    <w:rsid w:val="00301E6E"/>
    <w:rsid w:val="0031060B"/>
    <w:rsid w:val="00316071"/>
    <w:rsid w:val="003213D1"/>
    <w:rsid w:val="0032266A"/>
    <w:rsid w:val="00325619"/>
    <w:rsid w:val="00327053"/>
    <w:rsid w:val="00331B37"/>
    <w:rsid w:val="003350F6"/>
    <w:rsid w:val="00337E63"/>
    <w:rsid w:val="00340A08"/>
    <w:rsid w:val="00343E5C"/>
    <w:rsid w:val="003469EC"/>
    <w:rsid w:val="0035236C"/>
    <w:rsid w:val="00352B9E"/>
    <w:rsid w:val="0036017B"/>
    <w:rsid w:val="00362755"/>
    <w:rsid w:val="00373B93"/>
    <w:rsid w:val="00376922"/>
    <w:rsid w:val="00377A83"/>
    <w:rsid w:val="00380CD1"/>
    <w:rsid w:val="0038322F"/>
    <w:rsid w:val="0038FF3D"/>
    <w:rsid w:val="00394DC2"/>
    <w:rsid w:val="003A38F0"/>
    <w:rsid w:val="003A4751"/>
    <w:rsid w:val="003B6CA7"/>
    <w:rsid w:val="003C1A90"/>
    <w:rsid w:val="003C5A15"/>
    <w:rsid w:val="003C7B9C"/>
    <w:rsid w:val="003D04A1"/>
    <w:rsid w:val="003D367F"/>
    <w:rsid w:val="003D7059"/>
    <w:rsid w:val="003D7195"/>
    <w:rsid w:val="003D7F01"/>
    <w:rsid w:val="003E42E4"/>
    <w:rsid w:val="003E5205"/>
    <w:rsid w:val="003F03A1"/>
    <w:rsid w:val="003F069A"/>
    <w:rsid w:val="003F4329"/>
    <w:rsid w:val="00401DD6"/>
    <w:rsid w:val="00404B36"/>
    <w:rsid w:val="00405AF7"/>
    <w:rsid w:val="00410D2F"/>
    <w:rsid w:val="00412534"/>
    <w:rsid w:val="00412C83"/>
    <w:rsid w:val="0042204B"/>
    <w:rsid w:val="00426014"/>
    <w:rsid w:val="00427410"/>
    <w:rsid w:val="00431FDF"/>
    <w:rsid w:val="00432CD4"/>
    <w:rsid w:val="004379A7"/>
    <w:rsid w:val="00441C9B"/>
    <w:rsid w:val="00444233"/>
    <w:rsid w:val="004451B3"/>
    <w:rsid w:val="00445236"/>
    <w:rsid w:val="00451F0C"/>
    <w:rsid w:val="00455408"/>
    <w:rsid w:val="004609D5"/>
    <w:rsid w:val="00460B7D"/>
    <w:rsid w:val="00476B5E"/>
    <w:rsid w:val="00480CB0"/>
    <w:rsid w:val="00482DFD"/>
    <w:rsid w:val="004843B4"/>
    <w:rsid w:val="004934B9"/>
    <w:rsid w:val="004943F0"/>
    <w:rsid w:val="004973D0"/>
    <w:rsid w:val="004A48AB"/>
    <w:rsid w:val="004B24F3"/>
    <w:rsid w:val="004B34EA"/>
    <w:rsid w:val="004B5494"/>
    <w:rsid w:val="004C61AF"/>
    <w:rsid w:val="004C7A2B"/>
    <w:rsid w:val="004C7D3A"/>
    <w:rsid w:val="004D5AA0"/>
    <w:rsid w:val="004E480F"/>
    <w:rsid w:val="004F5CCB"/>
    <w:rsid w:val="004F622A"/>
    <w:rsid w:val="004F7EFF"/>
    <w:rsid w:val="005018A8"/>
    <w:rsid w:val="00502378"/>
    <w:rsid w:val="0050313D"/>
    <w:rsid w:val="00505A39"/>
    <w:rsid w:val="005112A3"/>
    <w:rsid w:val="00512CD9"/>
    <w:rsid w:val="00512E1F"/>
    <w:rsid w:val="00512EEC"/>
    <w:rsid w:val="00517F01"/>
    <w:rsid w:val="005240BF"/>
    <w:rsid w:val="005272D3"/>
    <w:rsid w:val="0053115F"/>
    <w:rsid w:val="005333AB"/>
    <w:rsid w:val="00537838"/>
    <w:rsid w:val="0054023D"/>
    <w:rsid w:val="005403A5"/>
    <w:rsid w:val="0055722F"/>
    <w:rsid w:val="005628F7"/>
    <w:rsid w:val="005668C6"/>
    <w:rsid w:val="00573E2D"/>
    <w:rsid w:val="00585390"/>
    <w:rsid w:val="00585A39"/>
    <w:rsid w:val="005939A5"/>
    <w:rsid w:val="00596139"/>
    <w:rsid w:val="00596AE8"/>
    <w:rsid w:val="00597DC7"/>
    <w:rsid w:val="00597F70"/>
    <w:rsid w:val="005A148C"/>
    <w:rsid w:val="005A2628"/>
    <w:rsid w:val="005A2F2B"/>
    <w:rsid w:val="005A4EA5"/>
    <w:rsid w:val="005B1F5A"/>
    <w:rsid w:val="005B42AF"/>
    <w:rsid w:val="005B5AAD"/>
    <w:rsid w:val="005C566B"/>
    <w:rsid w:val="005D7753"/>
    <w:rsid w:val="005D7768"/>
    <w:rsid w:val="005E7820"/>
    <w:rsid w:val="005F24C3"/>
    <w:rsid w:val="005F2BA4"/>
    <w:rsid w:val="005F6877"/>
    <w:rsid w:val="00601749"/>
    <w:rsid w:val="006032F3"/>
    <w:rsid w:val="00604341"/>
    <w:rsid w:val="006043CA"/>
    <w:rsid w:val="006056B9"/>
    <w:rsid w:val="00612726"/>
    <w:rsid w:val="00614E1E"/>
    <w:rsid w:val="00615F7D"/>
    <w:rsid w:val="00620D61"/>
    <w:rsid w:val="00625E4D"/>
    <w:rsid w:val="00626F57"/>
    <w:rsid w:val="00632207"/>
    <w:rsid w:val="0063491C"/>
    <w:rsid w:val="006418F8"/>
    <w:rsid w:val="00642761"/>
    <w:rsid w:val="00647178"/>
    <w:rsid w:val="00650772"/>
    <w:rsid w:val="00656C78"/>
    <w:rsid w:val="00661AFE"/>
    <w:rsid w:val="00661BAC"/>
    <w:rsid w:val="0066214B"/>
    <w:rsid w:val="00664912"/>
    <w:rsid w:val="00667214"/>
    <w:rsid w:val="00667F78"/>
    <w:rsid w:val="00673232"/>
    <w:rsid w:val="00675008"/>
    <w:rsid w:val="00683D8E"/>
    <w:rsid w:val="00685A14"/>
    <w:rsid w:val="00694AB6"/>
    <w:rsid w:val="00695971"/>
    <w:rsid w:val="00696B12"/>
    <w:rsid w:val="006976CC"/>
    <w:rsid w:val="006A1367"/>
    <w:rsid w:val="006B22BF"/>
    <w:rsid w:val="006C1F10"/>
    <w:rsid w:val="006C3640"/>
    <w:rsid w:val="006D047A"/>
    <w:rsid w:val="006D2D8A"/>
    <w:rsid w:val="006D40B4"/>
    <w:rsid w:val="006D699F"/>
    <w:rsid w:val="006E1416"/>
    <w:rsid w:val="006E39A8"/>
    <w:rsid w:val="006E44CD"/>
    <w:rsid w:val="006E5E28"/>
    <w:rsid w:val="006E6574"/>
    <w:rsid w:val="006F3AFF"/>
    <w:rsid w:val="006F661A"/>
    <w:rsid w:val="00704683"/>
    <w:rsid w:val="00714CF2"/>
    <w:rsid w:val="007156B9"/>
    <w:rsid w:val="00720817"/>
    <w:rsid w:val="00721C50"/>
    <w:rsid w:val="00721C8B"/>
    <w:rsid w:val="00722850"/>
    <w:rsid w:val="00730B66"/>
    <w:rsid w:val="0073353F"/>
    <w:rsid w:val="00733656"/>
    <w:rsid w:val="00735A91"/>
    <w:rsid w:val="00742E45"/>
    <w:rsid w:val="007447AF"/>
    <w:rsid w:val="00744EF4"/>
    <w:rsid w:val="00745971"/>
    <w:rsid w:val="007465A5"/>
    <w:rsid w:val="00750816"/>
    <w:rsid w:val="00763984"/>
    <w:rsid w:val="007657C1"/>
    <w:rsid w:val="007714D8"/>
    <w:rsid w:val="00771DBB"/>
    <w:rsid w:val="0077755F"/>
    <w:rsid w:val="00791603"/>
    <w:rsid w:val="00793386"/>
    <w:rsid w:val="00794362"/>
    <w:rsid w:val="00795869"/>
    <w:rsid w:val="0079720F"/>
    <w:rsid w:val="00797913"/>
    <w:rsid w:val="007A0C4B"/>
    <w:rsid w:val="007A2065"/>
    <w:rsid w:val="007A406D"/>
    <w:rsid w:val="007A62B0"/>
    <w:rsid w:val="007A6930"/>
    <w:rsid w:val="007B69FC"/>
    <w:rsid w:val="007C07C9"/>
    <w:rsid w:val="007C5A0C"/>
    <w:rsid w:val="007D12AB"/>
    <w:rsid w:val="007D2C8E"/>
    <w:rsid w:val="007E0FEE"/>
    <w:rsid w:val="007E67B8"/>
    <w:rsid w:val="007F189B"/>
    <w:rsid w:val="007F2017"/>
    <w:rsid w:val="007F67F3"/>
    <w:rsid w:val="007F699F"/>
    <w:rsid w:val="007F7DA1"/>
    <w:rsid w:val="00811FE7"/>
    <w:rsid w:val="00816A06"/>
    <w:rsid w:val="0083290C"/>
    <w:rsid w:val="008339BB"/>
    <w:rsid w:val="00836600"/>
    <w:rsid w:val="008367D3"/>
    <w:rsid w:val="00840BB8"/>
    <w:rsid w:val="0084128A"/>
    <w:rsid w:val="008428D8"/>
    <w:rsid w:val="00844C07"/>
    <w:rsid w:val="00850D63"/>
    <w:rsid w:val="00853B17"/>
    <w:rsid w:val="008540F6"/>
    <w:rsid w:val="00860492"/>
    <w:rsid w:val="0086419A"/>
    <w:rsid w:val="008658CC"/>
    <w:rsid w:val="00866CA6"/>
    <w:rsid w:val="0087023B"/>
    <w:rsid w:val="00870C5E"/>
    <w:rsid w:val="0087155D"/>
    <w:rsid w:val="0087353F"/>
    <w:rsid w:val="00873DCA"/>
    <w:rsid w:val="00874540"/>
    <w:rsid w:val="008769F0"/>
    <w:rsid w:val="008815CE"/>
    <w:rsid w:val="00883D6C"/>
    <w:rsid w:val="008859CA"/>
    <w:rsid w:val="00885EFE"/>
    <w:rsid w:val="0088650B"/>
    <w:rsid w:val="008900E9"/>
    <w:rsid w:val="00892428"/>
    <w:rsid w:val="008976AE"/>
    <w:rsid w:val="008A0916"/>
    <w:rsid w:val="008A179F"/>
    <w:rsid w:val="008B0864"/>
    <w:rsid w:val="008B59DB"/>
    <w:rsid w:val="008B5A75"/>
    <w:rsid w:val="008C7413"/>
    <w:rsid w:val="008C780D"/>
    <w:rsid w:val="008D16B7"/>
    <w:rsid w:val="008D16FB"/>
    <w:rsid w:val="008D2943"/>
    <w:rsid w:val="008E0048"/>
    <w:rsid w:val="008E04E7"/>
    <w:rsid w:val="008E298A"/>
    <w:rsid w:val="008E6AE6"/>
    <w:rsid w:val="008E7D26"/>
    <w:rsid w:val="008F0116"/>
    <w:rsid w:val="008F143D"/>
    <w:rsid w:val="008F2DC7"/>
    <w:rsid w:val="008F48D2"/>
    <w:rsid w:val="008F542C"/>
    <w:rsid w:val="00901412"/>
    <w:rsid w:val="00906EF5"/>
    <w:rsid w:val="0091608B"/>
    <w:rsid w:val="0091724A"/>
    <w:rsid w:val="009231D7"/>
    <w:rsid w:val="00931570"/>
    <w:rsid w:val="00932865"/>
    <w:rsid w:val="0093342A"/>
    <w:rsid w:val="00933574"/>
    <w:rsid w:val="0093463F"/>
    <w:rsid w:val="009418BC"/>
    <w:rsid w:val="00941ED0"/>
    <w:rsid w:val="009621A1"/>
    <w:rsid w:val="00963E29"/>
    <w:rsid w:val="00964A9B"/>
    <w:rsid w:val="009704AE"/>
    <w:rsid w:val="0098138E"/>
    <w:rsid w:val="00981D4D"/>
    <w:rsid w:val="00982C35"/>
    <w:rsid w:val="0098315B"/>
    <w:rsid w:val="0098655A"/>
    <w:rsid w:val="00986BB1"/>
    <w:rsid w:val="0099077C"/>
    <w:rsid w:val="00990EE1"/>
    <w:rsid w:val="009958A3"/>
    <w:rsid w:val="009A7299"/>
    <w:rsid w:val="009B0096"/>
    <w:rsid w:val="009B0154"/>
    <w:rsid w:val="009B0C25"/>
    <w:rsid w:val="009B2E9B"/>
    <w:rsid w:val="009B36E7"/>
    <w:rsid w:val="009B63BA"/>
    <w:rsid w:val="009B6526"/>
    <w:rsid w:val="009B6D4A"/>
    <w:rsid w:val="009C0FB4"/>
    <w:rsid w:val="009C2AD4"/>
    <w:rsid w:val="009C2E4A"/>
    <w:rsid w:val="009D1077"/>
    <w:rsid w:val="009E7C7F"/>
    <w:rsid w:val="009F1BC5"/>
    <w:rsid w:val="009F7176"/>
    <w:rsid w:val="00A057B9"/>
    <w:rsid w:val="00A07923"/>
    <w:rsid w:val="00A07AF5"/>
    <w:rsid w:val="00A100BD"/>
    <w:rsid w:val="00A11A1C"/>
    <w:rsid w:val="00A151E3"/>
    <w:rsid w:val="00A17CE0"/>
    <w:rsid w:val="00A21255"/>
    <w:rsid w:val="00A23D48"/>
    <w:rsid w:val="00A242A9"/>
    <w:rsid w:val="00A24B74"/>
    <w:rsid w:val="00A3204C"/>
    <w:rsid w:val="00A36A0F"/>
    <w:rsid w:val="00A42306"/>
    <w:rsid w:val="00A447AA"/>
    <w:rsid w:val="00A44E8D"/>
    <w:rsid w:val="00A55ACD"/>
    <w:rsid w:val="00A6225B"/>
    <w:rsid w:val="00A6356B"/>
    <w:rsid w:val="00A74254"/>
    <w:rsid w:val="00A74883"/>
    <w:rsid w:val="00A768F5"/>
    <w:rsid w:val="00A81901"/>
    <w:rsid w:val="00A820AF"/>
    <w:rsid w:val="00A822FE"/>
    <w:rsid w:val="00A854F0"/>
    <w:rsid w:val="00A8733D"/>
    <w:rsid w:val="00A93CDC"/>
    <w:rsid w:val="00A94322"/>
    <w:rsid w:val="00A968EA"/>
    <w:rsid w:val="00AA0843"/>
    <w:rsid w:val="00AA2DE4"/>
    <w:rsid w:val="00AA76C5"/>
    <w:rsid w:val="00AB077B"/>
    <w:rsid w:val="00AB5F5D"/>
    <w:rsid w:val="00AB7875"/>
    <w:rsid w:val="00AC04DB"/>
    <w:rsid w:val="00AC2330"/>
    <w:rsid w:val="00AC68EE"/>
    <w:rsid w:val="00AD4191"/>
    <w:rsid w:val="00AF079B"/>
    <w:rsid w:val="00AF62D7"/>
    <w:rsid w:val="00B01F7E"/>
    <w:rsid w:val="00B05BBD"/>
    <w:rsid w:val="00B22A9C"/>
    <w:rsid w:val="00B2397A"/>
    <w:rsid w:val="00B248E2"/>
    <w:rsid w:val="00B3087D"/>
    <w:rsid w:val="00B344DF"/>
    <w:rsid w:val="00B34794"/>
    <w:rsid w:val="00B42F66"/>
    <w:rsid w:val="00B46C5D"/>
    <w:rsid w:val="00B47A14"/>
    <w:rsid w:val="00B51462"/>
    <w:rsid w:val="00B532BC"/>
    <w:rsid w:val="00B55BDC"/>
    <w:rsid w:val="00B60421"/>
    <w:rsid w:val="00B634F5"/>
    <w:rsid w:val="00B66195"/>
    <w:rsid w:val="00B700AD"/>
    <w:rsid w:val="00B70178"/>
    <w:rsid w:val="00B724C3"/>
    <w:rsid w:val="00B770B3"/>
    <w:rsid w:val="00B77F87"/>
    <w:rsid w:val="00B915A6"/>
    <w:rsid w:val="00B93184"/>
    <w:rsid w:val="00B95CAC"/>
    <w:rsid w:val="00BA181A"/>
    <w:rsid w:val="00BA2600"/>
    <w:rsid w:val="00BA6D18"/>
    <w:rsid w:val="00BB00FF"/>
    <w:rsid w:val="00BB0243"/>
    <w:rsid w:val="00BB0D4F"/>
    <w:rsid w:val="00BB1A40"/>
    <w:rsid w:val="00BB55DD"/>
    <w:rsid w:val="00BC01AF"/>
    <w:rsid w:val="00BC07B4"/>
    <w:rsid w:val="00BC1EC4"/>
    <w:rsid w:val="00BC2119"/>
    <w:rsid w:val="00BC7F57"/>
    <w:rsid w:val="00BD2082"/>
    <w:rsid w:val="00BD2E20"/>
    <w:rsid w:val="00BD7B9B"/>
    <w:rsid w:val="00BE1CA1"/>
    <w:rsid w:val="00BE2451"/>
    <w:rsid w:val="00BF1835"/>
    <w:rsid w:val="00BF361B"/>
    <w:rsid w:val="00BF3C62"/>
    <w:rsid w:val="00C00074"/>
    <w:rsid w:val="00C073CC"/>
    <w:rsid w:val="00C10B5F"/>
    <w:rsid w:val="00C12033"/>
    <w:rsid w:val="00C14D4D"/>
    <w:rsid w:val="00C21913"/>
    <w:rsid w:val="00C21A61"/>
    <w:rsid w:val="00C254BB"/>
    <w:rsid w:val="00C338AF"/>
    <w:rsid w:val="00C4428E"/>
    <w:rsid w:val="00C453E6"/>
    <w:rsid w:val="00C50916"/>
    <w:rsid w:val="00C54497"/>
    <w:rsid w:val="00C60224"/>
    <w:rsid w:val="00C60C62"/>
    <w:rsid w:val="00C61877"/>
    <w:rsid w:val="00C62B7A"/>
    <w:rsid w:val="00C700F4"/>
    <w:rsid w:val="00C8459F"/>
    <w:rsid w:val="00C913A1"/>
    <w:rsid w:val="00C93BA3"/>
    <w:rsid w:val="00C94A04"/>
    <w:rsid w:val="00CA01FC"/>
    <w:rsid w:val="00CA0B0E"/>
    <w:rsid w:val="00CA3238"/>
    <w:rsid w:val="00CB578B"/>
    <w:rsid w:val="00CC6A99"/>
    <w:rsid w:val="00CD11C4"/>
    <w:rsid w:val="00CD364E"/>
    <w:rsid w:val="00CE0043"/>
    <w:rsid w:val="00CE30E3"/>
    <w:rsid w:val="00CE6579"/>
    <w:rsid w:val="00CF26FB"/>
    <w:rsid w:val="00CF4768"/>
    <w:rsid w:val="00CF61D6"/>
    <w:rsid w:val="00D0075E"/>
    <w:rsid w:val="00D00AA3"/>
    <w:rsid w:val="00D014C8"/>
    <w:rsid w:val="00D031B8"/>
    <w:rsid w:val="00D031C5"/>
    <w:rsid w:val="00D05968"/>
    <w:rsid w:val="00D05C8A"/>
    <w:rsid w:val="00D07F73"/>
    <w:rsid w:val="00D10141"/>
    <w:rsid w:val="00D10C20"/>
    <w:rsid w:val="00D12851"/>
    <w:rsid w:val="00D141EB"/>
    <w:rsid w:val="00D14844"/>
    <w:rsid w:val="00D15DC0"/>
    <w:rsid w:val="00D16727"/>
    <w:rsid w:val="00D1731F"/>
    <w:rsid w:val="00D177FF"/>
    <w:rsid w:val="00D2041C"/>
    <w:rsid w:val="00D25ADE"/>
    <w:rsid w:val="00D265FA"/>
    <w:rsid w:val="00D26E0D"/>
    <w:rsid w:val="00D41B9F"/>
    <w:rsid w:val="00D43297"/>
    <w:rsid w:val="00D44DB6"/>
    <w:rsid w:val="00D47746"/>
    <w:rsid w:val="00D50119"/>
    <w:rsid w:val="00D53994"/>
    <w:rsid w:val="00D57449"/>
    <w:rsid w:val="00D60CCD"/>
    <w:rsid w:val="00D63752"/>
    <w:rsid w:val="00D71614"/>
    <w:rsid w:val="00D73C26"/>
    <w:rsid w:val="00D754B7"/>
    <w:rsid w:val="00D76F53"/>
    <w:rsid w:val="00D805A9"/>
    <w:rsid w:val="00D82A43"/>
    <w:rsid w:val="00D85B5A"/>
    <w:rsid w:val="00D92B4A"/>
    <w:rsid w:val="00DA3880"/>
    <w:rsid w:val="00DA4771"/>
    <w:rsid w:val="00DA59AD"/>
    <w:rsid w:val="00DA6A75"/>
    <w:rsid w:val="00DA7B5D"/>
    <w:rsid w:val="00DB4D36"/>
    <w:rsid w:val="00DC00B9"/>
    <w:rsid w:val="00DC42DB"/>
    <w:rsid w:val="00DC4536"/>
    <w:rsid w:val="00DD0318"/>
    <w:rsid w:val="00DD07FA"/>
    <w:rsid w:val="00DE060F"/>
    <w:rsid w:val="00DE53C7"/>
    <w:rsid w:val="00DF4D92"/>
    <w:rsid w:val="00DF58E7"/>
    <w:rsid w:val="00DF6919"/>
    <w:rsid w:val="00DF750D"/>
    <w:rsid w:val="00DF7744"/>
    <w:rsid w:val="00E02252"/>
    <w:rsid w:val="00E0270F"/>
    <w:rsid w:val="00E02C3F"/>
    <w:rsid w:val="00E04B71"/>
    <w:rsid w:val="00E0759A"/>
    <w:rsid w:val="00E11876"/>
    <w:rsid w:val="00E136AA"/>
    <w:rsid w:val="00E14F2D"/>
    <w:rsid w:val="00E17746"/>
    <w:rsid w:val="00E179C1"/>
    <w:rsid w:val="00E220D7"/>
    <w:rsid w:val="00E23CBB"/>
    <w:rsid w:val="00E242FE"/>
    <w:rsid w:val="00E27195"/>
    <w:rsid w:val="00E317DB"/>
    <w:rsid w:val="00E37B59"/>
    <w:rsid w:val="00E430C2"/>
    <w:rsid w:val="00E44C8A"/>
    <w:rsid w:val="00E45417"/>
    <w:rsid w:val="00E50B31"/>
    <w:rsid w:val="00E52FD9"/>
    <w:rsid w:val="00E53438"/>
    <w:rsid w:val="00E548BF"/>
    <w:rsid w:val="00E54D07"/>
    <w:rsid w:val="00E56AC8"/>
    <w:rsid w:val="00E61891"/>
    <w:rsid w:val="00E6191F"/>
    <w:rsid w:val="00E67F1F"/>
    <w:rsid w:val="00E725FC"/>
    <w:rsid w:val="00E74480"/>
    <w:rsid w:val="00E77084"/>
    <w:rsid w:val="00E80494"/>
    <w:rsid w:val="00E839D6"/>
    <w:rsid w:val="00E8477B"/>
    <w:rsid w:val="00E86B48"/>
    <w:rsid w:val="00E901FD"/>
    <w:rsid w:val="00E91FC2"/>
    <w:rsid w:val="00E93BEE"/>
    <w:rsid w:val="00E93C7B"/>
    <w:rsid w:val="00E93D42"/>
    <w:rsid w:val="00E97120"/>
    <w:rsid w:val="00EA36C6"/>
    <w:rsid w:val="00EA4197"/>
    <w:rsid w:val="00EB5943"/>
    <w:rsid w:val="00EB6A85"/>
    <w:rsid w:val="00EC30F9"/>
    <w:rsid w:val="00ED0B70"/>
    <w:rsid w:val="00ED4795"/>
    <w:rsid w:val="00ED48EF"/>
    <w:rsid w:val="00ED4C52"/>
    <w:rsid w:val="00ED5725"/>
    <w:rsid w:val="00ED6EDE"/>
    <w:rsid w:val="00ED7031"/>
    <w:rsid w:val="00EE10AC"/>
    <w:rsid w:val="00EE3060"/>
    <w:rsid w:val="00EE4315"/>
    <w:rsid w:val="00EE4943"/>
    <w:rsid w:val="00EF050C"/>
    <w:rsid w:val="00EF39FD"/>
    <w:rsid w:val="00EF4F53"/>
    <w:rsid w:val="00EF6925"/>
    <w:rsid w:val="00F00EEC"/>
    <w:rsid w:val="00F01DED"/>
    <w:rsid w:val="00F06054"/>
    <w:rsid w:val="00F06BF1"/>
    <w:rsid w:val="00F2063A"/>
    <w:rsid w:val="00F2340D"/>
    <w:rsid w:val="00F26ED3"/>
    <w:rsid w:val="00F31605"/>
    <w:rsid w:val="00F32974"/>
    <w:rsid w:val="00F3569F"/>
    <w:rsid w:val="00F3638A"/>
    <w:rsid w:val="00F36B2C"/>
    <w:rsid w:val="00F4101A"/>
    <w:rsid w:val="00F44B5A"/>
    <w:rsid w:val="00F45F73"/>
    <w:rsid w:val="00F62597"/>
    <w:rsid w:val="00F62B7A"/>
    <w:rsid w:val="00F633C1"/>
    <w:rsid w:val="00F6397D"/>
    <w:rsid w:val="00F64CC0"/>
    <w:rsid w:val="00F70CF3"/>
    <w:rsid w:val="00F722B0"/>
    <w:rsid w:val="00F7293E"/>
    <w:rsid w:val="00F76650"/>
    <w:rsid w:val="00F91831"/>
    <w:rsid w:val="00F9187B"/>
    <w:rsid w:val="00F92385"/>
    <w:rsid w:val="00F933B8"/>
    <w:rsid w:val="00FA1B4F"/>
    <w:rsid w:val="00FA543F"/>
    <w:rsid w:val="00FB75D9"/>
    <w:rsid w:val="00FC1492"/>
    <w:rsid w:val="00FC1F5C"/>
    <w:rsid w:val="00FC33D5"/>
    <w:rsid w:val="00FC47F9"/>
    <w:rsid w:val="00FC6123"/>
    <w:rsid w:val="00FD0638"/>
    <w:rsid w:val="00FD2A84"/>
    <w:rsid w:val="00FD7340"/>
    <w:rsid w:val="00FE0A37"/>
    <w:rsid w:val="00FE228E"/>
    <w:rsid w:val="00FE2351"/>
    <w:rsid w:val="00FE37DA"/>
    <w:rsid w:val="00FE4141"/>
    <w:rsid w:val="00FE4431"/>
    <w:rsid w:val="00FE5580"/>
    <w:rsid w:val="00FE6766"/>
    <w:rsid w:val="00FF110C"/>
    <w:rsid w:val="00FF2E20"/>
    <w:rsid w:val="00FF326A"/>
    <w:rsid w:val="00FF40AB"/>
    <w:rsid w:val="00FF4830"/>
    <w:rsid w:val="027B4E5A"/>
    <w:rsid w:val="0313EE07"/>
    <w:rsid w:val="04AD53AE"/>
    <w:rsid w:val="08B93281"/>
    <w:rsid w:val="0D6A33C9"/>
    <w:rsid w:val="0E826F40"/>
    <w:rsid w:val="0F032F0F"/>
    <w:rsid w:val="10743F91"/>
    <w:rsid w:val="16136D58"/>
    <w:rsid w:val="1716D78B"/>
    <w:rsid w:val="18F0AE6F"/>
    <w:rsid w:val="191DABF1"/>
    <w:rsid w:val="2096B09C"/>
    <w:rsid w:val="245F2FA8"/>
    <w:rsid w:val="248C2D2A"/>
    <w:rsid w:val="27514203"/>
    <w:rsid w:val="276BC417"/>
    <w:rsid w:val="2F54348C"/>
    <w:rsid w:val="2FCDB0E1"/>
    <w:rsid w:val="317FB586"/>
    <w:rsid w:val="31D48547"/>
    <w:rsid w:val="33D500B9"/>
    <w:rsid w:val="34C697A2"/>
    <w:rsid w:val="3A68ED92"/>
    <w:rsid w:val="3C800678"/>
    <w:rsid w:val="3FF08F72"/>
    <w:rsid w:val="40187CD0"/>
    <w:rsid w:val="410EADB5"/>
    <w:rsid w:val="4253E6AE"/>
    <w:rsid w:val="499FEDD7"/>
    <w:rsid w:val="4AA3580A"/>
    <w:rsid w:val="4CAA2C70"/>
    <w:rsid w:val="52A64A93"/>
    <w:rsid w:val="531FC6E8"/>
    <w:rsid w:val="543B2A88"/>
    <w:rsid w:val="551EEB74"/>
    <w:rsid w:val="5BC53834"/>
    <w:rsid w:val="5CCFC5A4"/>
    <w:rsid w:val="5CE496E8"/>
    <w:rsid w:val="5E8C2AAE"/>
    <w:rsid w:val="648DC13E"/>
    <w:rsid w:val="6578FF33"/>
    <w:rsid w:val="6788CA22"/>
    <w:rsid w:val="67DFA842"/>
    <w:rsid w:val="68B0087D"/>
    <w:rsid w:val="6D0A301C"/>
    <w:rsid w:val="6D222989"/>
    <w:rsid w:val="6DF56E11"/>
    <w:rsid w:val="6FFC4277"/>
    <w:rsid w:val="720FFDD4"/>
    <w:rsid w:val="73253818"/>
    <w:rsid w:val="7373A491"/>
    <w:rsid w:val="73E8223A"/>
    <w:rsid w:val="7470FEBA"/>
    <w:rsid w:val="759E9867"/>
    <w:rsid w:val="76C25CEB"/>
    <w:rsid w:val="7D449A9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57A5C"/>
  <w15:chartTrackingRefBased/>
  <w15:docId w15:val="{6AC4AFBB-6EE7-4C9E-BA22-9B91A4103C3D}"/>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F079B"/>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7B69FC"/>
    <w:pPr>
      <w:numPr>
        <w:numId w:val="13"/>
      </w:numPr>
      <w:ind w:right="2160"/>
    </w:pPr>
    <w:rPr>
      <w:rFonts w:eastAsiaTheme="majorEastAsia" w:cstheme="majorBidi"/>
      <w:szCs w:val="32"/>
    </w:rPr>
  </w:style>
  <w:style w:type="paragraph" w:styleId="Heading2">
    <w:name w:val="heading 2"/>
    <w:basedOn w:val="Dummy"/>
    <w:next w:val="Standard"/>
    <w:link w:val="Heading2Char"/>
    <w:uiPriority w:val="4"/>
    <w:qFormat/>
    <w:rsid w:val="000F78FF"/>
    <w:pPr>
      <w:numPr>
        <w:ilvl w:val="1"/>
        <w:numId w:val="11"/>
      </w:numPr>
      <w:ind w:right="2160"/>
      <w:outlineLvl w:val="1"/>
    </w:pPr>
  </w:style>
  <w:style w:type="paragraph" w:styleId="Heading3">
    <w:name w:val="heading 3"/>
    <w:basedOn w:val="Dummy"/>
    <w:next w:val="Standard"/>
    <w:link w:val="Heading3Char"/>
    <w:uiPriority w:val="4"/>
    <w:qFormat/>
    <w:rsid w:val="000E270A"/>
    <w:pPr>
      <w:tabs>
        <w:tab w:val="num" w:pos="1656"/>
      </w:tabs>
      <w:ind w:left="1656" w:right="2160" w:hanging="936"/>
      <w:outlineLvl w:val="2"/>
    </w:pPr>
    <w:rPr>
      <w:rFonts w:eastAsiaTheme="majorEastAsia" w:cstheme="majorBidi"/>
      <w:szCs w:val="24"/>
    </w:rPr>
  </w:style>
  <w:style w:type="paragraph" w:styleId="Heading4">
    <w:name w:val="heading 4"/>
    <w:basedOn w:val="Dummy"/>
    <w:next w:val="Standard"/>
    <w:link w:val="Heading4Char"/>
    <w:uiPriority w:val="4"/>
    <w:rsid w:val="000E270A"/>
    <w:pPr>
      <w:tabs>
        <w:tab w:val="num" w:pos="2232"/>
      </w:tabs>
      <w:ind w:left="2232" w:right="2160" w:hanging="1152"/>
      <w:outlineLvl w:val="3"/>
    </w:pPr>
    <w:rPr>
      <w:rFonts w:eastAsiaTheme="majorEastAsia" w:cstheme="majorBidi"/>
      <w:iCs/>
    </w:rPr>
  </w:style>
  <w:style w:type="paragraph" w:styleId="Heading5">
    <w:name w:val="heading 5"/>
    <w:basedOn w:val="Dummy"/>
    <w:next w:val="Standard"/>
    <w:link w:val="Heading5Char"/>
    <w:uiPriority w:val="4"/>
    <w:rsid w:val="000E270A"/>
    <w:pPr>
      <w:tabs>
        <w:tab w:val="num" w:pos="2880"/>
      </w:tabs>
      <w:ind w:left="2880" w:right="2160" w:hanging="1440"/>
      <w:outlineLvl w:val="4"/>
    </w:pPr>
    <w:rPr>
      <w:rFonts w:eastAsiaTheme="majorEastAsia" w:cstheme="majorBidi"/>
    </w:rPr>
  </w:style>
  <w:style w:type="paragraph" w:styleId="Heading6">
    <w:name w:val="heading 6"/>
    <w:basedOn w:val="Dummy"/>
    <w:next w:val="Standard"/>
    <w:link w:val="Heading6Char"/>
    <w:uiPriority w:val="4"/>
    <w:rsid w:val="000E270A"/>
    <w:pPr>
      <w:tabs>
        <w:tab w:val="num" w:pos="3528"/>
      </w:tabs>
      <w:spacing w:before="40"/>
      <w:ind w:left="3528" w:right="2160" w:hanging="1728"/>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7B69FC"/>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0F78FF"/>
    <w:rPr>
      <w:rFonts w:ascii="Arial" w:hAnsi="Arial" w:cs="Arial"/>
      <w:b/>
      <w:sz w:val="26"/>
      <w:szCs w:val="26"/>
    </w:rPr>
  </w:style>
  <w:style w:type="character" w:customStyle="1" w:styleId="Heading3Char">
    <w:name w:val="Heading 3 Char"/>
    <w:basedOn w:val="DefaultParagraphFont"/>
    <w:link w:val="Heading3"/>
    <w:uiPriority w:val="4"/>
    <w:rsid w:val="00287BC5"/>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287BC5"/>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287BC5"/>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1"/>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semiHidden/>
    <w:rsid w:val="00981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semiHidden/>
    <w:rsid w:val="00EE306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aliases w:val="Footnote Text Char Char,Footnote Text Char2 Char,Footnote Text Char Char Char,Footnote Text Char2 Char Char Char,Footnote Text Char Char Char Char Char,Footnote Text Char2 Char Char Char Char1 Char,fn,Footnote Text Char2,ALTS FOOTNOTE"/>
    <w:basedOn w:val="Normal"/>
    <w:link w:val="FootnoteTextChar"/>
    <w:uiPriority w:val="40"/>
    <w:qFormat/>
    <w:rsid w:val="00B01F7E"/>
    <w:pPr>
      <w:spacing w:after="120" w:line="240" w:lineRule="auto"/>
      <w:ind w:firstLine="0"/>
    </w:pPr>
    <w:rPr>
      <w:sz w:val="22"/>
      <w:szCs w:val="20"/>
    </w:rPr>
  </w:style>
  <w:style w:type="character" w:customStyle="1" w:styleId="FootnoteTextChar">
    <w:name w:val="Footnote Text Char"/>
    <w:aliases w:val="Footnote Text Char Char Char1,Footnote Text Char2 Char Char,Footnote Text Char Char Char Char,Footnote Text Char2 Char Char Char Char,Footnote Text Char Char Char Char Char Char,Footnote Text Char2 Char Char Char Char1 Char Char"/>
    <w:basedOn w:val="DefaultParagraphFont"/>
    <w:link w:val="FootnoteText"/>
    <w:uiPriority w:val="40"/>
    <w:rsid w:val="007657C1"/>
    <w:rPr>
      <w:rFonts w:ascii="Book Antiqua" w:hAnsi="Book Antiqua"/>
      <w:szCs w:val="20"/>
    </w:rPr>
  </w:style>
  <w:style w:type="character" w:styleId="FootnoteReference">
    <w:name w:val="footnote reference"/>
    <w:aliases w:val="o,fr,o1,o2,o3,o4,o5,o6,o11,o21,o7,Style 12,(NECG) Footnote Reference,Appel note de bas de p,Style 124,o + Times New Roman,Style 3,Style 17,Style 20,Style 13,fr1,fr2,fr3,Style 58"/>
    <w:basedOn w:val="DefaultParagraphFont"/>
    <w:uiPriority w:val="99"/>
    <w:unhideWhenUsed/>
    <w:qFormat/>
    <w:rsid w:val="00DF58E7"/>
    <w:rPr>
      <w:vertAlign w:val="superscript"/>
    </w:rPr>
  </w:style>
  <w:style w:type="paragraph" w:customStyle="1" w:styleId="FoF">
    <w:name w:val="FoF"/>
    <w:basedOn w:val="Standard"/>
    <w:uiPriority w:val="6"/>
    <w:qFormat/>
    <w:rsid w:val="001E2A62"/>
    <w:pPr>
      <w:ind w:firstLine="540"/>
    </w:pPr>
  </w:style>
  <w:style w:type="paragraph" w:customStyle="1" w:styleId="CoL">
    <w:name w:val="CoL"/>
    <w:basedOn w:val="Standard"/>
    <w:uiPriority w:val="7"/>
    <w:qFormat/>
    <w:rsid w:val="001E2A62"/>
    <w:pPr>
      <w:numPr>
        <w:numId w:val="8"/>
      </w:numPr>
    </w:pPr>
  </w:style>
  <w:style w:type="paragraph" w:styleId="NoSpacing">
    <w:name w:val="No Spacing"/>
    <w:basedOn w:val="Standard"/>
    <w:uiPriority w:val="1"/>
    <w:rsid w:val="00287BC5"/>
    <w:pPr>
      <w:spacing w:after="120" w:line="240" w:lineRule="auto"/>
      <w:ind w:firstLine="0"/>
      <w:contextualSpacing/>
    </w:pPr>
  </w:style>
  <w:style w:type="paragraph" w:customStyle="1" w:styleId="OP">
    <w:name w:val="OP"/>
    <w:basedOn w:val="Standard"/>
    <w:uiPriority w:val="8"/>
    <w:qFormat/>
    <w:rsid w:val="001E2A62"/>
    <w:pPr>
      <w:ind w:firstLine="540"/>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E270A"/>
    <w:pPr>
      <w:numPr>
        <w:numId w:val="2"/>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E270A"/>
    <w:pPr>
      <w:spacing w:after="120" w:line="240" w:lineRule="auto"/>
      <w:ind w:left="1080" w:hanging="360"/>
    </w:pPr>
  </w:style>
  <w:style w:type="paragraph" w:styleId="ListBullet">
    <w:name w:val="List Bullet"/>
    <w:basedOn w:val="Standard"/>
    <w:uiPriority w:val="4"/>
    <w:qFormat/>
    <w:rsid w:val="001F2819"/>
    <w:pPr>
      <w:numPr>
        <w:numId w:val="3"/>
      </w:numPr>
      <w:tabs>
        <w:tab w:val="clear" w:pos="360"/>
      </w:tabs>
      <w:spacing w:after="120" w:line="240" w:lineRule="auto"/>
      <w:ind w:left="1080"/>
    </w:pPr>
  </w:style>
  <w:style w:type="character" w:customStyle="1" w:styleId="Heading6Char">
    <w:name w:val="Heading 6 Char"/>
    <w:basedOn w:val="DefaultParagraphFont"/>
    <w:link w:val="Heading6"/>
    <w:uiPriority w:val="4"/>
    <w:rsid w:val="00287BC5"/>
    <w:rPr>
      <w:rFonts w:ascii="Arial" w:eastAsiaTheme="majorEastAsia" w:hAnsi="Arial" w:cstheme="majorBidi"/>
      <w:b/>
      <w:sz w:val="26"/>
      <w:szCs w:val="26"/>
    </w:rPr>
  </w:style>
  <w:style w:type="paragraph" w:styleId="TOC4">
    <w:name w:val="toc 4"/>
    <w:basedOn w:val="Normal"/>
    <w:next w:val="Normal"/>
    <w:autoRedefine/>
    <w:uiPriority w:val="39"/>
    <w:unhideWhenUsed/>
    <w:rsid w:val="009418BC"/>
    <w:pPr>
      <w:tabs>
        <w:tab w:val="right" w:leader="dot" w:pos="9350"/>
      </w:tabs>
      <w:spacing w:line="240" w:lineRule="auto"/>
      <w:ind w:left="2880" w:hanging="99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uiPriority w:val="5"/>
    <w:rsid w:val="00E53438"/>
    <w:pPr>
      <w:spacing w:after="0"/>
    </w:pPr>
    <w:rPr>
      <w:sz w:val="22"/>
    </w:rPr>
  </w:style>
  <w:style w:type="paragraph" w:customStyle="1" w:styleId="ListNum">
    <w:name w:val="List Num"/>
    <w:basedOn w:val="Standard"/>
    <w:uiPriority w:val="4"/>
    <w:rsid w:val="000E270A"/>
    <w:pPr>
      <w:tabs>
        <w:tab w:val="num" w:pos="1080"/>
      </w:tabs>
      <w:spacing w:after="120" w:line="240" w:lineRule="auto"/>
      <w:ind w:left="1080" w:hanging="360"/>
    </w:pPr>
  </w:style>
  <w:style w:type="paragraph" w:styleId="ListParagraph">
    <w:name w:val="List Paragraph"/>
    <w:basedOn w:val="Normal"/>
    <w:uiPriority w:val="34"/>
    <w:rsid w:val="0055722F"/>
    <w:pPr>
      <w:ind w:left="720"/>
      <w:contextualSpacing/>
    </w:pPr>
  </w:style>
  <w:style w:type="paragraph" w:customStyle="1" w:styleId="xmsonormal">
    <w:name w:val="x_msonormal"/>
    <w:basedOn w:val="Normal"/>
    <w:rsid w:val="00797913"/>
    <w:pPr>
      <w:spacing w:line="240" w:lineRule="auto"/>
      <w:ind w:firstLine="0"/>
    </w:pPr>
    <w:rPr>
      <w:rFonts w:ascii="Calibri" w:hAnsi="Calibri" w:cs="Calibri"/>
      <w:sz w:val="22"/>
    </w:rPr>
  </w:style>
  <w:style w:type="paragraph" w:customStyle="1" w:styleId="sub2">
    <w:name w:val="sub2"/>
    <w:basedOn w:val="Normal"/>
    <w:rsid w:val="00797913"/>
    <w:rPr>
      <w:rFonts w:ascii="Palatino" w:eastAsia="Times New Roman" w:hAnsi="Palatino" w:cs="Times New Roman"/>
      <w:szCs w:val="20"/>
    </w:rPr>
  </w:style>
  <w:style w:type="paragraph" w:customStyle="1" w:styleId="sub1">
    <w:name w:val="sub1"/>
    <w:basedOn w:val="Normal"/>
    <w:rsid w:val="00797913"/>
    <w:rPr>
      <w:rFonts w:ascii="Palatino" w:eastAsia="Times New Roman" w:hAnsi="Palatino" w:cs="Times New Roman"/>
      <w:szCs w:val="20"/>
    </w:rPr>
  </w:style>
  <w:style w:type="paragraph" w:styleId="NormalWeb">
    <w:name w:val="Normal (Web)"/>
    <w:basedOn w:val="Normal"/>
    <w:uiPriority w:val="99"/>
    <w:unhideWhenUsed/>
    <w:rsid w:val="00797913"/>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797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97913"/>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797913"/>
    <w:rPr>
      <w:sz w:val="16"/>
      <w:szCs w:val="16"/>
    </w:rPr>
  </w:style>
  <w:style w:type="paragraph" w:styleId="CommentText">
    <w:name w:val="annotation text"/>
    <w:basedOn w:val="Normal"/>
    <w:link w:val="CommentTextChar"/>
    <w:uiPriority w:val="99"/>
    <w:unhideWhenUsed/>
    <w:rsid w:val="00797913"/>
    <w:pPr>
      <w:spacing w:line="240" w:lineRule="auto"/>
    </w:pPr>
    <w:rPr>
      <w:sz w:val="20"/>
      <w:szCs w:val="20"/>
    </w:rPr>
  </w:style>
  <w:style w:type="character" w:customStyle="1" w:styleId="CommentTextChar">
    <w:name w:val="Comment Text Char"/>
    <w:basedOn w:val="DefaultParagraphFont"/>
    <w:link w:val="CommentText"/>
    <w:uiPriority w:val="99"/>
    <w:rsid w:val="00797913"/>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797913"/>
    <w:rPr>
      <w:b/>
      <w:bCs/>
    </w:rPr>
  </w:style>
  <w:style w:type="character" w:customStyle="1" w:styleId="CommentSubjectChar">
    <w:name w:val="Comment Subject Char"/>
    <w:basedOn w:val="CommentTextChar"/>
    <w:link w:val="CommentSubject"/>
    <w:uiPriority w:val="99"/>
    <w:semiHidden/>
    <w:rsid w:val="00797913"/>
    <w:rPr>
      <w:rFonts w:ascii="Book Antiqua" w:hAnsi="Book Antiqua"/>
      <w:b/>
      <w:bCs/>
      <w:sz w:val="20"/>
      <w:szCs w:val="20"/>
    </w:rPr>
  </w:style>
  <w:style w:type="paragraph" w:customStyle="1" w:styleId="Default">
    <w:name w:val="Default"/>
    <w:rsid w:val="00797913"/>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797913"/>
    <w:pPr>
      <w:spacing w:after="0" w:line="240" w:lineRule="auto"/>
    </w:pPr>
    <w:rPr>
      <w:rFonts w:ascii="Book Antiqua" w:hAnsi="Book Antiqua"/>
      <w:sz w:val="26"/>
    </w:rPr>
  </w:style>
  <w:style w:type="numbering" w:customStyle="1" w:styleId="FoFCoLOP1">
    <w:name w:val="FoF/CoL/OP1"/>
    <w:uiPriority w:val="99"/>
    <w:rsid w:val="00797913"/>
  </w:style>
  <w:style w:type="numbering" w:customStyle="1" w:styleId="FoFCoLOP2">
    <w:name w:val="FoF/CoL/OP2"/>
    <w:uiPriority w:val="99"/>
    <w:rsid w:val="00797913"/>
  </w:style>
  <w:style w:type="character" w:customStyle="1" w:styleId="normaltextrun">
    <w:name w:val="normaltextrun"/>
    <w:basedOn w:val="DefaultParagraphFont"/>
    <w:rsid w:val="00797913"/>
  </w:style>
  <w:style w:type="character" w:customStyle="1" w:styleId="eop">
    <w:name w:val="eop"/>
    <w:basedOn w:val="DefaultParagraphFont"/>
    <w:rsid w:val="00797913"/>
  </w:style>
  <w:style w:type="character" w:customStyle="1" w:styleId="contextualspellingandgrammarerror">
    <w:name w:val="contextualspellingandgrammarerror"/>
    <w:basedOn w:val="DefaultParagraphFont"/>
    <w:rsid w:val="00797913"/>
  </w:style>
  <w:style w:type="character" w:customStyle="1" w:styleId="spellingerror">
    <w:name w:val="spellingerror"/>
    <w:basedOn w:val="DefaultParagraphFont"/>
    <w:rsid w:val="00797913"/>
  </w:style>
  <w:style w:type="character" w:customStyle="1" w:styleId="superscript">
    <w:name w:val="superscript"/>
    <w:basedOn w:val="DefaultParagraphFont"/>
    <w:rsid w:val="00797913"/>
  </w:style>
  <w:style w:type="table" w:customStyle="1" w:styleId="TableGrid1">
    <w:name w:val="Table Grid1"/>
    <w:basedOn w:val="TableNormal"/>
    <w:next w:val="TableGrid"/>
    <w:uiPriority w:val="39"/>
    <w:rsid w:val="00537838"/>
    <w:pPr>
      <w:spacing w:after="0" w:line="240" w:lineRule="auto"/>
    </w:pPr>
    <w:rPr>
      <w:rFonts w:eastAsiaTheme="minorEastAsia"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ED4C5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85069">
      <w:bodyDiv w:val="1"/>
      <w:marLeft w:val="0"/>
      <w:marRight w:val="0"/>
      <w:marTop w:val="0"/>
      <w:marBottom w:val="0"/>
      <w:divBdr>
        <w:top w:val="none" w:sz="0" w:space="0" w:color="auto"/>
        <w:left w:val="none" w:sz="0" w:space="0" w:color="auto"/>
        <w:bottom w:val="none" w:sz="0" w:space="0" w:color="auto"/>
        <w:right w:val="none" w:sz="0" w:space="0" w:color="auto"/>
      </w:divBdr>
    </w:div>
    <w:div w:id="1403480066">
      <w:bodyDiv w:val="1"/>
      <w:marLeft w:val="0"/>
      <w:marRight w:val="0"/>
      <w:marTop w:val="0"/>
      <w:marBottom w:val="0"/>
      <w:divBdr>
        <w:top w:val="none" w:sz="0" w:space="0" w:color="auto"/>
        <w:left w:val="none" w:sz="0" w:space="0" w:color="auto"/>
        <w:bottom w:val="none" w:sz="0" w:space="0" w:color="auto"/>
        <w:right w:val="none" w:sz="0" w:space="0" w:color="auto"/>
      </w:divBdr>
    </w:div>
    <w:div w:id="212206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7f5b6951-54ef-4081-aa35-6a1d703b40f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C1B46132C3DB4EB8A2895A869445CE" ma:contentTypeVersion="14" ma:contentTypeDescription="Create a new document." ma:contentTypeScope="" ma:versionID="94f0ed152f405dd38f7c5f11a2579552">
  <xsd:schema xmlns:xsd="http://www.w3.org/2001/XMLSchema" xmlns:xs="http://www.w3.org/2001/XMLSchema" xmlns:p="http://schemas.microsoft.com/office/2006/metadata/properties" xmlns:ns2="7f5b6951-54ef-4081-aa35-6a1d703b40f5" xmlns:ns3="b3d48114-37c6-46ba-9f8b-b8b5733efe3f" targetNamespace="http://schemas.microsoft.com/office/2006/metadata/properties" ma:root="true" ma:fieldsID="0117ebf1540d26448bb7d9e86fa3a9af" ns2:_="" ns3:_="">
    <xsd:import namespace="7f5b6951-54ef-4081-aa35-6a1d703b40f5"/>
    <xsd:import namespace="b3d48114-37c6-46ba-9f8b-b8b5733efe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Not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b6951-54ef-4081-aa35-6a1d703b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s" ma:index="20" nillable="true" ma:displayName="Notes" ma:format="Dropdown" ma:internalName="Notes">
      <xsd:simpleType>
        <xsd:restriction base="dms:Text">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d48114-37c6-46ba-9f8b-b8b5733efe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C0F900-21CA-4EB2-A8BB-E1B06BCC46DC}">
  <ds:schemaRefs>
    <ds:schemaRef ds:uri="http://schemas.microsoft.com/office/2006/metadata/properties"/>
    <ds:schemaRef ds:uri="http://schemas.microsoft.com/office/infopath/2007/PartnerControls"/>
    <ds:schemaRef ds:uri="7f5b6951-54ef-4081-aa35-6a1d703b40f5"/>
  </ds:schemaRefs>
</ds:datastoreItem>
</file>

<file path=customXml/itemProps2.xml><?xml version="1.0" encoding="utf-8"?>
<ds:datastoreItem xmlns:ds="http://schemas.openxmlformats.org/officeDocument/2006/customXml" ds:itemID="{9706AB18-363D-4F7C-A6C9-D04B8DC84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b6951-54ef-4081-aa35-6a1d703b40f5"/>
    <ds:schemaRef ds:uri="b3d48114-37c6-46ba-9f8b-b8b5733ef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990F43-E299-4AB8-8D84-0EA4E7F3522D}">
  <ds:schemaRefs>
    <ds:schemaRef ds:uri="http://schemas.openxmlformats.org/officeDocument/2006/bibliography"/>
  </ds:schemaRefs>
</ds:datastoreItem>
</file>

<file path=customXml/itemProps4.xml><?xml version="1.0" encoding="utf-8"?>
<ds:datastoreItem xmlns:ds="http://schemas.openxmlformats.org/officeDocument/2006/customXml" ds:itemID="{739AF8D7-06D4-4574-8837-B7684046FB54}">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60</ap:Pages>
  <ap:Words>12524</ap:Words>
  <ap:Characters>71391</ap:Characters>
  <ap:Application>Microsoft Office Word</ap:Application>
  <ap:DocSecurity>0</ap:DocSecurity>
  <ap:Lines>594</ap:Lines>
  <ap:Paragraphs>167</ap:Paragraphs>
  <ap:ScaleCrop>false</ap:ScaleCrop>
  <ap:HeadingPairs>
    <vt:vector baseType="variant" size="4">
      <vt:variant>
        <vt:lpstr>Title</vt:lpstr>
      </vt:variant>
      <vt:variant>
        <vt:i4>1</vt:i4>
      </vt:variant>
      <vt:variant>
        <vt:lpstr>Headings</vt:lpstr>
      </vt:variant>
      <vt:variant>
        <vt:i4>41</vt:i4>
      </vt:variant>
    </vt:vector>
  </ap:HeadingPairs>
  <ap:TitlesOfParts>
    <vt:vector baseType="lpstr" size="42">
      <vt:lpstr/>
      <vt:lpstr/>
      <vt:lpstr>Summary</vt:lpstr>
      <vt:lpstr>Background</vt:lpstr>
      <vt:lpstr>    Historical Background</vt:lpstr>
      <vt:lpstr>    Procedural Background</vt:lpstr>
      <vt:lpstr>Issues Before the Commission</vt:lpstr>
      <vt:lpstr>Overview of PG&amp;E’s 2022 Forecast and Revenue Requirement Requests</vt:lpstr>
      <vt:lpstr>    November Update</vt:lpstr>
      <vt:lpstr>    Amortization of ERRA Main Balance</vt:lpstr>
      <vt:lpstr>2022 Forecast Revenue Requirement </vt:lpstr>
      <vt:lpstr>    Cost Allocation Mechanism (CAM) and  New System Generation Charge (NSGC)</vt:lpstr>
      <vt:lpstr>    Ongoing Competition Transition Charge</vt:lpstr>
      <vt:lpstr>    Tree Mortality Non-Bypassable Charge</vt:lpstr>
      <vt:lpstr>    Bioenergy Market Adjusting Tariff</vt:lpstr>
      <vt:lpstr>    ERRA Revenue Requirement</vt:lpstr>
      <vt:lpstr>    Utility-Owned Generation Costs</vt:lpstr>
      <vt:lpstr>    Electric Risk Transfer Balancing Account (RTBA-E) and Electric Residential Uncol</vt:lpstr>
      <vt:lpstr>    PCIA</vt:lpstr>
      <vt:lpstr>        PCIA Rates </vt:lpstr>
      <vt:lpstr>        PCIA Undercollection Balancing  Account (PUBA)</vt:lpstr>
      <vt:lpstr>        Portfolio Allocation Balancing Account (PABA)</vt:lpstr>
      <vt:lpstr>        ERRA PCIA Financing Subaccount</vt:lpstr>
      <vt:lpstr>2022 Electric Sales Forecast</vt:lpstr>
      <vt:lpstr>Balancing Account Transfer Proposal</vt:lpstr>
      <vt:lpstr>    Year-end 2021 ERRA Balance Proposal</vt:lpstr>
      <vt:lpstr>    PABA Transfer Proposals</vt:lpstr>
      <vt:lpstr>    GTSR Balancing Account Proposal</vt:lpstr>
      <vt:lpstr>    Non-Vintage Rate Proposal for  Under 20 MW Qualified Facility  (QF) Costs</vt:lpstr>
      <vt:lpstr>GHG Requests</vt:lpstr>
      <vt:lpstr>Rate Proposals</vt:lpstr>
      <vt:lpstr>    Process to Implement Rates from Pending General Rate Case Phase II Proceeding</vt:lpstr>
      <vt:lpstr>    GTSR Rates:  Solar Value Adjustment Time-of-Delivery (TOD) Rate Component</vt:lpstr>
      <vt:lpstr>Information in Master Data Request</vt:lpstr>
      <vt:lpstr>PG&amp;E’s Role As a Central Procurement  Entity (CPE) Starting in 2023</vt:lpstr>
      <vt:lpstr>Safety and Environmental and Social Justice Issues</vt:lpstr>
      <vt:lpstr>Motions</vt:lpstr>
      <vt:lpstr>Comments on Proposed Decision</vt:lpstr>
      <vt:lpstr>Assignment of Proceeding</vt:lpstr>
      <vt:lpstr>Findings of Fact</vt:lpstr>
      <vt:lpstr>Conclusions of Law</vt:lpstr>
      <vt:lpstr>ORDER</vt:lpstr>
    </vt:vector>
  </ap:TitlesOfParts>
  <ap:Company/>
  <ap:LinksUpToDate>false</ap:LinksUpToDate>
  <ap:CharactersWithSpaces>83748</ap:CharactersWithSpaces>
  <ap:SharedDoc>false</ap:SharedDoc>
  <ap:HLinks>
    <vt:vector baseType="variant" size="252">
      <vt:variant>
        <vt:i4>1114170</vt:i4>
      </vt:variant>
      <vt:variant>
        <vt:i4>242</vt:i4>
      </vt:variant>
      <vt:variant>
        <vt:i4>0</vt:i4>
      </vt:variant>
      <vt:variant>
        <vt:i4>5</vt:i4>
      </vt:variant>
      <vt:variant>
        <vt:lpwstr/>
      </vt:variant>
      <vt:variant>
        <vt:lpwstr>_Toc93666734</vt:lpwstr>
      </vt:variant>
      <vt:variant>
        <vt:i4>1441850</vt:i4>
      </vt:variant>
      <vt:variant>
        <vt:i4>236</vt:i4>
      </vt:variant>
      <vt:variant>
        <vt:i4>0</vt:i4>
      </vt:variant>
      <vt:variant>
        <vt:i4>5</vt:i4>
      </vt:variant>
      <vt:variant>
        <vt:lpwstr/>
      </vt:variant>
      <vt:variant>
        <vt:lpwstr>_Toc93666733</vt:lpwstr>
      </vt:variant>
      <vt:variant>
        <vt:i4>1507386</vt:i4>
      </vt:variant>
      <vt:variant>
        <vt:i4>230</vt:i4>
      </vt:variant>
      <vt:variant>
        <vt:i4>0</vt:i4>
      </vt:variant>
      <vt:variant>
        <vt:i4>5</vt:i4>
      </vt:variant>
      <vt:variant>
        <vt:lpwstr/>
      </vt:variant>
      <vt:variant>
        <vt:lpwstr>_Toc93666732</vt:lpwstr>
      </vt:variant>
      <vt:variant>
        <vt:i4>1310778</vt:i4>
      </vt:variant>
      <vt:variant>
        <vt:i4>224</vt:i4>
      </vt:variant>
      <vt:variant>
        <vt:i4>0</vt:i4>
      </vt:variant>
      <vt:variant>
        <vt:i4>5</vt:i4>
      </vt:variant>
      <vt:variant>
        <vt:lpwstr/>
      </vt:variant>
      <vt:variant>
        <vt:lpwstr>_Toc93666731</vt:lpwstr>
      </vt:variant>
      <vt:variant>
        <vt:i4>1376314</vt:i4>
      </vt:variant>
      <vt:variant>
        <vt:i4>218</vt:i4>
      </vt:variant>
      <vt:variant>
        <vt:i4>0</vt:i4>
      </vt:variant>
      <vt:variant>
        <vt:i4>5</vt:i4>
      </vt:variant>
      <vt:variant>
        <vt:lpwstr/>
      </vt:variant>
      <vt:variant>
        <vt:lpwstr>_Toc93666730</vt:lpwstr>
      </vt:variant>
      <vt:variant>
        <vt:i4>1835067</vt:i4>
      </vt:variant>
      <vt:variant>
        <vt:i4>212</vt:i4>
      </vt:variant>
      <vt:variant>
        <vt:i4>0</vt:i4>
      </vt:variant>
      <vt:variant>
        <vt:i4>5</vt:i4>
      </vt:variant>
      <vt:variant>
        <vt:lpwstr/>
      </vt:variant>
      <vt:variant>
        <vt:lpwstr>_Toc93666729</vt:lpwstr>
      </vt:variant>
      <vt:variant>
        <vt:i4>1900603</vt:i4>
      </vt:variant>
      <vt:variant>
        <vt:i4>206</vt:i4>
      </vt:variant>
      <vt:variant>
        <vt:i4>0</vt:i4>
      </vt:variant>
      <vt:variant>
        <vt:i4>5</vt:i4>
      </vt:variant>
      <vt:variant>
        <vt:lpwstr/>
      </vt:variant>
      <vt:variant>
        <vt:lpwstr>_Toc93666728</vt:lpwstr>
      </vt:variant>
      <vt:variant>
        <vt:i4>1179707</vt:i4>
      </vt:variant>
      <vt:variant>
        <vt:i4>200</vt:i4>
      </vt:variant>
      <vt:variant>
        <vt:i4>0</vt:i4>
      </vt:variant>
      <vt:variant>
        <vt:i4>5</vt:i4>
      </vt:variant>
      <vt:variant>
        <vt:lpwstr/>
      </vt:variant>
      <vt:variant>
        <vt:lpwstr>_Toc93666727</vt:lpwstr>
      </vt:variant>
      <vt:variant>
        <vt:i4>1245243</vt:i4>
      </vt:variant>
      <vt:variant>
        <vt:i4>194</vt:i4>
      </vt:variant>
      <vt:variant>
        <vt:i4>0</vt:i4>
      </vt:variant>
      <vt:variant>
        <vt:i4>5</vt:i4>
      </vt:variant>
      <vt:variant>
        <vt:lpwstr/>
      </vt:variant>
      <vt:variant>
        <vt:lpwstr>_Toc93666726</vt:lpwstr>
      </vt:variant>
      <vt:variant>
        <vt:i4>1048635</vt:i4>
      </vt:variant>
      <vt:variant>
        <vt:i4>188</vt:i4>
      </vt:variant>
      <vt:variant>
        <vt:i4>0</vt:i4>
      </vt:variant>
      <vt:variant>
        <vt:i4>5</vt:i4>
      </vt:variant>
      <vt:variant>
        <vt:lpwstr/>
      </vt:variant>
      <vt:variant>
        <vt:lpwstr>_Toc93666725</vt:lpwstr>
      </vt:variant>
      <vt:variant>
        <vt:i4>1114171</vt:i4>
      </vt:variant>
      <vt:variant>
        <vt:i4>182</vt:i4>
      </vt:variant>
      <vt:variant>
        <vt:i4>0</vt:i4>
      </vt:variant>
      <vt:variant>
        <vt:i4>5</vt:i4>
      </vt:variant>
      <vt:variant>
        <vt:lpwstr/>
      </vt:variant>
      <vt:variant>
        <vt:lpwstr>_Toc93666724</vt:lpwstr>
      </vt:variant>
      <vt:variant>
        <vt:i4>1441851</vt:i4>
      </vt:variant>
      <vt:variant>
        <vt:i4>176</vt:i4>
      </vt:variant>
      <vt:variant>
        <vt:i4>0</vt:i4>
      </vt:variant>
      <vt:variant>
        <vt:i4>5</vt:i4>
      </vt:variant>
      <vt:variant>
        <vt:lpwstr/>
      </vt:variant>
      <vt:variant>
        <vt:lpwstr>_Toc93666723</vt:lpwstr>
      </vt:variant>
      <vt:variant>
        <vt:i4>1507387</vt:i4>
      </vt:variant>
      <vt:variant>
        <vt:i4>170</vt:i4>
      </vt:variant>
      <vt:variant>
        <vt:i4>0</vt:i4>
      </vt:variant>
      <vt:variant>
        <vt:i4>5</vt:i4>
      </vt:variant>
      <vt:variant>
        <vt:lpwstr/>
      </vt:variant>
      <vt:variant>
        <vt:lpwstr>_Toc93666722</vt:lpwstr>
      </vt:variant>
      <vt:variant>
        <vt:i4>1310779</vt:i4>
      </vt:variant>
      <vt:variant>
        <vt:i4>164</vt:i4>
      </vt:variant>
      <vt:variant>
        <vt:i4>0</vt:i4>
      </vt:variant>
      <vt:variant>
        <vt:i4>5</vt:i4>
      </vt:variant>
      <vt:variant>
        <vt:lpwstr/>
      </vt:variant>
      <vt:variant>
        <vt:lpwstr>_Toc93666721</vt:lpwstr>
      </vt:variant>
      <vt:variant>
        <vt:i4>1376315</vt:i4>
      </vt:variant>
      <vt:variant>
        <vt:i4>158</vt:i4>
      </vt:variant>
      <vt:variant>
        <vt:i4>0</vt:i4>
      </vt:variant>
      <vt:variant>
        <vt:i4>5</vt:i4>
      </vt:variant>
      <vt:variant>
        <vt:lpwstr/>
      </vt:variant>
      <vt:variant>
        <vt:lpwstr>_Toc93666720</vt:lpwstr>
      </vt:variant>
      <vt:variant>
        <vt:i4>1835064</vt:i4>
      </vt:variant>
      <vt:variant>
        <vt:i4>152</vt:i4>
      </vt:variant>
      <vt:variant>
        <vt:i4>0</vt:i4>
      </vt:variant>
      <vt:variant>
        <vt:i4>5</vt:i4>
      </vt:variant>
      <vt:variant>
        <vt:lpwstr/>
      </vt:variant>
      <vt:variant>
        <vt:lpwstr>_Toc93666719</vt:lpwstr>
      </vt:variant>
      <vt:variant>
        <vt:i4>1900600</vt:i4>
      </vt:variant>
      <vt:variant>
        <vt:i4>146</vt:i4>
      </vt:variant>
      <vt:variant>
        <vt:i4>0</vt:i4>
      </vt:variant>
      <vt:variant>
        <vt:i4>5</vt:i4>
      </vt:variant>
      <vt:variant>
        <vt:lpwstr/>
      </vt:variant>
      <vt:variant>
        <vt:lpwstr>_Toc93666718</vt:lpwstr>
      </vt:variant>
      <vt:variant>
        <vt:i4>1179704</vt:i4>
      </vt:variant>
      <vt:variant>
        <vt:i4>140</vt:i4>
      </vt:variant>
      <vt:variant>
        <vt:i4>0</vt:i4>
      </vt:variant>
      <vt:variant>
        <vt:i4>5</vt:i4>
      </vt:variant>
      <vt:variant>
        <vt:lpwstr/>
      </vt:variant>
      <vt:variant>
        <vt:lpwstr>_Toc93666717</vt:lpwstr>
      </vt:variant>
      <vt:variant>
        <vt:i4>1245240</vt:i4>
      </vt:variant>
      <vt:variant>
        <vt:i4>134</vt:i4>
      </vt:variant>
      <vt:variant>
        <vt:i4>0</vt:i4>
      </vt:variant>
      <vt:variant>
        <vt:i4>5</vt:i4>
      </vt:variant>
      <vt:variant>
        <vt:lpwstr/>
      </vt:variant>
      <vt:variant>
        <vt:lpwstr>_Toc93666716</vt:lpwstr>
      </vt:variant>
      <vt:variant>
        <vt:i4>1048632</vt:i4>
      </vt:variant>
      <vt:variant>
        <vt:i4>128</vt:i4>
      </vt:variant>
      <vt:variant>
        <vt:i4>0</vt:i4>
      </vt:variant>
      <vt:variant>
        <vt:i4>5</vt:i4>
      </vt:variant>
      <vt:variant>
        <vt:lpwstr/>
      </vt:variant>
      <vt:variant>
        <vt:lpwstr>_Toc93666715</vt:lpwstr>
      </vt:variant>
      <vt:variant>
        <vt:i4>1114168</vt:i4>
      </vt:variant>
      <vt:variant>
        <vt:i4>122</vt:i4>
      </vt:variant>
      <vt:variant>
        <vt:i4>0</vt:i4>
      </vt:variant>
      <vt:variant>
        <vt:i4>5</vt:i4>
      </vt:variant>
      <vt:variant>
        <vt:lpwstr/>
      </vt:variant>
      <vt:variant>
        <vt:lpwstr>_Toc93666714</vt:lpwstr>
      </vt:variant>
      <vt:variant>
        <vt:i4>1441848</vt:i4>
      </vt:variant>
      <vt:variant>
        <vt:i4>116</vt:i4>
      </vt:variant>
      <vt:variant>
        <vt:i4>0</vt:i4>
      </vt:variant>
      <vt:variant>
        <vt:i4>5</vt:i4>
      </vt:variant>
      <vt:variant>
        <vt:lpwstr/>
      </vt:variant>
      <vt:variant>
        <vt:lpwstr>_Toc93666713</vt:lpwstr>
      </vt:variant>
      <vt:variant>
        <vt:i4>1507384</vt:i4>
      </vt:variant>
      <vt:variant>
        <vt:i4>110</vt:i4>
      </vt:variant>
      <vt:variant>
        <vt:i4>0</vt:i4>
      </vt:variant>
      <vt:variant>
        <vt:i4>5</vt:i4>
      </vt:variant>
      <vt:variant>
        <vt:lpwstr/>
      </vt:variant>
      <vt:variant>
        <vt:lpwstr>_Toc93666712</vt:lpwstr>
      </vt:variant>
      <vt:variant>
        <vt:i4>1310776</vt:i4>
      </vt:variant>
      <vt:variant>
        <vt:i4>104</vt:i4>
      </vt:variant>
      <vt:variant>
        <vt:i4>0</vt:i4>
      </vt:variant>
      <vt:variant>
        <vt:i4>5</vt:i4>
      </vt:variant>
      <vt:variant>
        <vt:lpwstr/>
      </vt:variant>
      <vt:variant>
        <vt:lpwstr>_Toc93666711</vt:lpwstr>
      </vt:variant>
      <vt:variant>
        <vt:i4>1376312</vt:i4>
      </vt:variant>
      <vt:variant>
        <vt:i4>98</vt:i4>
      </vt:variant>
      <vt:variant>
        <vt:i4>0</vt:i4>
      </vt:variant>
      <vt:variant>
        <vt:i4>5</vt:i4>
      </vt:variant>
      <vt:variant>
        <vt:lpwstr/>
      </vt:variant>
      <vt:variant>
        <vt:lpwstr>_Toc93666710</vt:lpwstr>
      </vt:variant>
      <vt:variant>
        <vt:i4>1835065</vt:i4>
      </vt:variant>
      <vt:variant>
        <vt:i4>92</vt:i4>
      </vt:variant>
      <vt:variant>
        <vt:i4>0</vt:i4>
      </vt:variant>
      <vt:variant>
        <vt:i4>5</vt:i4>
      </vt:variant>
      <vt:variant>
        <vt:lpwstr/>
      </vt:variant>
      <vt:variant>
        <vt:lpwstr>_Toc93666709</vt:lpwstr>
      </vt:variant>
      <vt:variant>
        <vt:i4>1900601</vt:i4>
      </vt:variant>
      <vt:variant>
        <vt:i4>86</vt:i4>
      </vt:variant>
      <vt:variant>
        <vt:i4>0</vt:i4>
      </vt:variant>
      <vt:variant>
        <vt:i4>5</vt:i4>
      </vt:variant>
      <vt:variant>
        <vt:lpwstr/>
      </vt:variant>
      <vt:variant>
        <vt:lpwstr>_Toc93666708</vt:lpwstr>
      </vt:variant>
      <vt:variant>
        <vt:i4>1179705</vt:i4>
      </vt:variant>
      <vt:variant>
        <vt:i4>80</vt:i4>
      </vt:variant>
      <vt:variant>
        <vt:i4>0</vt:i4>
      </vt:variant>
      <vt:variant>
        <vt:i4>5</vt:i4>
      </vt:variant>
      <vt:variant>
        <vt:lpwstr/>
      </vt:variant>
      <vt:variant>
        <vt:lpwstr>_Toc93666707</vt:lpwstr>
      </vt:variant>
      <vt:variant>
        <vt:i4>1245241</vt:i4>
      </vt:variant>
      <vt:variant>
        <vt:i4>74</vt:i4>
      </vt:variant>
      <vt:variant>
        <vt:i4>0</vt:i4>
      </vt:variant>
      <vt:variant>
        <vt:i4>5</vt:i4>
      </vt:variant>
      <vt:variant>
        <vt:lpwstr/>
      </vt:variant>
      <vt:variant>
        <vt:lpwstr>_Toc93666706</vt:lpwstr>
      </vt:variant>
      <vt:variant>
        <vt:i4>1048633</vt:i4>
      </vt:variant>
      <vt:variant>
        <vt:i4>68</vt:i4>
      </vt:variant>
      <vt:variant>
        <vt:i4>0</vt:i4>
      </vt:variant>
      <vt:variant>
        <vt:i4>5</vt:i4>
      </vt:variant>
      <vt:variant>
        <vt:lpwstr/>
      </vt:variant>
      <vt:variant>
        <vt:lpwstr>_Toc93666705</vt:lpwstr>
      </vt:variant>
      <vt:variant>
        <vt:i4>1114169</vt:i4>
      </vt:variant>
      <vt:variant>
        <vt:i4>62</vt:i4>
      </vt:variant>
      <vt:variant>
        <vt:i4>0</vt:i4>
      </vt:variant>
      <vt:variant>
        <vt:i4>5</vt:i4>
      </vt:variant>
      <vt:variant>
        <vt:lpwstr/>
      </vt:variant>
      <vt:variant>
        <vt:lpwstr>_Toc93666704</vt:lpwstr>
      </vt:variant>
      <vt:variant>
        <vt:i4>1441849</vt:i4>
      </vt:variant>
      <vt:variant>
        <vt:i4>56</vt:i4>
      </vt:variant>
      <vt:variant>
        <vt:i4>0</vt:i4>
      </vt:variant>
      <vt:variant>
        <vt:i4>5</vt:i4>
      </vt:variant>
      <vt:variant>
        <vt:lpwstr/>
      </vt:variant>
      <vt:variant>
        <vt:lpwstr>_Toc93666703</vt:lpwstr>
      </vt:variant>
      <vt:variant>
        <vt:i4>1507385</vt:i4>
      </vt:variant>
      <vt:variant>
        <vt:i4>50</vt:i4>
      </vt:variant>
      <vt:variant>
        <vt:i4>0</vt:i4>
      </vt:variant>
      <vt:variant>
        <vt:i4>5</vt:i4>
      </vt:variant>
      <vt:variant>
        <vt:lpwstr/>
      </vt:variant>
      <vt:variant>
        <vt:lpwstr>_Toc93666702</vt:lpwstr>
      </vt:variant>
      <vt:variant>
        <vt:i4>1310777</vt:i4>
      </vt:variant>
      <vt:variant>
        <vt:i4>44</vt:i4>
      </vt:variant>
      <vt:variant>
        <vt:i4>0</vt:i4>
      </vt:variant>
      <vt:variant>
        <vt:i4>5</vt:i4>
      </vt:variant>
      <vt:variant>
        <vt:lpwstr/>
      </vt:variant>
      <vt:variant>
        <vt:lpwstr>_Toc93666701</vt:lpwstr>
      </vt:variant>
      <vt:variant>
        <vt:i4>1376313</vt:i4>
      </vt:variant>
      <vt:variant>
        <vt:i4>38</vt:i4>
      </vt:variant>
      <vt:variant>
        <vt:i4>0</vt:i4>
      </vt:variant>
      <vt:variant>
        <vt:i4>5</vt:i4>
      </vt:variant>
      <vt:variant>
        <vt:lpwstr/>
      </vt:variant>
      <vt:variant>
        <vt:lpwstr>_Toc93666700</vt:lpwstr>
      </vt:variant>
      <vt:variant>
        <vt:i4>1900592</vt:i4>
      </vt:variant>
      <vt:variant>
        <vt:i4>32</vt:i4>
      </vt:variant>
      <vt:variant>
        <vt:i4>0</vt:i4>
      </vt:variant>
      <vt:variant>
        <vt:i4>5</vt:i4>
      </vt:variant>
      <vt:variant>
        <vt:lpwstr/>
      </vt:variant>
      <vt:variant>
        <vt:lpwstr>_Toc93666699</vt:lpwstr>
      </vt:variant>
      <vt:variant>
        <vt:i4>1835056</vt:i4>
      </vt:variant>
      <vt:variant>
        <vt:i4>26</vt:i4>
      </vt:variant>
      <vt:variant>
        <vt:i4>0</vt:i4>
      </vt:variant>
      <vt:variant>
        <vt:i4>5</vt:i4>
      </vt:variant>
      <vt:variant>
        <vt:lpwstr/>
      </vt:variant>
      <vt:variant>
        <vt:lpwstr>_Toc93666698</vt:lpwstr>
      </vt:variant>
      <vt:variant>
        <vt:i4>1245232</vt:i4>
      </vt:variant>
      <vt:variant>
        <vt:i4>20</vt:i4>
      </vt:variant>
      <vt:variant>
        <vt:i4>0</vt:i4>
      </vt:variant>
      <vt:variant>
        <vt:i4>5</vt:i4>
      </vt:variant>
      <vt:variant>
        <vt:lpwstr/>
      </vt:variant>
      <vt:variant>
        <vt:lpwstr>_Toc93666697</vt:lpwstr>
      </vt:variant>
      <vt:variant>
        <vt:i4>1179696</vt:i4>
      </vt:variant>
      <vt:variant>
        <vt:i4>14</vt:i4>
      </vt:variant>
      <vt:variant>
        <vt:i4>0</vt:i4>
      </vt:variant>
      <vt:variant>
        <vt:i4>5</vt:i4>
      </vt:variant>
      <vt:variant>
        <vt:lpwstr/>
      </vt:variant>
      <vt:variant>
        <vt:lpwstr>_Toc93666696</vt:lpwstr>
      </vt:variant>
      <vt:variant>
        <vt:i4>1114160</vt:i4>
      </vt:variant>
      <vt:variant>
        <vt:i4>8</vt:i4>
      </vt:variant>
      <vt:variant>
        <vt:i4>0</vt:i4>
      </vt:variant>
      <vt:variant>
        <vt:i4>5</vt:i4>
      </vt:variant>
      <vt:variant>
        <vt:lpwstr/>
      </vt:variant>
      <vt:variant>
        <vt:lpwstr>_Toc93666695</vt:lpwstr>
      </vt:variant>
      <vt:variant>
        <vt:i4>1048624</vt:i4>
      </vt:variant>
      <vt:variant>
        <vt:i4>2</vt:i4>
      </vt:variant>
      <vt:variant>
        <vt:i4>0</vt:i4>
      </vt:variant>
      <vt:variant>
        <vt:i4>5</vt:i4>
      </vt:variant>
      <vt:variant>
        <vt:lpwstr/>
      </vt:variant>
      <vt:variant>
        <vt:lpwstr>_Toc93666694</vt:lpwstr>
      </vt:variant>
      <vt:variant>
        <vt:i4>3080313</vt:i4>
      </vt:variant>
      <vt:variant>
        <vt:i4>0</vt:i4>
      </vt:variant>
      <vt:variant>
        <vt:i4>0</vt:i4>
      </vt:variant>
      <vt:variant>
        <vt:i4>5</vt:i4>
      </vt:variant>
      <vt:variant>
        <vt:lpwstr>about:blank</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2019-07-03T22:18:00Z</cp:lastPrinted>
  <dcterms:created xsi:type="dcterms:W3CDTF">2022-02-11T11:28:53Z</dcterms:created>
  <dcterms:modified xsi:type="dcterms:W3CDTF">2022-02-11T11:28:53Z</dcterms:modified>
</cp:coreProperties>
</file>