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7DF9" w:rsidR="0037547C" w:rsidP="0037547C" w:rsidRDefault="0037547C" w14:paraId="2A6DC2BD" w14:textId="77777777">
      <w:pPr>
        <w:pStyle w:val="Title"/>
        <w:spacing w:before="0" w:after="0"/>
        <w:outlineLvl w:val="0"/>
        <w:rPr>
          <w:b w:val="0"/>
        </w:rPr>
      </w:pPr>
      <w:r>
        <w:rPr>
          <w:b w:val="0"/>
        </w:rPr>
        <w:t>P</w:t>
      </w:r>
      <w:r w:rsidRPr="00AD7DF9">
        <w:rPr>
          <w:b w:val="0"/>
        </w:rPr>
        <w:t>UBLIC UTILITIES COMMISSION OF THE STATE OF CALIFORNIA</w:t>
      </w:r>
    </w:p>
    <w:p w:rsidRPr="00AD7DF9" w:rsidR="0037547C" w:rsidP="0037547C" w:rsidRDefault="0037547C" w14:paraId="4FD4938B" w14:textId="77777777">
      <w:pPr>
        <w:rPr>
          <w:sz w:val="26"/>
        </w:rPr>
      </w:pPr>
    </w:p>
    <w:p w:rsidRPr="00946D96" w:rsidR="0037547C" w:rsidP="00235B65" w:rsidRDefault="0037547C" w14:paraId="40A12109" w14:textId="7250D473">
      <w:pPr>
        <w:pStyle w:val="Date"/>
        <w:spacing w:after="0"/>
        <w:jc w:val="left"/>
        <w:rPr>
          <w:szCs w:val="26"/>
        </w:rPr>
      </w:pPr>
      <w:r w:rsidRPr="00AD7DF9">
        <w:t>Legal Division</w:t>
      </w:r>
      <w:r w:rsidRPr="00AD7DF9">
        <w:tab/>
      </w:r>
      <w:r w:rsidRPr="00AD7DF9">
        <w:tab/>
      </w:r>
      <w:r w:rsidRPr="00AD7DF9">
        <w:tab/>
      </w:r>
      <w:r w:rsidRPr="00AD7DF9">
        <w:tab/>
      </w:r>
      <w:r w:rsidRPr="00AD7DF9">
        <w:tab/>
      </w:r>
      <w:r w:rsidRPr="00AD7DF9">
        <w:tab/>
      </w:r>
      <w:r w:rsidRPr="00946D96">
        <w:rPr>
          <w:szCs w:val="26"/>
        </w:rPr>
        <w:t xml:space="preserve">Date: </w:t>
      </w:r>
      <w:r w:rsidRPr="00946D96" w:rsidR="003A3A89">
        <w:rPr>
          <w:szCs w:val="26"/>
        </w:rPr>
        <w:t>February 24, 2022</w:t>
      </w:r>
    </w:p>
    <w:p w:rsidRPr="00AD7DF9" w:rsidR="0037547C" w:rsidP="00235B65" w:rsidRDefault="0037547C" w14:paraId="007D38CE" w14:textId="4BC1AFCA">
      <w:pPr>
        <w:pStyle w:val="Date"/>
        <w:spacing w:after="0"/>
        <w:jc w:val="left"/>
        <w:rPr>
          <w:szCs w:val="26"/>
        </w:rPr>
      </w:pPr>
      <w:r w:rsidRPr="00AD7DF9">
        <w:rPr>
          <w:szCs w:val="26"/>
        </w:rPr>
        <w:tab/>
      </w:r>
      <w:r w:rsidRPr="00AD7DF9">
        <w:rPr>
          <w:szCs w:val="26"/>
        </w:rPr>
        <w:tab/>
      </w:r>
      <w:r w:rsidRPr="00AD7DF9">
        <w:rPr>
          <w:szCs w:val="26"/>
        </w:rPr>
        <w:tab/>
      </w:r>
      <w:r w:rsidRPr="00AD7DF9">
        <w:rPr>
          <w:szCs w:val="26"/>
        </w:rPr>
        <w:tab/>
      </w:r>
      <w:r w:rsidRPr="00AD7DF9">
        <w:rPr>
          <w:szCs w:val="26"/>
        </w:rPr>
        <w:tab/>
      </w:r>
      <w:r w:rsidRPr="00AD7DF9">
        <w:rPr>
          <w:szCs w:val="26"/>
        </w:rPr>
        <w:tab/>
      </w:r>
      <w:r w:rsidRPr="00AD7DF9">
        <w:rPr>
          <w:szCs w:val="26"/>
        </w:rPr>
        <w:tab/>
      </w:r>
      <w:r w:rsidRPr="00AD7DF9">
        <w:rPr>
          <w:szCs w:val="26"/>
        </w:rPr>
        <w:tab/>
        <w:t>Resolution No.:  L-6</w:t>
      </w:r>
      <w:r>
        <w:rPr>
          <w:szCs w:val="26"/>
        </w:rPr>
        <w:t>14</w:t>
      </w:r>
    </w:p>
    <w:p w:rsidRPr="00AD7DF9" w:rsidR="0037547C" w:rsidP="00E56517" w:rsidRDefault="0037547C" w14:paraId="5EF8E4D7" w14:textId="77777777">
      <w:pPr>
        <w:pStyle w:val="Date"/>
        <w:spacing w:after="0"/>
        <w:jc w:val="left"/>
        <w:rPr>
          <w:b/>
          <w:u w:val="single"/>
        </w:rPr>
      </w:pPr>
    </w:p>
    <w:p w:rsidRPr="006E4E6A" w:rsidR="0037547C" w:rsidP="0037547C" w:rsidRDefault="0037547C" w14:paraId="0D6FFA2E" w14:textId="77777777">
      <w:pPr>
        <w:pStyle w:val="Title"/>
        <w:outlineLvl w:val="0"/>
        <w:rPr>
          <w:u w:val="single"/>
        </w:rPr>
      </w:pPr>
      <w:r w:rsidRPr="00AD7DF9">
        <w:rPr>
          <w:u w:val="single"/>
        </w:rPr>
        <w:t>R E S O L U T I O N</w:t>
      </w:r>
    </w:p>
    <w:p w:rsidRPr="00AD7DF9" w:rsidR="0037547C" w:rsidP="00235B65" w:rsidRDefault="0037547C" w14:paraId="1BDD6F22" w14:textId="77777777">
      <w:pPr>
        <w:jc w:val="center"/>
        <w:rPr>
          <w:b/>
          <w:sz w:val="26"/>
          <w:u w:val="single"/>
        </w:rPr>
      </w:pPr>
    </w:p>
    <w:p w:rsidRPr="00760803" w:rsidR="0037547C" w:rsidP="0037547C" w:rsidRDefault="0037547C" w14:paraId="22B524B0" w14:textId="77777777">
      <w:pPr>
        <w:pStyle w:val="Quotation"/>
        <w:spacing w:after="0"/>
        <w:ind w:left="360" w:right="0"/>
        <w:rPr>
          <w:b/>
        </w:rPr>
      </w:pPr>
      <w:r w:rsidRPr="00760803">
        <w:rPr>
          <w:b/>
        </w:rPr>
        <w:t>RESOLUTION AUTHORIZING DISCLOSURE OF SAN JOSE WATER COMPANY’S AUDITED FINANCIAL STATEMENTS FOR THE YEARS 2018, 2019, AND 2020</w:t>
      </w:r>
    </w:p>
    <w:p w:rsidRPr="00716B44" w:rsidR="0037547C" w:rsidP="0037547C" w:rsidRDefault="0037547C" w14:paraId="59DB666F" w14:textId="77777777">
      <w:pPr>
        <w:rPr>
          <w:sz w:val="26"/>
          <w:szCs w:val="26"/>
        </w:rPr>
      </w:pPr>
    </w:p>
    <w:p w:rsidR="00ED5E15" w:rsidP="0037547C" w:rsidRDefault="00D54822" w14:paraId="103761AD" w14:textId="71B8718D">
      <w:pPr>
        <w:pStyle w:val="TOC1"/>
        <w:spacing w:before="0" w:after="0"/>
        <w:rPr>
          <w:szCs w:val="26"/>
        </w:rPr>
      </w:pPr>
      <w:r>
        <w:rPr>
          <w:szCs w:val="26"/>
        </w:rPr>
        <w:t>SUMMARY</w:t>
      </w:r>
    </w:p>
    <w:p w:rsidRPr="00272E21" w:rsidR="00272E21" w:rsidP="00272E21" w:rsidRDefault="00272E21" w14:paraId="4BE9291B" w14:textId="77777777">
      <w:pPr>
        <w:spacing w:after="0"/>
      </w:pPr>
    </w:p>
    <w:p w:rsidRPr="006E5FD3" w:rsidR="001075E7" w:rsidP="000E14AB" w:rsidRDefault="003C6F77" w14:paraId="37AAE93D" w14:textId="5F972B57">
      <w:pPr>
        <w:spacing w:after="0"/>
        <w:rPr>
          <w:sz w:val="26"/>
          <w:szCs w:val="26"/>
        </w:rPr>
      </w:pPr>
      <w:bookmarkStart w:name="OLE_LINK3" w:id="0"/>
      <w:bookmarkStart w:name="OLE_LINK4" w:id="1"/>
      <w:r w:rsidRPr="006E5FD3">
        <w:rPr>
          <w:sz w:val="26"/>
          <w:szCs w:val="24"/>
        </w:rPr>
        <w:t>On June 24, 2021, t</w:t>
      </w:r>
      <w:r w:rsidRPr="006E5FD3" w:rsidR="00ED5E15">
        <w:rPr>
          <w:sz w:val="26"/>
          <w:szCs w:val="24"/>
        </w:rPr>
        <w:t xml:space="preserve">he California Public Utilities Commission (“Commission”) received </w:t>
      </w:r>
      <w:r w:rsidRPr="006E5FD3" w:rsidR="004B30B3">
        <w:rPr>
          <w:sz w:val="26"/>
          <w:szCs w:val="24"/>
        </w:rPr>
        <w:t xml:space="preserve">a public records </w:t>
      </w:r>
      <w:r w:rsidRPr="006E5FD3" w:rsidR="00ED5E15">
        <w:rPr>
          <w:sz w:val="26"/>
          <w:szCs w:val="24"/>
        </w:rPr>
        <w:t>request</w:t>
      </w:r>
      <w:r w:rsidRPr="006E5FD3">
        <w:rPr>
          <w:sz w:val="26"/>
          <w:szCs w:val="24"/>
        </w:rPr>
        <w:t xml:space="preserve"> under the California Public Records Act (“CPRA”)</w:t>
      </w:r>
      <w:r w:rsidRPr="006E5FD3" w:rsidR="0033012F">
        <w:rPr>
          <w:sz w:val="26"/>
          <w:szCs w:val="24"/>
        </w:rPr>
        <w:t xml:space="preserve"> </w:t>
      </w:r>
      <w:r w:rsidRPr="006E5FD3" w:rsidR="00ED5E15">
        <w:rPr>
          <w:sz w:val="26"/>
          <w:szCs w:val="26"/>
        </w:rPr>
        <w:t xml:space="preserve">seeking disclosure of </w:t>
      </w:r>
      <w:bookmarkEnd w:id="0"/>
      <w:bookmarkEnd w:id="1"/>
      <w:r w:rsidRPr="006E5FD3" w:rsidR="004B30B3">
        <w:rPr>
          <w:sz w:val="26"/>
          <w:szCs w:val="26"/>
        </w:rPr>
        <w:t>San Jose Water Company’s Audited Financial Statements for the years 2018, 2019, and 2020</w:t>
      </w:r>
      <w:r w:rsidRPr="006E5FD3" w:rsidR="00CA407F">
        <w:rPr>
          <w:sz w:val="26"/>
          <w:szCs w:val="26"/>
        </w:rPr>
        <w:t xml:space="preserve"> (“</w:t>
      </w:r>
      <w:r w:rsidRPr="006E5FD3" w:rsidR="00C00695">
        <w:rPr>
          <w:sz w:val="26"/>
          <w:szCs w:val="26"/>
        </w:rPr>
        <w:t>Requested</w:t>
      </w:r>
      <w:r w:rsidRPr="006E5FD3" w:rsidR="00CA407F">
        <w:rPr>
          <w:sz w:val="26"/>
          <w:szCs w:val="26"/>
        </w:rPr>
        <w:t xml:space="preserve"> Records”)</w:t>
      </w:r>
      <w:r w:rsidRPr="006E5FD3" w:rsidR="004B30B3">
        <w:rPr>
          <w:sz w:val="26"/>
          <w:szCs w:val="26"/>
        </w:rPr>
        <w:t>.</w:t>
      </w:r>
      <w:r w:rsidRPr="006E5FD3" w:rsidR="00ED5E15">
        <w:rPr>
          <w:sz w:val="26"/>
          <w:szCs w:val="26"/>
        </w:rPr>
        <w:t xml:space="preserve"> </w:t>
      </w:r>
      <w:r w:rsidRPr="006E5FD3" w:rsidR="00BD7ACB">
        <w:rPr>
          <w:sz w:val="26"/>
          <w:szCs w:val="26"/>
        </w:rPr>
        <w:t xml:space="preserve"> </w:t>
      </w:r>
      <w:r w:rsidRPr="006E5FD3" w:rsidR="00B958FC">
        <w:rPr>
          <w:sz w:val="26"/>
          <w:szCs w:val="26"/>
        </w:rPr>
        <w:t xml:space="preserve">San Jose Water Company (“SJWC”) </w:t>
      </w:r>
      <w:r w:rsidRPr="006E5FD3" w:rsidR="00655D9D">
        <w:rPr>
          <w:sz w:val="26"/>
          <w:szCs w:val="26"/>
        </w:rPr>
        <w:t xml:space="preserve">had </w:t>
      </w:r>
      <w:r w:rsidRPr="006E5FD3" w:rsidR="00B958FC">
        <w:rPr>
          <w:sz w:val="26"/>
          <w:szCs w:val="26"/>
        </w:rPr>
        <w:t xml:space="preserve">submitted to the Commission Audited Financial Statements for </w:t>
      </w:r>
      <w:r w:rsidRPr="006E5FD3" w:rsidR="00D16B3D">
        <w:rPr>
          <w:sz w:val="26"/>
          <w:szCs w:val="26"/>
        </w:rPr>
        <w:t>those years</w:t>
      </w:r>
      <w:r w:rsidRPr="006E5FD3" w:rsidR="00B600D0">
        <w:rPr>
          <w:sz w:val="26"/>
          <w:szCs w:val="26"/>
        </w:rPr>
        <w:t xml:space="preserve">, </w:t>
      </w:r>
      <w:r w:rsidRPr="006E5FD3" w:rsidR="00D16B3D">
        <w:rPr>
          <w:sz w:val="26"/>
          <w:szCs w:val="26"/>
        </w:rPr>
        <w:t xml:space="preserve">though </w:t>
      </w:r>
      <w:r w:rsidRPr="006E5FD3" w:rsidR="006862AD">
        <w:rPr>
          <w:sz w:val="26"/>
          <w:szCs w:val="26"/>
        </w:rPr>
        <w:t>with</w:t>
      </w:r>
      <w:r w:rsidRPr="006E5FD3" w:rsidR="00B958FC">
        <w:rPr>
          <w:sz w:val="26"/>
          <w:szCs w:val="26"/>
        </w:rPr>
        <w:t xml:space="preserve"> accompanying confidentiality claims </w:t>
      </w:r>
      <w:r w:rsidRPr="006E5FD3" w:rsidR="00655D9D">
        <w:rPr>
          <w:sz w:val="26"/>
          <w:szCs w:val="26"/>
        </w:rPr>
        <w:t>as to</w:t>
      </w:r>
      <w:r w:rsidRPr="006E5FD3" w:rsidR="00B958FC">
        <w:rPr>
          <w:sz w:val="26"/>
          <w:szCs w:val="26"/>
        </w:rPr>
        <w:t xml:space="preserve"> their entirety.</w:t>
      </w:r>
      <w:r w:rsidRPr="006E5FD3" w:rsidR="00B958FC">
        <w:rPr>
          <w:rStyle w:val="FootnoteReference"/>
          <w:b/>
          <w:bCs/>
          <w:sz w:val="26"/>
          <w:szCs w:val="26"/>
          <w:u w:val="single"/>
        </w:rPr>
        <w:footnoteReference w:id="1"/>
      </w:r>
      <w:r w:rsidRPr="006E5FD3" w:rsidR="00B958FC">
        <w:rPr>
          <w:sz w:val="26"/>
          <w:szCs w:val="26"/>
        </w:rPr>
        <w:t xml:space="preserve"> </w:t>
      </w:r>
      <w:r w:rsidR="007340AA">
        <w:rPr>
          <w:sz w:val="26"/>
          <w:szCs w:val="26"/>
        </w:rPr>
        <w:t xml:space="preserve"> </w:t>
      </w:r>
      <w:r w:rsidRPr="006E5FD3">
        <w:rPr>
          <w:sz w:val="26"/>
          <w:szCs w:val="26"/>
        </w:rPr>
        <w:t>On July 19, 202</w:t>
      </w:r>
      <w:r w:rsidRPr="006E5FD3" w:rsidR="00810754">
        <w:rPr>
          <w:sz w:val="26"/>
          <w:szCs w:val="26"/>
        </w:rPr>
        <w:t xml:space="preserve">1, in the absence of </w:t>
      </w:r>
      <w:r w:rsidRPr="006E5FD3" w:rsidR="00C00695">
        <w:rPr>
          <w:sz w:val="26"/>
          <w:szCs w:val="26"/>
        </w:rPr>
        <w:t xml:space="preserve">any </w:t>
      </w:r>
      <w:r w:rsidRPr="006E5FD3" w:rsidR="00810754">
        <w:rPr>
          <w:sz w:val="26"/>
          <w:szCs w:val="26"/>
        </w:rPr>
        <w:t xml:space="preserve">Commission </w:t>
      </w:r>
      <w:r w:rsidRPr="006E5FD3" w:rsidR="00C00695">
        <w:rPr>
          <w:sz w:val="26"/>
          <w:szCs w:val="26"/>
        </w:rPr>
        <w:t>decision, ruling, or resolution</w:t>
      </w:r>
      <w:r w:rsidRPr="006E5FD3" w:rsidR="00810754">
        <w:rPr>
          <w:sz w:val="26"/>
          <w:szCs w:val="26"/>
        </w:rPr>
        <w:t xml:space="preserve"> on </w:t>
      </w:r>
      <w:r w:rsidRPr="006E5FD3" w:rsidR="00A759E1">
        <w:rPr>
          <w:sz w:val="26"/>
          <w:szCs w:val="26"/>
        </w:rPr>
        <w:t>the Requested Records</w:t>
      </w:r>
      <w:r w:rsidRPr="006E5FD3" w:rsidR="00810754">
        <w:rPr>
          <w:sz w:val="26"/>
          <w:szCs w:val="26"/>
        </w:rPr>
        <w:t>,</w:t>
      </w:r>
      <w:r w:rsidRPr="006E5FD3" w:rsidR="00B958FC">
        <w:rPr>
          <w:sz w:val="26"/>
          <w:szCs w:val="26"/>
        </w:rPr>
        <w:t xml:space="preserve"> </w:t>
      </w:r>
      <w:r w:rsidRPr="006E5FD3" w:rsidR="002B4A31">
        <w:rPr>
          <w:sz w:val="26"/>
          <w:szCs w:val="26"/>
        </w:rPr>
        <w:t>Legal Division</w:t>
      </w:r>
      <w:r w:rsidRPr="006E5FD3" w:rsidR="00B958FC">
        <w:rPr>
          <w:sz w:val="26"/>
          <w:szCs w:val="26"/>
        </w:rPr>
        <w:t xml:space="preserve"> informed the requester of the </w:t>
      </w:r>
      <w:r w:rsidRPr="006E5FD3" w:rsidR="00B64085">
        <w:rPr>
          <w:sz w:val="26"/>
          <w:szCs w:val="26"/>
        </w:rPr>
        <w:t>c</w:t>
      </w:r>
      <w:r w:rsidRPr="006E5FD3" w:rsidR="00861DA6">
        <w:rPr>
          <w:sz w:val="26"/>
          <w:szCs w:val="26"/>
        </w:rPr>
        <w:t xml:space="preserve">laimed </w:t>
      </w:r>
      <w:r w:rsidRPr="006E5FD3" w:rsidR="00B958FC">
        <w:rPr>
          <w:sz w:val="26"/>
          <w:szCs w:val="26"/>
        </w:rPr>
        <w:t>confidentiality of the documents.</w:t>
      </w:r>
      <w:r w:rsidRPr="006E5FD3" w:rsidR="00C64BB6">
        <w:rPr>
          <w:sz w:val="26"/>
          <w:szCs w:val="26"/>
        </w:rPr>
        <w:t xml:space="preserve"> </w:t>
      </w:r>
      <w:r w:rsidRPr="006E5FD3" w:rsidR="002C4262">
        <w:rPr>
          <w:sz w:val="26"/>
          <w:szCs w:val="26"/>
        </w:rPr>
        <w:t>On that same date, the</w:t>
      </w:r>
      <w:r w:rsidRPr="006E5FD3" w:rsidR="00B76D35">
        <w:rPr>
          <w:sz w:val="26"/>
          <w:szCs w:val="26"/>
        </w:rPr>
        <w:t xml:space="preserve"> requester appealed </w:t>
      </w:r>
      <w:r w:rsidRPr="006E5FD3" w:rsidR="00B958FC">
        <w:rPr>
          <w:sz w:val="26"/>
          <w:szCs w:val="26"/>
        </w:rPr>
        <w:t>the initial denial of the records</w:t>
      </w:r>
      <w:r w:rsidRPr="006E5FD3" w:rsidR="004758E7">
        <w:rPr>
          <w:sz w:val="26"/>
          <w:szCs w:val="26"/>
        </w:rPr>
        <w:t xml:space="preserve"> pursuant to G.O. 66-D </w:t>
      </w:r>
      <w:r w:rsidRPr="006E5FD3" w:rsidR="00A3262C">
        <w:rPr>
          <w:sz w:val="26"/>
          <w:szCs w:val="26"/>
        </w:rPr>
        <w:t>Section</w:t>
      </w:r>
      <w:r w:rsidRPr="006E5FD3" w:rsidR="00810754">
        <w:rPr>
          <w:sz w:val="26"/>
          <w:szCs w:val="26"/>
        </w:rPr>
        <w:t xml:space="preserve"> 5.5</w:t>
      </w:r>
      <w:r w:rsidRPr="006E5FD3" w:rsidR="00B76D35">
        <w:rPr>
          <w:sz w:val="26"/>
          <w:szCs w:val="26"/>
        </w:rPr>
        <w:t>.</w:t>
      </w:r>
      <w:r w:rsidRPr="006E5FD3" w:rsidR="005B4D8D">
        <w:rPr>
          <w:sz w:val="26"/>
          <w:szCs w:val="26"/>
        </w:rPr>
        <w:t xml:space="preserve"> </w:t>
      </w:r>
      <w:r w:rsidRPr="006E5FD3" w:rsidR="00BD7ACB">
        <w:rPr>
          <w:sz w:val="26"/>
          <w:szCs w:val="26"/>
        </w:rPr>
        <w:t xml:space="preserve"> </w:t>
      </w:r>
      <w:r w:rsidRPr="006E5FD3" w:rsidR="00325C5E">
        <w:rPr>
          <w:sz w:val="26"/>
          <w:szCs w:val="26"/>
        </w:rPr>
        <w:t xml:space="preserve">Under these conditions, </w:t>
      </w:r>
      <w:r w:rsidRPr="006E5FD3" w:rsidR="004758E7">
        <w:rPr>
          <w:sz w:val="26"/>
          <w:szCs w:val="26"/>
        </w:rPr>
        <w:t xml:space="preserve">G.O. </w:t>
      </w:r>
      <w:r w:rsidRPr="006E5FD3" w:rsidR="00B600D0">
        <w:rPr>
          <w:sz w:val="26"/>
          <w:szCs w:val="26"/>
        </w:rPr>
        <w:t xml:space="preserve">66-D </w:t>
      </w:r>
      <w:r w:rsidRPr="006E5FD3" w:rsidR="00A3262C">
        <w:rPr>
          <w:sz w:val="26"/>
          <w:szCs w:val="26"/>
        </w:rPr>
        <w:t>Sections</w:t>
      </w:r>
      <w:r w:rsidRPr="006E5FD3" w:rsidR="00B600D0">
        <w:rPr>
          <w:sz w:val="26"/>
          <w:szCs w:val="26"/>
        </w:rPr>
        <w:t xml:space="preserve"> 5.5 and 6 require</w:t>
      </w:r>
      <w:r w:rsidRPr="006E5FD3" w:rsidR="00895539">
        <w:rPr>
          <w:sz w:val="26"/>
          <w:szCs w:val="26"/>
        </w:rPr>
        <w:t xml:space="preserve"> </w:t>
      </w:r>
      <w:r w:rsidRPr="006E5FD3" w:rsidR="0093493F">
        <w:rPr>
          <w:sz w:val="26"/>
          <w:szCs w:val="26"/>
        </w:rPr>
        <w:t>Legal Division to</w:t>
      </w:r>
      <w:r w:rsidRPr="006E5FD3" w:rsidR="00507D43">
        <w:rPr>
          <w:sz w:val="26"/>
          <w:szCs w:val="26"/>
        </w:rPr>
        <w:t xml:space="preserve"> </w:t>
      </w:r>
      <w:r w:rsidRPr="006E5FD3" w:rsidR="00C00695">
        <w:rPr>
          <w:sz w:val="26"/>
          <w:szCs w:val="26"/>
        </w:rPr>
        <w:t>issue</w:t>
      </w:r>
      <w:r w:rsidRPr="006E5FD3" w:rsidR="0093493F">
        <w:rPr>
          <w:sz w:val="26"/>
          <w:szCs w:val="26"/>
        </w:rPr>
        <w:t xml:space="preserve"> a Resolution </w:t>
      </w:r>
      <w:r w:rsidRPr="006E5FD3" w:rsidR="00864B34">
        <w:rPr>
          <w:sz w:val="26"/>
          <w:szCs w:val="26"/>
        </w:rPr>
        <w:t xml:space="preserve">addressing </w:t>
      </w:r>
      <w:r w:rsidRPr="006E5FD3" w:rsidR="00507D43">
        <w:rPr>
          <w:sz w:val="26"/>
          <w:szCs w:val="26"/>
        </w:rPr>
        <w:t xml:space="preserve">the confidentiality claims and </w:t>
      </w:r>
      <w:r w:rsidRPr="006E5FD3" w:rsidR="00D16B3D">
        <w:rPr>
          <w:sz w:val="26"/>
          <w:szCs w:val="26"/>
        </w:rPr>
        <w:t xml:space="preserve">a </w:t>
      </w:r>
      <w:r w:rsidRPr="006E5FD3" w:rsidR="00507D43">
        <w:rPr>
          <w:sz w:val="26"/>
          <w:szCs w:val="26"/>
        </w:rPr>
        <w:t xml:space="preserve">determination </w:t>
      </w:r>
      <w:r w:rsidRPr="006E5FD3" w:rsidR="00CF63DE">
        <w:rPr>
          <w:sz w:val="26"/>
          <w:szCs w:val="26"/>
        </w:rPr>
        <w:t xml:space="preserve">regarding </w:t>
      </w:r>
      <w:r w:rsidRPr="006E5FD3" w:rsidR="00507D43">
        <w:rPr>
          <w:sz w:val="26"/>
          <w:szCs w:val="26"/>
        </w:rPr>
        <w:t>the release of the requested records, to be voted on</w:t>
      </w:r>
      <w:r w:rsidRPr="006E5FD3" w:rsidR="0093493F">
        <w:rPr>
          <w:sz w:val="26"/>
          <w:szCs w:val="26"/>
        </w:rPr>
        <w:t xml:space="preserve"> by the full Commission.</w:t>
      </w:r>
      <w:r w:rsidRPr="006E5FD3" w:rsidR="00BD7ACB">
        <w:rPr>
          <w:sz w:val="26"/>
          <w:szCs w:val="26"/>
        </w:rPr>
        <w:t xml:space="preserve"> </w:t>
      </w:r>
      <w:r w:rsidRPr="006E5FD3" w:rsidR="00E00493">
        <w:rPr>
          <w:sz w:val="26"/>
          <w:szCs w:val="26"/>
        </w:rPr>
        <w:t xml:space="preserve"> </w:t>
      </w:r>
      <w:r w:rsidRPr="006E5FD3" w:rsidR="00223EAD">
        <w:rPr>
          <w:sz w:val="26"/>
          <w:szCs w:val="26"/>
        </w:rPr>
        <w:t xml:space="preserve">Here, </w:t>
      </w:r>
      <w:r w:rsidRPr="006E5FD3" w:rsidR="00507D43">
        <w:rPr>
          <w:sz w:val="26"/>
          <w:szCs w:val="26"/>
        </w:rPr>
        <w:t>Legal Division</w:t>
      </w:r>
      <w:r w:rsidRPr="006E5FD3" w:rsidR="00E00493">
        <w:rPr>
          <w:sz w:val="26"/>
          <w:szCs w:val="26"/>
        </w:rPr>
        <w:t xml:space="preserve"> reject</w:t>
      </w:r>
      <w:r w:rsidRPr="006E5FD3" w:rsidR="00223EAD">
        <w:rPr>
          <w:sz w:val="26"/>
          <w:szCs w:val="26"/>
        </w:rPr>
        <w:t>s</w:t>
      </w:r>
      <w:r w:rsidRPr="006E5FD3" w:rsidR="00E00493">
        <w:rPr>
          <w:sz w:val="26"/>
          <w:szCs w:val="26"/>
        </w:rPr>
        <w:t xml:space="preserve"> </w:t>
      </w:r>
      <w:r w:rsidRPr="006E5FD3" w:rsidR="00223EAD">
        <w:rPr>
          <w:sz w:val="26"/>
          <w:szCs w:val="26"/>
        </w:rPr>
        <w:t xml:space="preserve">SJWC’s </w:t>
      </w:r>
      <w:r w:rsidRPr="006E5FD3" w:rsidR="00E00493">
        <w:rPr>
          <w:sz w:val="26"/>
          <w:szCs w:val="26"/>
        </w:rPr>
        <w:t xml:space="preserve">claims of confidentiality and </w:t>
      </w:r>
      <w:r w:rsidRPr="006E5FD3" w:rsidR="00B43261">
        <w:rPr>
          <w:sz w:val="26"/>
          <w:szCs w:val="26"/>
        </w:rPr>
        <w:t>requests th</w:t>
      </w:r>
      <w:r w:rsidRPr="006E5FD3" w:rsidR="008E20E5">
        <w:rPr>
          <w:sz w:val="26"/>
          <w:szCs w:val="26"/>
        </w:rPr>
        <w:t>at the Commission authorize</w:t>
      </w:r>
      <w:r w:rsidRPr="006E5FD3" w:rsidR="00E00493">
        <w:rPr>
          <w:sz w:val="26"/>
          <w:szCs w:val="26"/>
        </w:rPr>
        <w:t xml:space="preserve"> disclosure</w:t>
      </w:r>
      <w:r w:rsidRPr="006E5FD3" w:rsidR="00223EAD">
        <w:rPr>
          <w:sz w:val="26"/>
          <w:szCs w:val="26"/>
        </w:rPr>
        <w:t xml:space="preserve"> of San Jose Water Company’s Audited Financial Statements for the years ending December 31, 2018, 2019, and 2020.</w:t>
      </w:r>
    </w:p>
    <w:p w:rsidRPr="006E5FD3" w:rsidR="000D506B" w:rsidP="005B38FC" w:rsidRDefault="00ED5E15" w14:paraId="71BC5881" w14:textId="009330D3">
      <w:pPr>
        <w:pStyle w:val="BodyText"/>
        <w:spacing w:before="240" w:after="0"/>
        <w:outlineLvl w:val="0"/>
        <w:rPr>
          <w:b/>
          <w:szCs w:val="26"/>
          <w:u w:val="single"/>
        </w:rPr>
      </w:pPr>
      <w:r w:rsidRPr="006E5FD3">
        <w:rPr>
          <w:b/>
          <w:szCs w:val="26"/>
          <w:u w:val="single"/>
        </w:rPr>
        <w:t xml:space="preserve">DISCUSSION </w:t>
      </w:r>
    </w:p>
    <w:p w:rsidRPr="00990A0A" w:rsidR="00CB4490" w:rsidP="00990A0A" w:rsidRDefault="00767FBA" w14:paraId="1A82497E" w14:textId="560BF3DE">
      <w:pPr>
        <w:pStyle w:val="Heading1"/>
      </w:pPr>
      <w:r w:rsidRPr="00990A0A">
        <w:t>Documents at Issue</w:t>
      </w:r>
    </w:p>
    <w:p w:rsidRPr="006E5FD3" w:rsidR="00767FBA" w:rsidP="009B650C" w:rsidRDefault="00767FBA" w14:paraId="0F3125C0" w14:textId="35F2130D">
      <w:pPr>
        <w:spacing w:after="0"/>
        <w:rPr>
          <w:sz w:val="26"/>
          <w:szCs w:val="26"/>
        </w:rPr>
      </w:pPr>
      <w:r w:rsidRPr="006E5FD3">
        <w:rPr>
          <w:sz w:val="26"/>
          <w:szCs w:val="26"/>
        </w:rPr>
        <w:t xml:space="preserve">SJWC has filed annual audited financial statements to the Commission. </w:t>
      </w:r>
      <w:r w:rsidRPr="006E5FD3" w:rsidR="00BD7ACB">
        <w:rPr>
          <w:sz w:val="26"/>
          <w:szCs w:val="26"/>
        </w:rPr>
        <w:t xml:space="preserve"> </w:t>
      </w:r>
      <w:r w:rsidRPr="006E5FD3" w:rsidR="00AA359B">
        <w:rPr>
          <w:sz w:val="26"/>
          <w:szCs w:val="26"/>
        </w:rPr>
        <w:t xml:space="preserve">These documents include a letter from SJWC’s management, and an auditor’s report on SJWC’s financial information such as annual revenue, expenses, assets, liabilities, and debts. </w:t>
      </w:r>
      <w:r w:rsidRPr="006E5FD3" w:rsidR="00BD7ACB">
        <w:rPr>
          <w:sz w:val="26"/>
          <w:szCs w:val="26"/>
        </w:rPr>
        <w:t xml:space="preserve"> </w:t>
      </w:r>
      <w:r w:rsidRPr="006E5FD3">
        <w:rPr>
          <w:sz w:val="26"/>
          <w:szCs w:val="26"/>
        </w:rPr>
        <w:t xml:space="preserve">Each year, from 2018 to 2020, these audited financial statements have been accompanied with confidentiality statements as to their entirety. </w:t>
      </w:r>
    </w:p>
    <w:p w:rsidRPr="006E5FD3" w:rsidR="00693A99" w:rsidP="000E14AB" w:rsidRDefault="0027447F" w14:paraId="1BB7AE3F" w14:textId="22D1A2EE">
      <w:pPr>
        <w:spacing w:after="0"/>
        <w:rPr>
          <w:sz w:val="26"/>
          <w:szCs w:val="26"/>
        </w:rPr>
      </w:pPr>
      <w:r w:rsidRPr="006E5FD3">
        <w:rPr>
          <w:sz w:val="26"/>
          <w:szCs w:val="26"/>
        </w:rPr>
        <w:lastRenderedPageBreak/>
        <w:t xml:space="preserve">The </w:t>
      </w:r>
      <w:r w:rsidRPr="006E5FD3" w:rsidR="00693A99">
        <w:rPr>
          <w:sz w:val="26"/>
          <w:szCs w:val="26"/>
        </w:rPr>
        <w:t>Requested R</w:t>
      </w:r>
      <w:r w:rsidRPr="006E5FD3">
        <w:rPr>
          <w:sz w:val="26"/>
          <w:szCs w:val="26"/>
        </w:rPr>
        <w:t xml:space="preserve">ecords are substantially similar to the </w:t>
      </w:r>
      <w:r w:rsidRPr="006E5FD3" w:rsidR="004439BF">
        <w:rPr>
          <w:sz w:val="26"/>
          <w:szCs w:val="26"/>
        </w:rPr>
        <w:t>A</w:t>
      </w:r>
      <w:r w:rsidRPr="006E5FD3">
        <w:rPr>
          <w:sz w:val="26"/>
          <w:szCs w:val="26"/>
        </w:rPr>
        <w:t xml:space="preserve">nnual </w:t>
      </w:r>
      <w:r w:rsidRPr="006E5FD3" w:rsidR="004439BF">
        <w:rPr>
          <w:sz w:val="26"/>
          <w:szCs w:val="26"/>
        </w:rPr>
        <w:t>R</w:t>
      </w:r>
      <w:r w:rsidRPr="006E5FD3">
        <w:rPr>
          <w:sz w:val="26"/>
          <w:szCs w:val="26"/>
        </w:rPr>
        <w:t>eports that SJWC files each year</w:t>
      </w:r>
      <w:r w:rsidRPr="006E5FD3" w:rsidR="004439BF">
        <w:rPr>
          <w:sz w:val="26"/>
          <w:szCs w:val="26"/>
        </w:rPr>
        <w:t xml:space="preserve"> with the Commission</w:t>
      </w:r>
      <w:r w:rsidRPr="006E5FD3">
        <w:rPr>
          <w:sz w:val="26"/>
          <w:szCs w:val="26"/>
        </w:rPr>
        <w:t>, which are public</w:t>
      </w:r>
      <w:r w:rsidRPr="006E5FD3" w:rsidR="004439BF">
        <w:rPr>
          <w:sz w:val="26"/>
          <w:szCs w:val="26"/>
        </w:rPr>
        <w:t>ly available on the Commission’s website</w:t>
      </w:r>
      <w:r w:rsidRPr="006E5FD3" w:rsidR="0012380A">
        <w:rPr>
          <w:sz w:val="26"/>
          <w:szCs w:val="26"/>
        </w:rPr>
        <w:t>.</w:t>
      </w:r>
      <w:r w:rsidRPr="006E5FD3" w:rsidR="001F5EF0">
        <w:rPr>
          <w:sz w:val="26"/>
          <w:szCs w:val="26"/>
        </w:rPr>
        <w:t xml:space="preserve"> </w:t>
      </w:r>
      <w:r w:rsidRPr="006E5FD3" w:rsidR="00BD7ACB">
        <w:rPr>
          <w:sz w:val="26"/>
          <w:szCs w:val="26"/>
        </w:rPr>
        <w:t xml:space="preserve"> </w:t>
      </w:r>
      <w:r w:rsidRPr="006E5FD3" w:rsidR="001F5EF0">
        <w:rPr>
          <w:sz w:val="26"/>
          <w:szCs w:val="26"/>
        </w:rPr>
        <w:t xml:space="preserve">The public Annual Reports also detail SJWC’s financial information such as annual revenue, expenses, assets, liabilities, and debts. </w:t>
      </w:r>
    </w:p>
    <w:p w:rsidRPr="006E5FD3" w:rsidR="00E3664D" w:rsidP="00990A0A" w:rsidRDefault="00767FBA" w14:paraId="7865F0C8" w14:textId="717D03A3">
      <w:pPr>
        <w:pStyle w:val="Heading1"/>
      </w:pPr>
      <w:r w:rsidRPr="006E5FD3">
        <w:t>Legal Background</w:t>
      </w:r>
    </w:p>
    <w:p w:rsidRPr="006E5FD3" w:rsidR="00D82B77" w:rsidP="009B650C" w:rsidRDefault="00CB4490" w14:paraId="036D8476" w14:textId="4566A450">
      <w:pPr>
        <w:spacing w:after="0"/>
        <w:rPr>
          <w:sz w:val="26"/>
          <w:szCs w:val="26"/>
        </w:rPr>
      </w:pPr>
      <w:r w:rsidRPr="006E5FD3">
        <w:rPr>
          <w:sz w:val="26"/>
          <w:szCs w:val="26"/>
        </w:rPr>
        <w:t xml:space="preserve">Pursuant to California Public Utilities (“PU”) Code </w:t>
      </w:r>
      <w:r w:rsidRPr="006E5FD3" w:rsidR="00091ACB">
        <w:rPr>
          <w:sz w:val="26"/>
          <w:szCs w:val="26"/>
        </w:rPr>
        <w:t>Section</w:t>
      </w:r>
      <w:r w:rsidRPr="006E5FD3" w:rsidR="002A0826">
        <w:rPr>
          <w:sz w:val="26"/>
          <w:szCs w:val="26"/>
        </w:rPr>
        <w:t>s</w:t>
      </w:r>
      <w:r w:rsidRPr="006E5FD3" w:rsidR="00091ACB">
        <w:rPr>
          <w:sz w:val="26"/>
          <w:szCs w:val="26"/>
        </w:rPr>
        <w:t xml:space="preserve"> </w:t>
      </w:r>
      <w:r w:rsidRPr="006E5FD3">
        <w:rPr>
          <w:sz w:val="26"/>
          <w:szCs w:val="26"/>
        </w:rPr>
        <w:t xml:space="preserve">314.5, 314.6, 581, and 584, the CPUC has statutory authority to inspect and audit the books and records of the utilities to ensure that ratepayers’ money is well spent. </w:t>
      </w:r>
      <w:r w:rsidRPr="006E5FD3" w:rsidR="00BD7ACB">
        <w:rPr>
          <w:sz w:val="26"/>
          <w:szCs w:val="26"/>
        </w:rPr>
        <w:t xml:space="preserve"> </w:t>
      </w:r>
      <w:r w:rsidRPr="006E5FD3">
        <w:rPr>
          <w:sz w:val="26"/>
          <w:szCs w:val="26"/>
        </w:rPr>
        <w:t>P</w:t>
      </w:r>
      <w:r w:rsidRPr="006E5FD3" w:rsidR="00565CF7">
        <w:rPr>
          <w:sz w:val="26"/>
          <w:szCs w:val="26"/>
        </w:rPr>
        <w:t>U</w:t>
      </w:r>
      <w:r w:rsidRPr="006E5FD3">
        <w:rPr>
          <w:sz w:val="26"/>
          <w:szCs w:val="26"/>
        </w:rPr>
        <w:t xml:space="preserve"> Code </w:t>
      </w:r>
      <w:r w:rsidRPr="006E5FD3" w:rsidR="00E2202E">
        <w:rPr>
          <w:sz w:val="26"/>
          <w:szCs w:val="26"/>
        </w:rPr>
        <w:t xml:space="preserve">Section </w:t>
      </w:r>
      <w:r w:rsidRPr="006E5FD3">
        <w:rPr>
          <w:sz w:val="26"/>
          <w:szCs w:val="26"/>
        </w:rPr>
        <w:t xml:space="preserve">314.5 specifies that the CPUC shall inspect and audit the books and records for regulatory and tax purposes at least once every three years for utilities serving over 10,000 customers and at least once every five years for utilities serving 10,000 or fewer customers. </w:t>
      </w:r>
      <w:r w:rsidRPr="006E5FD3" w:rsidR="00BD7ACB">
        <w:rPr>
          <w:sz w:val="26"/>
          <w:szCs w:val="26"/>
        </w:rPr>
        <w:t xml:space="preserve"> </w:t>
      </w:r>
      <w:r w:rsidRPr="006E5FD3">
        <w:rPr>
          <w:sz w:val="26"/>
          <w:szCs w:val="26"/>
        </w:rPr>
        <w:t xml:space="preserve">PU Code </w:t>
      </w:r>
      <w:r w:rsidRPr="006E5FD3" w:rsidR="00E2202E">
        <w:rPr>
          <w:sz w:val="26"/>
          <w:szCs w:val="26"/>
        </w:rPr>
        <w:t>Section</w:t>
      </w:r>
      <w:r w:rsidRPr="006E5FD3" w:rsidR="00091ACB">
        <w:rPr>
          <w:sz w:val="26"/>
          <w:szCs w:val="26"/>
        </w:rPr>
        <w:t xml:space="preserve"> </w:t>
      </w:r>
      <w:r w:rsidRPr="006E5FD3">
        <w:rPr>
          <w:sz w:val="26"/>
          <w:szCs w:val="26"/>
        </w:rPr>
        <w:t>314.6(a) states that “the Commission may conduct financial and performance audits of any entity or program created by any order, decision, motion, settlement, or other action of the Commission.</w:t>
      </w:r>
      <w:r w:rsidRPr="006E5FD3" w:rsidR="008F63EB">
        <w:rPr>
          <w:sz w:val="26"/>
          <w:szCs w:val="26"/>
        </w:rPr>
        <w:t>”</w:t>
      </w:r>
      <w:r w:rsidRPr="006E5FD3" w:rsidR="00F3259C">
        <w:rPr>
          <w:sz w:val="26"/>
          <w:szCs w:val="26"/>
        </w:rPr>
        <w:t xml:space="preserve"> </w:t>
      </w:r>
      <w:r w:rsidR="007340AA">
        <w:rPr>
          <w:sz w:val="26"/>
          <w:szCs w:val="26"/>
        </w:rPr>
        <w:t xml:space="preserve"> </w:t>
      </w:r>
      <w:r w:rsidRPr="006E5FD3" w:rsidR="003F3B43">
        <w:rPr>
          <w:sz w:val="26"/>
          <w:szCs w:val="26"/>
        </w:rPr>
        <w:t>Finally, the Commission has authority</w:t>
      </w:r>
      <w:r w:rsidRPr="006E5FD3" w:rsidR="00CE344D">
        <w:rPr>
          <w:sz w:val="26"/>
          <w:szCs w:val="26"/>
        </w:rPr>
        <w:t xml:space="preserve"> under </w:t>
      </w:r>
      <w:r w:rsidRPr="006E5FD3" w:rsidR="00BD7ACB">
        <w:rPr>
          <w:sz w:val="26"/>
          <w:szCs w:val="26"/>
        </w:rPr>
        <w:br/>
      </w:r>
      <w:r w:rsidRPr="006E5FD3" w:rsidR="00CE344D">
        <w:rPr>
          <w:sz w:val="26"/>
          <w:szCs w:val="26"/>
        </w:rPr>
        <w:t xml:space="preserve">Cal. Pub. Util. </w:t>
      </w:r>
      <w:r w:rsidRPr="006E5FD3" w:rsidR="00E2202E">
        <w:rPr>
          <w:sz w:val="26"/>
          <w:szCs w:val="26"/>
        </w:rPr>
        <w:t xml:space="preserve">Sections </w:t>
      </w:r>
      <w:r w:rsidRPr="006E5FD3" w:rsidR="00CE344D">
        <w:rPr>
          <w:sz w:val="26"/>
          <w:szCs w:val="26"/>
        </w:rPr>
        <w:t>581 through 591 and General Order 104-A to require public utilities to provide reports as specified by the Commission</w:t>
      </w:r>
      <w:r w:rsidRPr="006E5FD3" w:rsidR="00F94EB6">
        <w:rPr>
          <w:sz w:val="26"/>
          <w:szCs w:val="26"/>
        </w:rPr>
        <w:t>.</w:t>
      </w:r>
    </w:p>
    <w:p w:rsidRPr="006E5FD3" w:rsidR="009B650C" w:rsidP="009B650C" w:rsidRDefault="009B650C" w14:paraId="6DFA4CD9" w14:textId="77777777">
      <w:pPr>
        <w:spacing w:after="0"/>
        <w:rPr>
          <w:sz w:val="26"/>
          <w:szCs w:val="26"/>
        </w:rPr>
      </w:pPr>
    </w:p>
    <w:p w:rsidRPr="006E5FD3" w:rsidR="00767FBA" w:rsidP="00002464" w:rsidRDefault="00CC4BFD" w14:paraId="70265A35" w14:textId="7FF1CABC">
      <w:pPr>
        <w:spacing w:after="0"/>
        <w:rPr>
          <w:rStyle w:val="LineNumber"/>
          <w:szCs w:val="26"/>
        </w:rPr>
      </w:pPr>
      <w:r w:rsidRPr="006E5FD3">
        <w:rPr>
          <w:sz w:val="26"/>
          <w:szCs w:val="26"/>
        </w:rPr>
        <w:t xml:space="preserve">Once records are furnished to the Commission, they </w:t>
      </w:r>
      <w:r w:rsidRPr="006E5FD3" w:rsidR="00767FBA">
        <w:rPr>
          <w:sz w:val="26"/>
          <w:szCs w:val="26"/>
        </w:rPr>
        <w:t>are “public records” as defined by the California Public Records Act (“CPRA”).</w:t>
      </w:r>
      <w:r w:rsidRPr="006E5FD3" w:rsidR="00767FBA">
        <w:rPr>
          <w:rStyle w:val="FootnoteReference"/>
          <w:b/>
          <w:sz w:val="26"/>
          <w:szCs w:val="26"/>
          <w:u w:val="single"/>
        </w:rPr>
        <w:footnoteReference w:id="2"/>
      </w:r>
      <w:r w:rsidRPr="006E5FD3" w:rsidR="00BD7ACB">
        <w:rPr>
          <w:bCs/>
          <w:sz w:val="26"/>
          <w:szCs w:val="26"/>
        </w:rPr>
        <w:t xml:space="preserve">  </w:t>
      </w:r>
      <w:r w:rsidRPr="006E5FD3" w:rsidR="00767FBA">
        <w:rPr>
          <w:bCs/>
          <w:sz w:val="26"/>
          <w:szCs w:val="26"/>
        </w:rPr>
        <w:t>The California Constitution, the CPRA, and discovery law favor disclosure of public records.</w:t>
      </w:r>
      <w:r w:rsidRPr="006E5FD3" w:rsidR="00900CF4">
        <w:rPr>
          <w:rStyle w:val="LineNumber"/>
          <w:szCs w:val="26"/>
        </w:rPr>
        <w:t xml:space="preserve"> </w:t>
      </w:r>
      <w:r w:rsidRPr="006E5FD3" w:rsidR="00BD7ACB">
        <w:rPr>
          <w:rStyle w:val="LineNumber"/>
          <w:szCs w:val="26"/>
        </w:rPr>
        <w:t xml:space="preserve"> </w:t>
      </w:r>
      <w:r w:rsidRPr="006E5FD3" w:rsidR="00767FBA">
        <w:rPr>
          <w:rStyle w:val="LineNumber"/>
          <w:szCs w:val="26"/>
        </w:rPr>
        <w:t>The public has constitutional and statutory rights to access most government information.</w:t>
      </w:r>
      <w:r w:rsidRPr="006E5FD3" w:rsidR="00767FBA">
        <w:rPr>
          <w:rStyle w:val="FootnoteReference"/>
          <w:b/>
          <w:sz w:val="26"/>
          <w:szCs w:val="26"/>
          <w:u w:val="single"/>
        </w:rPr>
        <w:footnoteReference w:id="3"/>
      </w:r>
      <w:r w:rsidRPr="006E5FD3" w:rsidR="000A63E7">
        <w:rPr>
          <w:rStyle w:val="FootnoteReference"/>
          <w:bCs/>
          <w:sz w:val="26"/>
          <w:szCs w:val="26"/>
          <w:vertAlign w:val="baseline"/>
        </w:rPr>
        <w:t xml:space="preserve">  </w:t>
      </w:r>
      <w:r w:rsidRPr="006E5FD3" w:rsidR="00767FBA">
        <w:rPr>
          <w:sz w:val="26"/>
          <w:szCs w:val="26"/>
        </w:rPr>
        <w:t>Agencies must justify withholding a public record in response to a CPRA request on the basis of specific exemptions in the CPRA or upon a showing that on the facts of the particular case the public interest in nondisclosure clearly outweighs the public interest in disclosure.</w:t>
      </w:r>
      <w:r w:rsidRPr="006E5FD3" w:rsidR="00767FBA">
        <w:rPr>
          <w:rStyle w:val="FootnoteReference"/>
          <w:b/>
          <w:sz w:val="26"/>
          <w:szCs w:val="26"/>
          <w:u w:val="single"/>
        </w:rPr>
        <w:footnoteReference w:id="4"/>
      </w:r>
      <w:r w:rsidRPr="006E5FD3" w:rsidR="000A63E7">
        <w:rPr>
          <w:bCs/>
          <w:szCs w:val="26"/>
        </w:rPr>
        <w:t xml:space="preserve">  </w:t>
      </w:r>
      <w:r w:rsidRPr="006E5FD3" w:rsidR="00767FBA">
        <w:rPr>
          <w:bCs/>
          <w:szCs w:val="26"/>
        </w:rPr>
        <w:t xml:space="preserve"> </w:t>
      </w:r>
      <w:r w:rsidRPr="006E5FD3" w:rsidR="00767FBA">
        <w:rPr>
          <w:sz w:val="26"/>
          <w:szCs w:val="26"/>
        </w:rPr>
        <w:lastRenderedPageBreak/>
        <w:t>Subpoenas and other forms of discovery are subject to the California Code of Civil Procedure (“Cal. Code of Civ. Pro.”) and the California Evidence Code (“Cal. Evid. Code”). Discovery laws also favor disclosure.</w:t>
      </w:r>
      <w:r w:rsidRPr="006E5FD3" w:rsidR="00767FBA">
        <w:rPr>
          <w:rStyle w:val="FootnoteReference"/>
          <w:b/>
          <w:bCs/>
          <w:sz w:val="26"/>
          <w:szCs w:val="26"/>
          <w:u w:val="single"/>
        </w:rPr>
        <w:footnoteReference w:id="5"/>
      </w:r>
      <w:r w:rsidRPr="006E5FD3" w:rsidR="00767FBA">
        <w:rPr>
          <w:sz w:val="26"/>
          <w:szCs w:val="26"/>
        </w:rPr>
        <w:t xml:space="preserve">  </w:t>
      </w:r>
      <w:r w:rsidRPr="006E5FD3" w:rsidR="00767FBA">
        <w:rPr>
          <w:rStyle w:val="LineNumber"/>
          <w:szCs w:val="26"/>
        </w:rPr>
        <w:t>Statutes, court rules, and other authority limiting access to information must be broadly construed if they further the people’s right of access, and narrowly construed if they limit the right of access.</w:t>
      </w:r>
      <w:r w:rsidRPr="006E5FD3" w:rsidR="00767FBA">
        <w:rPr>
          <w:rStyle w:val="FootnoteReference"/>
          <w:b/>
          <w:bCs/>
          <w:sz w:val="26"/>
          <w:szCs w:val="26"/>
          <w:u w:val="single"/>
        </w:rPr>
        <w:footnoteReference w:id="6"/>
      </w:r>
      <w:r w:rsidRPr="006E5FD3" w:rsidR="00767FBA">
        <w:rPr>
          <w:rStyle w:val="LineNumber"/>
          <w:szCs w:val="26"/>
        </w:rPr>
        <w:t xml:space="preserve">  New statutes, court rules, or other authority that limit the right of access must be adopted with findings demonstrating the interest protected by the limitation and the need to protect that interest.</w:t>
      </w:r>
      <w:r w:rsidRPr="006E5FD3" w:rsidR="00767FBA">
        <w:rPr>
          <w:rStyle w:val="FootnoteReference"/>
          <w:b/>
          <w:bCs/>
          <w:sz w:val="26"/>
          <w:szCs w:val="26"/>
          <w:u w:val="single"/>
        </w:rPr>
        <w:footnoteReference w:id="7"/>
      </w:r>
    </w:p>
    <w:p w:rsidRPr="006E5FD3" w:rsidR="00002464" w:rsidP="00002464" w:rsidRDefault="00002464" w14:paraId="3E037BDB" w14:textId="77777777">
      <w:pPr>
        <w:spacing w:after="0"/>
        <w:rPr>
          <w:b/>
          <w:sz w:val="26"/>
          <w:szCs w:val="26"/>
        </w:rPr>
      </w:pPr>
    </w:p>
    <w:p w:rsidR="00767FBA" w:rsidP="000E14AB" w:rsidRDefault="00587288" w14:paraId="0A5F9C91" w14:textId="241ECB61">
      <w:pPr>
        <w:pStyle w:val="BodyText"/>
        <w:spacing w:after="0"/>
        <w:rPr>
          <w:szCs w:val="26"/>
        </w:rPr>
      </w:pPr>
      <w:r w:rsidRPr="006E5FD3">
        <w:rPr>
          <w:szCs w:val="26"/>
        </w:rPr>
        <w:t>Additionally, the</w:t>
      </w:r>
      <w:r w:rsidRPr="006E5FD3" w:rsidR="00767FBA">
        <w:rPr>
          <w:szCs w:val="26"/>
        </w:rPr>
        <w:t xml:space="preserve"> CPRA contemplates named California agencies adopting particularized guidelines as to their execution of the CPRA.</w:t>
      </w:r>
      <w:r w:rsidRPr="006E5FD3" w:rsidR="00767FBA">
        <w:rPr>
          <w:rStyle w:val="FootnoteReference"/>
          <w:b/>
          <w:bCs/>
          <w:szCs w:val="26"/>
          <w:u w:val="single"/>
        </w:rPr>
        <w:footnoteReference w:id="8"/>
      </w:r>
      <w:r w:rsidRPr="006E5FD3" w:rsidR="00767FBA">
        <w:rPr>
          <w:szCs w:val="26"/>
        </w:rPr>
        <w:t xml:space="preserve"> The Commission has implemented its responsibility under California Government (Cal. Gov’t.) Code </w:t>
      </w:r>
      <w:r w:rsidRPr="006E5FD3" w:rsidR="00E2202E">
        <w:rPr>
          <w:szCs w:val="26"/>
        </w:rPr>
        <w:t>Section</w:t>
      </w:r>
      <w:r w:rsidRPr="006E5FD3" w:rsidR="00767FBA">
        <w:rPr>
          <w:szCs w:val="26"/>
        </w:rPr>
        <w:t xml:space="preserve"> 6253.4(a), by </w:t>
      </w:r>
      <w:r w:rsidR="00767FBA">
        <w:rPr>
          <w:szCs w:val="26"/>
        </w:rPr>
        <w:t xml:space="preserve">adopting guidelines for public access to Commission records. </w:t>
      </w:r>
      <w:r w:rsidR="003D5589">
        <w:rPr>
          <w:szCs w:val="26"/>
        </w:rPr>
        <w:t xml:space="preserve"> </w:t>
      </w:r>
      <w:r w:rsidR="00767FBA">
        <w:rPr>
          <w:szCs w:val="26"/>
        </w:rPr>
        <w:t>These guidelines are embodied in General Order (G.O.) 66-D.</w:t>
      </w:r>
      <w:r w:rsidR="00E9481B">
        <w:rPr>
          <w:szCs w:val="26"/>
        </w:rPr>
        <w:t xml:space="preserve"> </w:t>
      </w:r>
    </w:p>
    <w:p w:rsidR="000E14AB" w:rsidP="000E14AB" w:rsidRDefault="000E14AB" w14:paraId="4C6D14F7" w14:textId="77777777">
      <w:pPr>
        <w:pStyle w:val="BodyText"/>
        <w:spacing w:after="0"/>
        <w:rPr>
          <w:szCs w:val="26"/>
        </w:rPr>
      </w:pPr>
    </w:p>
    <w:p w:rsidR="00F5477E" w:rsidP="00002464" w:rsidRDefault="00F5477E" w14:paraId="4D776DAD" w14:textId="2FCA51E0">
      <w:pPr>
        <w:pStyle w:val="BodyText"/>
        <w:spacing w:after="0"/>
        <w:rPr>
          <w:szCs w:val="26"/>
        </w:rPr>
      </w:pPr>
      <w:r>
        <w:rPr>
          <w:color w:val="000000" w:themeColor="text1"/>
          <w:szCs w:val="26"/>
        </w:rPr>
        <w:t xml:space="preserve">G.O. 66-D </w:t>
      </w:r>
      <w:r w:rsidR="00E2202E">
        <w:rPr>
          <w:szCs w:val="26"/>
        </w:rPr>
        <w:t>Section</w:t>
      </w:r>
      <w:r>
        <w:rPr>
          <w:color w:val="000000" w:themeColor="text1"/>
          <w:szCs w:val="26"/>
        </w:rPr>
        <w:t xml:space="preserve"> 5.5 provides that before releasing information in response to a CPRA request, or in any other context, </w:t>
      </w:r>
      <w:r w:rsidR="00FE7388">
        <w:rPr>
          <w:color w:val="000000" w:themeColor="text1"/>
          <w:szCs w:val="26"/>
        </w:rPr>
        <w:t xml:space="preserve">Legal Division </w:t>
      </w:r>
      <w:r>
        <w:rPr>
          <w:color w:val="000000" w:themeColor="text1"/>
          <w:szCs w:val="26"/>
        </w:rPr>
        <w:t>will determine whether the information submitter has established a lawful basis of confidentiality.</w:t>
      </w:r>
      <w:r w:rsidR="004C72AA">
        <w:rPr>
          <w:color w:val="000000" w:themeColor="text1"/>
          <w:szCs w:val="26"/>
        </w:rPr>
        <w:t xml:space="preserve"> </w:t>
      </w:r>
      <w:r>
        <w:rPr>
          <w:color w:val="000000" w:themeColor="text1"/>
          <w:szCs w:val="26"/>
        </w:rPr>
        <w:t xml:space="preserve"> </w:t>
      </w:r>
      <w:r>
        <w:rPr>
          <w:szCs w:val="26"/>
        </w:rPr>
        <w:t>The procedures outlined in G.O. 66-D govern this Resolution.</w:t>
      </w:r>
    </w:p>
    <w:p w:rsidR="000E14AB" w:rsidP="00002464" w:rsidRDefault="000E14AB" w14:paraId="7FB3DA15" w14:textId="77777777">
      <w:pPr>
        <w:pStyle w:val="BodyText"/>
        <w:spacing w:after="0"/>
        <w:rPr>
          <w:szCs w:val="26"/>
        </w:rPr>
      </w:pPr>
    </w:p>
    <w:p w:rsidR="00D82B77" w:rsidP="00D82B77" w:rsidRDefault="00D82B77" w14:paraId="6F9891F3" w14:textId="7ACE38DC">
      <w:pPr>
        <w:spacing w:after="240"/>
        <w:ind w:right="720"/>
        <w:rPr>
          <w:sz w:val="26"/>
          <w:szCs w:val="26"/>
        </w:rPr>
      </w:pPr>
      <w:r>
        <w:rPr>
          <w:sz w:val="26"/>
          <w:szCs w:val="26"/>
        </w:rPr>
        <w:lastRenderedPageBreak/>
        <w:t>On September 18, 2019, Deputy Director Lucian Filler, Deputy Executive Director, Water and Communications Division, issued a letter</w:t>
      </w:r>
      <w:r w:rsidRPr="000A63E7">
        <w:rPr>
          <w:rStyle w:val="FootnoteReference"/>
          <w:b/>
          <w:bCs/>
          <w:sz w:val="26"/>
          <w:szCs w:val="26"/>
          <w:u w:val="single"/>
        </w:rPr>
        <w:footnoteReference w:id="9"/>
      </w:r>
      <w:r>
        <w:rPr>
          <w:sz w:val="26"/>
          <w:szCs w:val="26"/>
        </w:rPr>
        <w:t xml:space="preserve"> to all Class A water utilities,</w:t>
      </w:r>
      <w:r w:rsidRPr="000A63E7">
        <w:rPr>
          <w:b/>
          <w:bCs/>
          <w:sz w:val="26"/>
          <w:szCs w:val="26"/>
          <w:u w:val="single"/>
          <w:vertAlign w:val="superscript"/>
        </w:rPr>
        <w:footnoteReference w:id="10"/>
      </w:r>
      <w:r>
        <w:rPr>
          <w:sz w:val="26"/>
          <w:szCs w:val="26"/>
        </w:rPr>
        <w:t xml:space="preserve"> in which Director Filler outlined the relevant law for these audited financial documents:</w:t>
      </w:r>
    </w:p>
    <w:p w:rsidRPr="00D82B77" w:rsidR="00D82B77" w:rsidP="000476AF" w:rsidRDefault="00D82B77" w14:paraId="612F87B5" w14:textId="18E142A6">
      <w:pPr>
        <w:spacing w:after="240"/>
        <w:ind w:left="720" w:right="1440"/>
        <w:rPr>
          <w:sz w:val="26"/>
          <w:szCs w:val="26"/>
        </w:rPr>
      </w:pPr>
      <w:r>
        <w:rPr>
          <w:sz w:val="26"/>
          <w:szCs w:val="26"/>
        </w:rPr>
        <w:t>“It has been the long-term practice of the Commission to release similar reports to the public upon request.</w:t>
      </w:r>
      <w:r w:rsidR="007340AA">
        <w:rPr>
          <w:sz w:val="26"/>
          <w:szCs w:val="26"/>
        </w:rPr>
        <w:t xml:space="preserve"> </w:t>
      </w:r>
      <w:r>
        <w:rPr>
          <w:sz w:val="26"/>
          <w:szCs w:val="26"/>
        </w:rPr>
        <w:t xml:space="preserve"> In general, such reports are public records, and if they fail to meet the requirements of G.O. 66-D or the exemptions of the California Public Records Act (California Government Code Sections 6250-6276.48), they are required to be available for public inspection. </w:t>
      </w:r>
      <w:r w:rsidR="007340AA">
        <w:rPr>
          <w:sz w:val="26"/>
          <w:szCs w:val="26"/>
        </w:rPr>
        <w:t xml:space="preserve"> </w:t>
      </w:r>
      <w:r>
        <w:rPr>
          <w:sz w:val="26"/>
          <w:szCs w:val="26"/>
        </w:rPr>
        <w:t>Even those records which are exempted from public inspection can be made public upon the determination of the Commission that the public interest served by disclosure outweighs the public interest served by not disclosing (California Government Code Section 6255).”</w:t>
      </w:r>
    </w:p>
    <w:p w:rsidR="00767FBA" w:rsidP="00990A0A" w:rsidRDefault="00767FBA" w14:paraId="23E534BD" w14:textId="2557E9C3">
      <w:pPr>
        <w:pStyle w:val="Heading1"/>
      </w:pPr>
      <w:r>
        <w:t>SJWC’s Confidentiality Claims</w:t>
      </w:r>
    </w:p>
    <w:p w:rsidR="00CB6F60" w:rsidP="00CB6F60" w:rsidRDefault="00CB6F60" w14:paraId="37904A79" w14:textId="3DA8E67F">
      <w:pPr>
        <w:pStyle w:val="BodyText"/>
        <w:spacing w:after="0"/>
        <w:rPr>
          <w:color w:val="000000" w:themeColor="text1"/>
          <w:szCs w:val="26"/>
        </w:rPr>
      </w:pPr>
      <w:r>
        <w:rPr>
          <w:color w:val="000000" w:themeColor="text1"/>
          <w:szCs w:val="26"/>
        </w:rPr>
        <w:t xml:space="preserve">The declarations accompanying the 2018, 2019, and 2020 reports are substantially the same, though the year and identity of the independent registered public accounting firm varies, as does the characterization of the document as an independent auditor’s report or opinion letter. </w:t>
      </w:r>
    </w:p>
    <w:p w:rsidR="00CB6F60" w:rsidP="00CB6F60" w:rsidRDefault="00CB6F60" w14:paraId="139F74C6" w14:textId="77777777">
      <w:pPr>
        <w:pStyle w:val="BodyText"/>
        <w:spacing w:after="0"/>
        <w:rPr>
          <w:color w:val="000000" w:themeColor="text1"/>
          <w:szCs w:val="26"/>
        </w:rPr>
      </w:pPr>
    </w:p>
    <w:p w:rsidR="00CB6F60" w:rsidP="00002464" w:rsidRDefault="00767FBA" w14:paraId="47150D93" w14:textId="15543447">
      <w:pPr>
        <w:pStyle w:val="BodyText"/>
        <w:spacing w:after="0"/>
        <w:rPr>
          <w:color w:val="000000" w:themeColor="text1"/>
          <w:szCs w:val="26"/>
        </w:rPr>
      </w:pPr>
      <w:r>
        <w:rPr>
          <w:color w:val="000000" w:themeColor="text1"/>
          <w:szCs w:val="26"/>
        </w:rPr>
        <w:t xml:space="preserve">SJWC confidentiality claims encompass the entirety of the Audited Financial Statements for the years 2018, 2019, and 2020. </w:t>
      </w:r>
    </w:p>
    <w:p w:rsidR="00002464" w:rsidP="00002464" w:rsidRDefault="00002464" w14:paraId="3AE1E729" w14:textId="77777777">
      <w:pPr>
        <w:pStyle w:val="BodyText"/>
        <w:spacing w:after="0"/>
        <w:rPr>
          <w:color w:val="000000" w:themeColor="text1"/>
          <w:szCs w:val="26"/>
        </w:rPr>
      </w:pPr>
    </w:p>
    <w:p w:rsidR="00FD7B94" w:rsidP="00FD7B94" w:rsidRDefault="00E737D8" w14:paraId="3CEC7820" w14:textId="0A39E216">
      <w:pPr>
        <w:pStyle w:val="BodyText"/>
        <w:spacing w:after="0"/>
        <w:rPr>
          <w:color w:val="000000" w:themeColor="text1"/>
          <w:szCs w:val="26"/>
        </w:rPr>
      </w:pPr>
      <w:r>
        <w:rPr>
          <w:color w:val="000000" w:themeColor="text1"/>
          <w:szCs w:val="26"/>
        </w:rPr>
        <w:t>SJWC provides a</w:t>
      </w:r>
      <w:r w:rsidR="00FD7B94">
        <w:rPr>
          <w:color w:val="000000" w:themeColor="text1"/>
          <w:szCs w:val="26"/>
        </w:rPr>
        <w:t xml:space="preserve"> “Description of Information that is Confidential” in each declaration</w:t>
      </w:r>
      <w:r>
        <w:rPr>
          <w:color w:val="000000" w:themeColor="text1"/>
          <w:szCs w:val="26"/>
        </w:rPr>
        <w:t xml:space="preserve"> that</w:t>
      </w:r>
      <w:r w:rsidR="00FD7B94">
        <w:rPr>
          <w:color w:val="000000" w:themeColor="text1"/>
          <w:szCs w:val="26"/>
        </w:rPr>
        <w:t xml:space="preserve"> reads as follows:</w:t>
      </w:r>
    </w:p>
    <w:p w:rsidR="00FD7B94" w:rsidP="00FD7B94" w:rsidRDefault="00FD7B94" w14:paraId="56C92E7A" w14:textId="77777777">
      <w:pPr>
        <w:pStyle w:val="BodyText"/>
        <w:spacing w:after="0"/>
        <w:rPr>
          <w:color w:val="000000" w:themeColor="text1"/>
          <w:szCs w:val="26"/>
        </w:rPr>
      </w:pPr>
    </w:p>
    <w:p w:rsidRPr="00EF58C0" w:rsidR="00FD7B94" w:rsidP="000476AF" w:rsidRDefault="00FD7B94" w14:paraId="7F08E9C4" w14:textId="77777777">
      <w:pPr>
        <w:pStyle w:val="BodyText"/>
        <w:spacing w:after="0"/>
        <w:ind w:left="720" w:right="1440"/>
        <w:rPr>
          <w:szCs w:val="26"/>
        </w:rPr>
      </w:pPr>
      <w:r w:rsidRPr="00EF58C0">
        <w:rPr>
          <w:szCs w:val="26"/>
        </w:rPr>
        <w:t xml:space="preserve">This document contains confidential corporate financial records and non-public information regarding San Jose Water Company’s financial condition and results of operations as to which San Jose Water Company derives independent economic value from not being generally known to the public or to other persons who can obtain economic value form [sic] its disclosure or use; and is the subject of efforts that are reasonable under the circumstances to maintain its secrecy. The public interest served by not disclosing the information </w:t>
      </w:r>
      <w:r w:rsidRPr="00EF58C0">
        <w:rPr>
          <w:szCs w:val="26"/>
        </w:rPr>
        <w:lastRenderedPageBreak/>
        <w:t>in this document clearly outweighs the public interest served by disclosure of the information contained.</w:t>
      </w:r>
      <w:r w:rsidRPr="00EF58C0">
        <w:rPr>
          <w:rStyle w:val="FootnoteReference"/>
          <w:b/>
          <w:bCs/>
          <w:szCs w:val="26"/>
          <w:u w:val="single"/>
        </w:rPr>
        <w:footnoteReference w:id="11"/>
      </w:r>
      <w:r w:rsidRPr="00EF58C0">
        <w:rPr>
          <w:szCs w:val="26"/>
        </w:rPr>
        <w:t xml:space="preserve"> </w:t>
      </w:r>
    </w:p>
    <w:p w:rsidRPr="00EF58C0" w:rsidR="00FD7B94" w:rsidP="00FD7B94" w:rsidRDefault="00FD7B94" w14:paraId="13FCF02E" w14:textId="77777777">
      <w:pPr>
        <w:pStyle w:val="BodyText"/>
        <w:spacing w:after="0"/>
        <w:ind w:left="360" w:right="360"/>
        <w:rPr>
          <w:szCs w:val="26"/>
        </w:rPr>
      </w:pPr>
    </w:p>
    <w:p w:rsidRPr="00EF58C0" w:rsidR="00FD7B94" w:rsidP="009B650C" w:rsidRDefault="00FD7B94" w14:paraId="6996BE72" w14:textId="0BC9DA72">
      <w:pPr>
        <w:pStyle w:val="BodyText"/>
        <w:spacing w:after="0"/>
        <w:rPr>
          <w:szCs w:val="26"/>
        </w:rPr>
      </w:pPr>
      <w:r w:rsidRPr="00EF58C0">
        <w:rPr>
          <w:szCs w:val="26"/>
        </w:rPr>
        <w:t>As the “Basis for Confidentiality Claim,” each declaration cites:</w:t>
      </w:r>
    </w:p>
    <w:p w:rsidRPr="00EF58C0" w:rsidR="009B650C" w:rsidP="009B650C" w:rsidRDefault="009B650C" w14:paraId="59CDED54" w14:textId="77777777">
      <w:pPr>
        <w:pStyle w:val="BodyText"/>
        <w:spacing w:after="0"/>
        <w:ind w:left="720"/>
        <w:rPr>
          <w:szCs w:val="26"/>
        </w:rPr>
      </w:pPr>
    </w:p>
    <w:p w:rsidRPr="00EF58C0" w:rsidR="00944166" w:rsidP="009B650C" w:rsidRDefault="00145241" w14:paraId="1A66A851" w14:textId="79CDCA6A">
      <w:pPr>
        <w:autoSpaceDE w:val="0"/>
        <w:autoSpaceDN w:val="0"/>
        <w:adjustRightInd w:val="0"/>
        <w:spacing w:after="0"/>
        <w:ind w:left="720" w:right="1440"/>
        <w:rPr>
          <w:sz w:val="26"/>
          <w:szCs w:val="26"/>
        </w:rPr>
      </w:pPr>
      <w:r w:rsidRPr="00EF58C0">
        <w:rPr>
          <w:rFonts w:eastAsiaTheme="minorHAnsi"/>
          <w:sz w:val="26"/>
          <w:szCs w:val="26"/>
        </w:rPr>
        <w:t xml:space="preserve">Cal. Gov. Code §§6254(k), 6254.15, 6255(a); Cal. Evid. </w:t>
      </w:r>
      <w:r w:rsidRPr="00EF58C0" w:rsidR="004C72AA">
        <w:rPr>
          <w:rFonts w:eastAsiaTheme="minorHAnsi"/>
          <w:sz w:val="26"/>
          <w:szCs w:val="26"/>
        </w:rPr>
        <w:br/>
      </w:r>
      <w:r w:rsidRPr="00EF58C0">
        <w:rPr>
          <w:rFonts w:eastAsiaTheme="minorHAnsi"/>
          <w:sz w:val="26"/>
          <w:szCs w:val="26"/>
        </w:rPr>
        <w:t>Code §§1060, 1061; Cal. Civ Code §3426.1(d); Cal. Pen. Code §499c(a)(9); and Cal Pub. Util. Code §583.</w:t>
      </w:r>
      <w:r w:rsidRPr="00EF58C0" w:rsidR="00FD7B94">
        <w:rPr>
          <w:b/>
          <w:bCs/>
          <w:sz w:val="26"/>
          <w:szCs w:val="26"/>
          <w:u w:val="single"/>
          <w:vertAlign w:val="superscript"/>
        </w:rPr>
        <w:footnoteReference w:id="12"/>
      </w:r>
    </w:p>
    <w:p w:rsidRPr="00EF58C0" w:rsidR="00145241" w:rsidP="00145241" w:rsidRDefault="00145241" w14:paraId="76FDCEC5" w14:textId="77777777">
      <w:pPr>
        <w:autoSpaceDE w:val="0"/>
        <w:autoSpaceDN w:val="0"/>
        <w:adjustRightInd w:val="0"/>
        <w:spacing w:after="0"/>
        <w:ind w:left="720"/>
        <w:rPr>
          <w:rFonts w:eastAsiaTheme="minorHAnsi"/>
          <w:sz w:val="26"/>
          <w:szCs w:val="26"/>
        </w:rPr>
      </w:pPr>
    </w:p>
    <w:p w:rsidRPr="00EF58C0" w:rsidR="00944166" w:rsidP="00944166" w:rsidRDefault="00145241" w14:paraId="04525F47" w14:textId="0097334F">
      <w:pPr>
        <w:pStyle w:val="BodyText"/>
        <w:spacing w:after="0"/>
        <w:ind w:right="720"/>
        <w:rPr>
          <w:szCs w:val="26"/>
        </w:rPr>
      </w:pPr>
      <w:r w:rsidRPr="00EF58C0">
        <w:rPr>
          <w:szCs w:val="26"/>
        </w:rPr>
        <w:t>SJWC</w:t>
      </w:r>
      <w:r w:rsidRPr="00EF58C0" w:rsidR="005D608C">
        <w:rPr>
          <w:szCs w:val="26"/>
        </w:rPr>
        <w:t xml:space="preserve"> </w:t>
      </w:r>
      <w:r w:rsidRPr="00EF58C0" w:rsidR="0090505A">
        <w:rPr>
          <w:szCs w:val="26"/>
        </w:rPr>
        <w:t>did</w:t>
      </w:r>
      <w:r w:rsidRPr="00EF58C0" w:rsidR="005D608C">
        <w:rPr>
          <w:szCs w:val="26"/>
        </w:rPr>
        <w:t xml:space="preserve"> </w:t>
      </w:r>
      <w:r w:rsidRPr="00EF58C0" w:rsidR="00A93454">
        <w:rPr>
          <w:szCs w:val="26"/>
        </w:rPr>
        <w:t>include</w:t>
      </w:r>
      <w:r w:rsidRPr="00EF58C0" w:rsidR="005D608C">
        <w:rPr>
          <w:szCs w:val="26"/>
        </w:rPr>
        <w:t xml:space="preserve"> a</w:t>
      </w:r>
      <w:r w:rsidRPr="00EF58C0" w:rsidR="00944166">
        <w:rPr>
          <w:szCs w:val="26"/>
        </w:rPr>
        <w:t xml:space="preserve"> signed declaration by an officer</w:t>
      </w:r>
      <w:r w:rsidRPr="00EF58C0" w:rsidR="0090505A">
        <w:rPr>
          <w:szCs w:val="26"/>
        </w:rPr>
        <w:t xml:space="preserve"> each year, though they did not </w:t>
      </w:r>
      <w:r w:rsidRPr="00EF58C0" w:rsidR="00BE00A4">
        <w:rPr>
          <w:szCs w:val="26"/>
        </w:rPr>
        <w:t>identify</w:t>
      </w:r>
      <w:r w:rsidRPr="00EF58C0" w:rsidR="0090505A">
        <w:rPr>
          <w:szCs w:val="26"/>
        </w:rPr>
        <w:t xml:space="preserve"> </w:t>
      </w:r>
      <w:r w:rsidRPr="00EF58C0" w:rsidR="006406B3">
        <w:rPr>
          <w:szCs w:val="26"/>
        </w:rPr>
        <w:t>a contact person</w:t>
      </w:r>
      <w:r w:rsidRPr="00EF58C0" w:rsidR="007844F3">
        <w:rPr>
          <w:szCs w:val="26"/>
        </w:rPr>
        <w:t xml:space="preserve"> as required by G.O. 66-D </w:t>
      </w:r>
      <w:r w:rsidRPr="00EF58C0" w:rsidR="00E2202E">
        <w:rPr>
          <w:szCs w:val="26"/>
        </w:rPr>
        <w:t>Section</w:t>
      </w:r>
      <w:r w:rsidRPr="00EF58C0" w:rsidR="00834B9C">
        <w:rPr>
          <w:szCs w:val="26"/>
        </w:rPr>
        <w:t xml:space="preserve"> 3.2</w:t>
      </w:r>
      <w:r w:rsidRPr="00EF58C0" w:rsidR="005D608C">
        <w:rPr>
          <w:szCs w:val="26"/>
        </w:rPr>
        <w:t>.</w:t>
      </w:r>
    </w:p>
    <w:p w:rsidRPr="00EF58C0" w:rsidR="00002464" w:rsidP="00944166" w:rsidRDefault="00002464" w14:paraId="439808B5" w14:textId="77777777">
      <w:pPr>
        <w:pStyle w:val="BodyText"/>
        <w:spacing w:after="0"/>
        <w:ind w:right="720"/>
        <w:rPr>
          <w:szCs w:val="26"/>
        </w:rPr>
      </w:pPr>
    </w:p>
    <w:p w:rsidRPr="00EF58C0" w:rsidR="00767FBA" w:rsidP="00002464" w:rsidRDefault="00767FBA" w14:paraId="7EF111C3" w14:textId="77619FB4">
      <w:pPr>
        <w:pStyle w:val="BodyText"/>
        <w:spacing w:after="0"/>
        <w:rPr>
          <w:szCs w:val="26"/>
        </w:rPr>
      </w:pPr>
      <w:r w:rsidRPr="00EF58C0">
        <w:rPr>
          <w:szCs w:val="26"/>
        </w:rPr>
        <w:t xml:space="preserve">After reviewing SJWC’s confidentiality claims, </w:t>
      </w:r>
      <w:r w:rsidRPr="00EF58C0" w:rsidR="001053D7">
        <w:rPr>
          <w:szCs w:val="26"/>
        </w:rPr>
        <w:t xml:space="preserve">we </w:t>
      </w:r>
      <w:r w:rsidRPr="00EF58C0">
        <w:rPr>
          <w:szCs w:val="26"/>
        </w:rPr>
        <w:t xml:space="preserve">determined that </w:t>
      </w:r>
      <w:r w:rsidRPr="00EF58C0" w:rsidR="003A4E2F">
        <w:rPr>
          <w:szCs w:val="26"/>
        </w:rPr>
        <w:t xml:space="preserve">each of </w:t>
      </w:r>
      <w:r w:rsidRPr="00EF58C0">
        <w:rPr>
          <w:szCs w:val="26"/>
        </w:rPr>
        <w:t xml:space="preserve">SJWC’s confidentiality claims fail on two levels. </w:t>
      </w:r>
      <w:r w:rsidR="00B14F9C">
        <w:rPr>
          <w:szCs w:val="26"/>
        </w:rPr>
        <w:t xml:space="preserve"> </w:t>
      </w:r>
      <w:r w:rsidRPr="00EF58C0">
        <w:rPr>
          <w:szCs w:val="26"/>
        </w:rPr>
        <w:t xml:space="preserve">First, the confidentiality claims </w:t>
      </w:r>
      <w:r w:rsidRPr="00EF58C0" w:rsidR="00343365">
        <w:rPr>
          <w:szCs w:val="26"/>
        </w:rPr>
        <w:t>do not meet the G.O. 66-D</w:t>
      </w:r>
      <w:r w:rsidRPr="00EF58C0" w:rsidR="005F0873">
        <w:rPr>
          <w:szCs w:val="26"/>
        </w:rPr>
        <w:t xml:space="preserve"> </w:t>
      </w:r>
      <w:r w:rsidRPr="00EF58C0" w:rsidR="00E2202E">
        <w:rPr>
          <w:szCs w:val="26"/>
        </w:rPr>
        <w:t>Section</w:t>
      </w:r>
      <w:r w:rsidRPr="00EF58C0" w:rsidR="005F0873">
        <w:rPr>
          <w:szCs w:val="26"/>
        </w:rPr>
        <w:t xml:space="preserve"> 3.2</w:t>
      </w:r>
      <w:r w:rsidRPr="00EF58C0" w:rsidR="00343365">
        <w:rPr>
          <w:szCs w:val="26"/>
        </w:rPr>
        <w:t xml:space="preserve"> </w:t>
      </w:r>
      <w:r w:rsidRPr="00EF58C0" w:rsidR="0010692A">
        <w:rPr>
          <w:szCs w:val="26"/>
        </w:rPr>
        <w:t xml:space="preserve">procedural </w:t>
      </w:r>
      <w:r w:rsidRPr="00EF58C0" w:rsidR="00343365">
        <w:rPr>
          <w:szCs w:val="26"/>
        </w:rPr>
        <w:t>requirements</w:t>
      </w:r>
      <w:r w:rsidRPr="00EF58C0">
        <w:rPr>
          <w:szCs w:val="26"/>
        </w:rPr>
        <w:t>.</w:t>
      </w:r>
      <w:r w:rsidR="00B14F9C">
        <w:rPr>
          <w:szCs w:val="26"/>
        </w:rPr>
        <w:t xml:space="preserve"> </w:t>
      </w:r>
      <w:r w:rsidRPr="00EF58C0">
        <w:rPr>
          <w:szCs w:val="26"/>
        </w:rPr>
        <w:t xml:space="preserve"> Second, none of the individual claims are </w:t>
      </w:r>
      <w:r w:rsidRPr="00EF58C0" w:rsidR="00573CDC">
        <w:rPr>
          <w:szCs w:val="26"/>
        </w:rPr>
        <w:t>sufficient</w:t>
      </w:r>
      <w:r w:rsidRPr="00EF58C0" w:rsidR="00ED0779">
        <w:rPr>
          <w:szCs w:val="26"/>
        </w:rPr>
        <w:t xml:space="preserve"> </w:t>
      </w:r>
      <w:r w:rsidRPr="00EF58C0" w:rsidR="00705912">
        <w:rPr>
          <w:szCs w:val="26"/>
        </w:rPr>
        <w:t xml:space="preserve">to </w:t>
      </w:r>
      <w:r w:rsidRPr="00EF58C0" w:rsidR="00202829">
        <w:rPr>
          <w:szCs w:val="26"/>
        </w:rPr>
        <w:t>establish a lawful basis for confidentiality</w:t>
      </w:r>
      <w:r w:rsidRPr="00EF58C0">
        <w:rPr>
          <w:szCs w:val="26"/>
        </w:rPr>
        <w:t>.</w:t>
      </w:r>
    </w:p>
    <w:p w:rsidRPr="00990A0A" w:rsidR="00765279" w:rsidP="003B68C3" w:rsidRDefault="00767FBA" w14:paraId="03CC1681" w14:textId="65BF4049">
      <w:pPr>
        <w:pStyle w:val="Heading2"/>
      </w:pPr>
      <w:r w:rsidRPr="00990A0A">
        <w:t>Procedural Requirements of G.O. 66-D</w:t>
      </w:r>
    </w:p>
    <w:p w:rsidRPr="00EF58C0" w:rsidR="004A247F" w:rsidP="000E14AB" w:rsidRDefault="004A247F" w14:paraId="0C3E786B" w14:textId="3ACF4E43">
      <w:pPr>
        <w:pStyle w:val="BodyText"/>
        <w:spacing w:after="0"/>
        <w:rPr>
          <w:szCs w:val="26"/>
        </w:rPr>
      </w:pPr>
      <w:r w:rsidRPr="00EF58C0">
        <w:rPr>
          <w:szCs w:val="26"/>
        </w:rPr>
        <w:t xml:space="preserve">The procedural requirements for companies to file confidentiality claims </w:t>
      </w:r>
      <w:r w:rsidRPr="00EF58C0" w:rsidR="00EC502E">
        <w:rPr>
          <w:szCs w:val="26"/>
        </w:rPr>
        <w:t>are</w:t>
      </w:r>
      <w:r w:rsidRPr="00EF58C0">
        <w:rPr>
          <w:szCs w:val="26"/>
        </w:rPr>
        <w:t xml:space="preserve"> outlined in G.O. 66-D </w:t>
      </w:r>
      <w:r w:rsidRPr="00EF58C0" w:rsidR="00E2202E">
        <w:rPr>
          <w:szCs w:val="26"/>
        </w:rPr>
        <w:t>Section</w:t>
      </w:r>
      <w:r w:rsidRPr="00EF58C0">
        <w:rPr>
          <w:szCs w:val="26"/>
        </w:rPr>
        <w:t xml:space="preserve"> 3.2.</w:t>
      </w:r>
    </w:p>
    <w:p w:rsidRPr="00EF58C0" w:rsidR="00002464" w:rsidP="00002464" w:rsidRDefault="00002464" w14:paraId="3DFA2BCB" w14:textId="77777777">
      <w:pPr>
        <w:pStyle w:val="BodyText"/>
        <w:spacing w:after="0"/>
        <w:rPr>
          <w:szCs w:val="26"/>
        </w:rPr>
      </w:pPr>
    </w:p>
    <w:p w:rsidRPr="00EF58C0" w:rsidR="00751272" w:rsidP="00002464" w:rsidRDefault="00751272" w14:paraId="5AB3E048" w14:textId="23B16FB7">
      <w:pPr>
        <w:pStyle w:val="BodyText"/>
        <w:spacing w:after="0"/>
        <w:rPr>
          <w:szCs w:val="26"/>
        </w:rPr>
      </w:pPr>
      <w:r w:rsidRPr="00EF58C0">
        <w:rPr>
          <w:szCs w:val="26"/>
        </w:rPr>
        <w:t xml:space="preserve">G.O. 66-D </w:t>
      </w:r>
      <w:r w:rsidRPr="00EF58C0" w:rsidR="00E2202E">
        <w:rPr>
          <w:szCs w:val="26"/>
        </w:rPr>
        <w:t>Section</w:t>
      </w:r>
      <w:r w:rsidRPr="00EF58C0">
        <w:rPr>
          <w:szCs w:val="26"/>
        </w:rPr>
        <w:t xml:space="preserve"> 3.2 </w:t>
      </w:r>
      <w:r w:rsidRPr="00EF58C0" w:rsidR="00CE344D">
        <w:rPr>
          <w:szCs w:val="26"/>
        </w:rPr>
        <w:t>states the</w:t>
      </w:r>
      <w:r w:rsidRPr="00EF58C0">
        <w:rPr>
          <w:szCs w:val="26"/>
        </w:rPr>
        <w:t xml:space="preserve"> information submitter bears the burden of proving the reasons why the Commission shall withhold any information, or any portion thereof, from the public.</w:t>
      </w:r>
      <w:r w:rsidRPr="00EF58C0">
        <w:rPr>
          <w:rStyle w:val="FootnoteReference"/>
          <w:b/>
          <w:bCs/>
          <w:szCs w:val="26"/>
          <w:u w:val="single"/>
        </w:rPr>
        <w:footnoteReference w:id="13"/>
      </w:r>
      <w:r w:rsidRPr="00EF58C0">
        <w:rPr>
          <w:szCs w:val="26"/>
        </w:rPr>
        <w:t xml:space="preserve"> </w:t>
      </w:r>
      <w:r w:rsidRPr="00EF58C0" w:rsidR="000A63E7">
        <w:rPr>
          <w:szCs w:val="26"/>
        </w:rPr>
        <w:t xml:space="preserve"> </w:t>
      </w:r>
      <w:r w:rsidRPr="00EF58C0">
        <w:rPr>
          <w:szCs w:val="26"/>
        </w:rPr>
        <w:t xml:space="preserve">To </w:t>
      </w:r>
      <w:r w:rsidRPr="00EF58C0" w:rsidR="003662A7">
        <w:rPr>
          <w:szCs w:val="26"/>
        </w:rPr>
        <w:t>obtain</w:t>
      </w:r>
      <w:r w:rsidRPr="00EF58C0">
        <w:rPr>
          <w:szCs w:val="26"/>
        </w:rPr>
        <w:t xml:space="preserve"> confidential treatment of information submitted to the Commission, </w:t>
      </w:r>
      <w:r w:rsidRPr="00EF58C0" w:rsidR="00F82AE6">
        <w:rPr>
          <w:szCs w:val="26"/>
        </w:rPr>
        <w:t>all the following conditions must be met</w:t>
      </w:r>
      <w:r w:rsidRPr="00EF58C0">
        <w:rPr>
          <w:szCs w:val="26"/>
        </w:rPr>
        <w:t xml:space="preserve">: </w:t>
      </w:r>
    </w:p>
    <w:p w:rsidRPr="00EF58C0" w:rsidR="00002464" w:rsidP="00002464" w:rsidRDefault="00002464" w14:paraId="6917981E" w14:textId="77777777">
      <w:pPr>
        <w:pStyle w:val="BodyText"/>
        <w:spacing w:after="0"/>
        <w:ind w:left="720"/>
        <w:rPr>
          <w:szCs w:val="26"/>
        </w:rPr>
      </w:pPr>
    </w:p>
    <w:p w:rsidRPr="00EF58C0" w:rsidR="00B36C73" w:rsidP="00002464" w:rsidRDefault="000B34C0" w14:paraId="3EAA4D95" w14:textId="7738C6EE">
      <w:pPr>
        <w:pStyle w:val="BodyText"/>
        <w:numPr>
          <w:ilvl w:val="0"/>
          <w:numId w:val="19"/>
        </w:numPr>
        <w:spacing w:after="0"/>
        <w:ind w:right="1440"/>
        <w:rPr>
          <w:szCs w:val="26"/>
        </w:rPr>
      </w:pPr>
      <w:r w:rsidRPr="00EF58C0">
        <w:rPr>
          <w:szCs w:val="26"/>
        </w:rPr>
        <w:t xml:space="preserve">the information submitter must </w:t>
      </w:r>
      <w:r w:rsidRPr="00EF58C0" w:rsidR="00751272">
        <w:rPr>
          <w:szCs w:val="26"/>
        </w:rPr>
        <w:t>designate each page, section, or field, or any portion thereof, as confidential</w:t>
      </w:r>
      <w:r w:rsidRPr="00EF58C0">
        <w:rPr>
          <w:szCs w:val="26"/>
        </w:rPr>
        <w:t xml:space="preserve">… </w:t>
      </w:r>
      <w:r w:rsidRPr="00EF58C0" w:rsidR="00751272">
        <w:rPr>
          <w:szCs w:val="26"/>
        </w:rPr>
        <w:t>(b) specify the basis for the Commission to provide confidential treatment with specific citation to an applicable provision of the CPRA</w:t>
      </w:r>
      <w:r w:rsidRPr="00EF58C0">
        <w:rPr>
          <w:szCs w:val="26"/>
        </w:rPr>
        <w:t xml:space="preserve">. A citation or general marking of confidentiality, such as “GO-66” and/or “Public Utilities Code Section 583” without additional justification of confidentiality does not satisfy the information submitter’s burden to establish a basis for confidential treatment… </w:t>
      </w:r>
      <w:r w:rsidRPr="00EF58C0" w:rsidR="00751272">
        <w:rPr>
          <w:szCs w:val="26"/>
        </w:rPr>
        <w:t xml:space="preserve">(c) provide a declaration </w:t>
      </w:r>
      <w:r w:rsidRPr="00EF58C0">
        <w:rPr>
          <w:szCs w:val="26"/>
        </w:rPr>
        <w:t xml:space="preserve">in support of the legal authority cited in Section 3.2(b) of this GO </w:t>
      </w:r>
      <w:r w:rsidRPr="00EF58C0" w:rsidR="00751272">
        <w:rPr>
          <w:szCs w:val="26"/>
        </w:rPr>
        <w:t xml:space="preserve">signed by an officer of the information submitter or by an employee or agent </w:t>
      </w:r>
      <w:r w:rsidRPr="00EF58C0">
        <w:rPr>
          <w:szCs w:val="26"/>
        </w:rPr>
        <w:lastRenderedPageBreak/>
        <w:t xml:space="preserve">designated by an officer. </w:t>
      </w:r>
      <w:r w:rsidR="00B14F9C">
        <w:rPr>
          <w:szCs w:val="26"/>
        </w:rPr>
        <w:t xml:space="preserve"> </w:t>
      </w:r>
      <w:r w:rsidRPr="00EF58C0">
        <w:rPr>
          <w:szCs w:val="26"/>
        </w:rPr>
        <w:t xml:space="preserve">The officer delegating signing authority to an employee or agent must be identified in the declaration. (d) Provide a name and email address </w:t>
      </w:r>
      <w:r w:rsidRPr="00EF58C0" w:rsidR="00751272">
        <w:rPr>
          <w:szCs w:val="26"/>
        </w:rPr>
        <w:t>of the person for the Commission to contact regarding the potential release of information by the Commission</w:t>
      </w:r>
      <w:r w:rsidRPr="00EF58C0">
        <w:rPr>
          <w:szCs w:val="26"/>
        </w:rPr>
        <w:t xml:space="preserve"> per Section 5 of this GO</w:t>
      </w:r>
      <w:r w:rsidRPr="00EF58C0" w:rsidR="00751272">
        <w:rPr>
          <w:szCs w:val="26"/>
        </w:rPr>
        <w:t>.</w:t>
      </w:r>
      <w:r w:rsidRPr="00EF58C0" w:rsidR="00751272">
        <w:rPr>
          <w:rStyle w:val="FootnoteReference"/>
          <w:b/>
          <w:bCs/>
          <w:szCs w:val="26"/>
          <w:u w:val="single"/>
        </w:rPr>
        <w:footnoteReference w:id="14"/>
      </w:r>
      <w:r w:rsidRPr="00EF58C0" w:rsidR="00751272">
        <w:rPr>
          <w:szCs w:val="26"/>
        </w:rPr>
        <w:t xml:space="preserve"> </w:t>
      </w:r>
    </w:p>
    <w:p w:rsidRPr="00EF58C0" w:rsidR="00002464" w:rsidP="00002464" w:rsidRDefault="00002464" w14:paraId="42272BD7" w14:textId="77777777">
      <w:pPr>
        <w:pStyle w:val="BodyText"/>
        <w:spacing w:after="0"/>
        <w:ind w:left="1080" w:right="1440"/>
        <w:rPr>
          <w:szCs w:val="26"/>
        </w:rPr>
      </w:pPr>
    </w:p>
    <w:p w:rsidRPr="00EF58C0" w:rsidR="00751272" w:rsidP="00002464" w:rsidRDefault="000C5721" w14:paraId="6229F765" w14:textId="1582CC49">
      <w:pPr>
        <w:spacing w:after="0"/>
        <w:rPr>
          <w:sz w:val="26"/>
          <w:szCs w:val="26"/>
        </w:rPr>
      </w:pPr>
      <w:r w:rsidRPr="00EF58C0">
        <w:rPr>
          <w:sz w:val="26"/>
          <w:szCs w:val="26"/>
        </w:rPr>
        <w:t>Additionally, on</w:t>
      </w:r>
      <w:r w:rsidRPr="00EF58C0" w:rsidR="00751272">
        <w:rPr>
          <w:sz w:val="26"/>
          <w:szCs w:val="26"/>
        </w:rPr>
        <w:t xml:space="preserve"> September 18, 2019, Deputy Director Lucian Filler, Deputy Executive Director, Water and Communications Division, issued a letter</w:t>
      </w:r>
      <w:r w:rsidRPr="00EF58C0" w:rsidR="00751272">
        <w:rPr>
          <w:rStyle w:val="FootnoteReference"/>
          <w:b/>
          <w:bCs/>
          <w:sz w:val="26"/>
          <w:szCs w:val="26"/>
          <w:u w:val="single"/>
        </w:rPr>
        <w:footnoteReference w:id="15"/>
      </w:r>
      <w:r w:rsidRPr="00EF58C0" w:rsidR="00751272">
        <w:rPr>
          <w:sz w:val="26"/>
          <w:szCs w:val="26"/>
        </w:rPr>
        <w:t xml:space="preserve"> to all Class A water utilities</w:t>
      </w:r>
      <w:r w:rsidRPr="00EF58C0" w:rsidR="00B36C73">
        <w:rPr>
          <w:sz w:val="26"/>
          <w:szCs w:val="26"/>
        </w:rPr>
        <w:t>.</w:t>
      </w:r>
      <w:r w:rsidRPr="00EF58C0" w:rsidR="00751272">
        <w:rPr>
          <w:b/>
          <w:bCs/>
          <w:sz w:val="26"/>
          <w:szCs w:val="26"/>
          <w:u w:val="single"/>
          <w:vertAlign w:val="superscript"/>
        </w:rPr>
        <w:footnoteReference w:id="16"/>
      </w:r>
      <w:r w:rsidRPr="00EF58C0" w:rsidR="00B36C73">
        <w:rPr>
          <w:sz w:val="26"/>
          <w:szCs w:val="26"/>
        </w:rPr>
        <w:t xml:space="preserve"> </w:t>
      </w:r>
      <w:r w:rsidRPr="00EF58C0" w:rsidR="00F9422A">
        <w:rPr>
          <w:sz w:val="26"/>
          <w:szCs w:val="26"/>
        </w:rPr>
        <w:t xml:space="preserve"> </w:t>
      </w:r>
      <w:r w:rsidRPr="00EF58C0" w:rsidR="00B36C73">
        <w:rPr>
          <w:sz w:val="26"/>
          <w:szCs w:val="26"/>
        </w:rPr>
        <w:t xml:space="preserve">In discussing specifically </w:t>
      </w:r>
      <w:r w:rsidRPr="00EF58C0" w:rsidR="00751272">
        <w:rPr>
          <w:sz w:val="26"/>
          <w:szCs w:val="26"/>
        </w:rPr>
        <w:t>audited financial statements</w:t>
      </w:r>
      <w:r w:rsidRPr="00EF58C0" w:rsidR="00B36C73">
        <w:rPr>
          <w:sz w:val="26"/>
          <w:szCs w:val="26"/>
        </w:rPr>
        <w:t>,</w:t>
      </w:r>
      <w:r w:rsidRPr="00EF58C0" w:rsidR="00751272">
        <w:rPr>
          <w:rStyle w:val="FootnoteReference"/>
          <w:b/>
          <w:bCs/>
          <w:sz w:val="26"/>
          <w:szCs w:val="26"/>
          <w:u w:val="single"/>
        </w:rPr>
        <w:footnoteReference w:id="17"/>
      </w:r>
      <w:r w:rsidRPr="00EF58C0" w:rsidR="00751272">
        <w:rPr>
          <w:sz w:val="26"/>
          <w:szCs w:val="26"/>
        </w:rPr>
        <w:t xml:space="preserve"> </w:t>
      </w:r>
      <w:r w:rsidRPr="00EF58C0" w:rsidR="00B36C73">
        <w:rPr>
          <w:sz w:val="26"/>
          <w:szCs w:val="26"/>
        </w:rPr>
        <w:t>Director Filler states:</w:t>
      </w:r>
    </w:p>
    <w:p w:rsidRPr="00EF58C0" w:rsidR="00002464" w:rsidP="00002464" w:rsidRDefault="00002464" w14:paraId="4CA3980D" w14:textId="77777777">
      <w:pPr>
        <w:spacing w:after="0"/>
        <w:ind w:left="720"/>
        <w:rPr>
          <w:sz w:val="26"/>
          <w:szCs w:val="26"/>
        </w:rPr>
      </w:pPr>
    </w:p>
    <w:p w:rsidR="00D82B77" w:rsidP="00002464" w:rsidRDefault="00751272" w14:paraId="6BDC9D0C" w14:textId="44543050">
      <w:pPr>
        <w:spacing w:after="0"/>
        <w:ind w:left="720" w:right="1440"/>
        <w:rPr>
          <w:sz w:val="26"/>
          <w:szCs w:val="26"/>
        </w:rPr>
      </w:pPr>
      <w:r w:rsidRPr="00EF58C0">
        <w:rPr>
          <w:sz w:val="26"/>
          <w:szCs w:val="26"/>
        </w:rPr>
        <w:t xml:space="preserve">The policy of the California Public Records Act and the practices of this Commission favor making public records readily available to the public. </w:t>
      </w:r>
      <w:r w:rsidR="00B14F9C">
        <w:rPr>
          <w:sz w:val="26"/>
          <w:szCs w:val="26"/>
        </w:rPr>
        <w:t xml:space="preserve"> </w:t>
      </w:r>
      <w:r w:rsidRPr="00EF58C0">
        <w:rPr>
          <w:sz w:val="26"/>
          <w:szCs w:val="26"/>
        </w:rPr>
        <w:t>Accordingly, if your company plans to claim confidential status for any information submitted in the company’s reports, Commission staff advises that your company shall follow the procedures required in G.O. 66-D, and that any such claim be prominently noted and supported by a detailed explanation of the reasons and facts that substantiate the necessity for confidential treatment.</w:t>
      </w:r>
      <w:r w:rsidR="00B14F9C">
        <w:rPr>
          <w:sz w:val="26"/>
          <w:szCs w:val="26"/>
        </w:rPr>
        <w:t xml:space="preserve"> </w:t>
      </w:r>
      <w:r w:rsidRPr="00EF58C0">
        <w:rPr>
          <w:sz w:val="26"/>
          <w:szCs w:val="26"/>
        </w:rPr>
        <w:t xml:space="preserve"> The mere allegation of being placed in an unfair business disadvantage is insufficient to establish it as a fact. </w:t>
      </w:r>
      <w:r w:rsidR="00B14F9C">
        <w:rPr>
          <w:sz w:val="26"/>
          <w:szCs w:val="26"/>
        </w:rPr>
        <w:t xml:space="preserve"> </w:t>
      </w:r>
      <w:r w:rsidRPr="00EF58C0">
        <w:rPr>
          <w:sz w:val="26"/>
          <w:szCs w:val="26"/>
        </w:rPr>
        <w:t>Furthermore, data publicly exposed in other contexts (e.g., corporation annual reports, SEC disclosure filings, etc.) should not be claimed to be confidential information when submitted in accordance with the enclosures.</w:t>
      </w:r>
      <w:r w:rsidRPr="00EF58C0">
        <w:rPr>
          <w:rStyle w:val="FootnoteReference"/>
          <w:b/>
          <w:bCs/>
          <w:sz w:val="26"/>
          <w:szCs w:val="26"/>
          <w:u w:val="single"/>
        </w:rPr>
        <w:footnoteReference w:id="18"/>
      </w:r>
    </w:p>
    <w:p w:rsidRPr="00EF58C0" w:rsidR="00442D1C" w:rsidP="00002464" w:rsidRDefault="00442D1C" w14:paraId="72317547" w14:textId="77777777">
      <w:pPr>
        <w:spacing w:after="0"/>
        <w:ind w:left="720" w:right="1440"/>
        <w:rPr>
          <w:sz w:val="26"/>
          <w:szCs w:val="26"/>
        </w:rPr>
      </w:pPr>
    </w:p>
    <w:p w:rsidRPr="00EF58C0" w:rsidR="00767FBA" w:rsidP="00002464" w:rsidRDefault="00767FBA" w14:paraId="3BFDC552" w14:textId="77FD5DFF">
      <w:pPr>
        <w:spacing w:after="0"/>
        <w:ind w:right="360"/>
        <w:rPr>
          <w:sz w:val="26"/>
          <w:szCs w:val="26"/>
        </w:rPr>
      </w:pPr>
      <w:r w:rsidRPr="00EF58C0">
        <w:rPr>
          <w:sz w:val="26"/>
          <w:szCs w:val="26"/>
        </w:rPr>
        <w:t xml:space="preserve">SJWC’s confidentiality claims for </w:t>
      </w:r>
      <w:r w:rsidRPr="00EF58C0" w:rsidR="007D1EBA">
        <w:rPr>
          <w:sz w:val="26"/>
          <w:szCs w:val="26"/>
        </w:rPr>
        <w:t xml:space="preserve">2018, 2019, and 2020 </w:t>
      </w:r>
      <w:r w:rsidRPr="00EF58C0">
        <w:rPr>
          <w:sz w:val="26"/>
          <w:szCs w:val="26"/>
        </w:rPr>
        <w:t xml:space="preserve">Audited Financial Reports </w:t>
      </w:r>
      <w:r w:rsidRPr="00EF58C0" w:rsidR="000F0D77">
        <w:rPr>
          <w:sz w:val="26"/>
          <w:szCs w:val="26"/>
        </w:rPr>
        <w:t xml:space="preserve">meet </w:t>
      </w:r>
      <w:r w:rsidRPr="00EF58C0" w:rsidR="00E74FA4">
        <w:rPr>
          <w:sz w:val="26"/>
          <w:szCs w:val="26"/>
        </w:rPr>
        <w:t>a couple of the</w:t>
      </w:r>
      <w:r w:rsidRPr="00EF58C0" w:rsidR="000F0D77">
        <w:rPr>
          <w:sz w:val="26"/>
          <w:szCs w:val="26"/>
        </w:rPr>
        <w:t xml:space="preserve"> requirements of G.O. 66-D </w:t>
      </w:r>
      <w:r w:rsidRPr="00EF58C0" w:rsidR="00E2202E">
        <w:rPr>
          <w:sz w:val="26"/>
          <w:szCs w:val="26"/>
        </w:rPr>
        <w:t>Section</w:t>
      </w:r>
      <w:r w:rsidRPr="00EF58C0" w:rsidR="000F0D77">
        <w:rPr>
          <w:szCs w:val="26"/>
        </w:rPr>
        <w:t xml:space="preserve"> </w:t>
      </w:r>
      <w:r w:rsidRPr="00EF58C0" w:rsidR="000F0D77">
        <w:rPr>
          <w:sz w:val="26"/>
          <w:szCs w:val="26"/>
        </w:rPr>
        <w:t xml:space="preserve">3.2, in that they </w:t>
      </w:r>
      <w:r w:rsidRPr="00EF58C0" w:rsidR="00CA7AA4">
        <w:rPr>
          <w:sz w:val="26"/>
          <w:szCs w:val="26"/>
        </w:rPr>
        <w:t>did provide</w:t>
      </w:r>
      <w:r w:rsidRPr="00EF58C0" w:rsidR="000F0D77">
        <w:rPr>
          <w:sz w:val="26"/>
          <w:szCs w:val="26"/>
        </w:rPr>
        <w:t xml:space="preserve"> bases to provide confidential treatment with specific citation to applicable provision</w:t>
      </w:r>
      <w:r w:rsidRPr="00EF58C0" w:rsidR="00AD5566">
        <w:rPr>
          <w:sz w:val="26"/>
          <w:szCs w:val="26"/>
        </w:rPr>
        <w:t>s</w:t>
      </w:r>
      <w:r w:rsidRPr="00EF58C0" w:rsidR="000F0D77">
        <w:rPr>
          <w:sz w:val="26"/>
          <w:szCs w:val="26"/>
        </w:rPr>
        <w:t xml:space="preserve"> of the CPRA, and they provided a declaration signed by an officer in support of the confidential treatment.</w:t>
      </w:r>
    </w:p>
    <w:p w:rsidRPr="00EF58C0" w:rsidR="00C81A45" w:rsidP="00002464" w:rsidRDefault="00C81A45" w14:paraId="4E0BE683" w14:textId="77777777">
      <w:pPr>
        <w:spacing w:after="0"/>
        <w:ind w:right="360"/>
        <w:rPr>
          <w:sz w:val="26"/>
          <w:szCs w:val="26"/>
        </w:rPr>
      </w:pPr>
    </w:p>
    <w:p w:rsidRPr="00EF58C0" w:rsidR="00767FBA" w:rsidP="00767FBA" w:rsidRDefault="00767FBA" w14:paraId="1187A5CC" w14:textId="063AFC9B">
      <w:pPr>
        <w:pStyle w:val="BodyText"/>
        <w:spacing w:after="0"/>
        <w:rPr>
          <w:szCs w:val="26"/>
          <w:highlight w:val="yellow"/>
        </w:rPr>
      </w:pPr>
      <w:r w:rsidRPr="00EF58C0">
        <w:rPr>
          <w:szCs w:val="26"/>
        </w:rPr>
        <w:t xml:space="preserve">However, </w:t>
      </w:r>
      <w:r w:rsidRPr="00EF58C0" w:rsidR="00741E27">
        <w:rPr>
          <w:szCs w:val="26"/>
        </w:rPr>
        <w:t xml:space="preserve">they </w:t>
      </w:r>
      <w:r w:rsidRPr="00EF58C0" w:rsidR="002B1D61">
        <w:rPr>
          <w:szCs w:val="26"/>
        </w:rPr>
        <w:t xml:space="preserve">do not meet all the minimal requirements of G.O. 66-D </w:t>
      </w:r>
      <w:r w:rsidRPr="00EF58C0" w:rsidR="00E2202E">
        <w:rPr>
          <w:szCs w:val="26"/>
        </w:rPr>
        <w:t>Section</w:t>
      </w:r>
      <w:r w:rsidRPr="00EF58C0" w:rsidR="002B1D61">
        <w:rPr>
          <w:szCs w:val="26"/>
        </w:rPr>
        <w:t xml:space="preserve"> 3.2. </w:t>
      </w:r>
      <w:r w:rsidRPr="00EF58C0">
        <w:rPr>
          <w:szCs w:val="26"/>
        </w:rPr>
        <w:t xml:space="preserve">SJWC’s confidentiality claims </w:t>
      </w:r>
      <w:r w:rsidRPr="00EF58C0" w:rsidR="000728D3">
        <w:rPr>
          <w:szCs w:val="26"/>
        </w:rPr>
        <w:t xml:space="preserve">are general markings of confidentiality, without additional justification. </w:t>
      </w:r>
      <w:r w:rsidRPr="00EF58C0" w:rsidR="004C72AA">
        <w:rPr>
          <w:szCs w:val="26"/>
        </w:rPr>
        <w:t xml:space="preserve"> </w:t>
      </w:r>
      <w:r w:rsidRPr="00EF58C0" w:rsidR="000728D3">
        <w:rPr>
          <w:szCs w:val="26"/>
        </w:rPr>
        <w:t>G.O. 66-D Sec</w:t>
      </w:r>
      <w:r w:rsidRPr="00EF58C0" w:rsidR="00E2202E">
        <w:rPr>
          <w:szCs w:val="26"/>
        </w:rPr>
        <w:t>tion</w:t>
      </w:r>
      <w:r w:rsidRPr="00EF58C0" w:rsidR="000728D3">
        <w:rPr>
          <w:szCs w:val="26"/>
        </w:rPr>
        <w:t xml:space="preserve"> 3.2(b) specifically warns that this does not satisfy the </w:t>
      </w:r>
      <w:r w:rsidRPr="00EF58C0" w:rsidR="000728D3">
        <w:rPr>
          <w:szCs w:val="26"/>
        </w:rPr>
        <w:lastRenderedPageBreak/>
        <w:t>information submitter’s burden to establish a basis for confidential treatment.</w:t>
      </w:r>
      <w:r w:rsidRPr="00EF58C0" w:rsidR="005B4D8D">
        <w:rPr>
          <w:rStyle w:val="FootnoteReference"/>
          <w:b/>
          <w:bCs/>
          <w:szCs w:val="26"/>
          <w:u w:val="single"/>
        </w:rPr>
        <w:footnoteReference w:id="19"/>
      </w:r>
      <w:r w:rsidRPr="00EF58C0" w:rsidR="000A63E7">
        <w:rPr>
          <w:szCs w:val="26"/>
        </w:rPr>
        <w:t xml:space="preserve">  </w:t>
      </w:r>
      <w:r w:rsidRPr="00EF58C0" w:rsidR="00CB6F60">
        <w:rPr>
          <w:szCs w:val="26"/>
        </w:rPr>
        <w:t xml:space="preserve">SJWC’s confidentiality claims are not </w:t>
      </w:r>
      <w:r w:rsidRPr="00EF58C0" w:rsidR="00847BC5">
        <w:rPr>
          <w:szCs w:val="26"/>
        </w:rPr>
        <w:t>“</w:t>
      </w:r>
      <w:r w:rsidRPr="00EF58C0" w:rsidR="00CB6F60">
        <w:rPr>
          <w:szCs w:val="26"/>
        </w:rPr>
        <w:t>supported by a detailed explanation of the reasons and facts that substantiate the necessity for confidential treatment</w:t>
      </w:r>
      <w:r w:rsidRPr="00EF58C0" w:rsidR="00847BC5">
        <w:rPr>
          <w:szCs w:val="26"/>
        </w:rPr>
        <w:t>,” as required by Director Filler in 2019</w:t>
      </w:r>
      <w:r w:rsidRPr="00EF58C0" w:rsidR="00CB6F60">
        <w:rPr>
          <w:szCs w:val="26"/>
        </w:rPr>
        <w:t xml:space="preserve">. No reasons or facts are mentioned in SJWC’s confidentiality claims. SJWC simply states conclusions without any legal analysis. </w:t>
      </w:r>
      <w:r w:rsidRPr="00EF58C0" w:rsidR="004C72AA">
        <w:rPr>
          <w:szCs w:val="26"/>
        </w:rPr>
        <w:t xml:space="preserve"> </w:t>
      </w:r>
      <w:r w:rsidRPr="00EF58C0" w:rsidR="00CB6F60">
        <w:rPr>
          <w:szCs w:val="26"/>
        </w:rPr>
        <w:t xml:space="preserve">This is not sufficient. </w:t>
      </w:r>
      <w:r w:rsidRPr="00EF58C0" w:rsidR="005B7D22">
        <w:rPr>
          <w:szCs w:val="26"/>
        </w:rPr>
        <w:t>Additionally, SJWC does not provide a contact person regarding release of documents</w:t>
      </w:r>
      <w:r w:rsidRPr="00EF58C0" w:rsidR="00CB6F60">
        <w:rPr>
          <w:szCs w:val="26"/>
        </w:rPr>
        <w:t xml:space="preserve"> as required by G.O. 66-D </w:t>
      </w:r>
      <w:r w:rsidRPr="00EF58C0" w:rsidR="00E2202E">
        <w:rPr>
          <w:szCs w:val="26"/>
        </w:rPr>
        <w:t xml:space="preserve">Section </w:t>
      </w:r>
      <w:r w:rsidRPr="00EF58C0" w:rsidR="00CB6F60">
        <w:rPr>
          <w:szCs w:val="26"/>
        </w:rPr>
        <w:t>3.2.</w:t>
      </w:r>
    </w:p>
    <w:p w:rsidRPr="00EF58C0" w:rsidR="002D7A76" w:rsidP="00767FBA" w:rsidRDefault="002D7A76" w14:paraId="762E6889" w14:textId="6D6D434E">
      <w:pPr>
        <w:pStyle w:val="BodyText"/>
        <w:spacing w:after="0"/>
        <w:ind w:right="360"/>
        <w:rPr>
          <w:szCs w:val="26"/>
        </w:rPr>
      </w:pPr>
    </w:p>
    <w:p w:rsidRPr="00EF58C0" w:rsidR="00767FBA" w:rsidP="00CE0322" w:rsidRDefault="006838D8" w14:paraId="7F825187" w14:textId="1FF98CBE">
      <w:pPr>
        <w:pStyle w:val="BodyText"/>
        <w:spacing w:after="0"/>
        <w:ind w:right="360"/>
        <w:rPr>
          <w:szCs w:val="26"/>
        </w:rPr>
      </w:pPr>
      <w:r w:rsidRPr="00EF58C0">
        <w:t xml:space="preserve">G.O. 66-D </w:t>
      </w:r>
      <w:r w:rsidRPr="00EF58C0" w:rsidR="00E2202E">
        <w:rPr>
          <w:szCs w:val="26"/>
        </w:rPr>
        <w:t>Section</w:t>
      </w:r>
      <w:r w:rsidRPr="00EF58C0">
        <w:rPr>
          <w:szCs w:val="26"/>
        </w:rPr>
        <w:t xml:space="preserve"> 3.2 states that “information submitted in non-compliance with this section, may be released to the public per Section 5.2.</w:t>
      </w:r>
      <w:r w:rsidRPr="00EF58C0" w:rsidR="00A90CF7">
        <w:rPr>
          <w:szCs w:val="26"/>
        </w:rPr>
        <w:t xml:space="preserve"> </w:t>
      </w:r>
      <w:r w:rsidRPr="00EF58C0" w:rsidR="004C72AA">
        <w:rPr>
          <w:szCs w:val="26"/>
        </w:rPr>
        <w:t xml:space="preserve"> </w:t>
      </w:r>
      <w:r w:rsidRPr="00EF58C0" w:rsidR="00FD153F">
        <w:rPr>
          <w:szCs w:val="26"/>
        </w:rPr>
        <w:t>The</w:t>
      </w:r>
      <w:r w:rsidRPr="00EF58C0" w:rsidR="00A90CF7">
        <w:rPr>
          <w:szCs w:val="26"/>
        </w:rPr>
        <w:t xml:space="preserve"> Requested Records can be released at this point, as the confidentiality claims are not in compliance with the procedural requirements of </w:t>
      </w:r>
      <w:r w:rsidRPr="00EF58C0" w:rsidR="00A90CF7">
        <w:t xml:space="preserve">G.O. 66-D </w:t>
      </w:r>
      <w:r w:rsidRPr="00EF58C0" w:rsidR="00E2202E">
        <w:rPr>
          <w:szCs w:val="26"/>
        </w:rPr>
        <w:t>Section</w:t>
      </w:r>
      <w:r w:rsidRPr="00EF58C0" w:rsidR="00A90CF7">
        <w:rPr>
          <w:szCs w:val="26"/>
        </w:rPr>
        <w:t xml:space="preserve"> 3.2. </w:t>
      </w:r>
    </w:p>
    <w:p w:rsidRPr="00EF58C0" w:rsidR="00F12190" w:rsidP="00CE0322" w:rsidRDefault="00F12190" w14:paraId="2355317C" w14:textId="165821AA">
      <w:pPr>
        <w:pStyle w:val="BodyText"/>
        <w:spacing w:after="0"/>
        <w:ind w:right="360"/>
        <w:rPr>
          <w:szCs w:val="26"/>
        </w:rPr>
      </w:pPr>
    </w:p>
    <w:p w:rsidRPr="00EF58C0" w:rsidR="00F12190" w:rsidP="00CE0322" w:rsidRDefault="00F12190" w14:paraId="4E103266" w14:textId="3348A7D8">
      <w:pPr>
        <w:pStyle w:val="BodyText"/>
        <w:spacing w:after="0"/>
        <w:ind w:right="360"/>
        <w:rPr>
          <w:szCs w:val="26"/>
        </w:rPr>
      </w:pPr>
      <w:r w:rsidRPr="00EF58C0">
        <w:rPr>
          <w:szCs w:val="26"/>
        </w:rPr>
        <w:t xml:space="preserve">We now consider each of the individual confidentiality claims. </w:t>
      </w:r>
    </w:p>
    <w:p w:rsidRPr="00EF58C0" w:rsidR="005717E6" w:rsidP="003B68C3" w:rsidRDefault="005717E6" w14:paraId="2A8271CA" w14:textId="3C1ED211">
      <w:pPr>
        <w:pStyle w:val="Heading2"/>
      </w:pPr>
      <w:r w:rsidRPr="00EF58C0">
        <w:t xml:space="preserve">Cal. Gov’t. Code </w:t>
      </w:r>
      <w:r w:rsidRPr="00EF58C0" w:rsidR="00E2202E">
        <w:t>Section</w:t>
      </w:r>
      <w:r w:rsidRPr="00EF58C0">
        <w:t xml:space="preserve"> 6254(k)</w:t>
      </w:r>
    </w:p>
    <w:p w:rsidRPr="00EF58C0" w:rsidR="005717E6" w:rsidP="000E14AB" w:rsidRDefault="005717E6" w14:paraId="695413F1" w14:textId="6CCE41CE">
      <w:pPr>
        <w:pStyle w:val="BodyText"/>
        <w:spacing w:after="0"/>
        <w:rPr>
          <w:szCs w:val="26"/>
        </w:rPr>
      </w:pPr>
      <w:r w:rsidRPr="00EF58C0">
        <w:rPr>
          <w:szCs w:val="26"/>
        </w:rPr>
        <w:t xml:space="preserve">Cal. Gov’t. Code </w:t>
      </w:r>
      <w:r w:rsidRPr="00EF58C0" w:rsidR="00E2202E">
        <w:rPr>
          <w:szCs w:val="26"/>
        </w:rPr>
        <w:t>Section</w:t>
      </w:r>
      <w:r w:rsidRPr="00EF58C0">
        <w:rPr>
          <w:szCs w:val="26"/>
        </w:rPr>
        <w:t xml:space="preserve"> 6254(k) exempts mandatory disclosure of records that are exempted or prohibited pursuant to federal or state law, including, but not limited to, the provisions of the Evidence Code relating to privilege.</w:t>
      </w:r>
      <w:r w:rsidR="00B14F9C">
        <w:rPr>
          <w:szCs w:val="26"/>
        </w:rPr>
        <w:t xml:space="preserve"> </w:t>
      </w:r>
      <w:r w:rsidRPr="00EF58C0">
        <w:rPr>
          <w:szCs w:val="26"/>
        </w:rPr>
        <w:t xml:space="preserve"> Cal. Gov’t. Code </w:t>
      </w:r>
      <w:r w:rsidRPr="00EF58C0" w:rsidR="00E2202E">
        <w:rPr>
          <w:szCs w:val="26"/>
        </w:rPr>
        <w:t>Section</w:t>
      </w:r>
      <w:r w:rsidRPr="00EF58C0">
        <w:rPr>
          <w:szCs w:val="26"/>
        </w:rPr>
        <w:t xml:space="preserve"> 6254(k) is not an independent exemption, but instead offers an exemption an agency may assert as a basis for withholding information subject to other statutes which prohibit or limit disclosure, including information subject privileges set forth in the Cal. Evid. Code. Thus, if information is subject to the lawyer-client privilege, the official information privilege, or other privilege or similar disclosure limitation, the Commission can withhold such information from disclosure in response to records requests pursuant to its assertion of the Cal. Gov’t. Code </w:t>
      </w:r>
      <w:r w:rsidRPr="00EF58C0" w:rsidR="00E2202E">
        <w:rPr>
          <w:szCs w:val="26"/>
        </w:rPr>
        <w:t>Section</w:t>
      </w:r>
      <w:r w:rsidRPr="00EF58C0">
        <w:rPr>
          <w:szCs w:val="26"/>
        </w:rPr>
        <w:t xml:space="preserve"> 6254(k) exemption. </w:t>
      </w:r>
    </w:p>
    <w:p w:rsidRPr="00EF58C0" w:rsidR="00002464" w:rsidP="00002464" w:rsidRDefault="00002464" w14:paraId="4EB398BA" w14:textId="77777777">
      <w:pPr>
        <w:pStyle w:val="BodyText"/>
        <w:spacing w:after="0"/>
        <w:rPr>
          <w:szCs w:val="26"/>
        </w:rPr>
      </w:pPr>
    </w:p>
    <w:p w:rsidRPr="00EF58C0" w:rsidR="00002464" w:rsidP="00002464" w:rsidRDefault="005717E6" w14:paraId="6E588195" w14:textId="77777777">
      <w:pPr>
        <w:pStyle w:val="BodyText"/>
        <w:spacing w:after="0"/>
      </w:pPr>
      <w:r w:rsidRPr="00EF58C0">
        <w:rPr>
          <w:szCs w:val="26"/>
        </w:rPr>
        <w:t>In fact, G.O. 66-D explicitly states: “</w:t>
      </w:r>
      <w:r w:rsidRPr="00EF58C0">
        <w:t>If the information submitter cites Government Code Section 6254(k) (which allows information to be withheld when disclosure of it is prohibited by federal or state law), it must also cite the applicable statutory provision and explain why the specific statutory provision applies to the particular information.”</w:t>
      </w:r>
    </w:p>
    <w:p w:rsidRPr="00EF58C0" w:rsidR="005717E6" w:rsidP="00002464" w:rsidRDefault="005717E6" w14:paraId="598E0247" w14:textId="54702531">
      <w:pPr>
        <w:pStyle w:val="BodyText"/>
        <w:spacing w:after="0"/>
        <w:rPr>
          <w:szCs w:val="26"/>
        </w:rPr>
      </w:pPr>
    </w:p>
    <w:p w:rsidRPr="00EF58C0" w:rsidR="005717E6" w:rsidP="00002464" w:rsidRDefault="005717E6" w14:paraId="37FA560E" w14:textId="378C78D2">
      <w:pPr>
        <w:pStyle w:val="BodyText"/>
        <w:spacing w:after="0"/>
        <w:rPr>
          <w:szCs w:val="26"/>
        </w:rPr>
      </w:pPr>
      <w:r w:rsidRPr="00EF58C0">
        <w:rPr>
          <w:szCs w:val="26"/>
        </w:rPr>
        <w:t xml:space="preserve">SJWC </w:t>
      </w:r>
      <w:bookmarkStart w:name="_Hlk94013367" w:id="3"/>
      <w:r w:rsidRPr="00EF58C0">
        <w:rPr>
          <w:szCs w:val="26"/>
        </w:rPr>
        <w:t>failed to cite the applicable statutory provisions under Cal. Gov’t. Code and explain how the specific statutory provision apply to the audited financial statements.</w:t>
      </w:r>
    </w:p>
    <w:bookmarkEnd w:id="3"/>
    <w:p w:rsidRPr="00EF58C0" w:rsidR="00C81A45" w:rsidP="00002464" w:rsidRDefault="00C81A45" w14:paraId="2303DA18" w14:textId="77777777">
      <w:pPr>
        <w:pStyle w:val="BodyText"/>
        <w:spacing w:after="0"/>
        <w:rPr>
          <w:szCs w:val="26"/>
        </w:rPr>
      </w:pPr>
    </w:p>
    <w:p w:rsidRPr="00EF58C0" w:rsidR="005717E6" w:rsidP="00C81A45" w:rsidRDefault="005717E6" w14:paraId="1D10D9DB" w14:textId="3FBF6662">
      <w:pPr>
        <w:pStyle w:val="BodyText"/>
        <w:spacing w:after="0"/>
        <w:rPr>
          <w:szCs w:val="26"/>
        </w:rPr>
      </w:pPr>
      <w:r w:rsidRPr="00EF58C0">
        <w:rPr>
          <w:szCs w:val="26"/>
        </w:rPr>
        <w:t xml:space="preserve">Upon review, </w:t>
      </w:r>
      <w:r w:rsidRPr="00EF58C0" w:rsidR="004F1402">
        <w:rPr>
          <w:szCs w:val="26"/>
        </w:rPr>
        <w:t>w</w:t>
      </w:r>
      <w:r w:rsidRPr="00EF58C0" w:rsidR="001053D7">
        <w:rPr>
          <w:szCs w:val="26"/>
        </w:rPr>
        <w:t>e</w:t>
      </w:r>
      <w:r w:rsidRPr="00EF58C0">
        <w:rPr>
          <w:szCs w:val="26"/>
        </w:rPr>
        <w:t xml:space="preserve"> find that SJWC did not establish a lawful basis to withhold their audited financial statements for the years 2018, 2019, and 2020 under Cal. </w:t>
      </w:r>
      <w:r w:rsidR="00B14F9C">
        <w:rPr>
          <w:szCs w:val="26"/>
        </w:rPr>
        <w:t xml:space="preserve"> </w:t>
      </w:r>
      <w:r w:rsidRPr="00EF58C0">
        <w:rPr>
          <w:szCs w:val="26"/>
        </w:rPr>
        <w:t xml:space="preserve">Gov’t. Code </w:t>
      </w:r>
      <w:r w:rsidRPr="00EF58C0" w:rsidR="00E2202E">
        <w:rPr>
          <w:szCs w:val="26"/>
        </w:rPr>
        <w:t>Section</w:t>
      </w:r>
      <w:r w:rsidRPr="00EF58C0">
        <w:rPr>
          <w:szCs w:val="26"/>
        </w:rPr>
        <w:t xml:space="preserve"> 6254(k).</w:t>
      </w:r>
    </w:p>
    <w:p w:rsidRPr="00EF58C0" w:rsidR="002F3892" w:rsidP="003B68C3" w:rsidRDefault="002F3892" w14:paraId="2FB7A6BB" w14:textId="10F518FA">
      <w:pPr>
        <w:pStyle w:val="Heading2"/>
      </w:pPr>
      <w:bookmarkStart w:name="_Hlk90902573" w:id="4"/>
      <w:r w:rsidRPr="00EF58C0">
        <w:lastRenderedPageBreak/>
        <w:t xml:space="preserve">Cal. Gov’t. Code </w:t>
      </w:r>
      <w:r w:rsidRPr="00EF58C0" w:rsidR="00E2202E">
        <w:t>Section</w:t>
      </w:r>
      <w:r w:rsidRPr="00EF58C0">
        <w:t xml:space="preserve"> 6254.15</w:t>
      </w:r>
    </w:p>
    <w:bookmarkEnd w:id="4"/>
    <w:p w:rsidRPr="00EF58C0" w:rsidR="002F3892" w:rsidP="000E14AB" w:rsidRDefault="002F3892" w14:paraId="33841E7D" w14:textId="7C691D45">
      <w:pPr>
        <w:pStyle w:val="BodyText"/>
        <w:spacing w:after="0"/>
        <w:rPr>
          <w:szCs w:val="26"/>
        </w:rPr>
      </w:pPr>
      <w:r w:rsidRPr="00EF58C0">
        <w:rPr>
          <w:szCs w:val="26"/>
        </w:rPr>
        <w:t xml:space="preserve">Cal. Gov’t. Code </w:t>
      </w:r>
      <w:r w:rsidRPr="00EF58C0" w:rsidR="00E2202E">
        <w:rPr>
          <w:szCs w:val="26"/>
        </w:rPr>
        <w:t>Section</w:t>
      </w:r>
      <w:r w:rsidRPr="00EF58C0">
        <w:rPr>
          <w:szCs w:val="26"/>
        </w:rPr>
        <w:t xml:space="preserve"> 6254.15 states:</w:t>
      </w:r>
    </w:p>
    <w:p w:rsidR="000E14AB" w:rsidP="00002464" w:rsidRDefault="000E14AB" w14:paraId="565E5235" w14:textId="77777777">
      <w:pPr>
        <w:pStyle w:val="BodyText"/>
        <w:spacing w:after="0"/>
        <w:ind w:left="720" w:right="1440"/>
        <w:rPr>
          <w:szCs w:val="26"/>
        </w:rPr>
      </w:pPr>
    </w:p>
    <w:p w:rsidRPr="00EF58C0" w:rsidR="002F3892" w:rsidP="00002464" w:rsidRDefault="002F3892" w14:paraId="6E9270FB" w14:textId="2CC7A2D5">
      <w:pPr>
        <w:pStyle w:val="BodyText"/>
        <w:spacing w:after="0"/>
        <w:ind w:left="720" w:right="1440"/>
        <w:rPr>
          <w:szCs w:val="26"/>
        </w:rPr>
      </w:pPr>
      <w:r w:rsidRPr="00EF58C0">
        <w:rPr>
          <w:szCs w:val="26"/>
        </w:rPr>
        <w:t xml:space="preserve">Nothing in this chapter shall be construed to require the disclosure of records that are any of the following: </w:t>
      </w:r>
      <w:bookmarkStart w:name="_Hlk87106224" w:id="5"/>
      <w:r w:rsidRPr="00EF58C0">
        <w:rPr>
          <w:szCs w:val="26"/>
        </w:rPr>
        <w:t>corporate financial records, corporate proprietary information including trade secrets</w:t>
      </w:r>
      <w:bookmarkEnd w:id="5"/>
      <w:r w:rsidRPr="00EF58C0">
        <w:rPr>
          <w:szCs w:val="26"/>
        </w:rPr>
        <w:t>, and information relating to siting within the state furnished to a government agency by a private company for the purpose of permitting the agency to work with the company in retaining, locating, or expanding a facility within California.</w:t>
      </w:r>
      <w:r w:rsidR="00B14F9C">
        <w:rPr>
          <w:szCs w:val="26"/>
        </w:rPr>
        <w:t xml:space="preserve"> </w:t>
      </w:r>
      <w:r w:rsidRPr="00EF58C0">
        <w:rPr>
          <w:szCs w:val="26"/>
        </w:rPr>
        <w:t xml:space="preserve"> </w:t>
      </w:r>
      <w:bookmarkStart w:name="_Hlk87104891" w:id="6"/>
      <w:r w:rsidRPr="00EF58C0">
        <w:rPr>
          <w:szCs w:val="26"/>
        </w:rPr>
        <w:t xml:space="preserve">Except as provided below, incentives offered by state or local government agencies, if any, shall be disclosed </w:t>
      </w:r>
      <w:bookmarkEnd w:id="6"/>
      <w:r w:rsidRPr="00EF58C0">
        <w:rPr>
          <w:szCs w:val="26"/>
        </w:rPr>
        <w:t>upon communication to the agency or the public of a decision to stay, locate, relocate, or expand, by a company, or upon application by that company to a governmental agency for a general plan amendment, rezone, use permit, building permit, or any other permit, whichever occurs first.</w:t>
      </w:r>
    </w:p>
    <w:p w:rsidRPr="00EF58C0" w:rsidR="00002464" w:rsidP="00002464" w:rsidRDefault="00002464" w14:paraId="25E7E003" w14:textId="77777777">
      <w:pPr>
        <w:pStyle w:val="BodyText"/>
        <w:spacing w:after="0"/>
        <w:ind w:left="720" w:right="1440"/>
        <w:rPr>
          <w:szCs w:val="26"/>
        </w:rPr>
      </w:pPr>
    </w:p>
    <w:p w:rsidRPr="00EF58C0" w:rsidR="002F3892" w:rsidP="00002464" w:rsidRDefault="002F3892" w14:paraId="030549A5" w14:textId="742BA35A">
      <w:pPr>
        <w:pStyle w:val="BodyText"/>
        <w:spacing w:after="0"/>
        <w:ind w:left="720" w:right="1440"/>
        <w:rPr>
          <w:szCs w:val="26"/>
        </w:rPr>
      </w:pPr>
      <w:bookmarkStart w:name="_Hlk87104946" w:id="7"/>
      <w:r w:rsidRPr="00EF58C0">
        <w:rPr>
          <w:szCs w:val="26"/>
        </w:rPr>
        <w:t>The agency shall delete, prior to disclosure to the public, information that is exempt pursuant to this section from any record describing state or local incentives offered by an agency to a private business to retain, locate, relocate, or expand the business within California.</w:t>
      </w:r>
      <w:bookmarkEnd w:id="7"/>
    </w:p>
    <w:p w:rsidRPr="00EF58C0" w:rsidR="00002464" w:rsidP="00002464" w:rsidRDefault="00002464" w14:paraId="4926B180" w14:textId="77777777">
      <w:pPr>
        <w:pStyle w:val="BodyText"/>
        <w:spacing w:after="0"/>
        <w:ind w:left="720" w:right="1440"/>
        <w:rPr>
          <w:szCs w:val="26"/>
        </w:rPr>
      </w:pPr>
    </w:p>
    <w:p w:rsidRPr="00EF58C0" w:rsidR="004E6D05" w:rsidP="00002464" w:rsidRDefault="002F3892" w14:paraId="2672F3ED" w14:textId="0551FAB0">
      <w:pPr>
        <w:pStyle w:val="BodyText"/>
        <w:spacing w:after="0"/>
        <w:rPr>
          <w:szCs w:val="26"/>
        </w:rPr>
      </w:pPr>
      <w:bookmarkStart w:name="_Hlk94013488" w:id="8"/>
      <w:r w:rsidRPr="00EF58C0">
        <w:rPr>
          <w:szCs w:val="26"/>
        </w:rPr>
        <w:t xml:space="preserve">Regulated entities commonly cite Cal. Gov’t. Code </w:t>
      </w:r>
      <w:r w:rsidRPr="00EF58C0" w:rsidR="00E2202E">
        <w:rPr>
          <w:szCs w:val="26"/>
        </w:rPr>
        <w:t>Section</w:t>
      </w:r>
      <w:r w:rsidRPr="00EF58C0">
        <w:rPr>
          <w:szCs w:val="26"/>
        </w:rPr>
        <w:t xml:space="preserve"> 6254.15 for the proposition that it provides an exemption for all “corporate financial records, corporate proprietary information including trade secrets,” regardless of the purpose such records or information was submitted to a government agency.</w:t>
      </w:r>
      <w:r w:rsidRPr="00EF58C0" w:rsidR="00C77CBD">
        <w:rPr>
          <w:szCs w:val="26"/>
        </w:rPr>
        <w:t xml:space="preserve"> </w:t>
      </w:r>
      <w:r w:rsidRPr="00EF58C0" w:rsidR="004C72AA">
        <w:rPr>
          <w:szCs w:val="26"/>
        </w:rPr>
        <w:t xml:space="preserve"> </w:t>
      </w:r>
      <w:r w:rsidRPr="00EF58C0" w:rsidR="00FB0E2F">
        <w:rPr>
          <w:szCs w:val="26"/>
        </w:rPr>
        <w:t xml:space="preserve">However, </w:t>
      </w:r>
      <w:r w:rsidRPr="00EF58C0" w:rsidR="008075C8">
        <w:rPr>
          <w:szCs w:val="26"/>
        </w:rPr>
        <w:t>this section must be narrowly construed.</w:t>
      </w:r>
      <w:r w:rsidRPr="00EF58C0" w:rsidR="008075C8">
        <w:rPr>
          <w:rStyle w:val="FootnoteReference"/>
          <w:b/>
          <w:bCs/>
          <w:szCs w:val="26"/>
          <w:u w:val="single"/>
        </w:rPr>
        <w:footnoteReference w:id="20"/>
      </w:r>
      <w:r w:rsidRPr="00EF58C0" w:rsidR="000A63E7">
        <w:rPr>
          <w:szCs w:val="26"/>
        </w:rPr>
        <w:t xml:space="preserve">  </w:t>
      </w:r>
      <w:r w:rsidR="00526747">
        <w:rPr>
          <w:szCs w:val="26"/>
        </w:rPr>
        <w:t xml:space="preserve">Additionally, </w:t>
      </w:r>
      <w:r w:rsidR="00211CBD">
        <w:rPr>
          <w:szCs w:val="26"/>
        </w:rPr>
        <w:t xml:space="preserve">upon </w:t>
      </w:r>
      <w:r w:rsidR="005F5E94">
        <w:rPr>
          <w:szCs w:val="26"/>
        </w:rPr>
        <w:t xml:space="preserve">reviewing the legislative history of </w:t>
      </w:r>
      <w:r w:rsidRPr="00EF58C0" w:rsidR="005F5E94">
        <w:rPr>
          <w:szCs w:val="26"/>
        </w:rPr>
        <w:t>Cal. Gov’t. Code Section 6254.15</w:t>
      </w:r>
      <w:r w:rsidRPr="00EF58C0" w:rsidR="008075C8">
        <w:rPr>
          <w:szCs w:val="26"/>
        </w:rPr>
        <w:t>,</w:t>
      </w:r>
      <w:r w:rsidRPr="00EF58C0" w:rsidR="00C77CBD">
        <w:rPr>
          <w:szCs w:val="26"/>
        </w:rPr>
        <w:t xml:space="preserve"> the Legislature’s intent appears to have been to create an exemption focused on efforts of state agencies to encourage businesses to stay, locate, or expand their facilities within California.</w:t>
      </w:r>
      <w:r w:rsidRPr="00EF58C0" w:rsidR="00C77CBD">
        <w:rPr>
          <w:rStyle w:val="FootnoteReference"/>
          <w:b/>
          <w:bCs/>
          <w:szCs w:val="26"/>
          <w:u w:val="single"/>
        </w:rPr>
        <w:footnoteReference w:id="21"/>
      </w:r>
      <w:r w:rsidRPr="00EF58C0" w:rsidR="000A63E7">
        <w:rPr>
          <w:szCs w:val="26"/>
        </w:rPr>
        <w:t xml:space="preserve"> </w:t>
      </w:r>
      <w:r w:rsidRPr="00EF58C0" w:rsidR="00E76574">
        <w:rPr>
          <w:rStyle w:val="FootnoteReference"/>
          <w:b/>
          <w:bCs/>
          <w:szCs w:val="26"/>
          <w:u w:val="single"/>
        </w:rPr>
        <w:footnoteReference w:id="22"/>
      </w:r>
      <w:r w:rsidRPr="00EF58C0" w:rsidR="00C77CBD">
        <w:rPr>
          <w:szCs w:val="26"/>
        </w:rPr>
        <w:t xml:space="preserve"> </w:t>
      </w:r>
      <w:r w:rsidR="00832C1E">
        <w:rPr>
          <w:szCs w:val="26"/>
        </w:rPr>
        <w:t xml:space="preserve"> </w:t>
      </w:r>
      <w:r w:rsidR="00D7271A">
        <w:rPr>
          <w:szCs w:val="26"/>
        </w:rPr>
        <w:t xml:space="preserve">To narrowly construe the statute, consistent </w:t>
      </w:r>
      <w:r w:rsidR="00D7271A">
        <w:rPr>
          <w:szCs w:val="26"/>
        </w:rPr>
        <w:lastRenderedPageBreak/>
        <w:t xml:space="preserve">with the legislative history, would suggest that this exemption should only apply to financial records related to encouraging businesses to stay, locate, or expand their facilities in California. </w:t>
      </w:r>
      <w:r w:rsidR="00B14F9C">
        <w:rPr>
          <w:szCs w:val="26"/>
        </w:rPr>
        <w:t xml:space="preserve"> </w:t>
      </w:r>
      <w:r w:rsidR="00D7271A">
        <w:rPr>
          <w:szCs w:val="26"/>
        </w:rPr>
        <w:t xml:space="preserve">This exemption does not apply in this situation, since SJWC’s facilities are already within California. </w:t>
      </w:r>
    </w:p>
    <w:bookmarkEnd w:id="8"/>
    <w:p w:rsidRPr="00EF58C0" w:rsidR="00002464" w:rsidP="00002464" w:rsidRDefault="00002464" w14:paraId="40CFE1C9" w14:textId="77777777">
      <w:pPr>
        <w:pStyle w:val="BodyText"/>
        <w:spacing w:after="0"/>
        <w:rPr>
          <w:szCs w:val="26"/>
        </w:rPr>
      </w:pPr>
    </w:p>
    <w:p w:rsidRPr="00EF58C0" w:rsidR="005006CD" w:rsidP="00002464" w:rsidRDefault="00394CE8" w14:paraId="1ADF08BD" w14:textId="1C0D2DBA">
      <w:pPr>
        <w:pStyle w:val="BodyText"/>
        <w:spacing w:after="0"/>
        <w:rPr>
          <w:szCs w:val="26"/>
        </w:rPr>
      </w:pPr>
      <w:r>
        <w:rPr>
          <w:szCs w:val="26"/>
        </w:rPr>
        <w:t>Additionally</w:t>
      </w:r>
      <w:r w:rsidRPr="00EF58C0" w:rsidR="002F3892">
        <w:rPr>
          <w:szCs w:val="26"/>
        </w:rPr>
        <w:t xml:space="preserve">, this statute allows permissive disclosure </w:t>
      </w:r>
      <w:r w:rsidRPr="00EF58C0" w:rsidR="008075C8">
        <w:rPr>
          <w:szCs w:val="26"/>
        </w:rPr>
        <w:t xml:space="preserve">or withholding </w:t>
      </w:r>
      <w:r w:rsidRPr="00EF58C0" w:rsidR="002F3892">
        <w:rPr>
          <w:szCs w:val="26"/>
        </w:rPr>
        <w:t>of financial records</w:t>
      </w:r>
      <w:r w:rsidRPr="00EF58C0" w:rsidR="00DA64BC">
        <w:rPr>
          <w:szCs w:val="26"/>
        </w:rPr>
        <w:t xml:space="preserve">. </w:t>
      </w:r>
      <w:r w:rsidRPr="00EF58C0" w:rsidR="002F3892">
        <w:rPr>
          <w:szCs w:val="26"/>
        </w:rPr>
        <w:t xml:space="preserve">Just because a record falls under a permissive exemption does not mean the Commission is required to withhold it. </w:t>
      </w:r>
      <w:r w:rsidRPr="00EF58C0" w:rsidR="004C72AA">
        <w:rPr>
          <w:szCs w:val="26"/>
        </w:rPr>
        <w:t xml:space="preserve"> </w:t>
      </w:r>
      <w:r w:rsidRPr="00EF58C0" w:rsidR="00AE6B65">
        <w:rPr>
          <w:szCs w:val="26"/>
        </w:rPr>
        <w:t>In fact, m</w:t>
      </w:r>
      <w:r w:rsidRPr="00EF58C0" w:rsidR="002F3892">
        <w:rPr>
          <w:szCs w:val="26"/>
        </w:rPr>
        <w:t>any financial documents, such as the Annual Reports, are public.</w:t>
      </w:r>
    </w:p>
    <w:p w:rsidRPr="00EF58C0" w:rsidR="00C81A45" w:rsidP="00002464" w:rsidRDefault="00C81A45" w14:paraId="2179510E" w14:textId="77777777">
      <w:pPr>
        <w:pStyle w:val="BodyText"/>
        <w:spacing w:after="0"/>
        <w:rPr>
          <w:szCs w:val="26"/>
        </w:rPr>
      </w:pPr>
    </w:p>
    <w:p w:rsidRPr="00EF58C0" w:rsidR="002F3892" w:rsidP="00C81A45" w:rsidRDefault="005006CD" w14:paraId="5E5BFF46" w14:textId="066081AA">
      <w:pPr>
        <w:pStyle w:val="BodyText"/>
        <w:spacing w:after="0"/>
        <w:rPr>
          <w:szCs w:val="26"/>
        </w:rPr>
      </w:pPr>
      <w:r w:rsidRPr="00EF58C0">
        <w:rPr>
          <w:szCs w:val="26"/>
        </w:rPr>
        <w:t>Summarizing the foregoing analysis, the</w:t>
      </w:r>
      <w:r w:rsidRPr="00EF58C0" w:rsidR="00DA64BC">
        <w:rPr>
          <w:szCs w:val="26"/>
        </w:rPr>
        <w:t xml:space="preserve"> Annual Reports provide much the same information as these, </w:t>
      </w:r>
      <w:r w:rsidRPr="00EF58C0">
        <w:rPr>
          <w:szCs w:val="26"/>
        </w:rPr>
        <w:t>these documents</w:t>
      </w:r>
      <w:r w:rsidRPr="00EF58C0" w:rsidR="00BC0B89">
        <w:rPr>
          <w:szCs w:val="26"/>
        </w:rPr>
        <w:t xml:space="preserve"> are not related to expanding facilities in California, </w:t>
      </w:r>
      <w:r w:rsidRPr="00EF58C0" w:rsidR="00BD1CB3">
        <w:rPr>
          <w:szCs w:val="26"/>
        </w:rPr>
        <w:t xml:space="preserve">and </w:t>
      </w:r>
      <w:r w:rsidRPr="00EF58C0">
        <w:rPr>
          <w:szCs w:val="26"/>
        </w:rPr>
        <w:t xml:space="preserve">the claimant supplied </w:t>
      </w:r>
      <w:r w:rsidRPr="00EF58C0" w:rsidR="00BD1CB3">
        <w:rPr>
          <w:szCs w:val="26"/>
        </w:rPr>
        <w:t>no additional</w:t>
      </w:r>
      <w:r w:rsidRPr="00EF58C0" w:rsidR="00DA64BC">
        <w:rPr>
          <w:szCs w:val="26"/>
        </w:rPr>
        <w:t xml:space="preserve"> rationale for why these </w:t>
      </w:r>
      <w:r w:rsidRPr="00EF58C0" w:rsidR="00490E02">
        <w:rPr>
          <w:szCs w:val="26"/>
        </w:rPr>
        <w:t xml:space="preserve">records </w:t>
      </w:r>
      <w:r w:rsidRPr="00EF58C0" w:rsidR="00DA64BC">
        <w:rPr>
          <w:szCs w:val="26"/>
        </w:rPr>
        <w:t>should be made confidential.</w:t>
      </w:r>
      <w:r w:rsidRPr="00EF58C0" w:rsidR="004C72AA">
        <w:rPr>
          <w:szCs w:val="26"/>
        </w:rPr>
        <w:t xml:space="preserve"> </w:t>
      </w:r>
      <w:r w:rsidRPr="00EF58C0" w:rsidR="00DA64BC">
        <w:rPr>
          <w:szCs w:val="26"/>
        </w:rPr>
        <w:t xml:space="preserve"> </w:t>
      </w:r>
      <w:r w:rsidRPr="00EF58C0" w:rsidR="002F3892">
        <w:rPr>
          <w:szCs w:val="26"/>
        </w:rPr>
        <w:t xml:space="preserve">Upon review, </w:t>
      </w:r>
      <w:r w:rsidRPr="00EF58C0" w:rsidR="001053D7">
        <w:rPr>
          <w:szCs w:val="26"/>
        </w:rPr>
        <w:t>we</w:t>
      </w:r>
      <w:r w:rsidRPr="00EF58C0" w:rsidR="002F3892">
        <w:rPr>
          <w:szCs w:val="26"/>
        </w:rPr>
        <w:t xml:space="preserve"> find that SJWC did not establish a lawful basis to withhold their audited financial statements for the years 2018, 2019, and 2020 under </w:t>
      </w:r>
      <w:r w:rsidR="003D5589">
        <w:rPr>
          <w:szCs w:val="26"/>
        </w:rPr>
        <w:br/>
      </w:r>
      <w:r w:rsidRPr="00EF58C0" w:rsidR="002F3892">
        <w:rPr>
          <w:szCs w:val="26"/>
        </w:rPr>
        <w:t xml:space="preserve">Cal. Gov’t. Code </w:t>
      </w:r>
      <w:r w:rsidRPr="00EF58C0" w:rsidR="00E2202E">
        <w:rPr>
          <w:szCs w:val="26"/>
        </w:rPr>
        <w:t>Section</w:t>
      </w:r>
      <w:r w:rsidRPr="00EF58C0" w:rsidR="002F3892">
        <w:rPr>
          <w:szCs w:val="26"/>
        </w:rPr>
        <w:t xml:space="preserve"> 6254.15.</w:t>
      </w:r>
    </w:p>
    <w:p w:rsidRPr="00EF58C0" w:rsidR="002F3892" w:rsidP="003B68C3" w:rsidRDefault="002F3892" w14:paraId="215FF1E2" w14:textId="6D641DB8">
      <w:pPr>
        <w:pStyle w:val="Heading2"/>
      </w:pPr>
      <w:bookmarkStart w:name="_Hlk87001323" w:id="9"/>
      <w:r w:rsidRPr="00EF58C0">
        <w:t>Cal. Gov’t. Code § 6255(a)</w:t>
      </w:r>
    </w:p>
    <w:p w:rsidR="00D2331E" w:rsidP="000E14AB" w:rsidRDefault="00CA0117" w14:paraId="14B8E9C5" w14:textId="59935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6"/>
          <w:szCs w:val="26"/>
        </w:rPr>
      </w:pPr>
      <w:r w:rsidRPr="00EF58C0">
        <w:rPr>
          <w:sz w:val="26"/>
          <w:szCs w:val="26"/>
        </w:rPr>
        <w:t xml:space="preserve">Cal. Gov’t. </w:t>
      </w:r>
      <w:r w:rsidRPr="00EF58C0" w:rsidR="00E2202E">
        <w:rPr>
          <w:sz w:val="26"/>
          <w:szCs w:val="26"/>
        </w:rPr>
        <w:t>Section</w:t>
      </w:r>
      <w:r w:rsidRPr="00EF58C0">
        <w:rPr>
          <w:sz w:val="26"/>
          <w:szCs w:val="26"/>
        </w:rPr>
        <w:t xml:space="preserve"> 6255(a)</w:t>
      </w:r>
      <w:r w:rsidRPr="00EF58C0" w:rsidR="00D2331E">
        <w:rPr>
          <w:sz w:val="26"/>
          <w:szCs w:val="26"/>
        </w:rPr>
        <w:t>, commonly known as the public interest balancing test,</w:t>
      </w:r>
      <w:r w:rsidRPr="00EF58C0">
        <w:rPr>
          <w:sz w:val="26"/>
          <w:szCs w:val="26"/>
        </w:rPr>
        <w:t xml:space="preserve"> is typically cited by agencies, such as the Commission, when withholding records.</w:t>
      </w:r>
      <w:r w:rsidRPr="00EF58C0" w:rsidR="004C72AA">
        <w:rPr>
          <w:sz w:val="26"/>
          <w:szCs w:val="26"/>
        </w:rPr>
        <w:t xml:space="preserve"> </w:t>
      </w:r>
      <w:r w:rsidRPr="00EF58C0">
        <w:rPr>
          <w:sz w:val="26"/>
          <w:szCs w:val="26"/>
        </w:rPr>
        <w:t xml:space="preserve"> It sets out the test agencies are to use when withholding records. Cal. Gov’t. Code </w:t>
      </w:r>
      <w:r w:rsidRPr="00EF58C0" w:rsidR="00E2202E">
        <w:rPr>
          <w:sz w:val="26"/>
          <w:szCs w:val="26"/>
        </w:rPr>
        <w:t>Section</w:t>
      </w:r>
      <w:r w:rsidRPr="00EF58C0">
        <w:rPr>
          <w:sz w:val="26"/>
          <w:szCs w:val="26"/>
        </w:rPr>
        <w:t xml:space="preserve"> 6255(a) </w:t>
      </w:r>
      <w:r w:rsidRPr="00EF58C0" w:rsidR="00D2331E">
        <w:rPr>
          <w:sz w:val="26"/>
          <w:szCs w:val="26"/>
        </w:rPr>
        <w:t>states that the agency must either cite to an express provision of the chapter within the CPRA setting out exemptions, or the agency must show that on the facts of the case, the public interest served by not disclosing the records clearly outweighs the public interest served by disclosure of the record.</w:t>
      </w:r>
      <w:r w:rsidRPr="00EF58C0" w:rsidR="00A82780">
        <w:rPr>
          <w:sz w:val="26"/>
          <w:szCs w:val="26"/>
        </w:rPr>
        <w:t xml:space="preserve"> </w:t>
      </w:r>
      <w:r w:rsidRPr="00EF58C0" w:rsidR="004C72AA">
        <w:rPr>
          <w:sz w:val="26"/>
          <w:szCs w:val="26"/>
        </w:rPr>
        <w:t xml:space="preserve"> </w:t>
      </w:r>
      <w:bookmarkStart w:name="_Hlk94012418" w:id="10"/>
      <w:r w:rsidRPr="00EF58C0" w:rsidR="00A82780">
        <w:rPr>
          <w:sz w:val="26"/>
          <w:szCs w:val="26"/>
        </w:rPr>
        <w:t>As the Commission stated in D.20-12-021, the Commission may not delegate to another party the authority to control the disclosure of information that is otherwise subject to disclosure pursuant to this chapter; the Commission must make the decision.</w:t>
      </w:r>
      <w:r w:rsidRPr="00EF58C0" w:rsidR="00A82780">
        <w:rPr>
          <w:rStyle w:val="FootnoteReference"/>
          <w:b/>
          <w:bCs/>
          <w:sz w:val="26"/>
          <w:szCs w:val="26"/>
          <w:u w:val="single"/>
        </w:rPr>
        <w:footnoteReference w:id="23"/>
      </w:r>
      <w:r w:rsidRPr="00EF58C0" w:rsidR="00A82780">
        <w:rPr>
          <w:sz w:val="26"/>
          <w:szCs w:val="26"/>
        </w:rPr>
        <w:t xml:space="preserve"> </w:t>
      </w:r>
      <w:bookmarkEnd w:id="10"/>
      <w:r w:rsidRPr="00EF58C0" w:rsidR="002E7BC8">
        <w:rPr>
          <w:sz w:val="26"/>
          <w:szCs w:val="26"/>
        </w:rPr>
        <w:t xml:space="preserve"> Information submitter</w:t>
      </w:r>
      <w:r w:rsidRPr="00EF58C0" w:rsidR="007C1091">
        <w:rPr>
          <w:sz w:val="26"/>
          <w:szCs w:val="26"/>
        </w:rPr>
        <w:t>s</w:t>
      </w:r>
      <w:r w:rsidRPr="00EF58C0" w:rsidR="002E7BC8">
        <w:rPr>
          <w:sz w:val="26"/>
          <w:szCs w:val="26"/>
        </w:rPr>
        <w:t xml:space="preserve"> may suggest in their G.O. 66-D confidentiality claims that the Commission invoke the public interest balancing test, and may provide a detailed explanation of how the public interest would be served by confidential treatment</w:t>
      </w:r>
      <w:r w:rsidRPr="00EF58C0" w:rsidR="007C1091">
        <w:rPr>
          <w:sz w:val="26"/>
          <w:szCs w:val="26"/>
        </w:rPr>
        <w:t xml:space="preserve"> to support that suggestion.</w:t>
      </w:r>
    </w:p>
    <w:p w:rsidRPr="00EF58C0" w:rsidR="002F3892" w:rsidP="003D5589" w:rsidRDefault="00A34EC9" w14:paraId="4067E7FD" w14:textId="46273E0F">
      <w:pPr>
        <w:pStyle w:val="BodyText"/>
        <w:spacing w:after="0"/>
        <w:rPr>
          <w:szCs w:val="26"/>
        </w:rPr>
      </w:pPr>
      <w:bookmarkStart w:name="_Hlk94012431" w:id="11"/>
      <w:r w:rsidRPr="00EF58C0">
        <w:rPr>
          <w:szCs w:val="26"/>
        </w:rPr>
        <w:t xml:space="preserve">Additionally, </w:t>
      </w:r>
      <w:r w:rsidRPr="00EF58C0" w:rsidR="002F3892">
        <w:rPr>
          <w:szCs w:val="26"/>
        </w:rPr>
        <w:t>G.O. 66-D § 3.2(b) provides in relevant part that:</w:t>
      </w:r>
    </w:p>
    <w:p w:rsidRPr="00EF58C0" w:rsidR="002F3892" w:rsidP="000476AF" w:rsidRDefault="002F3892" w14:paraId="6D3BB078" w14:textId="350AD501">
      <w:pPr>
        <w:pStyle w:val="BodyText"/>
        <w:numPr>
          <w:ilvl w:val="0"/>
          <w:numId w:val="8"/>
        </w:numPr>
        <w:spacing w:before="240" w:after="0"/>
        <w:ind w:left="1080" w:right="1440"/>
        <w:rPr>
          <w:szCs w:val="26"/>
        </w:rPr>
      </w:pPr>
      <w:r w:rsidRPr="00EF58C0">
        <w:rPr>
          <w:szCs w:val="26"/>
        </w:rPr>
        <w:t xml:space="preserve">If the information submitter cites Government Code Section 6255(a) (commonly known as the public interest balancing test) as the legal authority for the Commission to withhold the document from public release, then the information submitter must </w:t>
      </w:r>
      <w:bookmarkStart w:name="_Hlk87352570" w:id="12"/>
      <w:r w:rsidRPr="00EF58C0">
        <w:rPr>
          <w:szCs w:val="26"/>
        </w:rPr>
        <w:t xml:space="preserve">demonstrate with granular specificity on the facts of the particular information why the </w:t>
      </w:r>
      <w:r w:rsidRPr="00EF58C0">
        <w:rPr>
          <w:i/>
          <w:iCs/>
          <w:szCs w:val="26"/>
        </w:rPr>
        <w:t xml:space="preserve">public </w:t>
      </w:r>
      <w:r w:rsidRPr="00EF58C0">
        <w:rPr>
          <w:szCs w:val="26"/>
        </w:rPr>
        <w:t xml:space="preserve">interest served by not disclosing the record clearly outweighs the </w:t>
      </w:r>
      <w:r w:rsidRPr="00EF58C0">
        <w:rPr>
          <w:i/>
          <w:iCs/>
          <w:szCs w:val="26"/>
        </w:rPr>
        <w:t xml:space="preserve">public </w:t>
      </w:r>
      <w:r w:rsidRPr="00EF58C0">
        <w:rPr>
          <w:szCs w:val="26"/>
        </w:rPr>
        <w:t>interest served by disclosure of the record.</w:t>
      </w:r>
      <w:bookmarkEnd w:id="11"/>
      <w:bookmarkEnd w:id="12"/>
      <w:r w:rsidRPr="00EF58C0">
        <w:rPr>
          <w:szCs w:val="26"/>
        </w:rPr>
        <w:t xml:space="preserve"> </w:t>
      </w:r>
      <w:bookmarkStart w:name="_Hlk87352869" w:id="13"/>
      <w:r w:rsidR="00B14F9C">
        <w:rPr>
          <w:szCs w:val="26"/>
        </w:rPr>
        <w:t xml:space="preserve"> </w:t>
      </w:r>
      <w:bookmarkStart w:name="_Hlk94012470" w:id="14"/>
      <w:r w:rsidRPr="00EF58C0">
        <w:rPr>
          <w:szCs w:val="26"/>
        </w:rPr>
        <w:t xml:space="preserve">A </w:t>
      </w:r>
      <w:r w:rsidRPr="00EF58C0">
        <w:rPr>
          <w:i/>
          <w:iCs/>
          <w:szCs w:val="26"/>
        </w:rPr>
        <w:t xml:space="preserve">private </w:t>
      </w:r>
      <w:r w:rsidRPr="00EF58C0">
        <w:rPr>
          <w:szCs w:val="26"/>
        </w:rPr>
        <w:t xml:space="preserve">economic interest is an </w:t>
      </w:r>
      <w:r w:rsidRPr="00EF58C0">
        <w:rPr>
          <w:szCs w:val="26"/>
        </w:rPr>
        <w:lastRenderedPageBreak/>
        <w:t xml:space="preserve">inadequate interest to claim in lieu of a </w:t>
      </w:r>
      <w:r w:rsidRPr="00EF58C0">
        <w:rPr>
          <w:i/>
          <w:iCs/>
          <w:szCs w:val="26"/>
        </w:rPr>
        <w:t xml:space="preserve">public </w:t>
      </w:r>
      <w:r w:rsidRPr="00EF58C0">
        <w:rPr>
          <w:szCs w:val="26"/>
        </w:rPr>
        <w:t xml:space="preserve">interest. </w:t>
      </w:r>
      <w:bookmarkEnd w:id="14"/>
      <w:r w:rsidRPr="00EF58C0">
        <w:rPr>
          <w:szCs w:val="26"/>
        </w:rPr>
        <w:t xml:space="preserve">Accordingly, information submitters that cite Section 6255(a) as the basis for the Commission to withhold the document and rest the claim of confidentiality solely on a </w:t>
      </w:r>
      <w:r w:rsidRPr="00EF58C0">
        <w:rPr>
          <w:i/>
          <w:iCs/>
          <w:szCs w:val="26"/>
        </w:rPr>
        <w:t xml:space="preserve">private </w:t>
      </w:r>
      <w:r w:rsidRPr="00EF58C0">
        <w:rPr>
          <w:szCs w:val="26"/>
        </w:rPr>
        <w:t>economic interest will not satisfy the requirements of this Section.</w:t>
      </w:r>
      <w:bookmarkEnd w:id="13"/>
    </w:p>
    <w:p w:rsidRPr="00EF58C0" w:rsidR="00C81A45" w:rsidP="00C81A45" w:rsidRDefault="00C81A45" w14:paraId="4E1D53DB" w14:textId="77777777">
      <w:pPr>
        <w:pStyle w:val="BodyText"/>
        <w:spacing w:after="0"/>
        <w:ind w:left="1080" w:right="1440"/>
        <w:rPr>
          <w:szCs w:val="26"/>
        </w:rPr>
      </w:pPr>
    </w:p>
    <w:p w:rsidRPr="00EF58C0" w:rsidR="002F3892" w:rsidP="00C81A45" w:rsidRDefault="002F3892" w14:paraId="25EDEA73" w14:textId="7CC15F79">
      <w:pPr>
        <w:pStyle w:val="BodyText"/>
        <w:spacing w:after="0"/>
        <w:rPr>
          <w:szCs w:val="26"/>
        </w:rPr>
      </w:pPr>
      <w:r w:rsidRPr="00EF58C0">
        <w:rPr>
          <w:szCs w:val="26"/>
        </w:rPr>
        <w:t>As mentioned earlier, SJWC</w:t>
      </w:r>
      <w:r w:rsidRPr="00EF58C0" w:rsidR="004A3485">
        <w:rPr>
          <w:szCs w:val="26"/>
        </w:rPr>
        <w:t>’s confidentiality claims</w:t>
      </w:r>
      <w:r w:rsidRPr="00EF58C0">
        <w:rPr>
          <w:szCs w:val="26"/>
        </w:rPr>
        <w:t xml:space="preserve"> cite to Cal. Gov’t. Code </w:t>
      </w:r>
      <w:r w:rsidRPr="00EF58C0" w:rsidR="00E2202E">
        <w:rPr>
          <w:szCs w:val="26"/>
        </w:rPr>
        <w:t>Section</w:t>
      </w:r>
      <w:r w:rsidRPr="00EF58C0">
        <w:rPr>
          <w:szCs w:val="26"/>
        </w:rPr>
        <w:t xml:space="preserve"> 6225(a) and state</w:t>
      </w:r>
      <w:bookmarkStart w:name="_Hlk87352026" w:id="15"/>
      <w:r w:rsidRPr="00EF58C0" w:rsidR="004A3485">
        <w:rPr>
          <w:szCs w:val="26"/>
        </w:rPr>
        <w:t xml:space="preserve">: </w:t>
      </w:r>
      <w:r w:rsidRPr="00EF58C0">
        <w:rPr>
          <w:szCs w:val="26"/>
        </w:rPr>
        <w:t>“[t]he public interest served by not disclosing the information in this document clearly outweighs the public interest served by disclosure of the information contained.</w:t>
      </w:r>
      <w:bookmarkEnd w:id="15"/>
      <w:r w:rsidRPr="00EF58C0">
        <w:rPr>
          <w:szCs w:val="26"/>
        </w:rPr>
        <w:t>”</w:t>
      </w:r>
      <w:r w:rsidRPr="00EF58C0">
        <w:rPr>
          <w:b/>
          <w:bCs/>
          <w:szCs w:val="26"/>
          <w:u w:val="single"/>
          <w:vertAlign w:val="superscript"/>
        </w:rPr>
        <w:footnoteReference w:id="24"/>
      </w:r>
    </w:p>
    <w:p w:rsidRPr="00EF58C0" w:rsidR="00C81A45" w:rsidP="00C81A45" w:rsidRDefault="00C81A45" w14:paraId="2178937A" w14:textId="77777777">
      <w:pPr>
        <w:pStyle w:val="BodyText"/>
        <w:spacing w:after="0"/>
        <w:rPr>
          <w:szCs w:val="26"/>
        </w:rPr>
      </w:pPr>
    </w:p>
    <w:p w:rsidRPr="00EF58C0" w:rsidR="002F3892" w:rsidP="00C81A45" w:rsidRDefault="002F3892" w14:paraId="3348052F" w14:textId="7B9A6180">
      <w:pPr>
        <w:pStyle w:val="BodyText"/>
        <w:spacing w:after="0"/>
        <w:rPr>
          <w:szCs w:val="26"/>
        </w:rPr>
      </w:pPr>
      <w:bookmarkStart w:name="_Hlk94012545" w:id="16"/>
      <w:r w:rsidRPr="00EF58C0">
        <w:rPr>
          <w:szCs w:val="26"/>
        </w:rPr>
        <w:t xml:space="preserve">SJWC’s confidentiality claims merely </w:t>
      </w:r>
      <w:r w:rsidRPr="00EF58C0" w:rsidR="002E7BC8">
        <w:rPr>
          <w:szCs w:val="26"/>
        </w:rPr>
        <w:t>states the conclusion</w:t>
      </w:r>
      <w:r w:rsidRPr="00EF58C0" w:rsidR="002D4DB5">
        <w:rPr>
          <w:szCs w:val="26"/>
        </w:rPr>
        <w:t xml:space="preserve"> SJWC should be trying to prove</w:t>
      </w:r>
      <w:r w:rsidRPr="00EF58C0">
        <w:rPr>
          <w:szCs w:val="26"/>
        </w:rPr>
        <w:t xml:space="preserve">. </w:t>
      </w:r>
      <w:r w:rsidR="00B14F9C">
        <w:rPr>
          <w:szCs w:val="26"/>
        </w:rPr>
        <w:t xml:space="preserve"> </w:t>
      </w:r>
      <w:r w:rsidRPr="00EF58C0">
        <w:rPr>
          <w:szCs w:val="26"/>
        </w:rPr>
        <w:t xml:space="preserve">SJWC makes no effort to “demonstrate with granular specificity on the facts of the particular information why the </w:t>
      </w:r>
      <w:r w:rsidRPr="00EF58C0">
        <w:rPr>
          <w:i/>
          <w:iCs/>
          <w:szCs w:val="26"/>
        </w:rPr>
        <w:t xml:space="preserve">public </w:t>
      </w:r>
      <w:r w:rsidRPr="00EF58C0">
        <w:rPr>
          <w:szCs w:val="26"/>
        </w:rPr>
        <w:t xml:space="preserve">interest served by not disclosing the record clearly outweighs the </w:t>
      </w:r>
      <w:r w:rsidRPr="00EF58C0">
        <w:rPr>
          <w:i/>
          <w:iCs/>
          <w:szCs w:val="26"/>
        </w:rPr>
        <w:t xml:space="preserve">public </w:t>
      </w:r>
      <w:r w:rsidRPr="00EF58C0">
        <w:rPr>
          <w:szCs w:val="26"/>
        </w:rPr>
        <w:t>interest served by disclosure of the record.”</w:t>
      </w:r>
    </w:p>
    <w:p w:rsidRPr="00EF58C0" w:rsidR="00C81A45" w:rsidP="00C81A45" w:rsidRDefault="00C81A45" w14:paraId="425E97C7" w14:textId="77777777">
      <w:pPr>
        <w:pStyle w:val="BodyText"/>
        <w:spacing w:after="0"/>
        <w:rPr>
          <w:szCs w:val="26"/>
        </w:rPr>
      </w:pPr>
    </w:p>
    <w:p w:rsidR="0099685F" w:rsidP="00272E21" w:rsidRDefault="0099685F" w14:paraId="2861E172" w14:textId="6C9B590B">
      <w:pPr>
        <w:pStyle w:val="BodyText"/>
        <w:spacing w:after="0"/>
        <w:rPr>
          <w:szCs w:val="26"/>
        </w:rPr>
      </w:pPr>
      <w:r w:rsidRPr="00EF58C0">
        <w:rPr>
          <w:szCs w:val="26"/>
        </w:rPr>
        <w:t xml:space="preserve">When it comes to a decision regarding whether, on the facts of the particular case, the public interest served by nondisclosure clearly outweighs the public interest that would be served by disclosure, it is the Commission, not </w:t>
      </w:r>
      <w:r w:rsidRPr="00EF58C0" w:rsidR="00EE03DD">
        <w:rPr>
          <w:szCs w:val="26"/>
        </w:rPr>
        <w:t xml:space="preserve">the </w:t>
      </w:r>
      <w:r w:rsidRPr="00EF58C0">
        <w:rPr>
          <w:szCs w:val="26"/>
        </w:rPr>
        <w:t xml:space="preserve">information submitter, that applies the balancing test under Gov. Code </w:t>
      </w:r>
      <w:r w:rsidRPr="00EF58C0" w:rsidR="00E2202E">
        <w:rPr>
          <w:szCs w:val="26"/>
        </w:rPr>
        <w:t>Section</w:t>
      </w:r>
      <w:r w:rsidRPr="00EF58C0">
        <w:rPr>
          <w:szCs w:val="26"/>
        </w:rPr>
        <w:t xml:space="preserve"> 6255(a).</w:t>
      </w:r>
      <w:r w:rsidRPr="00EF58C0">
        <w:rPr>
          <w:b/>
          <w:bCs/>
          <w:szCs w:val="26"/>
          <w:u w:val="single"/>
          <w:vertAlign w:val="superscript"/>
        </w:rPr>
        <w:footnoteReference w:id="25"/>
      </w:r>
      <w:r w:rsidRPr="00EF58C0">
        <w:rPr>
          <w:szCs w:val="26"/>
        </w:rPr>
        <w:t xml:space="preserve"> </w:t>
      </w:r>
      <w:r w:rsidR="00B14F9C">
        <w:rPr>
          <w:szCs w:val="26"/>
        </w:rPr>
        <w:t xml:space="preserve"> </w:t>
      </w:r>
      <w:r w:rsidRPr="00EF58C0">
        <w:rPr>
          <w:szCs w:val="26"/>
        </w:rPr>
        <w:t xml:space="preserve">When </w:t>
      </w:r>
      <w:r w:rsidRPr="00EF58C0" w:rsidR="00892E2E">
        <w:rPr>
          <w:szCs w:val="26"/>
        </w:rPr>
        <w:t>the Commission</w:t>
      </w:r>
      <w:r w:rsidRPr="00EF58C0">
        <w:rPr>
          <w:szCs w:val="26"/>
        </w:rPr>
        <w:t xml:space="preserve"> engages in an independent balancing of public interests for and against disclosure, we find a strong balance in favor of public disclosure.  The information in SJWC’s audited financial reports may assist the public and those participating in formal proceedings regarding SJWC to verify or counter assertions made by the utility during the proceeding. </w:t>
      </w:r>
      <w:r w:rsidRPr="00EF58C0" w:rsidR="004C72AA">
        <w:rPr>
          <w:szCs w:val="26"/>
        </w:rPr>
        <w:t xml:space="preserve"> </w:t>
      </w:r>
      <w:r w:rsidRPr="00EF58C0">
        <w:rPr>
          <w:szCs w:val="26"/>
        </w:rPr>
        <w:t xml:space="preserve">The information may also give the public an opportunity to evaluate the performance of the Commission as a regulatory agency by permitting a ready comparison between the information submitted by the utility in annual reports posted on the Commission’s internet site with the information provided by the utility to the </w:t>
      </w:r>
      <w:r w:rsidRPr="00EF58C0" w:rsidR="00D97DEC">
        <w:rPr>
          <w:szCs w:val="26"/>
        </w:rPr>
        <w:t>C</w:t>
      </w:r>
      <w:r w:rsidRPr="00EF58C0">
        <w:rPr>
          <w:szCs w:val="26"/>
        </w:rPr>
        <w:t xml:space="preserve">ommission in other contexts, such as the audited financial reports at issue. </w:t>
      </w:r>
    </w:p>
    <w:bookmarkEnd w:id="16"/>
    <w:p w:rsidRPr="00EF58C0" w:rsidR="00272E21" w:rsidP="00272E21" w:rsidRDefault="00272E21" w14:paraId="7AF8AEAD" w14:textId="77777777">
      <w:pPr>
        <w:pStyle w:val="BodyText"/>
        <w:spacing w:after="0"/>
        <w:rPr>
          <w:szCs w:val="26"/>
        </w:rPr>
      </w:pPr>
    </w:p>
    <w:bookmarkEnd w:id="9"/>
    <w:p w:rsidR="008A4778" w:rsidP="00272E21" w:rsidRDefault="002F3892" w14:paraId="15881A26" w14:textId="5D4E56C0">
      <w:pPr>
        <w:pStyle w:val="BodyText"/>
        <w:spacing w:after="0"/>
      </w:pPr>
      <w:r w:rsidRPr="00EF58C0">
        <w:t>SJWC has failed to persuade us that the public interest that would be served by withholding the 2018, 2019, and 2020 audited financial reports from the public clearly outweighs the public interest that would be served by disclosure.</w:t>
      </w:r>
    </w:p>
    <w:p w:rsidR="008A4778" w:rsidRDefault="008A4778" w14:paraId="2162D8CC" w14:textId="77777777">
      <w:pPr>
        <w:rPr>
          <w:sz w:val="26"/>
        </w:rPr>
      </w:pPr>
      <w:r>
        <w:br w:type="page"/>
      </w:r>
    </w:p>
    <w:p w:rsidRPr="00EF58C0" w:rsidR="003B6748" w:rsidP="003B68C3" w:rsidRDefault="004C3DA3" w14:paraId="7F59295A" w14:textId="616A4E17">
      <w:pPr>
        <w:pStyle w:val="Heading2"/>
      </w:pPr>
      <w:r w:rsidRPr="00EF58C0">
        <w:lastRenderedPageBreak/>
        <w:t xml:space="preserve">Cal. Evid. Code </w:t>
      </w:r>
      <w:r w:rsidRPr="00EF58C0" w:rsidR="00E2202E">
        <w:t>Sections</w:t>
      </w:r>
      <w:r w:rsidRPr="00EF58C0">
        <w:t xml:space="preserve"> 1060</w:t>
      </w:r>
      <w:r w:rsidRPr="00EF58C0" w:rsidR="00B0071B">
        <w:t xml:space="preserve"> and 1061; </w:t>
      </w:r>
      <w:r w:rsidRPr="00EF58C0" w:rsidR="000F4F7C">
        <w:t xml:space="preserve">Cal. Civ. Code </w:t>
      </w:r>
      <w:r w:rsidRPr="00EF58C0" w:rsidR="00E2202E">
        <w:t>Section</w:t>
      </w:r>
      <w:r w:rsidRPr="00EF58C0" w:rsidR="000F4F7C">
        <w:t xml:space="preserve"> 3426.1(d); Penal Code </w:t>
      </w:r>
      <w:r w:rsidRPr="00EF58C0" w:rsidR="00E2202E">
        <w:t>Section</w:t>
      </w:r>
      <w:r w:rsidRPr="00EF58C0" w:rsidR="000F4F7C">
        <w:t xml:space="preserve"> 499</w:t>
      </w:r>
      <w:r w:rsidRPr="00EF58C0" w:rsidR="00003EDF">
        <w:t>(c)(a)(9)</w:t>
      </w:r>
    </w:p>
    <w:p w:rsidRPr="00EF58C0" w:rsidR="005C60A0" w:rsidP="00272E21" w:rsidRDefault="00A522AF" w14:paraId="05089517" w14:textId="7670DA05">
      <w:pPr>
        <w:pStyle w:val="BodyText"/>
        <w:spacing w:after="0"/>
        <w:rPr>
          <w:szCs w:val="26"/>
        </w:rPr>
      </w:pPr>
      <w:r w:rsidRPr="00EF58C0">
        <w:rPr>
          <w:szCs w:val="26"/>
        </w:rPr>
        <w:t xml:space="preserve">Cal. Evid Code </w:t>
      </w:r>
      <w:r w:rsidRPr="00EF58C0" w:rsidR="00E2202E">
        <w:rPr>
          <w:szCs w:val="26"/>
        </w:rPr>
        <w:t>Section</w:t>
      </w:r>
      <w:r w:rsidRPr="00EF58C0">
        <w:rPr>
          <w:szCs w:val="26"/>
        </w:rPr>
        <w:t xml:space="preserve"> 1060 provides that:</w:t>
      </w:r>
    </w:p>
    <w:p w:rsidR="00272E21" w:rsidP="00C81A45" w:rsidRDefault="00272E21" w14:paraId="4DF60206" w14:textId="77777777">
      <w:pPr>
        <w:pStyle w:val="NormalWeb"/>
        <w:spacing w:before="0" w:beforeAutospacing="0" w:after="0" w:afterAutospacing="0"/>
        <w:ind w:left="720" w:right="1440"/>
        <w:rPr>
          <w:sz w:val="26"/>
          <w:szCs w:val="26"/>
        </w:rPr>
      </w:pPr>
    </w:p>
    <w:p w:rsidRPr="00EF58C0" w:rsidR="00F94203" w:rsidP="00C81A45" w:rsidRDefault="002A4B2F" w14:paraId="66836FF5" w14:textId="027B4440">
      <w:pPr>
        <w:pStyle w:val="NormalWeb"/>
        <w:spacing w:before="0" w:beforeAutospacing="0" w:after="0" w:afterAutospacing="0"/>
        <w:ind w:left="720" w:right="1440"/>
        <w:rPr>
          <w:sz w:val="26"/>
          <w:szCs w:val="26"/>
        </w:rPr>
      </w:pPr>
      <w:r w:rsidRPr="00EF58C0">
        <w:rPr>
          <w:sz w:val="26"/>
          <w:szCs w:val="26"/>
        </w:rPr>
        <w:t>If he or his agent or employee claims the privilege, the owner of a trade secret has a privilege to refuse to disclose the secret, and to prevent another from disclosing it, if the allowance of the privilege will not tend to conceal fraud or otherwise work injustice.</w:t>
      </w:r>
      <w:r w:rsidRPr="00EF58C0" w:rsidR="00E434A8">
        <w:rPr>
          <w:rStyle w:val="FootnoteReference"/>
          <w:b/>
          <w:bCs/>
          <w:sz w:val="26"/>
          <w:szCs w:val="26"/>
          <w:u w:val="single"/>
        </w:rPr>
        <w:footnoteReference w:id="26"/>
      </w:r>
    </w:p>
    <w:p w:rsidRPr="00EF58C0" w:rsidR="00C81A45" w:rsidP="00C81A45" w:rsidRDefault="00C81A45" w14:paraId="2FD1C058" w14:textId="77777777">
      <w:pPr>
        <w:pStyle w:val="NormalWeb"/>
        <w:spacing w:before="0" w:beforeAutospacing="0" w:after="0" w:afterAutospacing="0"/>
        <w:ind w:left="720" w:right="1440"/>
        <w:rPr>
          <w:sz w:val="26"/>
          <w:szCs w:val="26"/>
        </w:rPr>
      </w:pPr>
    </w:p>
    <w:p w:rsidRPr="00EF58C0" w:rsidR="001D5730" w:rsidP="00C81A45" w:rsidRDefault="00A522AF" w14:paraId="7D45DB12" w14:textId="0369DA83">
      <w:pPr>
        <w:pStyle w:val="BodyText"/>
        <w:spacing w:after="0"/>
      </w:pPr>
      <w:r w:rsidRPr="00EF58C0">
        <w:rPr>
          <w:szCs w:val="26"/>
        </w:rPr>
        <w:t xml:space="preserve">Cal. Evid. Code </w:t>
      </w:r>
      <w:r w:rsidRPr="00EF58C0" w:rsidR="00E2202E">
        <w:rPr>
          <w:szCs w:val="26"/>
        </w:rPr>
        <w:t>Section</w:t>
      </w:r>
      <w:r w:rsidRPr="00EF58C0">
        <w:rPr>
          <w:szCs w:val="26"/>
        </w:rPr>
        <w:t xml:space="preserve"> 1061</w:t>
      </w:r>
      <w:r w:rsidRPr="00EF58C0" w:rsidR="00792971">
        <w:rPr>
          <w:szCs w:val="26"/>
        </w:rPr>
        <w:t>(a)(1)</w:t>
      </w:r>
      <w:r w:rsidRPr="00EF58C0" w:rsidR="00050F9A">
        <w:rPr>
          <w:rStyle w:val="FootnoteReference"/>
          <w:b/>
          <w:bCs/>
          <w:szCs w:val="26"/>
          <w:u w:val="single"/>
        </w:rPr>
        <w:footnoteReference w:id="27"/>
      </w:r>
      <w:r w:rsidRPr="00EF58C0">
        <w:rPr>
          <w:szCs w:val="26"/>
        </w:rPr>
        <w:t xml:space="preserve"> </w:t>
      </w:r>
      <w:r w:rsidRPr="00EF58C0" w:rsidR="00792971">
        <w:rPr>
          <w:szCs w:val="26"/>
        </w:rPr>
        <w:t xml:space="preserve">defines </w:t>
      </w:r>
      <w:r w:rsidRPr="00EF58C0" w:rsidR="0001790C">
        <w:rPr>
          <w:szCs w:val="26"/>
        </w:rPr>
        <w:t xml:space="preserve">trade secret as defined under Cal. Civ. Code </w:t>
      </w:r>
      <w:r w:rsidRPr="00EF58C0" w:rsidR="00E2202E">
        <w:rPr>
          <w:szCs w:val="26"/>
        </w:rPr>
        <w:t>Section</w:t>
      </w:r>
      <w:r w:rsidRPr="00EF58C0" w:rsidR="0001790C">
        <w:t xml:space="preserve"> 3426.1 and Penal Code </w:t>
      </w:r>
      <w:r w:rsidRPr="00EF58C0" w:rsidR="00E2202E">
        <w:rPr>
          <w:szCs w:val="26"/>
        </w:rPr>
        <w:t>Section</w:t>
      </w:r>
      <w:r w:rsidRPr="00EF58C0" w:rsidR="0001790C">
        <w:t xml:space="preserve"> 499</w:t>
      </w:r>
      <w:r w:rsidRPr="00EF58C0" w:rsidR="00F4795F">
        <w:t>(c)</w:t>
      </w:r>
      <w:r w:rsidRPr="00EF58C0" w:rsidR="0001790C">
        <w:t>.</w:t>
      </w:r>
      <w:r w:rsidRPr="00EF58C0" w:rsidR="00835D3C">
        <w:rPr>
          <w:rStyle w:val="FootnoteReference"/>
          <w:b/>
          <w:bCs/>
          <w:u w:val="single"/>
        </w:rPr>
        <w:footnoteReference w:id="28"/>
      </w:r>
      <w:r w:rsidRPr="00EF58C0" w:rsidR="004B7B75">
        <w:t xml:space="preserve"> </w:t>
      </w:r>
      <w:r w:rsidRPr="00EF58C0" w:rsidR="00F4795F">
        <w:t xml:space="preserve"> </w:t>
      </w:r>
      <w:r w:rsidRPr="00EF58C0" w:rsidR="00A3662D">
        <w:t xml:space="preserve">Cal. Civ. Code </w:t>
      </w:r>
      <w:r w:rsidRPr="00EF58C0" w:rsidR="00E2202E">
        <w:rPr>
          <w:szCs w:val="26"/>
        </w:rPr>
        <w:t>Section</w:t>
      </w:r>
      <w:r w:rsidRPr="00EF58C0" w:rsidR="00A3662D">
        <w:t xml:space="preserve"> 3426.1(d) </w:t>
      </w:r>
      <w:r w:rsidRPr="00EF58C0" w:rsidR="00496402">
        <w:t>defines trade secret as</w:t>
      </w:r>
      <w:r w:rsidRPr="00EF58C0" w:rsidR="00B0233B">
        <w:t>:</w:t>
      </w:r>
    </w:p>
    <w:p w:rsidRPr="00EF58C0" w:rsidR="00C81A45" w:rsidP="00C81A45" w:rsidRDefault="00C81A45" w14:paraId="0EF07370" w14:textId="6F80F6E8">
      <w:pPr>
        <w:pStyle w:val="BodyText"/>
        <w:spacing w:after="0"/>
      </w:pPr>
    </w:p>
    <w:p w:rsidR="005C60A0" w:rsidP="00C81A45" w:rsidRDefault="0045608B" w14:paraId="149086F4" w14:textId="39AB8B89">
      <w:pPr>
        <w:pStyle w:val="NormalWeb"/>
        <w:spacing w:before="0" w:beforeAutospacing="0" w:after="0" w:afterAutospacing="0"/>
        <w:ind w:left="720" w:right="1440"/>
        <w:rPr>
          <w:sz w:val="26"/>
          <w:szCs w:val="26"/>
        </w:rPr>
      </w:pPr>
      <w:r w:rsidRPr="00EF58C0">
        <w:rPr>
          <w:sz w:val="26"/>
          <w:szCs w:val="26"/>
        </w:rPr>
        <w:t>information, including a formula, pattern, compilation, program, device, method, technique, or process, that</w:t>
      </w:r>
      <w:r w:rsidRPr="00EF58C0" w:rsidR="00546C1F">
        <w:rPr>
          <w:sz w:val="26"/>
          <w:szCs w:val="26"/>
        </w:rPr>
        <w:t xml:space="preserve"> </w:t>
      </w:r>
      <w:r w:rsidRPr="00EF58C0">
        <w:rPr>
          <w:sz w:val="26"/>
          <w:szCs w:val="26"/>
        </w:rPr>
        <w:t>(1)</w:t>
      </w:r>
      <w:r w:rsidRPr="00EF58C0" w:rsidR="00145FDB">
        <w:rPr>
          <w:sz w:val="26"/>
          <w:szCs w:val="26"/>
        </w:rPr>
        <w:t xml:space="preserve"> </w:t>
      </w:r>
      <w:r w:rsidRPr="00EF58C0">
        <w:rPr>
          <w:sz w:val="26"/>
          <w:szCs w:val="26"/>
        </w:rPr>
        <w:t>Derives independent economic value, actual or potential, from not being generally known to the public or to other persons who can obtain economic value from its disclosure or use; and</w:t>
      </w:r>
      <w:r w:rsidRPr="00EF58C0" w:rsidR="00B0233B">
        <w:rPr>
          <w:sz w:val="26"/>
          <w:szCs w:val="26"/>
        </w:rPr>
        <w:t xml:space="preserve"> </w:t>
      </w:r>
      <w:r w:rsidRPr="00EF58C0">
        <w:rPr>
          <w:sz w:val="26"/>
          <w:szCs w:val="26"/>
        </w:rPr>
        <w:t>(2) Is the subject of efforts that are reasonable under the circumstances to maintain its secrecy.</w:t>
      </w:r>
    </w:p>
    <w:p w:rsidRPr="00EF58C0" w:rsidR="00442D1C" w:rsidP="00C81A45" w:rsidRDefault="00442D1C" w14:paraId="0514E855" w14:textId="77777777">
      <w:pPr>
        <w:pStyle w:val="NormalWeb"/>
        <w:spacing w:before="0" w:beforeAutospacing="0" w:after="0" w:afterAutospacing="0"/>
        <w:ind w:left="720" w:right="1440"/>
        <w:rPr>
          <w:sz w:val="26"/>
          <w:szCs w:val="26"/>
        </w:rPr>
      </w:pPr>
    </w:p>
    <w:p w:rsidRPr="00EF58C0" w:rsidR="00220FA2" w:rsidP="00C81A45" w:rsidRDefault="0010026E" w14:paraId="12D16318" w14:textId="163D2A70">
      <w:pPr>
        <w:pStyle w:val="BodyText"/>
        <w:spacing w:after="0"/>
        <w:rPr>
          <w:szCs w:val="26"/>
        </w:rPr>
      </w:pPr>
      <w:r w:rsidRPr="00EF58C0">
        <w:rPr>
          <w:szCs w:val="26"/>
        </w:rPr>
        <w:t xml:space="preserve">A party asserting the trade secret privilege under </w:t>
      </w:r>
      <w:r w:rsidRPr="00EF58C0" w:rsidR="001F7A10">
        <w:rPr>
          <w:szCs w:val="26"/>
        </w:rPr>
        <w:t xml:space="preserve">Cal. </w:t>
      </w:r>
      <w:r w:rsidRPr="00EF58C0">
        <w:rPr>
          <w:szCs w:val="26"/>
        </w:rPr>
        <w:t xml:space="preserve">Evid. Code </w:t>
      </w:r>
      <w:r w:rsidRPr="00EF58C0" w:rsidR="00E2202E">
        <w:rPr>
          <w:szCs w:val="26"/>
        </w:rPr>
        <w:t>Section</w:t>
      </w:r>
      <w:r w:rsidRPr="00EF58C0">
        <w:rPr>
          <w:szCs w:val="26"/>
        </w:rPr>
        <w:t xml:space="preserve"> 1060 bears the burden of proving that the information it wishes to keep secret meets all elements in the Civ. Code </w:t>
      </w:r>
      <w:r w:rsidRPr="00EF58C0" w:rsidR="00E2202E">
        <w:rPr>
          <w:szCs w:val="26"/>
        </w:rPr>
        <w:t>Section</w:t>
      </w:r>
      <w:r w:rsidRPr="00EF58C0">
        <w:rPr>
          <w:szCs w:val="26"/>
        </w:rPr>
        <w:t xml:space="preserve"> 3426.1(d) definition of a “trade secret.”</w:t>
      </w:r>
      <w:r w:rsidRPr="00EF58C0" w:rsidR="00302953">
        <w:rPr>
          <w:rStyle w:val="FootnoteReference"/>
          <w:b/>
          <w:bCs/>
          <w:szCs w:val="26"/>
          <w:u w:val="single"/>
        </w:rPr>
        <w:footnoteReference w:id="29"/>
      </w:r>
      <w:r w:rsidRPr="00EF58C0" w:rsidR="00E373DC">
        <w:rPr>
          <w:szCs w:val="26"/>
        </w:rPr>
        <w:t xml:space="preserve">  </w:t>
      </w:r>
      <w:r w:rsidRPr="00EF58C0">
        <w:rPr>
          <w:szCs w:val="26"/>
        </w:rPr>
        <w:t xml:space="preserve">Thus, in addition to proving that information falls within the applicable statutory definition of a trade secret, </w:t>
      </w:r>
      <w:r w:rsidRPr="00EF58C0" w:rsidR="009D7462">
        <w:rPr>
          <w:szCs w:val="26"/>
        </w:rPr>
        <w:t>SJWC</w:t>
      </w:r>
      <w:r w:rsidRPr="00EF58C0" w:rsidR="00817642">
        <w:rPr>
          <w:szCs w:val="26"/>
        </w:rPr>
        <w:t xml:space="preserve"> </w:t>
      </w:r>
      <w:r w:rsidRPr="00EF58C0" w:rsidR="00715C8F">
        <w:rPr>
          <w:szCs w:val="26"/>
        </w:rPr>
        <w:lastRenderedPageBreak/>
        <w:t xml:space="preserve">must show that </w:t>
      </w:r>
      <w:r w:rsidRPr="00EF58C0" w:rsidR="00710703">
        <w:rPr>
          <w:szCs w:val="26"/>
        </w:rPr>
        <w:t xml:space="preserve">it </w:t>
      </w:r>
      <w:r w:rsidRPr="00EF58C0" w:rsidR="00EE6599">
        <w:rPr>
          <w:szCs w:val="26"/>
        </w:rPr>
        <w:t>“</w:t>
      </w:r>
      <w:r w:rsidRPr="00EF58C0" w:rsidR="00610C89">
        <w:rPr>
          <w:szCs w:val="26"/>
        </w:rPr>
        <w:t>claimed the privilege”</w:t>
      </w:r>
      <w:r w:rsidRPr="00EF58C0" w:rsidR="00230B66">
        <w:rPr>
          <w:szCs w:val="26"/>
        </w:rPr>
        <w:t xml:space="preserve"> </w:t>
      </w:r>
      <w:r w:rsidRPr="00EF58C0" w:rsidR="006B35C6">
        <w:rPr>
          <w:szCs w:val="26"/>
        </w:rPr>
        <w:t>when it submitted the information</w:t>
      </w:r>
      <w:r w:rsidRPr="00EF58C0" w:rsidR="000D2F07">
        <w:rPr>
          <w:szCs w:val="26"/>
        </w:rPr>
        <w:t xml:space="preserve"> to the Commission and that </w:t>
      </w:r>
      <w:r w:rsidRPr="00EF58C0">
        <w:rPr>
          <w:szCs w:val="26"/>
        </w:rPr>
        <w:t>“allowance of the privilege will not tend to conceal fraud or otherwise work injustice.”</w:t>
      </w:r>
    </w:p>
    <w:p w:rsidRPr="00EF58C0" w:rsidR="00C81A45" w:rsidP="00C81A45" w:rsidRDefault="00C81A45" w14:paraId="4391B639" w14:textId="77777777">
      <w:pPr>
        <w:pStyle w:val="BodyText"/>
        <w:spacing w:after="0"/>
        <w:rPr>
          <w:szCs w:val="26"/>
        </w:rPr>
      </w:pPr>
    </w:p>
    <w:p w:rsidRPr="00EF58C0" w:rsidR="002F4958" w:rsidP="00C81A45" w:rsidRDefault="00683D91" w14:paraId="33114E72" w14:textId="0CFA5AB9">
      <w:pPr>
        <w:pStyle w:val="BodyText"/>
        <w:spacing w:after="0"/>
        <w:rPr>
          <w:szCs w:val="26"/>
        </w:rPr>
      </w:pPr>
      <w:r w:rsidRPr="00EF58C0">
        <w:rPr>
          <w:szCs w:val="26"/>
        </w:rPr>
        <w:t>Here, S</w:t>
      </w:r>
      <w:r w:rsidRPr="00EF58C0" w:rsidR="00220FA2">
        <w:rPr>
          <w:szCs w:val="26"/>
        </w:rPr>
        <w:t>JWC</w:t>
      </w:r>
      <w:r w:rsidRPr="00EF58C0">
        <w:rPr>
          <w:szCs w:val="26"/>
        </w:rPr>
        <w:t>’s trade secret assertions fail on several levels</w:t>
      </w:r>
      <w:r w:rsidRPr="00EF58C0" w:rsidR="006D011E">
        <w:rPr>
          <w:szCs w:val="26"/>
        </w:rPr>
        <w:t xml:space="preserve">: </w:t>
      </w:r>
      <w:r w:rsidRPr="00EF58C0" w:rsidR="00225E0E">
        <w:rPr>
          <w:szCs w:val="26"/>
        </w:rPr>
        <w:t>in</w:t>
      </w:r>
      <w:r w:rsidRPr="00EF58C0" w:rsidR="00807A2E">
        <w:rPr>
          <w:szCs w:val="26"/>
        </w:rPr>
        <w:t xml:space="preserve"> identify</w:t>
      </w:r>
      <w:r w:rsidRPr="00EF58C0" w:rsidR="005F09FD">
        <w:rPr>
          <w:szCs w:val="26"/>
        </w:rPr>
        <w:t>ing</w:t>
      </w:r>
      <w:r w:rsidRPr="00EF58C0" w:rsidR="00807A2E">
        <w:rPr>
          <w:szCs w:val="26"/>
        </w:rPr>
        <w:t xml:space="preserve"> with specificity the information to be withheld</w:t>
      </w:r>
      <w:r w:rsidRPr="00EF58C0" w:rsidR="006D011E">
        <w:rPr>
          <w:szCs w:val="26"/>
        </w:rPr>
        <w:t xml:space="preserve">, </w:t>
      </w:r>
      <w:r w:rsidRPr="00EF58C0" w:rsidR="00C860F3">
        <w:rPr>
          <w:szCs w:val="26"/>
        </w:rPr>
        <w:t xml:space="preserve">and in </w:t>
      </w:r>
      <w:r w:rsidRPr="00EF58C0" w:rsidR="00FC5A1D">
        <w:rPr>
          <w:szCs w:val="26"/>
        </w:rPr>
        <w:t>showing that the documents</w:t>
      </w:r>
      <w:r w:rsidRPr="00EF58C0" w:rsidR="0037000C">
        <w:rPr>
          <w:szCs w:val="26"/>
        </w:rPr>
        <w:t xml:space="preserve"> </w:t>
      </w:r>
      <w:r w:rsidRPr="00EF58C0" w:rsidR="00FC5A1D">
        <w:rPr>
          <w:szCs w:val="26"/>
        </w:rPr>
        <w:t>meet</w:t>
      </w:r>
      <w:r w:rsidRPr="00EF58C0" w:rsidR="006D011E">
        <w:rPr>
          <w:szCs w:val="26"/>
        </w:rPr>
        <w:t xml:space="preserve"> </w:t>
      </w:r>
      <w:r w:rsidRPr="00EF58C0" w:rsidR="007D16B0">
        <w:rPr>
          <w:szCs w:val="26"/>
        </w:rPr>
        <w:t xml:space="preserve">each of </w:t>
      </w:r>
      <w:r w:rsidRPr="00EF58C0" w:rsidR="006D011E">
        <w:rPr>
          <w:szCs w:val="26"/>
        </w:rPr>
        <w:t xml:space="preserve">the </w:t>
      </w:r>
      <w:r w:rsidRPr="00EF58C0" w:rsidR="00807A2E">
        <w:rPr>
          <w:szCs w:val="26"/>
        </w:rPr>
        <w:t>elements</w:t>
      </w:r>
      <w:r w:rsidRPr="00EF58C0" w:rsidR="006D011E">
        <w:rPr>
          <w:szCs w:val="26"/>
        </w:rPr>
        <w:t xml:space="preserve"> of trade secret</w:t>
      </w:r>
      <w:r w:rsidRPr="00EF58C0" w:rsidR="00C860F3">
        <w:rPr>
          <w:szCs w:val="26"/>
        </w:rPr>
        <w:t xml:space="preserve">. </w:t>
      </w:r>
      <w:r w:rsidRPr="00EF58C0" w:rsidR="002C6AD7">
        <w:rPr>
          <w:szCs w:val="26"/>
        </w:rPr>
        <w:t xml:space="preserve"> </w:t>
      </w:r>
      <w:r w:rsidRPr="00EF58C0" w:rsidR="00C860F3">
        <w:rPr>
          <w:szCs w:val="26"/>
        </w:rPr>
        <w:t>Finally,</w:t>
      </w:r>
      <w:r w:rsidRPr="00EF58C0" w:rsidR="006D011E">
        <w:rPr>
          <w:szCs w:val="26"/>
        </w:rPr>
        <w:t xml:space="preserve"> trade secret assertions are ultimately conditional.</w:t>
      </w:r>
    </w:p>
    <w:p w:rsidRPr="003B68C3" w:rsidR="00EF2433" w:rsidP="00257C90" w:rsidRDefault="00351534" w14:paraId="6BED2F4F" w14:textId="22CF108E">
      <w:pPr>
        <w:pStyle w:val="Heading3"/>
        <w:rPr>
          <w:rStyle w:val="Heading3Char"/>
          <w:b/>
          <w:bCs/>
        </w:rPr>
      </w:pPr>
      <w:r w:rsidRPr="003B68C3">
        <w:rPr>
          <w:rStyle w:val="Heading3Char"/>
          <w:b/>
          <w:bCs/>
        </w:rPr>
        <w:t xml:space="preserve">Failure to </w:t>
      </w:r>
      <w:r w:rsidRPr="003B68C3" w:rsidR="007D0297">
        <w:rPr>
          <w:rStyle w:val="Heading3Char"/>
          <w:b/>
          <w:bCs/>
        </w:rPr>
        <w:t>I</w:t>
      </w:r>
      <w:r w:rsidRPr="003B68C3" w:rsidR="00890DD6">
        <w:rPr>
          <w:rStyle w:val="Heading3Char"/>
          <w:b/>
          <w:bCs/>
        </w:rPr>
        <w:t xml:space="preserve">dentify with </w:t>
      </w:r>
      <w:r w:rsidRPr="003B68C3" w:rsidR="007D0297">
        <w:rPr>
          <w:rStyle w:val="Heading3Char"/>
          <w:b/>
          <w:bCs/>
        </w:rPr>
        <w:t>S</w:t>
      </w:r>
      <w:r w:rsidRPr="003B68C3" w:rsidR="00890DD6">
        <w:rPr>
          <w:rStyle w:val="Heading3Char"/>
          <w:b/>
          <w:bCs/>
        </w:rPr>
        <w:t xml:space="preserve">pecificity the </w:t>
      </w:r>
      <w:r w:rsidRPr="003B68C3" w:rsidR="007D0297">
        <w:rPr>
          <w:rStyle w:val="Heading3Char"/>
          <w:b/>
          <w:bCs/>
        </w:rPr>
        <w:t>I</w:t>
      </w:r>
      <w:r w:rsidRPr="003B68C3" w:rsidR="00890DD6">
        <w:rPr>
          <w:rStyle w:val="Heading3Char"/>
          <w:b/>
          <w:bCs/>
        </w:rPr>
        <w:t xml:space="preserve">nformation to be </w:t>
      </w:r>
      <w:r w:rsidRPr="003B68C3" w:rsidR="007D0297">
        <w:rPr>
          <w:rStyle w:val="Heading3Char"/>
          <w:b/>
          <w:bCs/>
        </w:rPr>
        <w:t>W</w:t>
      </w:r>
      <w:r w:rsidRPr="003B68C3" w:rsidR="00890DD6">
        <w:rPr>
          <w:rStyle w:val="Heading3Char"/>
          <w:b/>
          <w:bCs/>
        </w:rPr>
        <w:t xml:space="preserve">ithheld and </w:t>
      </w:r>
      <w:r w:rsidRPr="003B68C3" w:rsidR="007D0297">
        <w:rPr>
          <w:rStyle w:val="Heading3Char"/>
          <w:b/>
          <w:bCs/>
        </w:rPr>
        <w:t>E</w:t>
      </w:r>
      <w:r w:rsidRPr="003B68C3" w:rsidR="00890DD6">
        <w:rPr>
          <w:rStyle w:val="Heading3Char"/>
          <w:b/>
          <w:bCs/>
        </w:rPr>
        <w:t xml:space="preserve">xplain how </w:t>
      </w:r>
      <w:r w:rsidRPr="003B68C3" w:rsidR="007D0297">
        <w:rPr>
          <w:rStyle w:val="Heading3Char"/>
          <w:b/>
          <w:bCs/>
        </w:rPr>
        <w:t>S</w:t>
      </w:r>
      <w:r w:rsidRPr="003B68C3" w:rsidR="00890DD6">
        <w:rPr>
          <w:rStyle w:val="Heading3Char"/>
          <w:b/>
          <w:bCs/>
        </w:rPr>
        <w:t xml:space="preserve">pecific </w:t>
      </w:r>
      <w:r w:rsidRPr="003B68C3" w:rsidR="007D0297">
        <w:rPr>
          <w:rStyle w:val="Heading3Char"/>
          <w:b/>
          <w:bCs/>
        </w:rPr>
        <w:t>S</w:t>
      </w:r>
      <w:r w:rsidRPr="003B68C3" w:rsidR="00890DD6">
        <w:rPr>
          <w:rStyle w:val="Heading3Char"/>
          <w:b/>
          <w:bCs/>
        </w:rPr>
        <w:t xml:space="preserve">tatutory </w:t>
      </w:r>
      <w:r w:rsidRPr="003B68C3" w:rsidR="007D0297">
        <w:rPr>
          <w:rStyle w:val="Heading3Char"/>
          <w:b/>
          <w:bCs/>
        </w:rPr>
        <w:t>P</w:t>
      </w:r>
      <w:r w:rsidRPr="003B68C3" w:rsidR="00890DD6">
        <w:rPr>
          <w:rStyle w:val="Heading3Char"/>
          <w:b/>
          <w:bCs/>
        </w:rPr>
        <w:t xml:space="preserve">rovision </w:t>
      </w:r>
      <w:r w:rsidRPr="003B68C3" w:rsidR="007D0297">
        <w:rPr>
          <w:rStyle w:val="Heading3Char"/>
          <w:b/>
          <w:bCs/>
        </w:rPr>
        <w:t>A</w:t>
      </w:r>
      <w:r w:rsidRPr="003B68C3" w:rsidR="00890DD6">
        <w:rPr>
          <w:rStyle w:val="Heading3Char"/>
          <w:b/>
          <w:bCs/>
        </w:rPr>
        <w:t>pplies</w:t>
      </w:r>
    </w:p>
    <w:p w:rsidRPr="00EF58C0" w:rsidR="00890DD6" w:rsidP="00990A0A" w:rsidRDefault="00890DD6" w14:paraId="0267C5FF" w14:textId="4412924F">
      <w:pPr>
        <w:pStyle w:val="BodyText"/>
        <w:spacing w:after="0"/>
        <w:rPr>
          <w:szCs w:val="26"/>
        </w:rPr>
      </w:pPr>
      <w:r w:rsidRPr="00EF58C0">
        <w:rPr>
          <w:szCs w:val="26"/>
        </w:rPr>
        <w:t xml:space="preserve">In cases alleging misappropriation of trade secrets, trade secret asserters are required by Cal. Code Civ. Pro </w:t>
      </w:r>
      <w:r w:rsidRPr="00EF58C0" w:rsidR="00E2202E">
        <w:rPr>
          <w:szCs w:val="26"/>
        </w:rPr>
        <w:t>Section</w:t>
      </w:r>
      <w:r w:rsidRPr="00EF58C0">
        <w:rPr>
          <w:szCs w:val="26"/>
        </w:rPr>
        <w:t xml:space="preserve"> 2019.210 to “identify the trade secret with reasonable particularity,” and judicial decisions interpreting this requirement state that this provision requires trade secret asserters to describe the trade secret in sufficient detail to all parties to understand the difference between the trade secret and other information.</w:t>
      </w:r>
      <w:r w:rsidRPr="00EF58C0">
        <w:rPr>
          <w:rStyle w:val="FootnoteReference"/>
          <w:b/>
          <w:bCs/>
          <w:szCs w:val="26"/>
          <w:u w:val="single"/>
        </w:rPr>
        <w:footnoteReference w:id="30"/>
      </w:r>
    </w:p>
    <w:p w:rsidRPr="00EF58C0" w:rsidR="00C81A45" w:rsidP="00990A0A" w:rsidRDefault="00C81A45" w14:paraId="7CCB29F9" w14:textId="77777777">
      <w:pPr>
        <w:pStyle w:val="BodyText"/>
        <w:spacing w:after="0"/>
        <w:rPr>
          <w:szCs w:val="26"/>
        </w:rPr>
      </w:pPr>
    </w:p>
    <w:p w:rsidRPr="00EF58C0" w:rsidR="00F647B2" w:rsidP="00990A0A" w:rsidRDefault="00F647B2" w14:paraId="3724A35C" w14:textId="362D3410">
      <w:pPr>
        <w:pStyle w:val="BodyText"/>
        <w:spacing w:after="0"/>
        <w:rPr>
          <w:szCs w:val="26"/>
        </w:rPr>
      </w:pPr>
      <w:r w:rsidRPr="00EF58C0">
        <w:rPr>
          <w:szCs w:val="26"/>
        </w:rPr>
        <w:t xml:space="preserve">While SJWC cites various statutory provisions relating to the trade secret privilege and the statutory definition of trade secrets, it fails to directly assert the trade secret privilege or explain how the information it desires the Commission to keep secret falls within the definition of a trade secret and within the scope of the trade secret privilege. </w:t>
      </w:r>
      <w:r w:rsidRPr="00EF58C0" w:rsidR="002C6AD7">
        <w:rPr>
          <w:szCs w:val="26"/>
        </w:rPr>
        <w:t xml:space="preserve"> </w:t>
      </w:r>
      <w:r w:rsidRPr="00EF58C0">
        <w:rPr>
          <w:szCs w:val="26"/>
        </w:rPr>
        <w:t xml:space="preserve">SJWC merely asserts the document contains confidential corporate financial records and non-public information that SJWC derives independent economic value from not being generally known to the public or to other persons who can obtain economic value from its disclosure or use; and is the subject of efforts that are reasonable under the circumstances to maintain its secrecy. </w:t>
      </w:r>
      <w:r w:rsidRPr="00EF58C0" w:rsidR="002C6AD7">
        <w:rPr>
          <w:szCs w:val="26"/>
        </w:rPr>
        <w:t xml:space="preserve"> </w:t>
      </w:r>
      <w:r w:rsidRPr="00EF58C0">
        <w:rPr>
          <w:szCs w:val="26"/>
        </w:rPr>
        <w:t xml:space="preserve">While this assertion recites elements of the Cal. Civ. Code </w:t>
      </w:r>
      <w:r w:rsidRPr="00EF58C0" w:rsidR="00E2202E">
        <w:rPr>
          <w:szCs w:val="26"/>
        </w:rPr>
        <w:t>Section</w:t>
      </w:r>
      <w:r w:rsidRPr="00EF58C0">
        <w:rPr>
          <w:szCs w:val="26"/>
        </w:rPr>
        <w:t xml:space="preserve"> 3426.1(d) definition of a trade secret, it neither directly asserts the trade secret privilege,</w:t>
      </w:r>
      <w:r w:rsidRPr="00EF58C0">
        <w:rPr>
          <w:rStyle w:val="FootnoteReference"/>
          <w:b/>
          <w:bCs/>
          <w:szCs w:val="26"/>
          <w:u w:val="single"/>
        </w:rPr>
        <w:footnoteReference w:id="31"/>
      </w:r>
      <w:r w:rsidRPr="00EF58C0">
        <w:rPr>
          <w:szCs w:val="26"/>
        </w:rPr>
        <w:t xml:space="preserve"> nor explains how the information at issue falls within the definition.</w:t>
      </w:r>
    </w:p>
    <w:p w:rsidRPr="00EF58C0" w:rsidR="00C81A45" w:rsidP="00C81A45" w:rsidRDefault="00C81A45" w14:paraId="709D5D97" w14:textId="77777777">
      <w:pPr>
        <w:pStyle w:val="BodyText"/>
        <w:spacing w:after="0"/>
        <w:rPr>
          <w:szCs w:val="26"/>
        </w:rPr>
      </w:pPr>
    </w:p>
    <w:p w:rsidRPr="00EF58C0" w:rsidR="00432418" w:rsidP="00C81A45" w:rsidRDefault="00922F73" w14:paraId="1A755994" w14:textId="261C73BA">
      <w:pPr>
        <w:pStyle w:val="BodyText"/>
        <w:spacing w:after="0"/>
        <w:rPr>
          <w:szCs w:val="26"/>
        </w:rPr>
      </w:pPr>
      <w:r w:rsidRPr="00EF58C0">
        <w:rPr>
          <w:szCs w:val="26"/>
        </w:rPr>
        <w:t xml:space="preserve">Simply stating that a company “derives independent economic value from not being generally known to the public or to other persons who can obtain economic value </w:t>
      </w:r>
      <w:r w:rsidRPr="00EF58C0" w:rsidR="00740901">
        <w:rPr>
          <w:szCs w:val="26"/>
        </w:rPr>
        <w:t xml:space="preserve">from </w:t>
      </w:r>
      <w:r w:rsidRPr="00EF58C0">
        <w:rPr>
          <w:szCs w:val="26"/>
        </w:rPr>
        <w:t xml:space="preserve">its disclosure or use” presumes that the Commission will accept as a given a fact not supported by evidence or by anything more than the statement itself: the confidential status of the information. </w:t>
      </w:r>
    </w:p>
    <w:p w:rsidR="00E56517" w:rsidP="005B38FC" w:rsidRDefault="0036271C" w14:paraId="54EC70B0" w14:textId="5E724102">
      <w:pPr>
        <w:pStyle w:val="BodyText"/>
        <w:spacing w:before="240" w:after="0"/>
        <w:rPr>
          <w:szCs w:val="26"/>
        </w:rPr>
      </w:pPr>
      <w:r w:rsidRPr="00EF58C0">
        <w:rPr>
          <w:szCs w:val="26"/>
        </w:rPr>
        <w:t>Conclusory</w:t>
      </w:r>
      <w:r w:rsidRPr="00EF58C0" w:rsidR="00FF7969">
        <w:rPr>
          <w:szCs w:val="26"/>
        </w:rPr>
        <w:t xml:space="preserve"> </w:t>
      </w:r>
      <w:r w:rsidRPr="00EF58C0">
        <w:rPr>
          <w:szCs w:val="26"/>
        </w:rPr>
        <w:t>statements</w:t>
      </w:r>
      <w:r w:rsidRPr="00EF58C0" w:rsidR="00FF7969">
        <w:rPr>
          <w:szCs w:val="26"/>
        </w:rPr>
        <w:t xml:space="preserve"> </w:t>
      </w:r>
      <w:r w:rsidRPr="00EF58C0" w:rsidR="00726883">
        <w:rPr>
          <w:szCs w:val="26"/>
        </w:rPr>
        <w:t xml:space="preserve">alone </w:t>
      </w:r>
      <w:r w:rsidRPr="00EF58C0" w:rsidR="00FF7969">
        <w:rPr>
          <w:szCs w:val="26"/>
        </w:rPr>
        <w:t xml:space="preserve">without facts to substantiate the </w:t>
      </w:r>
      <w:r w:rsidRPr="00EF58C0" w:rsidR="00B8234E">
        <w:rPr>
          <w:szCs w:val="26"/>
        </w:rPr>
        <w:t xml:space="preserve">claim of trade secret </w:t>
      </w:r>
      <w:r w:rsidRPr="00EF58C0" w:rsidR="00F647B2">
        <w:rPr>
          <w:szCs w:val="26"/>
        </w:rPr>
        <w:t>are</w:t>
      </w:r>
      <w:r w:rsidRPr="00EF58C0" w:rsidR="00B8234E">
        <w:rPr>
          <w:szCs w:val="26"/>
        </w:rPr>
        <w:t xml:space="preserve"> insufficient to </w:t>
      </w:r>
      <w:r w:rsidRPr="00EF58C0" w:rsidR="00184797">
        <w:rPr>
          <w:szCs w:val="26"/>
        </w:rPr>
        <w:t>prove</w:t>
      </w:r>
      <w:r w:rsidRPr="00EF58C0" w:rsidR="00DC07EC">
        <w:rPr>
          <w:szCs w:val="26"/>
        </w:rPr>
        <w:t xml:space="preserve"> the </w:t>
      </w:r>
      <w:r w:rsidRPr="00EF58C0" w:rsidR="00E72612">
        <w:rPr>
          <w:szCs w:val="26"/>
        </w:rPr>
        <w:t>audited</w:t>
      </w:r>
      <w:r w:rsidRPr="00EF58C0" w:rsidR="00116C1A">
        <w:rPr>
          <w:szCs w:val="26"/>
        </w:rPr>
        <w:t xml:space="preserve"> financial records contains trade secret</w:t>
      </w:r>
      <w:r w:rsidRPr="00EF58C0" w:rsidR="006D5AF9">
        <w:rPr>
          <w:szCs w:val="26"/>
        </w:rPr>
        <w:t>s</w:t>
      </w:r>
      <w:r w:rsidRPr="00EF58C0" w:rsidR="00116C1A">
        <w:rPr>
          <w:szCs w:val="26"/>
        </w:rPr>
        <w:t>.</w:t>
      </w:r>
    </w:p>
    <w:p w:rsidR="00E56517" w:rsidRDefault="00E56517" w14:paraId="6034C36A" w14:textId="77777777">
      <w:pPr>
        <w:rPr>
          <w:sz w:val="26"/>
          <w:szCs w:val="26"/>
        </w:rPr>
      </w:pPr>
      <w:r>
        <w:rPr>
          <w:szCs w:val="26"/>
        </w:rPr>
        <w:br w:type="page"/>
      </w:r>
    </w:p>
    <w:p w:rsidRPr="003B68C3" w:rsidR="007114EB" w:rsidP="00257C90" w:rsidRDefault="005B31BB" w14:paraId="2CA39AFE" w14:textId="08262A0E">
      <w:pPr>
        <w:pStyle w:val="Heading3"/>
      </w:pPr>
      <w:r w:rsidRPr="003B68C3">
        <w:lastRenderedPageBreak/>
        <w:t xml:space="preserve">Failure to </w:t>
      </w:r>
      <w:r w:rsidRPr="003B68C3" w:rsidR="00391AA5">
        <w:t>M</w:t>
      </w:r>
      <w:r w:rsidRPr="003B68C3">
        <w:t xml:space="preserve">eet the </w:t>
      </w:r>
      <w:r w:rsidRPr="003B68C3" w:rsidR="00391AA5">
        <w:t>E</w:t>
      </w:r>
      <w:r w:rsidRPr="003B68C3">
        <w:t xml:space="preserve">lements </w:t>
      </w:r>
      <w:r w:rsidRPr="003B68C3" w:rsidR="00391AA5">
        <w:t>of</w:t>
      </w:r>
      <w:r w:rsidRPr="003B68C3" w:rsidR="007114EB">
        <w:t xml:space="preserve"> </w:t>
      </w:r>
      <w:r w:rsidRPr="003B68C3" w:rsidR="00391AA5">
        <w:t>a T</w:t>
      </w:r>
      <w:r w:rsidRPr="003B68C3" w:rsidR="007114EB">
        <w:t xml:space="preserve">rade </w:t>
      </w:r>
      <w:r w:rsidRPr="003B68C3" w:rsidR="00391AA5">
        <w:t>S</w:t>
      </w:r>
      <w:r w:rsidRPr="003B68C3" w:rsidR="007114EB">
        <w:t>ecret</w:t>
      </w:r>
    </w:p>
    <w:p w:rsidRPr="00EF58C0" w:rsidR="00922F73" w:rsidP="005B38FC" w:rsidRDefault="00734AF8" w14:paraId="5B4F4D90" w14:textId="5379531D">
      <w:pPr>
        <w:pStyle w:val="NormalWeb"/>
        <w:shd w:val="clear" w:color="auto" w:fill="FFFFFF"/>
        <w:spacing w:before="240" w:beforeAutospacing="0" w:after="0" w:afterAutospacing="0"/>
        <w:textAlignment w:val="baseline"/>
        <w:rPr>
          <w:sz w:val="26"/>
          <w:szCs w:val="26"/>
        </w:rPr>
      </w:pPr>
      <w:r w:rsidRPr="00EF58C0">
        <w:rPr>
          <w:sz w:val="26"/>
          <w:szCs w:val="26"/>
        </w:rPr>
        <w:t xml:space="preserve">The Cal. Civ. Code </w:t>
      </w:r>
      <w:r w:rsidRPr="00EF58C0" w:rsidR="00E2202E">
        <w:rPr>
          <w:sz w:val="26"/>
          <w:szCs w:val="26"/>
        </w:rPr>
        <w:t>Section</w:t>
      </w:r>
      <w:r w:rsidRPr="00EF58C0">
        <w:rPr>
          <w:sz w:val="26"/>
          <w:szCs w:val="26"/>
        </w:rPr>
        <w:t xml:space="preserve"> 3426.1(d) definition of a trade secret is </w:t>
      </w:r>
      <w:r w:rsidRPr="00EF58C0" w:rsidR="009926BE">
        <w:rPr>
          <w:sz w:val="26"/>
          <w:szCs w:val="26"/>
        </w:rPr>
        <w:t>“</w:t>
      </w:r>
      <w:r w:rsidRPr="00EF58C0">
        <w:rPr>
          <w:sz w:val="26"/>
          <w:szCs w:val="26"/>
        </w:rPr>
        <w:t>information, including a formula, pattern, compilation, program, device, method, technique, or process, that: (1) Derives independent economic value, actual or potential, from not being generally known to the public or to other persons who can obtain economic value from its disclosure or use; and (2) Is the subject of efforts that are reasonable under the circumstances to maintain its secrecy.</w:t>
      </w:r>
      <w:r w:rsidRPr="00EF58C0" w:rsidR="009926BE">
        <w:rPr>
          <w:sz w:val="26"/>
          <w:szCs w:val="26"/>
        </w:rPr>
        <w:t>”</w:t>
      </w:r>
      <w:r w:rsidRPr="00EF58C0">
        <w:rPr>
          <w:sz w:val="26"/>
          <w:szCs w:val="26"/>
        </w:rPr>
        <w:t xml:space="preserve"> </w:t>
      </w:r>
    </w:p>
    <w:p w:rsidRPr="00EF58C0" w:rsidR="00AA4197" w:rsidP="00257C90" w:rsidRDefault="00AA4197" w14:paraId="5458AC53" w14:textId="2F441392">
      <w:pPr>
        <w:pStyle w:val="Heading3"/>
      </w:pPr>
      <w:r w:rsidRPr="00EF58C0">
        <w:t xml:space="preserve">Failure to </w:t>
      </w:r>
      <w:r w:rsidRPr="00EF58C0" w:rsidR="00391AA5">
        <w:t>P</w:t>
      </w:r>
      <w:r w:rsidRPr="00EF58C0">
        <w:t xml:space="preserve">rove Requested Records have </w:t>
      </w:r>
      <w:r w:rsidRPr="00EF58C0" w:rsidR="00391AA5">
        <w:t>E</w:t>
      </w:r>
      <w:r w:rsidRPr="00EF58C0">
        <w:t xml:space="preserve">conomic </w:t>
      </w:r>
      <w:r w:rsidRPr="00EF58C0" w:rsidR="00391AA5">
        <w:t>V</w:t>
      </w:r>
      <w:r w:rsidRPr="00EF58C0">
        <w:t>alue</w:t>
      </w:r>
    </w:p>
    <w:p w:rsidRPr="00EF58C0" w:rsidR="00AA4197" w:rsidP="005B38FC" w:rsidRDefault="00AA4197" w14:paraId="38F031A7" w14:textId="4DAE9E61">
      <w:pPr>
        <w:pStyle w:val="BodyText"/>
        <w:spacing w:before="240" w:after="0"/>
        <w:rPr>
          <w:szCs w:val="26"/>
        </w:rPr>
      </w:pPr>
      <w:r w:rsidRPr="00EF58C0">
        <w:rPr>
          <w:szCs w:val="26"/>
        </w:rPr>
        <w:t>SJWC’s broad assertions that the information is not generally known to the public or to those who could obtain economic value from its disclosure or use impl</w:t>
      </w:r>
      <w:r w:rsidRPr="00EF58C0" w:rsidR="00DA4A96">
        <w:rPr>
          <w:szCs w:val="26"/>
        </w:rPr>
        <w:t>y</w:t>
      </w:r>
      <w:r w:rsidRPr="00EF58C0">
        <w:rPr>
          <w:szCs w:val="26"/>
        </w:rPr>
        <w:t xml:space="preserve"> but do not demonstrate that such information is not available to the public and stop short of showing “independent economic value” to meet the definition of trade secret under </w:t>
      </w:r>
      <w:r w:rsidRPr="00EF58C0" w:rsidR="00E2202E">
        <w:rPr>
          <w:szCs w:val="26"/>
        </w:rPr>
        <w:t>Section</w:t>
      </w:r>
      <w:r w:rsidRPr="00EF58C0">
        <w:rPr>
          <w:szCs w:val="26"/>
        </w:rPr>
        <w:t xml:space="preserve"> 3426.1(d)(1). </w:t>
      </w:r>
      <w:r w:rsidRPr="00EF58C0" w:rsidR="002C6AD7">
        <w:rPr>
          <w:szCs w:val="26"/>
        </w:rPr>
        <w:t xml:space="preserve"> </w:t>
      </w:r>
      <w:r w:rsidRPr="00EF58C0">
        <w:rPr>
          <w:szCs w:val="26"/>
        </w:rPr>
        <w:t>SJWC failed to adequately explain the “independent economic value” within the Requested Record by virtue of such information not being available to the public.</w:t>
      </w:r>
    </w:p>
    <w:p w:rsidRPr="00EF58C0" w:rsidR="00C81A45" w:rsidP="00C81A45" w:rsidRDefault="00C81A45" w14:paraId="47E57538" w14:textId="77777777">
      <w:pPr>
        <w:pStyle w:val="BodyText"/>
        <w:spacing w:after="0"/>
        <w:rPr>
          <w:szCs w:val="26"/>
        </w:rPr>
      </w:pPr>
    </w:p>
    <w:p w:rsidRPr="00EF58C0" w:rsidR="00AA4197" w:rsidP="00C81A45" w:rsidRDefault="00AA4197" w14:paraId="68490E8F" w14:textId="47BB6167">
      <w:pPr>
        <w:pStyle w:val="BodyText"/>
        <w:spacing w:after="0"/>
        <w:rPr>
          <w:szCs w:val="26"/>
        </w:rPr>
      </w:pPr>
      <w:r w:rsidRPr="00EF58C0">
        <w:rPr>
          <w:szCs w:val="26"/>
        </w:rPr>
        <w:t xml:space="preserve">Mere conclusory statements such as in this case are insufficient to qualify for the trade secret privilege or comply with G.O. 66-D </w:t>
      </w:r>
      <w:r w:rsidRPr="00EF58C0" w:rsidR="00E2202E">
        <w:rPr>
          <w:szCs w:val="26"/>
        </w:rPr>
        <w:t>Section</w:t>
      </w:r>
      <w:r w:rsidRPr="00EF58C0">
        <w:rPr>
          <w:szCs w:val="26"/>
        </w:rPr>
        <w:t xml:space="preserve"> 3.2(b) requirement that information submitters explain how the authority cited in confidentiality declarations applies to the particular information at issue.</w:t>
      </w:r>
    </w:p>
    <w:p w:rsidRPr="00EF58C0" w:rsidR="00644476" w:rsidP="00257C90" w:rsidRDefault="005B31BB" w14:paraId="6E4F0A4F" w14:textId="50B1927F">
      <w:pPr>
        <w:pStyle w:val="Heading3"/>
      </w:pPr>
      <w:r w:rsidRPr="00EF58C0">
        <w:t>Failure</w:t>
      </w:r>
      <w:r w:rsidRPr="00EF58C0" w:rsidR="00890DD6">
        <w:t xml:space="preserve"> to</w:t>
      </w:r>
      <w:r w:rsidRPr="00EF58C0" w:rsidR="00803FDA">
        <w:t xml:space="preserve"> </w:t>
      </w:r>
      <w:r w:rsidRPr="00EF58C0" w:rsidR="00391AA5">
        <w:t>P</w:t>
      </w:r>
      <w:r w:rsidRPr="00EF58C0" w:rsidR="00803FDA">
        <w:t xml:space="preserve">rove </w:t>
      </w:r>
      <w:r w:rsidRPr="00EF58C0" w:rsidR="00391AA5">
        <w:t>R</w:t>
      </w:r>
      <w:r w:rsidRPr="00EF58C0" w:rsidR="007114EB">
        <w:t xml:space="preserve">easonable </w:t>
      </w:r>
      <w:r w:rsidRPr="00EF58C0" w:rsidR="00391AA5">
        <w:t>E</w:t>
      </w:r>
      <w:r w:rsidRPr="00EF58C0" w:rsidR="007114EB">
        <w:t xml:space="preserve">fforts to </w:t>
      </w:r>
      <w:r w:rsidRPr="00EF58C0" w:rsidR="00391AA5">
        <w:t>M</w:t>
      </w:r>
      <w:r w:rsidRPr="00EF58C0" w:rsidR="007114EB">
        <w:t xml:space="preserve">aintain </w:t>
      </w:r>
      <w:r w:rsidRPr="00EF58C0" w:rsidR="00391AA5">
        <w:t>S</w:t>
      </w:r>
      <w:r w:rsidRPr="00EF58C0" w:rsidR="007114EB">
        <w:t>ecrecy</w:t>
      </w:r>
    </w:p>
    <w:p w:rsidRPr="00EF58C0" w:rsidR="00644476" w:rsidP="005B38FC" w:rsidRDefault="00297448" w14:paraId="620D840E" w14:textId="3C02CEE8">
      <w:pPr>
        <w:pStyle w:val="BodyText"/>
        <w:spacing w:before="240" w:after="0"/>
        <w:rPr>
          <w:szCs w:val="26"/>
        </w:rPr>
      </w:pPr>
      <w:r w:rsidRPr="00EF58C0">
        <w:rPr>
          <w:szCs w:val="26"/>
        </w:rPr>
        <w:t>G.O. 66</w:t>
      </w:r>
      <w:r w:rsidRPr="00EF58C0" w:rsidR="004D2BE0">
        <w:rPr>
          <w:szCs w:val="26"/>
        </w:rPr>
        <w:t xml:space="preserve">-D </w:t>
      </w:r>
      <w:r w:rsidRPr="00EF58C0" w:rsidR="00E2202E">
        <w:rPr>
          <w:szCs w:val="26"/>
        </w:rPr>
        <w:t>Section</w:t>
      </w:r>
      <w:r w:rsidRPr="00EF58C0" w:rsidR="00022E51">
        <w:rPr>
          <w:szCs w:val="26"/>
        </w:rPr>
        <w:t xml:space="preserve"> </w:t>
      </w:r>
      <w:r w:rsidRPr="00EF58C0" w:rsidR="004D2BE0">
        <w:rPr>
          <w:szCs w:val="26"/>
        </w:rPr>
        <w:t xml:space="preserve">3.5 </w:t>
      </w:r>
      <w:r w:rsidRPr="00EF58C0" w:rsidR="00642334">
        <w:rPr>
          <w:szCs w:val="26"/>
        </w:rPr>
        <w:t>states</w:t>
      </w:r>
      <w:r w:rsidRPr="00EF58C0" w:rsidR="00BC2C75">
        <w:rPr>
          <w:szCs w:val="26"/>
        </w:rPr>
        <w:t xml:space="preserve"> that</w:t>
      </w:r>
      <w:r w:rsidRPr="00EF58C0" w:rsidR="00644476">
        <w:rPr>
          <w:szCs w:val="26"/>
        </w:rPr>
        <w:t>:</w:t>
      </w:r>
    </w:p>
    <w:p w:rsidRPr="00EF58C0" w:rsidR="00C81A45" w:rsidP="00C81A45" w:rsidRDefault="00C81A45" w14:paraId="52C86043" w14:textId="5855BFE2">
      <w:pPr>
        <w:pStyle w:val="BodyText"/>
        <w:spacing w:after="0"/>
        <w:rPr>
          <w:szCs w:val="26"/>
        </w:rPr>
      </w:pPr>
    </w:p>
    <w:p w:rsidRPr="00EF58C0" w:rsidR="00644476" w:rsidP="00C81A45" w:rsidRDefault="00642334" w14:paraId="64BFF589" w14:textId="2E575EBE">
      <w:pPr>
        <w:pStyle w:val="BodyText"/>
        <w:spacing w:after="0"/>
        <w:ind w:left="720" w:right="1440"/>
        <w:rPr>
          <w:szCs w:val="26"/>
        </w:rPr>
      </w:pPr>
      <w:r w:rsidRPr="00EF58C0">
        <w:rPr>
          <w:szCs w:val="26"/>
        </w:rPr>
        <w:t xml:space="preserve">A request for the Commission to provide </w:t>
      </w:r>
      <w:r w:rsidRPr="00EF58C0" w:rsidR="00FE327E">
        <w:rPr>
          <w:szCs w:val="26"/>
        </w:rPr>
        <w:t>confidential treatment of information per Section 3.2-3.4 of this GO, which is already public, will not be granted</w:t>
      </w:r>
      <w:r w:rsidRPr="00EF58C0" w:rsidR="00BC2C75">
        <w:rPr>
          <w:szCs w:val="26"/>
        </w:rPr>
        <w:t xml:space="preserve">. </w:t>
      </w:r>
      <w:r w:rsidR="00DA0227">
        <w:rPr>
          <w:szCs w:val="26"/>
        </w:rPr>
        <w:t xml:space="preserve"> </w:t>
      </w:r>
      <w:r w:rsidRPr="00EF58C0" w:rsidR="00E83668">
        <w:rPr>
          <w:szCs w:val="26"/>
        </w:rPr>
        <w:t xml:space="preserve">An information submitter requesting confidential treatment must make reasonable steps </w:t>
      </w:r>
      <w:r w:rsidRPr="00EF58C0" w:rsidR="006E79FC">
        <w:rPr>
          <w:szCs w:val="26"/>
        </w:rPr>
        <w:t xml:space="preserve">to maintain the information confidentiality and in the event an information </w:t>
      </w:r>
      <w:r w:rsidRPr="00EF58C0" w:rsidR="00AE38D8">
        <w:rPr>
          <w:szCs w:val="26"/>
        </w:rPr>
        <w:t>submitter becomes aware that the information is public, the information submitter must so inform the Commission in a timely manner.</w:t>
      </w:r>
    </w:p>
    <w:p w:rsidRPr="00EF58C0" w:rsidR="00C81A45" w:rsidP="00C81A45" w:rsidRDefault="00C81A45" w14:paraId="425CC3C6" w14:textId="77777777">
      <w:pPr>
        <w:pStyle w:val="BodyText"/>
        <w:spacing w:after="0"/>
        <w:ind w:left="720" w:right="1440"/>
        <w:rPr>
          <w:szCs w:val="26"/>
        </w:rPr>
      </w:pPr>
    </w:p>
    <w:p w:rsidRPr="00EF58C0" w:rsidR="004D00C5" w:rsidP="00C81A45" w:rsidRDefault="00091D6C" w14:paraId="69D30D6C" w14:textId="4F391176">
      <w:pPr>
        <w:pStyle w:val="BodyText"/>
        <w:spacing w:after="0"/>
        <w:rPr>
          <w:szCs w:val="26"/>
        </w:rPr>
      </w:pPr>
      <w:r w:rsidRPr="00EF58C0">
        <w:rPr>
          <w:szCs w:val="26"/>
        </w:rPr>
        <w:t xml:space="preserve">G.O. 66-D </w:t>
      </w:r>
      <w:r w:rsidRPr="00EF58C0" w:rsidR="00E2202E">
        <w:rPr>
          <w:szCs w:val="26"/>
        </w:rPr>
        <w:t>Section</w:t>
      </w:r>
      <w:r w:rsidRPr="00EF58C0">
        <w:rPr>
          <w:szCs w:val="26"/>
        </w:rPr>
        <w:t xml:space="preserve"> 3.5 imposes a practi</w:t>
      </w:r>
      <w:r w:rsidRPr="00EF58C0" w:rsidR="00D1159B">
        <w:rPr>
          <w:szCs w:val="26"/>
        </w:rPr>
        <w:t xml:space="preserve">cal obligation on information submitters similar to that imposed by Cal Code Civ. Pro. </w:t>
      </w:r>
      <w:r w:rsidRPr="00EF58C0" w:rsidR="00E2202E">
        <w:rPr>
          <w:szCs w:val="26"/>
        </w:rPr>
        <w:t>Section</w:t>
      </w:r>
      <w:r w:rsidRPr="00EF58C0" w:rsidR="00D1159B">
        <w:rPr>
          <w:szCs w:val="26"/>
        </w:rPr>
        <w:t xml:space="preserve"> 2019.210 in that </w:t>
      </w:r>
      <w:r w:rsidRPr="00EF58C0" w:rsidR="00F66B1D">
        <w:rPr>
          <w:szCs w:val="26"/>
        </w:rPr>
        <w:t xml:space="preserve">it </w:t>
      </w:r>
      <w:r w:rsidRPr="00EF58C0" w:rsidR="000232BB">
        <w:rPr>
          <w:szCs w:val="26"/>
        </w:rPr>
        <w:t>requires information submitters to inform the Commission if they become aware that the information is public</w:t>
      </w:r>
      <w:r w:rsidRPr="00EF58C0" w:rsidR="00F66B1D">
        <w:rPr>
          <w:szCs w:val="26"/>
        </w:rPr>
        <w:t xml:space="preserve">, and necessarily implies that information </w:t>
      </w:r>
      <w:r w:rsidRPr="00EF58C0" w:rsidR="00E85F91">
        <w:rPr>
          <w:szCs w:val="26"/>
        </w:rPr>
        <w:t>submitters should not make confidentiality claims for publicly available information.</w:t>
      </w:r>
      <w:r w:rsidRPr="00EF58C0" w:rsidR="009424E3">
        <w:rPr>
          <w:rStyle w:val="FootnoteReference"/>
          <w:b/>
          <w:bCs/>
          <w:szCs w:val="26"/>
          <w:u w:val="single"/>
        </w:rPr>
        <w:footnoteReference w:id="32"/>
      </w:r>
      <w:r w:rsidRPr="00EF58C0" w:rsidR="00EA329C">
        <w:rPr>
          <w:szCs w:val="26"/>
        </w:rPr>
        <w:t xml:space="preserve"> </w:t>
      </w:r>
      <w:r w:rsidRPr="00EF58C0" w:rsidR="00DC5C2B">
        <w:rPr>
          <w:szCs w:val="26"/>
        </w:rPr>
        <w:t xml:space="preserve"> </w:t>
      </w:r>
      <w:r w:rsidRPr="00EF58C0" w:rsidR="00EA329C">
        <w:rPr>
          <w:szCs w:val="26"/>
        </w:rPr>
        <w:t>An assertion that publicly available information is a trade secret is misleading.</w:t>
      </w:r>
    </w:p>
    <w:p w:rsidRPr="00EF58C0" w:rsidR="00314B5E" w:rsidP="00C81A45" w:rsidRDefault="00314B5E" w14:paraId="64BF85D0" w14:textId="4BDACFA0">
      <w:pPr>
        <w:pStyle w:val="BodyText"/>
        <w:spacing w:after="0"/>
        <w:rPr>
          <w:szCs w:val="26"/>
        </w:rPr>
      </w:pPr>
      <w:r w:rsidRPr="00EF58C0">
        <w:rPr>
          <w:szCs w:val="26"/>
        </w:rPr>
        <w:lastRenderedPageBreak/>
        <w:t>A comparison of the audited financial statements for which SJWC requests confidential treatment, and the Annual Reports that SJWC files each year with the Commission, and which are publicly available on the Commission’s website, shows a substantial and significant overlap of information.</w:t>
      </w:r>
    </w:p>
    <w:p w:rsidRPr="00EF58C0" w:rsidR="00C81A45" w:rsidP="00C81A45" w:rsidRDefault="00C81A45" w14:paraId="245C0551" w14:textId="77777777">
      <w:pPr>
        <w:pStyle w:val="BodyText"/>
        <w:spacing w:after="0"/>
        <w:rPr>
          <w:szCs w:val="26"/>
        </w:rPr>
      </w:pPr>
    </w:p>
    <w:p w:rsidRPr="00EF58C0" w:rsidR="00A92B8C" w:rsidP="00C81A45" w:rsidRDefault="00A92B8C" w14:paraId="17A0AD40" w14:textId="3EFEDAFC">
      <w:pPr>
        <w:pStyle w:val="BodyText"/>
        <w:spacing w:after="0"/>
        <w:rPr>
          <w:szCs w:val="26"/>
        </w:rPr>
      </w:pPr>
      <w:r w:rsidRPr="00EF58C0">
        <w:rPr>
          <w:szCs w:val="26"/>
        </w:rPr>
        <w:t xml:space="preserve">SJWC fails to distinguish between the specific language and data it considers to be trade secrets and public information. </w:t>
      </w:r>
      <w:r w:rsidRPr="00EF58C0" w:rsidR="002C6AD7">
        <w:rPr>
          <w:szCs w:val="26"/>
        </w:rPr>
        <w:t xml:space="preserve"> </w:t>
      </w:r>
      <w:r w:rsidRPr="00EF58C0">
        <w:rPr>
          <w:szCs w:val="26"/>
        </w:rPr>
        <w:t xml:space="preserve">Additionally, SJWC’s confidentiality claims do not explain any efforts SJWC made to maintain the secrecy of the information within the Requested Record. </w:t>
      </w:r>
    </w:p>
    <w:p w:rsidRPr="00EF58C0" w:rsidR="008824EE" w:rsidP="00257C90" w:rsidRDefault="008824EE" w14:paraId="73F2B1B0" w14:textId="3815A2F5">
      <w:pPr>
        <w:pStyle w:val="Heading3"/>
      </w:pPr>
      <w:r w:rsidRPr="00EF58C0">
        <w:t xml:space="preserve">Trade </w:t>
      </w:r>
      <w:r w:rsidRPr="00EF58C0" w:rsidR="00391AA5">
        <w:t>S</w:t>
      </w:r>
      <w:r w:rsidRPr="00EF58C0">
        <w:t xml:space="preserve">ecret </w:t>
      </w:r>
      <w:r w:rsidRPr="00EF58C0" w:rsidR="00391AA5">
        <w:t>P</w:t>
      </w:r>
      <w:r w:rsidRPr="00EF58C0">
        <w:t xml:space="preserve">rivilege is </w:t>
      </w:r>
      <w:r w:rsidRPr="00EF58C0" w:rsidR="00391AA5">
        <w:t>C</w:t>
      </w:r>
      <w:r w:rsidRPr="00EF58C0">
        <w:t xml:space="preserve">onditional, </w:t>
      </w:r>
      <w:r w:rsidRPr="00EF58C0" w:rsidR="00391AA5">
        <w:t>N</w:t>
      </w:r>
      <w:r w:rsidRPr="00EF58C0">
        <w:t xml:space="preserve">ot </w:t>
      </w:r>
      <w:r w:rsidRPr="00EF58C0" w:rsidR="00391AA5">
        <w:t>A</w:t>
      </w:r>
      <w:r w:rsidRPr="00EF58C0">
        <w:t>bsolute</w:t>
      </w:r>
    </w:p>
    <w:p w:rsidRPr="00EF58C0" w:rsidR="00F26AA8" w:rsidP="005B38FC" w:rsidRDefault="005917A3" w14:paraId="46B40F2C" w14:textId="5223D707">
      <w:pPr>
        <w:pStyle w:val="BodyText"/>
        <w:spacing w:before="240" w:after="0"/>
        <w:rPr>
          <w:szCs w:val="26"/>
        </w:rPr>
      </w:pPr>
      <w:r w:rsidRPr="00EF58C0">
        <w:rPr>
          <w:szCs w:val="26"/>
        </w:rPr>
        <w:t xml:space="preserve">The trade secret privilege is, in any event, conditional rather than absolute. </w:t>
      </w:r>
      <w:r w:rsidRPr="00EF58C0" w:rsidR="002C6AD7">
        <w:rPr>
          <w:szCs w:val="26"/>
        </w:rPr>
        <w:t xml:space="preserve"> </w:t>
      </w:r>
      <w:r w:rsidRPr="00EF58C0">
        <w:rPr>
          <w:szCs w:val="26"/>
        </w:rPr>
        <w:t xml:space="preserve">Cal. Evid. Code </w:t>
      </w:r>
      <w:r w:rsidRPr="00EF58C0" w:rsidR="00583776">
        <w:rPr>
          <w:szCs w:val="26"/>
        </w:rPr>
        <w:t>Section</w:t>
      </w:r>
      <w:r w:rsidRPr="00EF58C0">
        <w:rPr>
          <w:szCs w:val="26"/>
        </w:rPr>
        <w:t xml:space="preserve"> 1060 provides that </w:t>
      </w:r>
      <w:r w:rsidRPr="00EF58C0" w:rsidR="003C4BBB">
        <w:rPr>
          <w:szCs w:val="26"/>
        </w:rPr>
        <w:t>a trade secret owner has a privilege, “if allowance of the privilege will not tend to conceal fraud or otherwise work injustice.”</w:t>
      </w:r>
      <w:r w:rsidRPr="00EF58C0" w:rsidR="003C4BBB">
        <w:rPr>
          <w:rStyle w:val="FootnoteReference"/>
          <w:b/>
          <w:bCs/>
          <w:szCs w:val="26"/>
          <w:u w:val="single"/>
        </w:rPr>
        <w:footnoteReference w:id="33"/>
      </w:r>
    </w:p>
    <w:p w:rsidRPr="00EF58C0" w:rsidR="00C81A45" w:rsidP="00C81A45" w:rsidRDefault="00C81A45" w14:paraId="6054F2E9" w14:textId="77777777">
      <w:pPr>
        <w:pStyle w:val="BodyText"/>
        <w:spacing w:after="0"/>
        <w:rPr>
          <w:szCs w:val="26"/>
        </w:rPr>
      </w:pPr>
    </w:p>
    <w:p w:rsidR="005C60A0" w:rsidP="00C81A45" w:rsidRDefault="0010026E" w14:paraId="5252D29B" w14:textId="27C10764">
      <w:pPr>
        <w:pStyle w:val="BodyText"/>
        <w:spacing w:after="0"/>
        <w:rPr>
          <w:szCs w:val="26"/>
        </w:rPr>
      </w:pPr>
      <w:r w:rsidRPr="00EF58C0">
        <w:rPr>
          <w:szCs w:val="26"/>
        </w:rPr>
        <w:t xml:space="preserve">After receiving proof sufficient to support a Commission finding that the information is in fact a trade secret; the Commission must then determine whether it believes assertion of the privilege should be allowed, or whether it believes assertion of the privilege would “tend to conceal fraud or otherwise work injustice.” </w:t>
      </w:r>
      <w:r w:rsidRPr="00EF58C0" w:rsidR="001707B6">
        <w:rPr>
          <w:szCs w:val="26"/>
        </w:rPr>
        <w:t xml:space="preserve"> </w:t>
      </w:r>
      <w:r w:rsidRPr="00EF58C0">
        <w:rPr>
          <w:szCs w:val="26"/>
        </w:rPr>
        <w:t xml:space="preserve">If it believes the latter, it is not required to accept the party’s </w:t>
      </w:r>
      <w:r w:rsidRPr="00EF58C0" w:rsidR="00F57F0A">
        <w:rPr>
          <w:szCs w:val="26"/>
        </w:rPr>
        <w:t xml:space="preserve">Cal. </w:t>
      </w:r>
      <w:r w:rsidRPr="00EF58C0">
        <w:rPr>
          <w:szCs w:val="26"/>
        </w:rPr>
        <w:t xml:space="preserve">Evid. Code </w:t>
      </w:r>
      <w:r w:rsidRPr="00EF58C0" w:rsidR="00583776">
        <w:rPr>
          <w:szCs w:val="26"/>
        </w:rPr>
        <w:t>Section</w:t>
      </w:r>
      <w:r w:rsidRPr="00EF58C0">
        <w:rPr>
          <w:szCs w:val="26"/>
        </w:rPr>
        <w:t xml:space="preserve"> 1060 trade secret privilege </w:t>
      </w:r>
      <w:r w:rsidRPr="00EF58C0" w:rsidR="00CC5407">
        <w:rPr>
          <w:szCs w:val="26"/>
        </w:rPr>
        <w:t>assertion</w:t>
      </w:r>
      <w:r w:rsidRPr="00EF58C0">
        <w:rPr>
          <w:szCs w:val="26"/>
        </w:rPr>
        <w:t>.</w:t>
      </w:r>
    </w:p>
    <w:p w:rsidRPr="00EF58C0" w:rsidR="00442D1C" w:rsidP="00C81A45" w:rsidRDefault="00442D1C" w14:paraId="33455149" w14:textId="77777777">
      <w:pPr>
        <w:pStyle w:val="BodyText"/>
        <w:spacing w:after="0"/>
        <w:rPr>
          <w:szCs w:val="26"/>
        </w:rPr>
      </w:pPr>
    </w:p>
    <w:p w:rsidRPr="00EF58C0" w:rsidR="006661EE" w:rsidP="00442D1C" w:rsidRDefault="003E4055" w14:paraId="0995626B" w14:textId="6DCA3834">
      <w:pPr>
        <w:pStyle w:val="BodyText"/>
        <w:spacing w:after="0"/>
        <w:rPr>
          <w:szCs w:val="26"/>
        </w:rPr>
      </w:pPr>
      <w:r w:rsidRPr="00EF58C0">
        <w:rPr>
          <w:szCs w:val="26"/>
        </w:rPr>
        <w:t>D.20-12-021, at 25-26</w:t>
      </w:r>
      <w:r w:rsidRPr="00EF58C0" w:rsidR="006661EE">
        <w:rPr>
          <w:szCs w:val="26"/>
        </w:rPr>
        <w:t>, states that:</w:t>
      </w:r>
    </w:p>
    <w:p w:rsidRPr="00EF58C0" w:rsidR="0092452D" w:rsidP="0092452D" w:rsidRDefault="0092452D" w14:paraId="01DB1F5A" w14:textId="77777777">
      <w:pPr>
        <w:pStyle w:val="BodyText"/>
        <w:spacing w:after="0"/>
        <w:rPr>
          <w:szCs w:val="26"/>
        </w:rPr>
      </w:pPr>
    </w:p>
    <w:p w:rsidRPr="00EF58C0" w:rsidR="00065CB1" w:rsidP="0092452D" w:rsidRDefault="006661EE" w14:paraId="7690354F" w14:textId="1C312EF1">
      <w:pPr>
        <w:pStyle w:val="BodyText"/>
        <w:spacing w:after="0"/>
        <w:ind w:left="720" w:right="1440"/>
        <w:rPr>
          <w:szCs w:val="26"/>
        </w:rPr>
      </w:pPr>
      <w:r w:rsidRPr="00EF58C0">
        <w:rPr>
          <w:szCs w:val="26"/>
        </w:rPr>
        <w:t xml:space="preserve">As </w:t>
      </w:r>
      <w:r w:rsidRPr="00EF58C0" w:rsidR="0010026E">
        <w:rPr>
          <w:szCs w:val="26"/>
        </w:rPr>
        <w:t>noted earlier, the Evid. Code § 1060 trade secret privilege is a conditional privilege that can only be asserted where allowance of the privilege would not tend to conceal fraud or otherwise work injustice.</w:t>
      </w:r>
      <w:r w:rsidRPr="00EF58C0" w:rsidR="001707B6">
        <w:rPr>
          <w:rStyle w:val="FootnoteReference"/>
          <w:b/>
          <w:bCs/>
          <w:szCs w:val="26"/>
          <w:u w:val="single"/>
        </w:rPr>
        <w:footnoteReference w:id="34"/>
      </w:r>
      <w:r w:rsidRPr="00EF58C0" w:rsidR="00B17C85">
        <w:rPr>
          <w:szCs w:val="26"/>
        </w:rPr>
        <w:t xml:space="preserve">  </w:t>
      </w:r>
      <w:r w:rsidRPr="00EF58C0" w:rsidR="0010026E">
        <w:rPr>
          <w:szCs w:val="26"/>
        </w:rPr>
        <w:t xml:space="preserve">Relying largely on </w:t>
      </w:r>
      <w:r w:rsidRPr="00EF58C0" w:rsidR="0010026E">
        <w:rPr>
          <w:i/>
          <w:iCs/>
          <w:szCs w:val="26"/>
        </w:rPr>
        <w:t>Uribe v. Howie</w:t>
      </w:r>
      <w:r w:rsidRPr="00EF58C0" w:rsidR="00065CB1">
        <w:rPr>
          <w:i/>
          <w:iCs/>
          <w:szCs w:val="26"/>
        </w:rPr>
        <w:t>, supra</w:t>
      </w:r>
      <w:r w:rsidRPr="00EF58C0" w:rsidR="0010026E">
        <w:rPr>
          <w:szCs w:val="26"/>
        </w:rPr>
        <w:t xml:space="preserve">, the Court in </w:t>
      </w:r>
      <w:r w:rsidRPr="00EF58C0" w:rsidR="0010026E">
        <w:rPr>
          <w:i/>
          <w:iCs/>
          <w:szCs w:val="26"/>
        </w:rPr>
        <w:t xml:space="preserve">Coalition of University Employees v. The Regents of the University of California </w:t>
      </w:r>
      <w:r w:rsidRPr="00EF58C0" w:rsidR="0010026E">
        <w:rPr>
          <w:szCs w:val="26"/>
        </w:rPr>
        <w:t>(</w:t>
      </w:r>
      <w:r w:rsidRPr="00EF58C0" w:rsidR="0010026E">
        <w:rPr>
          <w:i/>
          <w:iCs/>
          <w:szCs w:val="26"/>
        </w:rPr>
        <w:t>CUE</w:t>
      </w:r>
      <w:r w:rsidRPr="00EF58C0" w:rsidR="0010026E">
        <w:rPr>
          <w:szCs w:val="26"/>
        </w:rPr>
        <w:t>)</w:t>
      </w:r>
      <w:r w:rsidRPr="00EF58C0" w:rsidR="001707B6">
        <w:rPr>
          <w:rStyle w:val="FootnoteReference"/>
          <w:b/>
          <w:bCs/>
          <w:szCs w:val="26"/>
          <w:u w:val="single"/>
        </w:rPr>
        <w:footnoteReference w:id="35"/>
      </w:r>
      <w:r w:rsidRPr="00EF58C0" w:rsidR="0010026E">
        <w:rPr>
          <w:szCs w:val="26"/>
        </w:rPr>
        <w:t xml:space="preserve">, </w:t>
      </w:r>
      <w:r w:rsidRPr="00EF58C0" w:rsidR="0010026E">
        <w:rPr>
          <w:i/>
          <w:iCs/>
          <w:szCs w:val="26"/>
        </w:rPr>
        <w:t>supra</w:t>
      </w:r>
      <w:r w:rsidRPr="00EF58C0" w:rsidR="0010026E">
        <w:rPr>
          <w:szCs w:val="26"/>
        </w:rPr>
        <w:t xml:space="preserve">, explained that, when an agency seeks to withhold records from the public on the grounds that the records are trade secrets, the court is ultimately required to balance the public’s interest in disclosure against the public’s interest in nondisclosure. </w:t>
      </w:r>
      <w:r w:rsidR="00DA0227">
        <w:rPr>
          <w:szCs w:val="26"/>
        </w:rPr>
        <w:t xml:space="preserve"> </w:t>
      </w:r>
      <w:r w:rsidRPr="00EF58C0" w:rsidR="0010026E">
        <w:rPr>
          <w:szCs w:val="26"/>
        </w:rPr>
        <w:t xml:space="preserve">The </w:t>
      </w:r>
      <w:r w:rsidRPr="00EF58C0" w:rsidR="0010026E">
        <w:rPr>
          <w:i/>
          <w:iCs/>
          <w:szCs w:val="26"/>
        </w:rPr>
        <w:t xml:space="preserve">CUE </w:t>
      </w:r>
      <w:r w:rsidRPr="00EF58C0" w:rsidR="0010026E">
        <w:rPr>
          <w:szCs w:val="26"/>
        </w:rPr>
        <w:t xml:space="preserve">Court further explained that </w:t>
      </w:r>
      <w:r w:rsidRPr="00EF58C0" w:rsidR="0010026E">
        <w:rPr>
          <w:i/>
          <w:iCs/>
          <w:szCs w:val="26"/>
        </w:rPr>
        <w:t xml:space="preserve">Uribe v. Howie, supra, </w:t>
      </w:r>
      <w:r w:rsidRPr="00EF58C0" w:rsidR="0010026E">
        <w:rPr>
          <w:szCs w:val="26"/>
        </w:rPr>
        <w:t xml:space="preserve">construed the “work injustice” language to embody a balancing test analogous to the balancing test required by Gov. Code </w:t>
      </w:r>
      <w:r w:rsidRPr="00EF58C0" w:rsidR="0010026E">
        <w:rPr>
          <w:szCs w:val="26"/>
        </w:rPr>
        <w:lastRenderedPageBreak/>
        <w:t>§ 6255(a).</w:t>
      </w:r>
      <w:r w:rsidRPr="00EF58C0" w:rsidR="0057706D">
        <w:rPr>
          <w:szCs w:val="26"/>
        </w:rPr>
        <w:t xml:space="preserve"> </w:t>
      </w:r>
      <w:r w:rsidR="00DA0227">
        <w:rPr>
          <w:szCs w:val="26"/>
        </w:rPr>
        <w:t xml:space="preserve"> </w:t>
      </w:r>
      <w:r w:rsidRPr="00EF58C0" w:rsidR="0010026E">
        <w:rPr>
          <w:szCs w:val="26"/>
        </w:rPr>
        <w:t xml:space="preserve">Thus, when an agency wants to withhold records on the basis of trade secret privilege assertions, it must first determine whether the records include trade secrets, and then balance public interests for and against disclosure. In </w:t>
      </w:r>
      <w:r w:rsidRPr="00EF58C0" w:rsidR="0010026E">
        <w:rPr>
          <w:i/>
          <w:iCs/>
          <w:szCs w:val="26"/>
        </w:rPr>
        <w:t>Uribe</w:t>
      </w:r>
      <w:r w:rsidRPr="00EF58C0" w:rsidR="0010026E">
        <w:rPr>
          <w:szCs w:val="26"/>
        </w:rPr>
        <w:t xml:space="preserve">, </w:t>
      </w:r>
      <w:r w:rsidRPr="00EF58C0" w:rsidR="0010026E">
        <w:rPr>
          <w:i/>
          <w:iCs/>
          <w:szCs w:val="26"/>
        </w:rPr>
        <w:t>supra</w:t>
      </w:r>
      <w:r w:rsidRPr="00EF58C0" w:rsidR="0010026E">
        <w:rPr>
          <w:szCs w:val="26"/>
        </w:rPr>
        <w:t xml:space="preserve">, </w:t>
      </w:r>
      <w:r w:rsidRPr="00EF58C0" w:rsidR="0010026E">
        <w:rPr>
          <w:i/>
          <w:iCs/>
          <w:szCs w:val="26"/>
        </w:rPr>
        <w:t>CUE</w:t>
      </w:r>
      <w:r w:rsidRPr="00EF58C0" w:rsidR="0010026E">
        <w:rPr>
          <w:szCs w:val="26"/>
        </w:rPr>
        <w:t xml:space="preserve">, and </w:t>
      </w:r>
      <w:r w:rsidRPr="00EF58C0" w:rsidR="0010026E">
        <w:rPr>
          <w:i/>
          <w:iCs/>
          <w:szCs w:val="26"/>
        </w:rPr>
        <w:t>ALRB</w:t>
      </w:r>
      <w:r w:rsidRPr="00EF58C0" w:rsidR="0010026E">
        <w:rPr>
          <w:szCs w:val="26"/>
        </w:rPr>
        <w:t xml:space="preserve">, </w:t>
      </w:r>
      <w:r w:rsidRPr="00EF58C0" w:rsidR="0010026E">
        <w:rPr>
          <w:i/>
          <w:iCs/>
          <w:szCs w:val="26"/>
        </w:rPr>
        <w:t>supra</w:t>
      </w:r>
      <w:r w:rsidRPr="00EF58C0" w:rsidR="0010026E">
        <w:rPr>
          <w:szCs w:val="26"/>
        </w:rPr>
        <w:t>, the courts found that the public interest in disclosure outweighed the claimed need for secrecy.</w:t>
      </w:r>
      <w:r w:rsidRPr="00EF58C0" w:rsidR="0057706D">
        <w:rPr>
          <w:rStyle w:val="FootnoteReference"/>
          <w:b/>
          <w:bCs/>
          <w:szCs w:val="26"/>
          <w:u w:val="single"/>
        </w:rPr>
        <w:footnoteReference w:id="36"/>
      </w:r>
    </w:p>
    <w:p w:rsidRPr="00EF58C0" w:rsidR="0092452D" w:rsidP="0092452D" w:rsidRDefault="0092452D" w14:paraId="0E33190C" w14:textId="77777777">
      <w:pPr>
        <w:pStyle w:val="BodyText"/>
        <w:spacing w:after="0"/>
        <w:ind w:left="720" w:right="1440"/>
        <w:rPr>
          <w:szCs w:val="26"/>
        </w:rPr>
      </w:pPr>
    </w:p>
    <w:p w:rsidRPr="00EF58C0" w:rsidR="009C3FA6" w:rsidP="0092452D" w:rsidRDefault="00F1697C" w14:paraId="6687A08B" w14:textId="25E29E42">
      <w:pPr>
        <w:pStyle w:val="BodyText"/>
        <w:spacing w:after="0"/>
        <w:rPr>
          <w:szCs w:val="26"/>
        </w:rPr>
      </w:pPr>
      <w:r w:rsidRPr="00EF58C0">
        <w:rPr>
          <w:szCs w:val="26"/>
        </w:rPr>
        <w:t>Thus, e</w:t>
      </w:r>
      <w:r w:rsidRPr="00EF58C0" w:rsidR="00594600">
        <w:rPr>
          <w:szCs w:val="26"/>
        </w:rPr>
        <w:t xml:space="preserve">ven if </w:t>
      </w:r>
      <w:r w:rsidRPr="00EF58C0" w:rsidR="00AB6669">
        <w:rPr>
          <w:szCs w:val="26"/>
        </w:rPr>
        <w:t>SJWC</w:t>
      </w:r>
      <w:r w:rsidRPr="00EF58C0" w:rsidR="00594600">
        <w:rPr>
          <w:szCs w:val="26"/>
        </w:rPr>
        <w:t xml:space="preserve"> complied with G.O. 66-D and </w:t>
      </w:r>
      <w:r w:rsidRPr="00EF58C0" w:rsidR="00A956FD">
        <w:rPr>
          <w:szCs w:val="26"/>
        </w:rPr>
        <w:t>met the requirements to assert</w:t>
      </w:r>
      <w:r w:rsidRPr="00EF58C0" w:rsidR="00317754">
        <w:rPr>
          <w:szCs w:val="26"/>
        </w:rPr>
        <w:t xml:space="preserve"> trade secrets</w:t>
      </w:r>
      <w:r w:rsidRPr="00EF58C0" w:rsidR="006C3D8C">
        <w:rPr>
          <w:szCs w:val="26"/>
        </w:rPr>
        <w:t xml:space="preserve"> privilege</w:t>
      </w:r>
      <w:r w:rsidRPr="00EF58C0" w:rsidR="00317754">
        <w:rPr>
          <w:szCs w:val="26"/>
        </w:rPr>
        <w:t xml:space="preserve">, </w:t>
      </w:r>
      <w:r w:rsidRPr="00EF58C0" w:rsidR="002F493A">
        <w:rPr>
          <w:szCs w:val="26"/>
        </w:rPr>
        <w:t xml:space="preserve">the Commission </w:t>
      </w:r>
      <w:r w:rsidRPr="00EF58C0" w:rsidR="00082BE1">
        <w:rPr>
          <w:szCs w:val="26"/>
        </w:rPr>
        <w:t>would also have to address whether</w:t>
      </w:r>
      <w:r w:rsidRPr="00EF58C0" w:rsidR="00C631B2">
        <w:rPr>
          <w:szCs w:val="26"/>
        </w:rPr>
        <w:t xml:space="preserve"> </w:t>
      </w:r>
      <w:r w:rsidRPr="00EF58C0" w:rsidR="00CD54F2">
        <w:rPr>
          <w:szCs w:val="26"/>
        </w:rPr>
        <w:t xml:space="preserve">the </w:t>
      </w:r>
      <w:r w:rsidRPr="00EF58C0" w:rsidR="007B4AD6">
        <w:rPr>
          <w:szCs w:val="26"/>
        </w:rPr>
        <w:t xml:space="preserve">allowance of </w:t>
      </w:r>
      <w:r w:rsidRPr="00EF58C0" w:rsidR="00CD54F2">
        <w:rPr>
          <w:szCs w:val="26"/>
        </w:rPr>
        <w:t xml:space="preserve">trade secret privilege </w:t>
      </w:r>
      <w:r w:rsidRPr="00EF58C0" w:rsidR="007B4AD6">
        <w:rPr>
          <w:szCs w:val="26"/>
        </w:rPr>
        <w:t xml:space="preserve">to the Requested Records </w:t>
      </w:r>
      <w:r w:rsidRPr="00EF58C0" w:rsidR="00CD54F2">
        <w:rPr>
          <w:szCs w:val="26"/>
        </w:rPr>
        <w:t xml:space="preserve">would </w:t>
      </w:r>
      <w:r w:rsidRPr="00EF58C0" w:rsidR="00410A03">
        <w:rPr>
          <w:szCs w:val="26"/>
        </w:rPr>
        <w:t>be contrary to the public’s interests</w:t>
      </w:r>
      <w:r w:rsidRPr="00EF58C0" w:rsidR="00FB264F">
        <w:rPr>
          <w:szCs w:val="26"/>
        </w:rPr>
        <w:t xml:space="preserve"> </w:t>
      </w:r>
      <w:r w:rsidRPr="00EF58C0" w:rsidR="00410A03">
        <w:rPr>
          <w:szCs w:val="26"/>
        </w:rPr>
        <w:t>and “otherwise work injustice</w:t>
      </w:r>
      <w:r w:rsidRPr="00EF58C0" w:rsidR="00FB264F">
        <w:rPr>
          <w:szCs w:val="26"/>
        </w:rPr>
        <w:t>.”</w:t>
      </w:r>
      <w:r w:rsidR="00DA0227">
        <w:rPr>
          <w:szCs w:val="26"/>
        </w:rPr>
        <w:t xml:space="preserve"> </w:t>
      </w:r>
      <w:r w:rsidRPr="00EF58C0">
        <w:rPr>
          <w:szCs w:val="26"/>
        </w:rPr>
        <w:t xml:space="preserve"> However, SJWC did not address this.</w:t>
      </w:r>
    </w:p>
    <w:p w:rsidRPr="00EF58C0" w:rsidR="0092452D" w:rsidP="0092452D" w:rsidRDefault="0092452D" w14:paraId="7241218E" w14:textId="77777777">
      <w:pPr>
        <w:pStyle w:val="BodyText"/>
        <w:spacing w:after="0"/>
        <w:rPr>
          <w:szCs w:val="26"/>
        </w:rPr>
      </w:pPr>
    </w:p>
    <w:p w:rsidRPr="00EF58C0" w:rsidR="002F493A" w:rsidP="0092452D" w:rsidRDefault="002F493A" w14:paraId="579238E1" w14:textId="42906889">
      <w:pPr>
        <w:pStyle w:val="BodyText"/>
        <w:spacing w:after="0"/>
        <w:rPr>
          <w:szCs w:val="26"/>
        </w:rPr>
      </w:pPr>
      <w:r w:rsidRPr="00EF58C0">
        <w:rPr>
          <w:szCs w:val="26"/>
        </w:rPr>
        <w:t xml:space="preserve">Upon review, </w:t>
      </w:r>
      <w:r w:rsidRPr="00EF58C0" w:rsidR="001053D7">
        <w:rPr>
          <w:szCs w:val="26"/>
        </w:rPr>
        <w:t>we</w:t>
      </w:r>
      <w:r w:rsidRPr="00EF58C0" w:rsidR="00B91FAE">
        <w:rPr>
          <w:szCs w:val="26"/>
        </w:rPr>
        <w:t xml:space="preserve"> </w:t>
      </w:r>
      <w:r w:rsidRPr="00EF58C0">
        <w:rPr>
          <w:szCs w:val="26"/>
        </w:rPr>
        <w:t xml:space="preserve">find that </w:t>
      </w:r>
      <w:r w:rsidRPr="00EF58C0" w:rsidR="00B91FAE">
        <w:rPr>
          <w:szCs w:val="26"/>
        </w:rPr>
        <w:t>SJWC</w:t>
      </w:r>
      <w:r w:rsidRPr="00EF58C0">
        <w:rPr>
          <w:szCs w:val="26"/>
        </w:rPr>
        <w:t xml:space="preserve"> did not </w:t>
      </w:r>
      <w:r w:rsidRPr="00EF58C0" w:rsidR="00F53D62">
        <w:rPr>
          <w:szCs w:val="26"/>
        </w:rPr>
        <w:t>establish a lawful basis</w:t>
      </w:r>
      <w:r w:rsidRPr="00EF58C0">
        <w:rPr>
          <w:szCs w:val="26"/>
        </w:rPr>
        <w:t xml:space="preserve"> to </w:t>
      </w:r>
      <w:r w:rsidRPr="00EF58C0" w:rsidR="00B91FAE">
        <w:rPr>
          <w:szCs w:val="26"/>
        </w:rPr>
        <w:t xml:space="preserve">withhold their audited financial statements for the years 2018, 2019, and 2020 </w:t>
      </w:r>
      <w:r w:rsidRPr="00EF58C0" w:rsidR="00F53D62">
        <w:rPr>
          <w:szCs w:val="26"/>
        </w:rPr>
        <w:t xml:space="preserve">under Cal. Evid. Code </w:t>
      </w:r>
      <w:r w:rsidRPr="00EF58C0" w:rsidR="00583776">
        <w:rPr>
          <w:szCs w:val="26"/>
        </w:rPr>
        <w:t>Sections</w:t>
      </w:r>
      <w:r w:rsidRPr="00EF58C0" w:rsidR="00F53D62">
        <w:rPr>
          <w:szCs w:val="26"/>
        </w:rPr>
        <w:t xml:space="preserve"> 1060 and 1061; Cal. Civ. Code </w:t>
      </w:r>
      <w:r w:rsidRPr="00EF58C0" w:rsidR="00583776">
        <w:rPr>
          <w:szCs w:val="26"/>
        </w:rPr>
        <w:t>Section</w:t>
      </w:r>
      <w:r w:rsidRPr="00EF58C0" w:rsidR="00F53D62">
        <w:rPr>
          <w:szCs w:val="26"/>
        </w:rPr>
        <w:t xml:space="preserve"> 3426.1(d); Penal Code </w:t>
      </w:r>
      <w:r w:rsidRPr="00EF58C0" w:rsidR="00583776">
        <w:rPr>
          <w:szCs w:val="26"/>
        </w:rPr>
        <w:t>Section</w:t>
      </w:r>
      <w:r w:rsidRPr="00EF58C0" w:rsidR="00F53D62">
        <w:rPr>
          <w:szCs w:val="26"/>
        </w:rPr>
        <w:t xml:space="preserve"> 499(c)(a)(9) as a trade secret.</w:t>
      </w:r>
    </w:p>
    <w:p w:rsidRPr="00EF58C0" w:rsidR="002F3892" w:rsidP="003B68C3" w:rsidRDefault="002F3892" w14:paraId="4D5A4279" w14:textId="126D02D6">
      <w:pPr>
        <w:pStyle w:val="Heading2"/>
      </w:pPr>
      <w:r w:rsidRPr="00EF58C0">
        <w:t xml:space="preserve">Cal Pub Util Code </w:t>
      </w:r>
      <w:r w:rsidRPr="00EF58C0" w:rsidR="00583776">
        <w:t>Section</w:t>
      </w:r>
      <w:r w:rsidRPr="00EF58C0">
        <w:t xml:space="preserve"> 583</w:t>
      </w:r>
    </w:p>
    <w:p w:rsidR="002F3892" w:rsidP="002F3892" w:rsidRDefault="002F3892" w14:paraId="1AB5035C" w14:textId="7B18ADA9">
      <w:pPr>
        <w:pStyle w:val="BodyText"/>
        <w:spacing w:before="240" w:after="0"/>
        <w:rPr>
          <w:szCs w:val="26"/>
        </w:rPr>
      </w:pPr>
      <w:r w:rsidRPr="00EF58C0">
        <w:rPr>
          <w:szCs w:val="26"/>
        </w:rPr>
        <w:t xml:space="preserve">Cal. Pub. Util. Code </w:t>
      </w:r>
      <w:r w:rsidRPr="00EF58C0" w:rsidR="00583776">
        <w:rPr>
          <w:szCs w:val="26"/>
        </w:rPr>
        <w:t>Section</w:t>
      </w:r>
      <w:r w:rsidRPr="00EF58C0">
        <w:rPr>
          <w:szCs w:val="26"/>
        </w:rPr>
        <w:t xml:space="preserve"> 583 is often cited in G.O. 66-D confidentiality claims. </w:t>
      </w:r>
      <w:r w:rsidR="0007574B">
        <w:rPr>
          <w:szCs w:val="26"/>
        </w:rPr>
        <w:t xml:space="preserve"> </w:t>
      </w:r>
      <w:r w:rsidRPr="00EF58C0">
        <w:rPr>
          <w:szCs w:val="26"/>
        </w:rPr>
        <w:t>But, as the Commission has often previously stated,</w:t>
      </w:r>
      <w:r w:rsidRPr="00EF58C0">
        <w:rPr>
          <w:b/>
          <w:bCs/>
          <w:szCs w:val="26"/>
          <w:u w:val="single"/>
          <w:vertAlign w:val="superscript"/>
        </w:rPr>
        <w:footnoteReference w:id="37"/>
      </w:r>
      <w:r w:rsidRPr="00EF58C0">
        <w:rPr>
          <w:szCs w:val="26"/>
        </w:rPr>
        <w:t xml:space="preserve"> Cal. Pub. Util. Code </w:t>
      </w:r>
      <w:r w:rsidRPr="00EF58C0" w:rsidR="00583776">
        <w:rPr>
          <w:szCs w:val="26"/>
        </w:rPr>
        <w:t>Section</w:t>
      </w:r>
      <w:r w:rsidRPr="00EF58C0">
        <w:rPr>
          <w:szCs w:val="26"/>
        </w:rPr>
        <w:t xml:space="preserve"> 583 “neither creates a privilege of nondisclosure for a utility, nor designates any specific types of documents as confidential.”</w:t>
      </w:r>
      <w:r w:rsidRPr="00EF58C0">
        <w:rPr>
          <w:b/>
          <w:bCs/>
          <w:szCs w:val="26"/>
          <w:u w:val="single"/>
          <w:vertAlign w:val="superscript"/>
        </w:rPr>
        <w:footnoteReference w:id="38"/>
      </w:r>
      <w:r w:rsidRPr="00EF58C0">
        <w:rPr>
          <w:szCs w:val="26"/>
        </w:rPr>
        <w:t xml:space="preserve"> </w:t>
      </w:r>
      <w:r w:rsidRPr="00EF58C0" w:rsidR="00DC5C2B">
        <w:rPr>
          <w:szCs w:val="26"/>
        </w:rPr>
        <w:t xml:space="preserve"> </w:t>
      </w:r>
      <w:r w:rsidRPr="00EF58C0">
        <w:rPr>
          <w:szCs w:val="26"/>
        </w:rPr>
        <w:t xml:space="preserve">In fact, Pub. Util. Code </w:t>
      </w:r>
      <w:r w:rsidRPr="00EF58C0" w:rsidR="00583776">
        <w:rPr>
          <w:szCs w:val="26"/>
        </w:rPr>
        <w:t>Section</w:t>
      </w:r>
      <w:r w:rsidRPr="00EF58C0">
        <w:rPr>
          <w:szCs w:val="26"/>
        </w:rPr>
        <w:t xml:space="preserve"> 583 vests the Commission with broad discretion to disclose information that a party deems confidential.</w:t>
      </w:r>
      <w:r w:rsidRPr="00EF58C0">
        <w:rPr>
          <w:b/>
          <w:bCs/>
          <w:szCs w:val="26"/>
          <w:u w:val="single"/>
          <w:vertAlign w:val="superscript"/>
        </w:rPr>
        <w:footnoteReference w:id="39"/>
      </w:r>
      <w:r w:rsidRPr="00EF58C0">
        <w:rPr>
          <w:szCs w:val="26"/>
        </w:rPr>
        <w:t xml:space="preserve"> </w:t>
      </w:r>
      <w:r w:rsidRPr="00EF58C0" w:rsidR="00DC5C2B">
        <w:rPr>
          <w:szCs w:val="26"/>
        </w:rPr>
        <w:t xml:space="preserve"> </w:t>
      </w:r>
      <w:r w:rsidRPr="00EF58C0">
        <w:rPr>
          <w:szCs w:val="26"/>
        </w:rPr>
        <w:t xml:space="preserve">Therefore, a party may not rely on Pub. Util. Code </w:t>
      </w:r>
      <w:r w:rsidRPr="00EF58C0" w:rsidR="00583776">
        <w:rPr>
          <w:szCs w:val="26"/>
        </w:rPr>
        <w:t>Section</w:t>
      </w:r>
      <w:r w:rsidRPr="00EF58C0">
        <w:rPr>
          <w:szCs w:val="26"/>
        </w:rPr>
        <w:t xml:space="preserve"> 583 for the proposition that information required by the Commission to be submitted is confidential.</w:t>
      </w:r>
      <w:r w:rsidRPr="00EF58C0">
        <w:rPr>
          <w:rStyle w:val="FootnoteReference"/>
          <w:b/>
          <w:bCs/>
          <w:szCs w:val="26"/>
          <w:u w:val="single"/>
        </w:rPr>
        <w:footnoteReference w:id="40"/>
      </w:r>
    </w:p>
    <w:p w:rsidR="003B68C3" w:rsidP="00DA0227" w:rsidRDefault="003B68C3" w14:paraId="7CCB173D" w14:textId="77777777">
      <w:pPr>
        <w:pStyle w:val="BodyText"/>
        <w:spacing w:after="0"/>
        <w:rPr>
          <w:szCs w:val="26"/>
        </w:rPr>
      </w:pPr>
    </w:p>
    <w:p w:rsidRPr="00EF58C0" w:rsidR="002F3892" w:rsidP="0007574B" w:rsidRDefault="002F3892" w14:paraId="2D4EAD60" w14:textId="4E0FFC79">
      <w:pPr>
        <w:pStyle w:val="BodyText"/>
        <w:spacing w:after="0"/>
      </w:pPr>
      <w:r w:rsidRPr="00EF58C0">
        <w:lastRenderedPageBreak/>
        <w:t xml:space="preserve">G.O. 66-D </w:t>
      </w:r>
      <w:r w:rsidRPr="00EF58C0" w:rsidR="00583776">
        <w:rPr>
          <w:szCs w:val="26"/>
        </w:rPr>
        <w:t>Section</w:t>
      </w:r>
      <w:r w:rsidRPr="00EF58C0">
        <w:rPr>
          <w:szCs w:val="26"/>
        </w:rPr>
        <w:t xml:space="preserve"> 3.2 (b) states </w:t>
      </w:r>
      <w:r w:rsidRPr="00EF58C0" w:rsidR="00FD04B5">
        <w:rPr>
          <w:szCs w:val="26"/>
        </w:rPr>
        <w:t xml:space="preserve">explicitly: </w:t>
      </w:r>
      <w:r w:rsidRPr="00EF58C0">
        <w:rPr>
          <w:szCs w:val="26"/>
        </w:rPr>
        <w:t>“</w:t>
      </w:r>
      <w:r w:rsidRPr="00EF58C0">
        <w:t>A citation or general marking of confidentiality, such as “GO-66” and/or “Public Utilities Code Section 583” without additional justification of confidentiality does not satisfy the information submitter’s burden to establish a basis for confidential treatment by the Commission.”</w:t>
      </w:r>
    </w:p>
    <w:p w:rsidRPr="00EF58C0" w:rsidR="0092452D" w:rsidP="0092452D" w:rsidRDefault="0092452D" w14:paraId="5655864C" w14:textId="77777777">
      <w:pPr>
        <w:pStyle w:val="BodyText"/>
        <w:spacing w:after="0"/>
      </w:pPr>
    </w:p>
    <w:p w:rsidRPr="00EF58C0" w:rsidR="002F3892" w:rsidP="0092452D" w:rsidRDefault="002F3892" w14:paraId="3E5E0442" w14:textId="7A7446B2">
      <w:pPr>
        <w:spacing w:after="0"/>
        <w:rPr>
          <w:sz w:val="26"/>
          <w:szCs w:val="26"/>
        </w:rPr>
      </w:pPr>
      <w:r w:rsidRPr="00EF58C0">
        <w:rPr>
          <w:sz w:val="26"/>
          <w:szCs w:val="26"/>
        </w:rPr>
        <w:t xml:space="preserve">Additionally, the September 18, 2019 letter, quoted earlier, specifically cautioned water utilities against the indiscriminate use of PU Code Section 583 to classify as “confidential” information in the reports filed with the Commission, and </w:t>
      </w:r>
      <w:r w:rsidRPr="00EF58C0" w:rsidR="00E34B1B">
        <w:rPr>
          <w:sz w:val="26"/>
          <w:szCs w:val="26"/>
        </w:rPr>
        <w:t xml:space="preserve">noted that </w:t>
      </w:r>
      <w:r w:rsidRPr="00EF58C0">
        <w:rPr>
          <w:sz w:val="26"/>
          <w:szCs w:val="26"/>
        </w:rPr>
        <w:t>this Commission has released similar reports to the public upon request.</w:t>
      </w:r>
      <w:r w:rsidRPr="00EF58C0">
        <w:rPr>
          <w:rStyle w:val="FootnoteReference"/>
          <w:b/>
          <w:bCs/>
          <w:sz w:val="26"/>
          <w:szCs w:val="26"/>
          <w:u w:val="single"/>
        </w:rPr>
        <w:footnoteReference w:id="41"/>
      </w:r>
      <w:r w:rsidRPr="00EF58C0">
        <w:rPr>
          <w:sz w:val="26"/>
          <w:szCs w:val="26"/>
        </w:rPr>
        <w:t xml:space="preserve"> </w:t>
      </w:r>
      <w:r w:rsidR="0007574B">
        <w:rPr>
          <w:sz w:val="26"/>
          <w:szCs w:val="26"/>
        </w:rPr>
        <w:t xml:space="preserve"> </w:t>
      </w:r>
      <w:r w:rsidRPr="00EF58C0">
        <w:rPr>
          <w:sz w:val="26"/>
          <w:szCs w:val="26"/>
        </w:rPr>
        <w:t>The September 18, 2019 letter cautions against the indiscriminate use of PU Code Section 583 to classify as “confidential” information in the reports filed with the Commission.</w:t>
      </w:r>
    </w:p>
    <w:p w:rsidRPr="00EF58C0" w:rsidR="0092452D" w:rsidP="0092452D" w:rsidRDefault="0092452D" w14:paraId="0DD780AD" w14:textId="77777777">
      <w:pPr>
        <w:spacing w:after="0"/>
        <w:rPr>
          <w:sz w:val="26"/>
          <w:szCs w:val="26"/>
        </w:rPr>
      </w:pPr>
    </w:p>
    <w:p w:rsidRPr="00EF58C0" w:rsidR="002F3892" w:rsidP="0092452D" w:rsidRDefault="002F3892" w14:paraId="494DEBC2" w14:textId="5A2F8014">
      <w:pPr>
        <w:pStyle w:val="BodyText"/>
        <w:spacing w:after="0"/>
        <w:rPr>
          <w:szCs w:val="26"/>
        </w:rPr>
      </w:pPr>
      <w:r w:rsidRPr="00EF58C0">
        <w:rPr>
          <w:szCs w:val="26"/>
        </w:rPr>
        <w:t xml:space="preserve">For these reasons we find that Cal. Pub. Util. Code </w:t>
      </w:r>
      <w:r w:rsidRPr="00EF58C0" w:rsidR="00583776">
        <w:rPr>
          <w:szCs w:val="26"/>
        </w:rPr>
        <w:t>Section</w:t>
      </w:r>
      <w:r w:rsidRPr="00EF58C0">
        <w:rPr>
          <w:szCs w:val="26"/>
        </w:rPr>
        <w:t xml:space="preserve"> 583 does not establish a lawful basis for the Commission to withhold SJWC’s audited financial statements from the public.</w:t>
      </w:r>
    </w:p>
    <w:p w:rsidRPr="00EF58C0" w:rsidR="00A728A8" w:rsidP="005B38FC" w:rsidRDefault="00A728A8" w14:paraId="0CD8494E" w14:textId="0599E6CC">
      <w:pPr>
        <w:pStyle w:val="BodyText"/>
        <w:spacing w:before="240" w:after="0"/>
        <w:rPr>
          <w:b/>
          <w:szCs w:val="26"/>
          <w:u w:val="single"/>
        </w:rPr>
      </w:pPr>
      <w:bookmarkStart w:name="_Hlk87110456" w:id="17"/>
      <w:r w:rsidRPr="00EF58C0">
        <w:rPr>
          <w:b/>
          <w:szCs w:val="26"/>
          <w:u w:val="single"/>
        </w:rPr>
        <w:t>SUMMARY</w:t>
      </w:r>
    </w:p>
    <w:p w:rsidRPr="00EF58C0" w:rsidR="00F93098" w:rsidP="005B38FC" w:rsidRDefault="00F93098" w14:paraId="24F4E3DC" w14:textId="73F360FD">
      <w:pPr>
        <w:pStyle w:val="BodyText"/>
        <w:spacing w:before="240" w:after="0"/>
        <w:rPr>
          <w:szCs w:val="26"/>
        </w:rPr>
      </w:pPr>
      <w:r w:rsidRPr="00EF58C0">
        <w:t xml:space="preserve">A successful confidentiality claim would need to fulfill the procedural requirements of G.O. 66-D </w:t>
      </w:r>
      <w:r w:rsidRPr="00EF58C0" w:rsidR="00583776">
        <w:rPr>
          <w:szCs w:val="26"/>
        </w:rPr>
        <w:t>Section</w:t>
      </w:r>
      <w:r w:rsidRPr="00EF58C0">
        <w:rPr>
          <w:szCs w:val="26"/>
        </w:rPr>
        <w:t xml:space="preserve"> 3.2, establish a specific basis of confidentiality</w:t>
      </w:r>
      <w:r w:rsidRPr="00EF58C0" w:rsidR="00627F52">
        <w:rPr>
          <w:szCs w:val="26"/>
        </w:rPr>
        <w:t xml:space="preserve"> and demonstrate how the basis of confidentiality applies to the facts of the specific documents</w:t>
      </w:r>
      <w:r w:rsidRPr="00EF58C0">
        <w:rPr>
          <w:szCs w:val="26"/>
        </w:rPr>
        <w:t>.</w:t>
      </w:r>
    </w:p>
    <w:p w:rsidRPr="00EF58C0" w:rsidR="0092452D" w:rsidP="0092452D" w:rsidRDefault="0092452D" w14:paraId="5ADCB595" w14:textId="77777777">
      <w:pPr>
        <w:pStyle w:val="BodyText"/>
        <w:spacing w:after="0"/>
        <w:rPr>
          <w:szCs w:val="26"/>
        </w:rPr>
      </w:pPr>
    </w:p>
    <w:p w:rsidRPr="00EF58C0" w:rsidR="0092452D" w:rsidP="0092452D" w:rsidRDefault="00FF3085" w14:paraId="30F6C656" w14:textId="77777777">
      <w:pPr>
        <w:pStyle w:val="BodyText"/>
        <w:spacing w:after="0"/>
        <w:rPr>
          <w:szCs w:val="26"/>
        </w:rPr>
      </w:pPr>
      <w:r w:rsidRPr="00EF58C0">
        <w:rPr>
          <w:szCs w:val="26"/>
        </w:rPr>
        <w:t xml:space="preserve">Based on the foregoing analysis, we conclude that </w:t>
      </w:r>
      <w:r w:rsidRPr="00EF58C0" w:rsidR="008C44B2">
        <w:t xml:space="preserve">SJWC has failed to </w:t>
      </w:r>
      <w:r w:rsidRPr="00EF58C0" w:rsidR="00E81846">
        <w:t>meet</w:t>
      </w:r>
      <w:r w:rsidRPr="00EF58C0" w:rsidR="008C44B2">
        <w:t xml:space="preserve"> the minimal procedural requirements in G.O. 66-D </w:t>
      </w:r>
      <w:r w:rsidRPr="00EF58C0" w:rsidR="00583776">
        <w:rPr>
          <w:szCs w:val="26"/>
        </w:rPr>
        <w:t xml:space="preserve">Section </w:t>
      </w:r>
      <w:r w:rsidRPr="00EF58C0" w:rsidR="008C44B2">
        <w:t>3.2(b)</w:t>
      </w:r>
      <w:r w:rsidRPr="00EF58C0">
        <w:t xml:space="preserve">, </w:t>
      </w:r>
      <w:r w:rsidRPr="00EF58C0" w:rsidR="00E81846">
        <w:t>and</w:t>
      </w:r>
      <w:r w:rsidRPr="00EF58C0" w:rsidR="00EE2D4F">
        <w:t xml:space="preserve"> </w:t>
      </w:r>
      <w:r w:rsidRPr="00EF58C0" w:rsidR="002D6109">
        <w:t xml:space="preserve">failed </w:t>
      </w:r>
      <w:r w:rsidRPr="00EF58C0" w:rsidR="00EE2D4F">
        <w:t xml:space="preserve">to </w:t>
      </w:r>
      <w:r w:rsidRPr="00EF58C0" w:rsidR="00E91F44">
        <w:t>establish</w:t>
      </w:r>
      <w:r w:rsidRPr="00EF58C0" w:rsidR="00E81846">
        <w:t xml:space="preserve"> </w:t>
      </w:r>
      <w:r w:rsidRPr="00EF58C0" w:rsidR="003C19A3">
        <w:t>the elements</w:t>
      </w:r>
      <w:r w:rsidRPr="00EF58C0" w:rsidR="00EE2D4F">
        <w:t xml:space="preserve"> for any one confidentiality claim</w:t>
      </w:r>
      <w:r w:rsidRPr="00EF58C0" w:rsidR="003C19A3">
        <w:t xml:space="preserve"> </w:t>
      </w:r>
      <w:r w:rsidRPr="00EF58C0" w:rsidR="00700941">
        <w:t>or how they would relate to the facts of the records</w:t>
      </w:r>
      <w:r w:rsidRPr="00EF58C0" w:rsidR="00EE2D4F">
        <w:rPr>
          <w:szCs w:val="26"/>
        </w:rPr>
        <w:t>.</w:t>
      </w:r>
    </w:p>
    <w:p w:rsidRPr="00EF58C0" w:rsidR="00FF3085" w:rsidP="0092452D" w:rsidRDefault="00FF3085" w14:paraId="30081EEF" w14:textId="0623B0EE">
      <w:pPr>
        <w:pStyle w:val="BodyText"/>
        <w:spacing w:after="0"/>
      </w:pPr>
    </w:p>
    <w:p w:rsidR="0007574B" w:rsidP="003B68C3" w:rsidRDefault="00FF3085" w14:paraId="535E1BED" w14:textId="316AB6C4">
      <w:pPr>
        <w:pStyle w:val="BodyText"/>
        <w:spacing w:after="0"/>
        <w:rPr>
          <w:szCs w:val="26"/>
        </w:rPr>
      </w:pPr>
      <w:r w:rsidRPr="00EF58C0">
        <w:rPr>
          <w:szCs w:val="26"/>
        </w:rPr>
        <w:t xml:space="preserve">As SJWC has </w:t>
      </w:r>
      <w:r w:rsidRPr="00EF58C0" w:rsidR="00C95912">
        <w:rPr>
          <w:szCs w:val="26"/>
        </w:rPr>
        <w:t>not</w:t>
      </w:r>
      <w:r w:rsidRPr="00EF58C0">
        <w:rPr>
          <w:szCs w:val="26"/>
        </w:rPr>
        <w:t xml:space="preserve"> establish</w:t>
      </w:r>
      <w:r w:rsidRPr="00EF58C0" w:rsidR="00C95912">
        <w:rPr>
          <w:szCs w:val="26"/>
        </w:rPr>
        <w:t>ed</w:t>
      </w:r>
      <w:r w:rsidRPr="00EF58C0" w:rsidR="00A731F0">
        <w:rPr>
          <w:szCs w:val="26"/>
        </w:rPr>
        <w:t xml:space="preserve"> the burden of proof for</w:t>
      </w:r>
      <w:r w:rsidRPr="00EF58C0">
        <w:rPr>
          <w:szCs w:val="26"/>
        </w:rPr>
        <w:t xml:space="preserve"> a</w:t>
      </w:r>
      <w:r w:rsidRPr="00EF58C0" w:rsidR="00F2618F">
        <w:rPr>
          <w:szCs w:val="26"/>
        </w:rPr>
        <w:t>ny one</w:t>
      </w:r>
      <w:r w:rsidRPr="00EF58C0" w:rsidR="00B33317">
        <w:rPr>
          <w:szCs w:val="26"/>
        </w:rPr>
        <w:t xml:space="preserve"> </w:t>
      </w:r>
      <w:r w:rsidRPr="00EF58C0">
        <w:rPr>
          <w:szCs w:val="26"/>
        </w:rPr>
        <w:t>confidentiality</w:t>
      </w:r>
      <w:r w:rsidRPr="00EF58C0" w:rsidR="00E07A1C">
        <w:rPr>
          <w:szCs w:val="26"/>
        </w:rPr>
        <w:t xml:space="preserve"> claim</w:t>
      </w:r>
      <w:r w:rsidRPr="00EF58C0">
        <w:rPr>
          <w:szCs w:val="26"/>
        </w:rPr>
        <w:t>,</w:t>
      </w:r>
      <w:r w:rsidRPr="00EF58C0" w:rsidR="00091ACB">
        <w:rPr>
          <w:szCs w:val="26"/>
        </w:rPr>
        <w:t xml:space="preserve"> </w:t>
      </w:r>
      <w:r w:rsidRPr="00EF58C0">
        <w:rPr>
          <w:szCs w:val="26"/>
        </w:rPr>
        <w:t>we authorize the public disclosure of the Audited Financial Statements of SJWC for the years ending Dec. 1, 2018, 2019, and 2020.</w:t>
      </w:r>
    </w:p>
    <w:p w:rsidR="00170AF1" w:rsidP="003B68C3" w:rsidRDefault="00170AF1" w14:paraId="65F25D69" w14:textId="77777777">
      <w:pPr>
        <w:pStyle w:val="BodyText"/>
        <w:spacing w:after="0"/>
        <w:rPr>
          <w:szCs w:val="26"/>
        </w:rPr>
      </w:pPr>
    </w:p>
    <w:p w:rsidR="00170AF1" w:rsidP="00170AF1" w:rsidRDefault="00170AF1" w14:paraId="1DF667AD" w14:textId="77777777">
      <w:pPr>
        <w:pStyle w:val="BodyText"/>
        <w:spacing w:after="0"/>
        <w:rPr>
          <w:b/>
          <w:szCs w:val="26"/>
          <w:u w:val="single"/>
        </w:rPr>
      </w:pPr>
      <w:r>
        <w:rPr>
          <w:b/>
          <w:szCs w:val="26"/>
          <w:u w:val="single"/>
        </w:rPr>
        <w:t xml:space="preserve">NOTICE AND </w:t>
      </w:r>
      <w:r w:rsidRPr="00EF58C0">
        <w:rPr>
          <w:b/>
          <w:szCs w:val="26"/>
          <w:u w:val="single"/>
        </w:rPr>
        <w:t>COMMENTS ON DRAFT RESOLUTION</w:t>
      </w:r>
      <w:r>
        <w:rPr>
          <w:b/>
          <w:szCs w:val="26"/>
          <w:u w:val="single"/>
        </w:rPr>
        <w:t>; DISCUSSION OF SAN JOSE WATER COMPANY’S REPEATED FALSE AND UNSUPPORTED CONFIDENTIALITY CLAIMS</w:t>
      </w:r>
    </w:p>
    <w:p w:rsidRPr="00EF58C0" w:rsidR="00170AF1" w:rsidP="00170AF1" w:rsidRDefault="00170AF1" w14:paraId="10F42C38" w14:textId="77777777">
      <w:pPr>
        <w:pStyle w:val="BodyText"/>
        <w:spacing w:after="0"/>
        <w:rPr>
          <w:b/>
          <w:szCs w:val="26"/>
          <w:u w:val="single"/>
        </w:rPr>
      </w:pPr>
    </w:p>
    <w:p w:rsidRPr="000775B4" w:rsidR="00170AF1" w:rsidP="00170AF1" w:rsidRDefault="00170AF1" w14:paraId="0251280E" w14:textId="77777777">
      <w:pPr>
        <w:pStyle w:val="Default"/>
        <w:rPr>
          <w:sz w:val="26"/>
          <w:szCs w:val="26"/>
        </w:rPr>
      </w:pPr>
      <w:r w:rsidRPr="000775B4">
        <w:rPr>
          <w:sz w:val="26"/>
          <w:szCs w:val="26"/>
        </w:rPr>
        <w:t xml:space="preserve">The Draft Resolution was mailed to the parties on January 7, 2022 in accordance with Cal. Pub. Util. Code </w:t>
      </w:r>
      <w:r>
        <w:rPr>
          <w:sz w:val="26"/>
          <w:szCs w:val="26"/>
        </w:rPr>
        <w:t>Section</w:t>
      </w:r>
      <w:r w:rsidRPr="000775B4">
        <w:rPr>
          <w:sz w:val="26"/>
          <w:szCs w:val="26"/>
        </w:rPr>
        <w:t> 311(g). On January 24, 2022, San Jose Water Company sent a letter to the Commission informing the Commission that the requested documents are publicly available on the Electronic Municipal Market Access website run by the Municipal Securities Rulemaking Board.</w:t>
      </w:r>
      <w:r w:rsidRPr="000775B4">
        <w:rPr>
          <w:rStyle w:val="FootnoteReference"/>
          <w:sz w:val="26"/>
          <w:szCs w:val="26"/>
        </w:rPr>
        <w:footnoteReference w:id="42"/>
      </w:r>
      <w:r w:rsidRPr="000775B4">
        <w:rPr>
          <w:sz w:val="26"/>
          <w:szCs w:val="26"/>
        </w:rPr>
        <w:t xml:space="preserve"> SJWC </w:t>
      </w:r>
      <w:r>
        <w:rPr>
          <w:sz w:val="26"/>
          <w:szCs w:val="26"/>
        </w:rPr>
        <w:t>noted</w:t>
      </w:r>
      <w:r w:rsidRPr="000775B4">
        <w:rPr>
          <w:sz w:val="26"/>
          <w:szCs w:val="26"/>
        </w:rPr>
        <w:t xml:space="preserve"> this is</w:t>
      </w:r>
      <w:r>
        <w:rPr>
          <w:sz w:val="26"/>
          <w:szCs w:val="26"/>
        </w:rPr>
        <w:t xml:space="preserve"> not</w:t>
      </w:r>
      <w:r w:rsidRPr="000775B4">
        <w:rPr>
          <w:sz w:val="26"/>
          <w:szCs w:val="26"/>
        </w:rPr>
        <w:t xml:space="preserve"> a </w:t>
      </w:r>
      <w:r>
        <w:rPr>
          <w:sz w:val="26"/>
          <w:szCs w:val="26"/>
        </w:rPr>
        <w:t>widely known</w:t>
      </w:r>
      <w:r w:rsidRPr="000775B4">
        <w:rPr>
          <w:sz w:val="26"/>
          <w:szCs w:val="26"/>
        </w:rPr>
        <w:t xml:space="preserve"> </w:t>
      </w:r>
      <w:r w:rsidRPr="000775B4">
        <w:rPr>
          <w:sz w:val="26"/>
          <w:szCs w:val="26"/>
        </w:rPr>
        <w:lastRenderedPageBreak/>
        <w:t xml:space="preserve">website and the officer who signed the confidentiality claim was not aware of the </w:t>
      </w:r>
      <w:r>
        <w:rPr>
          <w:sz w:val="26"/>
          <w:szCs w:val="26"/>
        </w:rPr>
        <w:t>public nature</w:t>
      </w:r>
      <w:r w:rsidRPr="000775B4">
        <w:rPr>
          <w:sz w:val="26"/>
          <w:szCs w:val="26"/>
        </w:rPr>
        <w:t xml:space="preserve"> of this document before now, stating</w:t>
      </w:r>
      <w:r>
        <w:rPr>
          <w:sz w:val="26"/>
          <w:szCs w:val="26"/>
        </w:rPr>
        <w:t xml:space="preserve"> their confidentiality claim included</w:t>
      </w:r>
      <w:r w:rsidRPr="000775B4">
        <w:rPr>
          <w:sz w:val="26"/>
          <w:szCs w:val="26"/>
        </w:rPr>
        <w:t>:</w:t>
      </w:r>
    </w:p>
    <w:p w:rsidRPr="000775B4" w:rsidR="00170AF1" w:rsidP="00170AF1" w:rsidRDefault="00170AF1" w14:paraId="7E7A4E0A" w14:textId="77777777">
      <w:pPr>
        <w:pStyle w:val="Default"/>
        <w:rPr>
          <w:sz w:val="26"/>
          <w:szCs w:val="26"/>
        </w:rPr>
      </w:pPr>
    </w:p>
    <w:p w:rsidRPr="000775B4" w:rsidR="00170AF1" w:rsidP="00170AF1" w:rsidRDefault="00170AF1" w14:paraId="3510D53D" w14:textId="77777777">
      <w:pPr>
        <w:pStyle w:val="Default"/>
        <w:ind w:left="720" w:right="1440"/>
        <w:rPr>
          <w:sz w:val="26"/>
          <w:szCs w:val="26"/>
        </w:rPr>
      </w:pPr>
      <w:r w:rsidRPr="000775B4">
        <w:rPr>
          <w:sz w:val="26"/>
          <w:szCs w:val="26"/>
        </w:rPr>
        <w:t>a declaration from John Tang, Vice President of Regulatory Affairs &amp; Government Relations for San Jose Water Company. At the time that he provided these declarations, Mr. Tang was not aware that San Jose Water’s annual audited financial statements had been made public via the EMMA website. The disclosure of these documents and publication on the EMMA website is not widely known outside the community of private debt issuers, purchasers and the advisors.</w:t>
      </w:r>
    </w:p>
    <w:p w:rsidRPr="000775B4" w:rsidR="00170AF1" w:rsidP="00170AF1" w:rsidRDefault="00170AF1" w14:paraId="61D15C73" w14:textId="77777777">
      <w:pPr>
        <w:pStyle w:val="BodyText1Noindent"/>
        <w:widowControl w:val="0"/>
        <w:spacing w:after="0"/>
        <w:ind w:right="720"/>
        <w:rPr>
          <w:rFonts w:eastAsiaTheme="minorHAnsi"/>
          <w:color w:val="000000"/>
          <w:szCs w:val="26"/>
        </w:rPr>
      </w:pPr>
    </w:p>
    <w:p w:rsidRPr="000775B4" w:rsidR="00170AF1" w:rsidP="00170AF1" w:rsidRDefault="00170AF1" w14:paraId="37D49912" w14:textId="77777777">
      <w:pPr>
        <w:pStyle w:val="BodyText1Noindent"/>
        <w:widowControl w:val="0"/>
        <w:spacing w:after="0"/>
        <w:ind w:right="720"/>
        <w:rPr>
          <w:szCs w:val="26"/>
        </w:rPr>
      </w:pPr>
      <w:r w:rsidRPr="000775B4">
        <w:rPr>
          <w:rFonts w:eastAsiaTheme="minorHAnsi"/>
          <w:color w:val="000000"/>
          <w:szCs w:val="26"/>
        </w:rPr>
        <w:t xml:space="preserve">Since the document is publicly available, SJWC sought to withdraw their confidentiality claims and </w:t>
      </w:r>
      <w:r w:rsidRPr="000775B4">
        <w:rPr>
          <w:szCs w:val="26"/>
        </w:rPr>
        <w:t>SJWC requested that the Commission withdraw draft Resolution L-614 as it has been rendered moot.</w:t>
      </w:r>
    </w:p>
    <w:p w:rsidRPr="000775B4" w:rsidR="00170AF1" w:rsidP="00170AF1" w:rsidRDefault="00170AF1" w14:paraId="72011397" w14:textId="77777777">
      <w:pPr>
        <w:pStyle w:val="BodyText1Noindent"/>
        <w:widowControl w:val="0"/>
        <w:spacing w:after="0"/>
        <w:ind w:right="720"/>
        <w:rPr>
          <w:szCs w:val="26"/>
        </w:rPr>
      </w:pPr>
    </w:p>
    <w:p w:rsidRPr="000775B4" w:rsidR="00170AF1" w:rsidP="00170AF1" w:rsidRDefault="00170AF1" w14:paraId="2E596FB5" w14:textId="77777777">
      <w:pPr>
        <w:pStyle w:val="BodyText1Noindent"/>
        <w:widowControl w:val="0"/>
        <w:spacing w:after="0"/>
        <w:ind w:right="720"/>
        <w:rPr>
          <w:szCs w:val="26"/>
        </w:rPr>
      </w:pPr>
      <w:r w:rsidRPr="000775B4">
        <w:rPr>
          <w:szCs w:val="26"/>
        </w:rPr>
        <w:t>On January 31, 2022 SJWC and California Water Association filed comments re-iterating the January 24, 2022 letter. No reply comments were filed by the February 4, 2022 deadline.</w:t>
      </w:r>
    </w:p>
    <w:p w:rsidRPr="000775B4" w:rsidR="00170AF1" w:rsidP="00170AF1" w:rsidRDefault="00170AF1" w14:paraId="381F434D" w14:textId="77777777">
      <w:pPr>
        <w:pStyle w:val="BodyText1Noindent"/>
        <w:widowControl w:val="0"/>
        <w:spacing w:after="0"/>
        <w:ind w:right="720"/>
        <w:rPr>
          <w:szCs w:val="26"/>
        </w:rPr>
      </w:pPr>
    </w:p>
    <w:p w:rsidRPr="000775B4" w:rsidR="00170AF1" w:rsidP="00170AF1" w:rsidRDefault="00170AF1" w14:paraId="2265C4EE" w14:textId="77777777">
      <w:pPr>
        <w:pStyle w:val="BodyText1Noindent"/>
        <w:widowControl w:val="0"/>
        <w:spacing w:after="0"/>
        <w:rPr>
          <w:szCs w:val="26"/>
        </w:rPr>
      </w:pPr>
      <w:r w:rsidRPr="000775B4">
        <w:rPr>
          <w:szCs w:val="26"/>
        </w:rPr>
        <w:t xml:space="preserve">While the initial issue of the </w:t>
      </w:r>
      <w:r>
        <w:rPr>
          <w:szCs w:val="26"/>
        </w:rPr>
        <w:t xml:space="preserve">public nature of the requested documents </w:t>
      </w:r>
      <w:r w:rsidRPr="000775B4">
        <w:rPr>
          <w:szCs w:val="26"/>
        </w:rPr>
        <w:t xml:space="preserve">has been resolved, we did not withdraw this Resolution. </w:t>
      </w:r>
      <w:r w:rsidRPr="007B4ECD">
        <w:rPr>
          <w:szCs w:val="26"/>
        </w:rPr>
        <w:t>SJWC has filed at least three signed confidentiality claims for the same class of documents over the past five years</w:t>
      </w:r>
      <w:r w:rsidRPr="000775B4">
        <w:rPr>
          <w:szCs w:val="26"/>
        </w:rPr>
        <w:t xml:space="preserve"> seeking confidential treatment </w:t>
      </w:r>
      <w:r>
        <w:rPr>
          <w:szCs w:val="26"/>
        </w:rPr>
        <w:t>while the documents</w:t>
      </w:r>
      <w:r w:rsidRPr="000775B4">
        <w:rPr>
          <w:szCs w:val="26"/>
        </w:rPr>
        <w:t xml:space="preserve"> were publicly available. Companies’ attorneys and officers that seek confidential treatment must do their own due diligence so that they do not seek confidential treatment for records that are in fact available to the public, whether in a broad or narrow forum</w:t>
      </w:r>
      <w:r w:rsidRPr="00C95A67">
        <w:rPr>
          <w:szCs w:val="26"/>
        </w:rPr>
        <w:t>. </w:t>
      </w:r>
      <w:r w:rsidRPr="00C95A67">
        <w:t xml:space="preserve"> </w:t>
      </w:r>
      <w:r>
        <w:t>Submitting</w:t>
      </w:r>
      <w:r w:rsidRPr="00C95A67">
        <w:t xml:space="preserve"> confidentiality claims without doing proper due diligence could be a violation of Rule 1.1 of the Commission’s Rules of Practice and Procedure, and also wastes Commission resources.</w:t>
      </w:r>
      <w:r>
        <w:t xml:space="preserve"> </w:t>
      </w:r>
      <w:r w:rsidRPr="00C95A67">
        <w:t>We will be reviewing SJWC’s confidentiality claims with heightened scrutiny going forward.</w:t>
      </w:r>
    </w:p>
    <w:p w:rsidR="003B68C3" w:rsidP="003B68C3" w:rsidRDefault="003B68C3" w14:paraId="7D103896" w14:textId="77777777">
      <w:pPr>
        <w:pStyle w:val="BodyText"/>
        <w:spacing w:after="0"/>
        <w:rPr>
          <w:szCs w:val="26"/>
        </w:rPr>
      </w:pPr>
    </w:p>
    <w:p w:rsidRPr="00EF58C0" w:rsidR="008923E1" w:rsidP="0007574B" w:rsidRDefault="00A728A8" w14:paraId="0F49D05B" w14:textId="53CFE5D0">
      <w:pPr>
        <w:pStyle w:val="BodyText"/>
        <w:spacing w:before="240" w:after="240"/>
        <w:rPr>
          <w:b/>
          <w:szCs w:val="26"/>
          <w:u w:val="single"/>
        </w:rPr>
      </w:pPr>
      <w:r w:rsidRPr="00EF58C0">
        <w:rPr>
          <w:b/>
          <w:szCs w:val="26"/>
          <w:u w:val="single"/>
        </w:rPr>
        <w:t xml:space="preserve">FINDINGS OF FACT </w:t>
      </w:r>
    </w:p>
    <w:p w:rsidRPr="00EF58C0" w:rsidR="00A728A8" w:rsidP="0007574B" w:rsidRDefault="00A728A8" w14:paraId="30BF8508" w14:textId="058483CC">
      <w:pPr>
        <w:pStyle w:val="BodyText"/>
        <w:numPr>
          <w:ilvl w:val="0"/>
          <w:numId w:val="1"/>
        </w:numPr>
        <w:tabs>
          <w:tab w:val="clear" w:pos="810"/>
        </w:tabs>
        <w:spacing w:after="240"/>
        <w:ind w:left="360"/>
        <w:rPr>
          <w:szCs w:val="26"/>
        </w:rPr>
      </w:pPr>
      <w:r w:rsidRPr="00EF58C0">
        <w:rPr>
          <w:szCs w:val="26"/>
        </w:rPr>
        <w:t>The Commission received a</w:t>
      </w:r>
      <w:r w:rsidRPr="00EF58C0" w:rsidR="00533F6C">
        <w:rPr>
          <w:szCs w:val="26"/>
        </w:rPr>
        <w:t xml:space="preserve"> public records</w:t>
      </w:r>
      <w:r w:rsidRPr="00EF58C0">
        <w:rPr>
          <w:szCs w:val="26"/>
        </w:rPr>
        <w:t xml:space="preserve"> request </w:t>
      </w:r>
      <w:r w:rsidRPr="00EF58C0" w:rsidR="00533F6C">
        <w:rPr>
          <w:szCs w:val="26"/>
        </w:rPr>
        <w:t>seeking</w:t>
      </w:r>
      <w:r w:rsidRPr="00EF58C0">
        <w:rPr>
          <w:szCs w:val="26"/>
        </w:rPr>
        <w:t xml:space="preserve"> disclosure of the Commission’s records concerning </w:t>
      </w:r>
      <w:r w:rsidRPr="00EF58C0" w:rsidR="00AD1BD4">
        <w:rPr>
          <w:szCs w:val="26"/>
        </w:rPr>
        <w:t>SJWC’s</w:t>
      </w:r>
      <w:r w:rsidRPr="00EF58C0">
        <w:rPr>
          <w:szCs w:val="26"/>
        </w:rPr>
        <w:t xml:space="preserve"> Audited Financial Statements for the Years Ending December 31, 2018, 2019, and 2020.</w:t>
      </w:r>
      <w:r w:rsidRPr="00EF58C0">
        <w:rPr>
          <w:b/>
          <w:szCs w:val="26"/>
        </w:rPr>
        <w:t xml:space="preserve"> </w:t>
      </w:r>
    </w:p>
    <w:p w:rsidRPr="00EF58C0" w:rsidR="00A728A8" w:rsidP="00AB1F2D" w:rsidRDefault="00AD1BD4" w14:paraId="3E5F4E9C" w14:textId="644F5B07">
      <w:pPr>
        <w:pStyle w:val="BodyText"/>
        <w:numPr>
          <w:ilvl w:val="0"/>
          <w:numId w:val="1"/>
        </w:numPr>
        <w:tabs>
          <w:tab w:val="clear" w:pos="810"/>
        </w:tabs>
        <w:spacing w:before="120" w:after="240"/>
        <w:ind w:left="360"/>
        <w:rPr>
          <w:szCs w:val="26"/>
        </w:rPr>
      </w:pPr>
      <w:r w:rsidRPr="00EF58C0">
        <w:rPr>
          <w:szCs w:val="26"/>
        </w:rPr>
        <w:t>SJWC</w:t>
      </w:r>
      <w:r w:rsidRPr="00EF58C0" w:rsidR="00A728A8">
        <w:rPr>
          <w:szCs w:val="26"/>
        </w:rPr>
        <w:t xml:space="preserve"> filed confidentiality statements for the entirety of their Audited Financial Statements for the Years Ending December 31, 2018, 2019, and 2020, consistent with General Order 66-D.</w:t>
      </w:r>
    </w:p>
    <w:p w:rsidRPr="00EF58C0" w:rsidR="000C27E2" w:rsidP="00AB1F2D" w:rsidRDefault="00A728A8" w14:paraId="449EDE0B" w14:textId="6D6552B3">
      <w:pPr>
        <w:pStyle w:val="BodyText"/>
        <w:numPr>
          <w:ilvl w:val="0"/>
          <w:numId w:val="1"/>
        </w:numPr>
        <w:tabs>
          <w:tab w:val="clear" w:pos="810"/>
        </w:tabs>
        <w:spacing w:before="120" w:after="240"/>
        <w:ind w:left="360"/>
        <w:rPr>
          <w:szCs w:val="26"/>
        </w:rPr>
      </w:pPr>
      <w:r w:rsidRPr="00EF58C0">
        <w:rPr>
          <w:szCs w:val="26"/>
        </w:rPr>
        <w:t xml:space="preserve">Access to the records was denied in the absence of a Commission order authorizing disclosure. </w:t>
      </w:r>
    </w:p>
    <w:p w:rsidRPr="00EF58C0" w:rsidR="000F18AD" w:rsidP="00AB1F2D" w:rsidRDefault="00533F6C" w14:paraId="0F98A344" w14:textId="5A46A589">
      <w:pPr>
        <w:pStyle w:val="BodyText"/>
        <w:numPr>
          <w:ilvl w:val="0"/>
          <w:numId w:val="1"/>
        </w:numPr>
        <w:tabs>
          <w:tab w:val="clear" w:pos="810"/>
        </w:tabs>
        <w:spacing w:before="120" w:after="240"/>
        <w:ind w:left="360"/>
        <w:rPr>
          <w:szCs w:val="26"/>
        </w:rPr>
      </w:pPr>
      <w:r w:rsidRPr="00EF58C0">
        <w:rPr>
          <w:szCs w:val="26"/>
        </w:rPr>
        <w:lastRenderedPageBreak/>
        <w:t xml:space="preserve">Upon review of their confidentiality claims, </w:t>
      </w:r>
      <w:r w:rsidRPr="00EF58C0" w:rsidR="001053D7">
        <w:rPr>
          <w:szCs w:val="26"/>
        </w:rPr>
        <w:t>the Commission</w:t>
      </w:r>
      <w:r w:rsidRPr="00EF58C0">
        <w:rPr>
          <w:szCs w:val="26"/>
        </w:rPr>
        <w:t xml:space="preserve"> finds SJWC did not establish a lawful basis for confidential treatment</w:t>
      </w:r>
      <w:r w:rsidRPr="00EF58C0" w:rsidR="00A728A8">
        <w:rPr>
          <w:szCs w:val="26"/>
        </w:rPr>
        <w:t>.</w:t>
      </w:r>
    </w:p>
    <w:p w:rsidRPr="00EF58C0" w:rsidR="00C1000A" w:rsidP="00AB1F2D" w:rsidRDefault="00C1000A" w14:paraId="27D41CFD" w14:textId="2B6CB056">
      <w:pPr>
        <w:pStyle w:val="BodyText"/>
        <w:numPr>
          <w:ilvl w:val="0"/>
          <w:numId w:val="1"/>
        </w:numPr>
        <w:tabs>
          <w:tab w:val="clear" w:pos="810"/>
        </w:tabs>
        <w:spacing w:before="120" w:after="240"/>
        <w:ind w:left="360"/>
        <w:rPr>
          <w:szCs w:val="26"/>
        </w:rPr>
      </w:pPr>
      <w:r w:rsidRPr="00EF58C0">
        <w:rPr>
          <w:szCs w:val="26"/>
        </w:rPr>
        <w:t xml:space="preserve"> Disclosure of S</w:t>
      </w:r>
      <w:r w:rsidRPr="00EF58C0" w:rsidR="00962371">
        <w:rPr>
          <w:szCs w:val="26"/>
        </w:rPr>
        <w:t>JW</w:t>
      </w:r>
      <w:r w:rsidRPr="00EF58C0" w:rsidR="002F5EB5">
        <w:rPr>
          <w:szCs w:val="26"/>
        </w:rPr>
        <w:t>C’s</w:t>
      </w:r>
      <w:r w:rsidRPr="00EF58C0">
        <w:rPr>
          <w:szCs w:val="26"/>
        </w:rPr>
        <w:t xml:space="preserve"> Audited Financial Statements for the Years Ending December 31, 2018, 2019, and 2020, is in the public interest.</w:t>
      </w:r>
    </w:p>
    <w:p w:rsidRPr="00EF58C0" w:rsidR="000F18AD" w:rsidP="00AB1F2D" w:rsidRDefault="00A728A8" w14:paraId="1734EBFA" w14:textId="3775056B">
      <w:pPr>
        <w:pStyle w:val="BodyText"/>
        <w:spacing w:before="120" w:after="240"/>
        <w:rPr>
          <w:b/>
          <w:szCs w:val="26"/>
          <w:u w:val="single"/>
        </w:rPr>
      </w:pPr>
      <w:r w:rsidRPr="00EF58C0">
        <w:rPr>
          <w:b/>
          <w:szCs w:val="26"/>
          <w:u w:val="single"/>
        </w:rPr>
        <w:t xml:space="preserve">CONCLUSIONS OF LAW </w:t>
      </w:r>
    </w:p>
    <w:p w:rsidRPr="00EF58C0" w:rsidR="00A728A8" w:rsidP="00AB1F2D" w:rsidRDefault="00A728A8" w14:paraId="2F5DC018" w14:textId="77777777">
      <w:pPr>
        <w:pStyle w:val="BodyText"/>
        <w:numPr>
          <w:ilvl w:val="0"/>
          <w:numId w:val="2"/>
        </w:numPr>
        <w:tabs>
          <w:tab w:val="clear" w:pos="720"/>
        </w:tabs>
        <w:spacing w:before="120" w:after="240"/>
        <w:ind w:left="360"/>
        <w:rPr>
          <w:szCs w:val="26"/>
        </w:rPr>
      </w:pPr>
      <w:r w:rsidRPr="00EF58C0">
        <w:rPr>
          <w:szCs w:val="26"/>
        </w:rPr>
        <w:t xml:space="preserve">The documents in the requested Commission’s investigation file and report are public records as defined by Cal. Gov’t. Code § 6250, </w:t>
      </w:r>
      <w:r w:rsidRPr="00EF58C0">
        <w:rPr>
          <w:i/>
          <w:szCs w:val="26"/>
        </w:rPr>
        <w:t>et seq</w:t>
      </w:r>
      <w:r w:rsidRPr="00EF58C0">
        <w:rPr>
          <w:szCs w:val="26"/>
        </w:rPr>
        <w:t xml:space="preserve">.  </w:t>
      </w:r>
    </w:p>
    <w:p w:rsidRPr="00EF58C0" w:rsidR="00C3204A" w:rsidP="00AB1F2D" w:rsidRDefault="00A728A8" w14:paraId="7B103ECF" w14:textId="74DCC062">
      <w:pPr>
        <w:pStyle w:val="BodyText"/>
        <w:numPr>
          <w:ilvl w:val="0"/>
          <w:numId w:val="2"/>
        </w:numPr>
        <w:tabs>
          <w:tab w:val="clear" w:pos="720"/>
        </w:tabs>
        <w:spacing w:before="120" w:after="240"/>
        <w:ind w:left="360"/>
        <w:rPr>
          <w:szCs w:val="26"/>
        </w:rPr>
      </w:pPr>
      <w:r w:rsidRPr="00EF58C0">
        <w:rPr>
          <w:szCs w:val="26"/>
        </w:rPr>
        <w:t xml:space="preserve">The California Constitution favors disclosure of governmental records by, among other things, stating that the people have the right of access to information concerning the conduct of the peoples’ business. </w:t>
      </w:r>
    </w:p>
    <w:p w:rsidRPr="00EF58C0" w:rsidR="00A728A8" w:rsidP="00AB1F2D" w:rsidRDefault="00C3204A" w14:paraId="3A9F37BA" w14:textId="6ECACB0E">
      <w:pPr>
        <w:pStyle w:val="BodyText"/>
        <w:numPr>
          <w:ilvl w:val="0"/>
          <w:numId w:val="2"/>
        </w:numPr>
        <w:tabs>
          <w:tab w:val="clear" w:pos="720"/>
        </w:tabs>
        <w:spacing w:before="120" w:after="240"/>
        <w:ind w:left="360"/>
        <w:rPr>
          <w:szCs w:val="26"/>
        </w:rPr>
      </w:pPr>
      <w:r w:rsidRPr="00EF58C0">
        <w:rPr>
          <w:szCs w:val="26"/>
        </w:rPr>
        <w:t>T</w:t>
      </w:r>
      <w:r w:rsidRPr="00EF58C0" w:rsidR="00A728A8">
        <w:rPr>
          <w:szCs w:val="26"/>
        </w:rPr>
        <w:t xml:space="preserve">he California Constitution requires that authority favoring disclosure be broadly construed, and that authority limiting disclosure be construed narrowly; and that any new statutes, court rules, or other authority limiting disclosure be supported by findings determining the interest served by keeping information from the public and the need to protect that interest. Cal. Const. Article I, §§ 3(b)(1) and (2). </w:t>
      </w:r>
    </w:p>
    <w:p w:rsidRPr="00EF58C0" w:rsidR="00A728A8" w:rsidP="00AB1F2D" w:rsidRDefault="00A728A8" w14:paraId="0929C0B4" w14:textId="467EA386">
      <w:pPr>
        <w:pStyle w:val="BodyText"/>
        <w:numPr>
          <w:ilvl w:val="0"/>
          <w:numId w:val="2"/>
        </w:numPr>
        <w:tabs>
          <w:tab w:val="clear" w:pos="720"/>
        </w:tabs>
        <w:spacing w:before="120" w:after="240"/>
        <w:ind w:left="360"/>
        <w:rPr>
          <w:szCs w:val="26"/>
        </w:rPr>
      </w:pPr>
      <w:r w:rsidRPr="00EF58C0">
        <w:rPr>
          <w:szCs w:val="26"/>
        </w:rPr>
        <w:t xml:space="preserve">The general policy of the CPRA favors disclosure of records. </w:t>
      </w:r>
    </w:p>
    <w:p w:rsidRPr="00EF58C0" w:rsidR="00A728A8" w:rsidP="00AB1F2D" w:rsidRDefault="00A728A8" w14:paraId="21D25C9C" w14:textId="0A676822">
      <w:pPr>
        <w:pStyle w:val="BodyText"/>
        <w:numPr>
          <w:ilvl w:val="0"/>
          <w:numId w:val="2"/>
        </w:numPr>
        <w:tabs>
          <w:tab w:val="clear" w:pos="720"/>
        </w:tabs>
        <w:spacing w:before="120" w:after="240"/>
        <w:ind w:left="360"/>
        <w:rPr>
          <w:szCs w:val="26"/>
        </w:rPr>
      </w:pPr>
      <w:r w:rsidRPr="00EF58C0">
        <w:rPr>
          <w:szCs w:val="26"/>
        </w:rPr>
        <w:t>Justification for withholding a public record in response to a CPRA request must be based on specific exemptions in the CPRA or upon a showing that, on the facts of a particular case, the public interest in nondisclosure clearly outweighs the public interest in disclosure. Cal. Gov’t. Code § 6255.</w:t>
      </w:r>
    </w:p>
    <w:p w:rsidRPr="00EF58C0" w:rsidR="000A44F2" w:rsidP="00AB1F2D" w:rsidRDefault="00A728A8" w14:paraId="0F750988" w14:textId="59625B0E">
      <w:pPr>
        <w:pStyle w:val="BodyText"/>
        <w:numPr>
          <w:ilvl w:val="0"/>
          <w:numId w:val="2"/>
        </w:numPr>
        <w:tabs>
          <w:tab w:val="clear" w:pos="720"/>
        </w:tabs>
        <w:spacing w:before="120" w:after="240"/>
        <w:ind w:left="360"/>
        <w:rPr>
          <w:szCs w:val="26"/>
        </w:rPr>
      </w:pPr>
      <w:r w:rsidRPr="00EF58C0">
        <w:rPr>
          <w:szCs w:val="26"/>
        </w:rPr>
        <w:t xml:space="preserve">Cal. Pub. Util. Code § 583 does not limit the Commission’s ability to order disclosure of records. </w:t>
      </w:r>
    </w:p>
    <w:p w:rsidRPr="00EF58C0" w:rsidR="00B413C6" w:rsidP="00AB1F2D" w:rsidRDefault="001B3596" w14:paraId="2D4C170E" w14:textId="49AE05D9">
      <w:pPr>
        <w:pStyle w:val="BodyText"/>
        <w:numPr>
          <w:ilvl w:val="0"/>
          <w:numId w:val="2"/>
        </w:numPr>
        <w:tabs>
          <w:tab w:val="clear" w:pos="720"/>
        </w:tabs>
        <w:spacing w:before="120" w:after="240"/>
        <w:ind w:left="360"/>
        <w:rPr>
          <w:szCs w:val="26"/>
        </w:rPr>
      </w:pPr>
      <w:bookmarkStart w:name="_Hlk90987278" w:id="18"/>
      <w:r w:rsidRPr="00EF58C0">
        <w:rPr>
          <w:szCs w:val="26"/>
        </w:rPr>
        <w:t xml:space="preserve">There </w:t>
      </w:r>
      <w:r w:rsidRPr="00EF58C0" w:rsidR="000B5194">
        <w:rPr>
          <w:szCs w:val="26"/>
        </w:rPr>
        <w:t xml:space="preserve">is no </w:t>
      </w:r>
      <w:r w:rsidRPr="00EF58C0" w:rsidR="00CF7625">
        <w:rPr>
          <w:szCs w:val="26"/>
        </w:rPr>
        <w:t>legal barrier to the Commission’s</w:t>
      </w:r>
      <w:r w:rsidRPr="00EF58C0" w:rsidR="00B115E8">
        <w:rPr>
          <w:szCs w:val="26"/>
        </w:rPr>
        <w:t xml:space="preserve"> disclosure of SJWC’s</w:t>
      </w:r>
      <w:r w:rsidRPr="00EF58C0" w:rsidR="00942483">
        <w:rPr>
          <w:szCs w:val="26"/>
        </w:rPr>
        <w:t xml:space="preserve"> Audited Financial Statements for the Years Ending December 31, 2018, 2019, and 2020, </w:t>
      </w:r>
      <w:r w:rsidRPr="00EF58C0" w:rsidR="00B115E8">
        <w:rPr>
          <w:szCs w:val="26"/>
        </w:rPr>
        <w:t xml:space="preserve">and disclosure </w:t>
      </w:r>
      <w:r w:rsidRPr="00EF58C0" w:rsidR="00942483">
        <w:rPr>
          <w:szCs w:val="26"/>
        </w:rPr>
        <w:t>is in the public</w:t>
      </w:r>
      <w:r w:rsidRPr="00EF58C0" w:rsidR="00C1000A">
        <w:rPr>
          <w:szCs w:val="26"/>
        </w:rPr>
        <w:t xml:space="preserve"> interest.</w:t>
      </w:r>
    </w:p>
    <w:bookmarkEnd w:id="18"/>
    <w:p w:rsidRPr="00EF58C0" w:rsidR="008923E1" w:rsidP="00AB1F2D" w:rsidRDefault="00A728A8" w14:paraId="5DF96788" w14:textId="484EA07C">
      <w:pPr>
        <w:pStyle w:val="BodyText"/>
        <w:spacing w:before="120" w:after="240"/>
        <w:rPr>
          <w:b/>
          <w:szCs w:val="26"/>
          <w:u w:val="single"/>
        </w:rPr>
      </w:pPr>
      <w:r w:rsidRPr="00EF58C0">
        <w:rPr>
          <w:b/>
          <w:szCs w:val="26"/>
          <w:u w:val="single"/>
        </w:rPr>
        <w:t>ORDER</w:t>
      </w:r>
    </w:p>
    <w:p w:rsidRPr="00EF58C0" w:rsidR="00A728A8" w:rsidP="00AB1F2D" w:rsidRDefault="00A728A8" w14:paraId="2355F2DF" w14:textId="15E608C9">
      <w:pPr>
        <w:pStyle w:val="BodyText"/>
        <w:numPr>
          <w:ilvl w:val="0"/>
          <w:numId w:val="3"/>
        </w:numPr>
        <w:tabs>
          <w:tab w:val="clear" w:pos="720"/>
        </w:tabs>
        <w:spacing w:before="120" w:after="240"/>
        <w:ind w:left="360"/>
        <w:rPr>
          <w:szCs w:val="26"/>
        </w:rPr>
      </w:pPr>
      <w:r w:rsidRPr="00EF58C0">
        <w:rPr>
          <w:szCs w:val="26"/>
        </w:rPr>
        <w:t xml:space="preserve">The request for disclosure of the Commission records concerning </w:t>
      </w:r>
      <w:bookmarkStart w:name="_Hlk90987228" w:id="19"/>
      <w:r w:rsidRPr="00EF58C0">
        <w:rPr>
          <w:szCs w:val="26"/>
        </w:rPr>
        <w:t>S</w:t>
      </w:r>
      <w:r w:rsidRPr="00EF58C0" w:rsidR="00B115E8">
        <w:rPr>
          <w:szCs w:val="26"/>
        </w:rPr>
        <w:t>JWC</w:t>
      </w:r>
      <w:r w:rsidRPr="00EF58C0">
        <w:rPr>
          <w:szCs w:val="26"/>
        </w:rPr>
        <w:t xml:space="preserve">’s Audited Financial Statements for the Years Ending December 31, 2018, 2019, and 2020, is </w:t>
      </w:r>
      <w:bookmarkEnd w:id="19"/>
      <w:r w:rsidRPr="00EF58C0">
        <w:rPr>
          <w:szCs w:val="26"/>
        </w:rPr>
        <w:t xml:space="preserve">granted. </w:t>
      </w:r>
    </w:p>
    <w:p w:rsidRPr="00EF58C0" w:rsidR="008923E1" w:rsidP="00AB1F2D" w:rsidRDefault="00A728A8" w14:paraId="2B766624" w14:textId="23D885F8">
      <w:pPr>
        <w:pStyle w:val="BodyText"/>
        <w:numPr>
          <w:ilvl w:val="0"/>
          <w:numId w:val="3"/>
        </w:numPr>
        <w:tabs>
          <w:tab w:val="clear" w:pos="720"/>
        </w:tabs>
        <w:spacing w:before="120" w:after="240"/>
        <w:ind w:left="360"/>
        <w:rPr>
          <w:szCs w:val="26"/>
        </w:rPr>
      </w:pPr>
      <w:r w:rsidRPr="00EF58C0">
        <w:rPr>
          <w:szCs w:val="26"/>
        </w:rPr>
        <w:t xml:space="preserve">The effective date of this order is today. </w:t>
      </w:r>
    </w:p>
    <w:p w:rsidRPr="00EF58C0" w:rsidR="00A728A8" w:rsidP="005B38FC" w:rsidRDefault="00A728A8" w14:paraId="14932869" w14:textId="3F4C6F26">
      <w:pPr>
        <w:pStyle w:val="BodyText"/>
        <w:spacing w:before="240" w:after="0"/>
        <w:rPr>
          <w:szCs w:val="26"/>
        </w:rPr>
      </w:pPr>
      <w:r w:rsidRPr="00EF58C0">
        <w:rPr>
          <w:szCs w:val="26"/>
        </w:rPr>
        <w:lastRenderedPageBreak/>
        <w:t xml:space="preserve">I certify that this Resolution was adopted by the California Public Utilities Commission at its regular meeting of </w:t>
      </w:r>
      <w:r w:rsidR="00D516D0">
        <w:rPr>
          <w:szCs w:val="26"/>
        </w:rPr>
        <w:t>February 24, 2022</w:t>
      </w:r>
      <w:r w:rsidR="00946D96">
        <w:rPr>
          <w:szCs w:val="26"/>
        </w:rPr>
        <w:t>,</w:t>
      </w:r>
      <w:r w:rsidR="00D516D0">
        <w:rPr>
          <w:szCs w:val="26"/>
        </w:rPr>
        <w:t xml:space="preserve"> </w:t>
      </w:r>
      <w:r w:rsidRPr="00EF58C0">
        <w:rPr>
          <w:szCs w:val="26"/>
        </w:rPr>
        <w:t>and that the following Commissioners approved it:</w:t>
      </w:r>
    </w:p>
    <w:p w:rsidRPr="00EF58C0" w:rsidR="00A728A8" w:rsidP="005B38FC" w:rsidRDefault="00A728A8" w14:paraId="7F3AFA0E" w14:textId="6B904C0F">
      <w:pPr>
        <w:pStyle w:val="BodyText"/>
        <w:spacing w:before="240" w:after="0"/>
        <w:rPr>
          <w:szCs w:val="26"/>
        </w:rPr>
      </w:pPr>
    </w:p>
    <w:bookmarkEnd w:id="17"/>
    <w:p w:rsidRPr="00EF58C0" w:rsidR="00235B65" w:rsidP="00235B65" w:rsidRDefault="00235B65" w14:paraId="627D127B" w14:textId="53247882">
      <w:pPr>
        <w:spacing w:after="0"/>
        <w:rPr>
          <w:sz w:val="26"/>
          <w:szCs w:val="26"/>
        </w:rPr>
      </w:pPr>
    </w:p>
    <w:p w:rsidRPr="00EF58C0" w:rsidR="00235B65" w:rsidP="00235B65" w:rsidRDefault="00235B65" w14:paraId="392FE8CC" w14:textId="77777777">
      <w:pPr>
        <w:spacing w:after="0"/>
        <w:rPr>
          <w:sz w:val="26"/>
          <w:szCs w:val="26"/>
        </w:rPr>
      </w:pPr>
    </w:p>
    <w:tbl>
      <w:tblPr>
        <w:tblW w:w="3780" w:type="dxa"/>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80"/>
      </w:tblGrid>
      <w:tr w:rsidRPr="00EF58C0" w:rsidR="00EF58C0" w:rsidTr="00BD7ACB" w14:paraId="525AF127" w14:textId="77777777">
        <w:tc>
          <w:tcPr>
            <w:tcW w:w="3780" w:type="dxa"/>
            <w:tcBorders>
              <w:top w:val="single" w:color="auto" w:sz="4" w:space="0"/>
              <w:left w:val="nil"/>
              <w:bottom w:val="nil"/>
              <w:right w:val="nil"/>
            </w:tcBorders>
            <w:shd w:val="clear" w:color="auto" w:fill="auto"/>
          </w:tcPr>
          <w:p w:rsidRPr="00EF58C0" w:rsidR="00235B65" w:rsidP="00235B65" w:rsidRDefault="00235B65" w14:paraId="733AE507" w14:textId="77777777">
            <w:pPr>
              <w:spacing w:after="0"/>
              <w:jc w:val="center"/>
              <w:rPr>
                <w:sz w:val="26"/>
                <w:szCs w:val="26"/>
              </w:rPr>
            </w:pPr>
            <w:r w:rsidRPr="00EF58C0">
              <w:rPr>
                <w:sz w:val="26"/>
                <w:szCs w:val="26"/>
              </w:rPr>
              <w:t xml:space="preserve">Rachel Peterson, </w:t>
            </w:r>
          </w:p>
          <w:p w:rsidRPr="00EF58C0" w:rsidR="00235B65" w:rsidP="00235B65" w:rsidRDefault="00235B65" w14:paraId="35713069" w14:textId="77777777">
            <w:pPr>
              <w:spacing w:after="0"/>
              <w:jc w:val="center"/>
              <w:rPr>
                <w:sz w:val="26"/>
                <w:szCs w:val="26"/>
              </w:rPr>
            </w:pPr>
            <w:r w:rsidRPr="00EF58C0">
              <w:rPr>
                <w:sz w:val="26"/>
                <w:szCs w:val="26"/>
              </w:rPr>
              <w:t>Executive Director</w:t>
            </w:r>
          </w:p>
        </w:tc>
      </w:tr>
    </w:tbl>
    <w:p w:rsidR="0086623C" w:rsidP="005B38FC" w:rsidRDefault="0086623C" w14:paraId="64D5E052" w14:textId="696B38AB">
      <w:pPr>
        <w:spacing w:before="240" w:after="0"/>
      </w:pPr>
    </w:p>
    <w:sectPr w:rsidR="0086623C" w:rsidSect="00B61296">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D79B" w14:textId="77777777" w:rsidR="004D3B85" w:rsidRDefault="004D3B85" w:rsidP="00ED5E15">
      <w:r>
        <w:separator/>
      </w:r>
    </w:p>
  </w:endnote>
  <w:endnote w:type="continuationSeparator" w:id="0">
    <w:p w14:paraId="7FA248C4" w14:textId="77777777" w:rsidR="004D3B85" w:rsidRDefault="004D3B85" w:rsidP="00ED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087B" w14:textId="77777777" w:rsidR="00546B76" w:rsidRDefault="00546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D83E76" w14:textId="77777777" w:rsidR="00546B76" w:rsidRDefault="00546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639E" w14:textId="77777777" w:rsidR="00546B76" w:rsidRDefault="00546B76">
    <w:pPr>
      <w:pStyle w:val="Footer"/>
      <w:framePr w:wrap="around" w:vAnchor="text" w:hAnchor="margin" w:xAlign="center" w:y="1"/>
      <w:rPr>
        <w:rStyle w:val="PageNumber"/>
        <w:sz w:val="26"/>
        <w:szCs w:val="22"/>
      </w:rPr>
    </w:pPr>
    <w:r>
      <w:rPr>
        <w:rStyle w:val="PageNumber"/>
        <w:sz w:val="26"/>
        <w:szCs w:val="22"/>
      </w:rPr>
      <w:fldChar w:fldCharType="begin"/>
    </w:r>
    <w:r>
      <w:rPr>
        <w:rStyle w:val="PageNumber"/>
        <w:sz w:val="26"/>
        <w:szCs w:val="22"/>
      </w:rPr>
      <w:instrText xml:space="preserve">PAGE  </w:instrText>
    </w:r>
    <w:r>
      <w:rPr>
        <w:rStyle w:val="PageNumber"/>
        <w:sz w:val="26"/>
        <w:szCs w:val="22"/>
      </w:rPr>
      <w:fldChar w:fldCharType="separate"/>
    </w:r>
    <w:r>
      <w:rPr>
        <w:rStyle w:val="PageNumber"/>
        <w:noProof/>
        <w:sz w:val="26"/>
        <w:szCs w:val="22"/>
      </w:rPr>
      <w:t>3</w:t>
    </w:r>
    <w:r>
      <w:rPr>
        <w:rStyle w:val="PageNumber"/>
        <w:sz w:val="26"/>
        <w:szCs w:val="22"/>
      </w:rPr>
      <w:fldChar w:fldCharType="end"/>
    </w:r>
  </w:p>
  <w:p w14:paraId="77798DD2" w14:textId="2576DD24" w:rsidR="00546B76" w:rsidRPr="00D2364C" w:rsidRDefault="00E72CAA" w:rsidP="00B321DC">
    <w:pPr>
      <w:pStyle w:val="Footer"/>
      <w:rPr>
        <w:sz w:val="18"/>
        <w:szCs w:val="18"/>
      </w:rPr>
    </w:pPr>
    <w:r w:rsidRPr="00E72CAA">
      <w:rPr>
        <w:sz w:val="18"/>
        <w:szCs w:val="18"/>
      </w:rPr>
      <w:t>452132281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D1ED" w14:textId="58445984" w:rsidR="00546B76" w:rsidRPr="00E56517" w:rsidRDefault="00257C90" w:rsidP="00B321DC">
    <w:pPr>
      <w:pStyle w:val="Footer"/>
      <w:rPr>
        <w:sz w:val="22"/>
        <w:szCs w:val="22"/>
      </w:rPr>
    </w:pPr>
    <w:r w:rsidRPr="00257C90">
      <w:t>452476989</w:t>
    </w:r>
    <w:r w:rsidR="00E56517">
      <w:tab/>
    </w:r>
    <w:r w:rsidR="00E56517" w:rsidRPr="00E56517">
      <w:rPr>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E421" w14:textId="77777777" w:rsidR="004D3B85" w:rsidRDefault="004D3B85" w:rsidP="00ED5E15">
      <w:r>
        <w:separator/>
      </w:r>
    </w:p>
  </w:footnote>
  <w:footnote w:type="continuationSeparator" w:id="0">
    <w:p w14:paraId="5CB8EFEE" w14:textId="77777777" w:rsidR="004D3B85" w:rsidRDefault="004D3B85" w:rsidP="00ED5E15">
      <w:r>
        <w:continuationSeparator/>
      </w:r>
    </w:p>
  </w:footnote>
  <w:footnote w:id="1">
    <w:p w14:paraId="1E00CB6F" w14:textId="64E2A6C3" w:rsidR="00546B76" w:rsidRPr="00250932" w:rsidRDefault="00546B76" w:rsidP="000A61B4">
      <w:pPr>
        <w:pStyle w:val="FootnoteText"/>
        <w:spacing w:line="240" w:lineRule="exact"/>
        <w:ind w:right="0"/>
        <w:rPr>
          <w:sz w:val="24"/>
          <w:szCs w:val="24"/>
        </w:rPr>
      </w:pPr>
      <w:r w:rsidRPr="00E108F0">
        <w:rPr>
          <w:rStyle w:val="FootnoteReference"/>
          <w:b/>
          <w:bCs/>
          <w:sz w:val="24"/>
          <w:szCs w:val="24"/>
          <w:u w:val="single"/>
        </w:rPr>
        <w:footnoteRef/>
      </w:r>
      <w:r>
        <w:rPr>
          <w:sz w:val="24"/>
          <w:szCs w:val="24"/>
        </w:rPr>
        <w:t xml:space="preserve"> </w:t>
      </w:r>
      <w:r w:rsidRPr="00250932">
        <w:rPr>
          <w:sz w:val="24"/>
          <w:szCs w:val="24"/>
        </w:rPr>
        <w:t>SJWC Response to Audited Financial Statements 2018 at p. 3; SJWC Response to Audited Financial Statements 2019 at p. 3; SJWC Response to Audited Financial Statements 2020 at p. 3.</w:t>
      </w:r>
    </w:p>
  </w:footnote>
  <w:footnote w:id="2">
    <w:p w14:paraId="150087B6" w14:textId="1E2A730A" w:rsidR="00546B76" w:rsidRPr="00250932" w:rsidRDefault="00546B76" w:rsidP="000A61B4">
      <w:pPr>
        <w:pStyle w:val="FootnoteText"/>
        <w:spacing w:line="240" w:lineRule="exact"/>
        <w:ind w:right="0"/>
        <w:rPr>
          <w:sz w:val="24"/>
          <w:szCs w:val="24"/>
        </w:rPr>
      </w:pPr>
      <w:r w:rsidRPr="00E108F0">
        <w:rPr>
          <w:rStyle w:val="FootnoteReference"/>
          <w:b/>
          <w:sz w:val="24"/>
          <w:szCs w:val="24"/>
          <w:u w:val="single"/>
        </w:rPr>
        <w:footnoteRef/>
      </w:r>
      <w:r>
        <w:rPr>
          <w:bCs/>
          <w:sz w:val="24"/>
          <w:szCs w:val="24"/>
        </w:rPr>
        <w:t xml:space="preserve"> </w:t>
      </w:r>
      <w:r w:rsidRPr="00250932">
        <w:rPr>
          <w:sz w:val="24"/>
          <w:szCs w:val="24"/>
        </w:rPr>
        <w:t xml:space="preserve">Cal. Gov’t. Code § 6250, </w:t>
      </w:r>
      <w:r w:rsidRPr="00250932">
        <w:rPr>
          <w:i/>
          <w:sz w:val="24"/>
          <w:szCs w:val="24"/>
        </w:rPr>
        <w:t>et seq</w:t>
      </w:r>
      <w:r w:rsidRPr="00250932">
        <w:rPr>
          <w:sz w:val="24"/>
          <w:szCs w:val="24"/>
        </w:rPr>
        <w:t>.</w:t>
      </w:r>
    </w:p>
  </w:footnote>
  <w:footnote w:id="3">
    <w:p w14:paraId="50631573" w14:textId="72BCEE8D" w:rsidR="00546B76" w:rsidRPr="00250932" w:rsidRDefault="00546B76" w:rsidP="000A61B4">
      <w:pPr>
        <w:pStyle w:val="FootnoteText"/>
        <w:spacing w:line="240" w:lineRule="exact"/>
        <w:ind w:right="0"/>
        <w:rPr>
          <w:sz w:val="24"/>
          <w:szCs w:val="24"/>
        </w:rPr>
      </w:pPr>
      <w:r w:rsidRPr="00E108F0">
        <w:rPr>
          <w:rStyle w:val="FootnoteReference"/>
          <w:b/>
          <w:sz w:val="24"/>
          <w:szCs w:val="24"/>
          <w:u w:val="single"/>
        </w:rPr>
        <w:footnoteRef/>
      </w:r>
      <w:r>
        <w:rPr>
          <w:rStyle w:val="FootnoteReference"/>
          <w:bCs/>
          <w:sz w:val="24"/>
          <w:szCs w:val="24"/>
          <w:vertAlign w:val="baseline"/>
        </w:rPr>
        <w:t xml:space="preserve"> </w:t>
      </w:r>
      <w:r w:rsidRPr="00250932">
        <w:rPr>
          <w:bCs/>
          <w:i/>
          <w:iCs/>
          <w:sz w:val="24"/>
          <w:szCs w:val="24"/>
        </w:rPr>
        <w:t>See, e.g.,</w:t>
      </w:r>
      <w:r w:rsidRPr="00250932">
        <w:rPr>
          <w:b/>
          <w:sz w:val="24"/>
          <w:szCs w:val="24"/>
        </w:rPr>
        <w:t xml:space="preserve"> </w:t>
      </w:r>
      <w:r w:rsidRPr="00250932">
        <w:rPr>
          <w:bCs/>
          <w:i/>
          <w:iCs/>
          <w:sz w:val="24"/>
          <w:szCs w:val="24"/>
        </w:rPr>
        <w:t>National Lawyers Guild, San Francisco Bay Area Chapter v. City of Hayward</w:t>
      </w:r>
      <w:r w:rsidRPr="00250932">
        <w:rPr>
          <w:bCs/>
          <w:sz w:val="24"/>
          <w:szCs w:val="24"/>
        </w:rPr>
        <w:t xml:space="preserve"> (2020) 9 Cal.5</w:t>
      </w:r>
      <w:r w:rsidRPr="00250932">
        <w:rPr>
          <w:bCs/>
          <w:sz w:val="24"/>
          <w:szCs w:val="24"/>
          <w:vertAlign w:val="superscript"/>
        </w:rPr>
        <w:t>th</w:t>
      </w:r>
      <w:r w:rsidRPr="00250932">
        <w:rPr>
          <w:bCs/>
          <w:sz w:val="24"/>
          <w:szCs w:val="24"/>
        </w:rPr>
        <w:t xml:space="preserve"> 488, 492: “</w:t>
      </w:r>
      <w:r w:rsidRPr="00250932">
        <w:rPr>
          <w:sz w:val="24"/>
          <w:szCs w:val="24"/>
        </w:rPr>
        <w:t xml:space="preserve">The California Public Records Act (PRA) establishes a right of public access to government records. “…the PRA was enacted for the purpose of increasing freedom of information by giving members of the public access to records in the possession of state and local agencies.” </w:t>
      </w:r>
      <w:r>
        <w:rPr>
          <w:sz w:val="24"/>
          <w:szCs w:val="24"/>
        </w:rPr>
        <w:t xml:space="preserve"> </w:t>
      </w:r>
      <w:r w:rsidRPr="00250932">
        <w:rPr>
          <w:sz w:val="24"/>
          <w:szCs w:val="24"/>
        </w:rPr>
        <w:t>(</w:t>
      </w:r>
      <w:hyperlink r:id="rId1" w:anchor="co_pp_sp_7052_290" w:history="1">
        <w:r w:rsidRPr="00250932">
          <w:rPr>
            <w:rStyle w:val="Hyperlink"/>
            <w:i/>
            <w:iCs/>
            <w:color w:val="auto"/>
            <w:sz w:val="24"/>
            <w:szCs w:val="24"/>
          </w:rPr>
          <w:t>Los Angeles County Bd. of Supervisors v. Superior Court</w:t>
        </w:r>
        <w:r w:rsidRPr="00250932">
          <w:rPr>
            <w:rStyle w:val="Hyperlink"/>
            <w:color w:val="auto"/>
            <w:sz w:val="24"/>
            <w:szCs w:val="24"/>
          </w:rPr>
          <w:t xml:space="preserve"> (2016) 2 Cal.5th 282, 290</w:t>
        </w:r>
      </w:hyperlink>
      <w:r w:rsidRPr="00250932">
        <w:rPr>
          <w:sz w:val="24"/>
          <w:szCs w:val="24"/>
        </w:rPr>
        <w:t>)</w:t>
      </w:r>
      <w:r>
        <w:rPr>
          <w:sz w:val="24"/>
          <w:szCs w:val="24"/>
        </w:rPr>
        <w:t xml:space="preserve">. </w:t>
      </w:r>
      <w:r w:rsidRPr="00250932">
        <w:rPr>
          <w:sz w:val="24"/>
          <w:szCs w:val="24"/>
        </w:rPr>
        <w:t xml:space="preserve"> In enacting the statute in 1968, the Legislature declared this right of access to be </w:t>
      </w:r>
      <w:r>
        <w:rPr>
          <w:sz w:val="24"/>
          <w:szCs w:val="24"/>
        </w:rPr>
        <w:br/>
      </w:r>
      <w:r w:rsidRPr="00250932">
        <w:rPr>
          <w:sz w:val="24"/>
          <w:szCs w:val="24"/>
        </w:rPr>
        <w:t>“a fundamental and necessary right of every person in this state” (</w:t>
      </w:r>
      <w:hyperlink r:id="rId2" w:history="1">
        <w:r w:rsidRPr="00250932">
          <w:rPr>
            <w:rStyle w:val="Hyperlink"/>
            <w:color w:val="auto"/>
            <w:sz w:val="24"/>
            <w:szCs w:val="24"/>
          </w:rPr>
          <w:t>Gov. Code, § 6250</w:t>
        </w:r>
      </w:hyperlink>
      <w:r w:rsidRPr="00250932">
        <w:rPr>
          <w:sz w:val="24"/>
          <w:szCs w:val="24"/>
        </w:rPr>
        <w:t>)—a declaration ratified by voters who amended the California Constitution in 2004 to secure a “right of access to information concerning the conduct of the people's business” (</w:t>
      </w:r>
      <w:hyperlink r:id="rId3" w:history="1">
        <w:r w:rsidRPr="00250932">
          <w:rPr>
            <w:rStyle w:val="Hyperlink"/>
            <w:color w:val="auto"/>
            <w:sz w:val="24"/>
            <w:szCs w:val="24"/>
          </w:rPr>
          <w:t>Cal. Const., art. I, § 3</w:t>
        </w:r>
      </w:hyperlink>
      <w:r w:rsidRPr="00250932">
        <w:rPr>
          <w:sz w:val="24"/>
          <w:szCs w:val="24"/>
        </w:rPr>
        <w:t xml:space="preserve">, subd. (b)(1). </w:t>
      </w:r>
      <w:r>
        <w:rPr>
          <w:sz w:val="24"/>
          <w:szCs w:val="24"/>
        </w:rPr>
        <w:t xml:space="preserve"> </w:t>
      </w:r>
      <w:r w:rsidRPr="00250932">
        <w:rPr>
          <w:sz w:val="24"/>
          <w:szCs w:val="24"/>
        </w:rPr>
        <w:t>(</w:t>
      </w:r>
      <w:r w:rsidRPr="004C72AA">
        <w:rPr>
          <w:i/>
          <w:iCs/>
          <w:sz w:val="24"/>
          <w:szCs w:val="24"/>
        </w:rPr>
        <w:t>See</w:t>
      </w:r>
      <w:r w:rsidRPr="00250932">
        <w:rPr>
          <w:sz w:val="24"/>
          <w:szCs w:val="24"/>
        </w:rPr>
        <w:t xml:space="preserve"> </w:t>
      </w:r>
      <w:hyperlink r:id="rId4" w:anchor="co_pp_sp_4645_290" w:history="1">
        <w:r w:rsidRPr="00250932">
          <w:rPr>
            <w:rStyle w:val="Hyperlink"/>
            <w:i/>
            <w:iCs/>
            <w:color w:val="auto"/>
            <w:sz w:val="24"/>
            <w:szCs w:val="24"/>
          </w:rPr>
          <w:t>Los Angeles County Bd. of Supervisors</w:t>
        </w:r>
        <w:r w:rsidRPr="00250932">
          <w:rPr>
            <w:rStyle w:val="Hyperlink"/>
            <w:color w:val="auto"/>
            <w:sz w:val="24"/>
            <w:szCs w:val="24"/>
          </w:rPr>
          <w:t>, at p. 290.</w:t>
        </w:r>
      </w:hyperlink>
      <w:r w:rsidRPr="00250932">
        <w:rPr>
          <w:sz w:val="24"/>
          <w:szCs w:val="24"/>
        </w:rPr>
        <w:t>)</w:t>
      </w:r>
      <w:r>
        <w:rPr>
          <w:sz w:val="24"/>
          <w:szCs w:val="24"/>
        </w:rPr>
        <w:t>;</w:t>
      </w:r>
      <w:r w:rsidRPr="00250932">
        <w:rPr>
          <w:sz w:val="24"/>
          <w:szCs w:val="24"/>
        </w:rPr>
        <w:t>” Sierra Club v. Superior Court (2013) 57 Cal.4</w:t>
      </w:r>
      <w:r w:rsidRPr="00250932">
        <w:rPr>
          <w:sz w:val="24"/>
          <w:szCs w:val="24"/>
          <w:vertAlign w:val="superscript"/>
        </w:rPr>
        <w:t>th</w:t>
      </w:r>
      <w:r w:rsidRPr="00250932">
        <w:rPr>
          <w:sz w:val="24"/>
          <w:szCs w:val="24"/>
        </w:rPr>
        <w:t xml:space="preserve"> 157, 166-167: “’Given the strong public policy of the people's right to information concerning the people's business (Gov. Code § 6250), and the constitutional mandate to construe statutes limiting the right of access narrowly (Cal. Const., art. I, § 3, subd. (b)(2)), ‘all public records are subject to disclosure unless the Legislature has </w:t>
      </w:r>
      <w:r w:rsidRPr="00250932">
        <w:rPr>
          <w:i/>
          <w:iCs/>
          <w:sz w:val="24"/>
          <w:szCs w:val="24"/>
        </w:rPr>
        <w:t>expressly</w:t>
      </w:r>
      <w:r w:rsidRPr="00250932">
        <w:rPr>
          <w:sz w:val="24"/>
          <w:szCs w:val="24"/>
        </w:rPr>
        <w:t> provided to the contrary.’” (</w:t>
      </w:r>
      <w:r w:rsidRPr="00250932">
        <w:rPr>
          <w:i/>
          <w:iCs/>
          <w:sz w:val="24"/>
          <w:szCs w:val="24"/>
        </w:rPr>
        <w:t>Office of Inspector General v. Superior Court</w:t>
      </w:r>
      <w:r w:rsidRPr="00250932">
        <w:rPr>
          <w:sz w:val="24"/>
          <w:szCs w:val="24"/>
        </w:rPr>
        <w:t xml:space="preserve"> (2010) 189. Cal.Ap.4</w:t>
      </w:r>
      <w:r w:rsidRPr="00250932">
        <w:rPr>
          <w:sz w:val="24"/>
          <w:szCs w:val="24"/>
          <w:vertAlign w:val="superscript"/>
        </w:rPr>
        <w:t>th</w:t>
      </w:r>
      <w:r w:rsidRPr="00250932">
        <w:rPr>
          <w:sz w:val="24"/>
          <w:szCs w:val="24"/>
        </w:rPr>
        <w:t xml:space="preserve"> 695, 709, quoting </w:t>
      </w:r>
      <w:r w:rsidRPr="00250932">
        <w:rPr>
          <w:i/>
          <w:iCs/>
          <w:sz w:val="24"/>
          <w:szCs w:val="24"/>
        </w:rPr>
        <w:t>Williams v. Superior Court</w:t>
      </w:r>
      <w:r w:rsidRPr="00250932">
        <w:rPr>
          <w:sz w:val="24"/>
          <w:szCs w:val="24"/>
        </w:rPr>
        <w:t xml:space="preserve"> (1993) 5 Cal.4</w:t>
      </w:r>
      <w:r w:rsidRPr="00250932">
        <w:rPr>
          <w:sz w:val="24"/>
          <w:szCs w:val="24"/>
          <w:vertAlign w:val="superscript"/>
        </w:rPr>
        <w:t>th</w:t>
      </w:r>
      <w:r w:rsidRPr="00250932">
        <w:rPr>
          <w:sz w:val="24"/>
          <w:szCs w:val="24"/>
        </w:rPr>
        <w:t xml:space="preserve"> 337, 346, italics added by the Court of Appeal</w:t>
      </w:r>
      <w:r>
        <w:rPr>
          <w:sz w:val="24"/>
          <w:szCs w:val="24"/>
        </w:rPr>
        <w:t>;</w:t>
      </w:r>
      <w:r w:rsidRPr="00250932">
        <w:rPr>
          <w:sz w:val="24"/>
          <w:szCs w:val="24"/>
        </w:rPr>
        <w:t xml:space="preserve">” </w:t>
      </w:r>
      <w:r w:rsidRPr="00250932">
        <w:rPr>
          <w:i/>
          <w:iCs/>
          <w:sz w:val="24"/>
          <w:szCs w:val="24"/>
        </w:rPr>
        <w:t>City of San Jose v. Superior Court</w:t>
      </w:r>
      <w:r w:rsidRPr="00250932">
        <w:rPr>
          <w:sz w:val="24"/>
          <w:szCs w:val="24"/>
        </w:rPr>
        <w:t xml:space="preserve"> (2017) 2 Cal.5</w:t>
      </w:r>
      <w:r w:rsidRPr="00250932">
        <w:rPr>
          <w:sz w:val="24"/>
          <w:szCs w:val="24"/>
          <w:vertAlign w:val="superscript"/>
        </w:rPr>
        <w:t>th</w:t>
      </w:r>
      <w:r w:rsidRPr="00250932">
        <w:rPr>
          <w:sz w:val="24"/>
          <w:szCs w:val="24"/>
        </w:rPr>
        <w:t xml:space="preserve"> 608, 617.</w:t>
      </w:r>
    </w:p>
  </w:footnote>
  <w:footnote w:id="4">
    <w:p w14:paraId="043ACFCC" w14:textId="2AB28B24" w:rsidR="00546B76" w:rsidRPr="00250932" w:rsidRDefault="00546B76" w:rsidP="000A61B4">
      <w:pPr>
        <w:pStyle w:val="BodyText"/>
        <w:spacing w:after="120" w:line="240" w:lineRule="exact"/>
        <w:rPr>
          <w:sz w:val="24"/>
          <w:szCs w:val="24"/>
        </w:rPr>
      </w:pPr>
      <w:r w:rsidRPr="00E108F0">
        <w:rPr>
          <w:rStyle w:val="FootnoteReference"/>
          <w:b/>
          <w:sz w:val="24"/>
          <w:szCs w:val="24"/>
          <w:u w:val="single"/>
        </w:rPr>
        <w:footnoteRef/>
      </w:r>
      <w:r w:rsidRPr="00250932">
        <w:rPr>
          <w:bCs/>
          <w:sz w:val="24"/>
          <w:szCs w:val="24"/>
        </w:rPr>
        <w:t xml:space="preserve"> Cal. Gov’t. Code § 6255(a). The fact that a record may fall within a CPRA exemption does not preclude its disclosure. </w:t>
      </w:r>
      <w:r w:rsidRPr="00250932">
        <w:rPr>
          <w:bCs/>
          <w:i/>
          <w:iCs/>
          <w:sz w:val="24"/>
          <w:szCs w:val="24"/>
        </w:rPr>
        <w:t xml:space="preserve">Modified Presiding Officer’s Decision Finding the San Francisco Municipal Transportation Agency in Contempt, in violation of Rule 1.1 of the Commission’s Rules of Practice and Procedures </w:t>
      </w:r>
      <w:r w:rsidRPr="00250932">
        <w:rPr>
          <w:bCs/>
          <w:sz w:val="24"/>
          <w:szCs w:val="24"/>
        </w:rPr>
        <w:t>(“SFMTA”) (2015) Decision (“D.”) 15-08-032, at 18: “CPRA exemptions are permissive rather than mandatory; they allow nondisclosure but do not prohibit disclosure.</w:t>
      </w:r>
      <w:r>
        <w:rPr>
          <w:bCs/>
          <w:sz w:val="24"/>
          <w:szCs w:val="24"/>
        </w:rPr>
        <w:t xml:space="preserve"> </w:t>
      </w:r>
      <w:r w:rsidRPr="00250932">
        <w:rPr>
          <w:bCs/>
          <w:sz w:val="24"/>
          <w:szCs w:val="24"/>
        </w:rPr>
        <w:t xml:space="preserve"> (</w:t>
      </w:r>
      <w:r w:rsidRPr="00250932">
        <w:rPr>
          <w:bCs/>
          <w:i/>
          <w:iCs/>
          <w:sz w:val="24"/>
          <w:szCs w:val="24"/>
        </w:rPr>
        <w:t xml:space="preserve">CBS, Inc. v. Block </w:t>
      </w:r>
      <w:r w:rsidRPr="00250932">
        <w:rPr>
          <w:bCs/>
          <w:sz w:val="24"/>
          <w:szCs w:val="24"/>
        </w:rPr>
        <w:t xml:space="preserve">(1986) 42 Cal.3d 646, 652; </w:t>
      </w:r>
      <w:r w:rsidRPr="00250932">
        <w:rPr>
          <w:bCs/>
          <w:i/>
          <w:iCs/>
          <w:sz w:val="24"/>
          <w:szCs w:val="24"/>
        </w:rPr>
        <w:t xml:space="preserve">Re San Diego Gas and Electric Company </w:t>
      </w:r>
      <w:r w:rsidRPr="00250932">
        <w:rPr>
          <w:bCs/>
          <w:sz w:val="24"/>
          <w:szCs w:val="24"/>
        </w:rPr>
        <w:t xml:space="preserve">(1993) D.93-05-020). [Footnote: 49 CPUC2d 241, at 242.]” </w:t>
      </w:r>
      <w:r>
        <w:rPr>
          <w:bCs/>
          <w:sz w:val="24"/>
          <w:szCs w:val="24"/>
        </w:rPr>
        <w:t xml:space="preserve"> </w:t>
      </w:r>
      <w:r w:rsidRPr="00250932">
        <w:rPr>
          <w:bCs/>
          <w:i/>
          <w:iCs/>
          <w:sz w:val="24"/>
          <w:szCs w:val="24"/>
        </w:rPr>
        <w:t>See also</w:t>
      </w:r>
      <w:r w:rsidRPr="00250932">
        <w:rPr>
          <w:bCs/>
          <w:sz w:val="24"/>
          <w:szCs w:val="24"/>
        </w:rPr>
        <w:t xml:space="preserve">, </w:t>
      </w:r>
      <w:r>
        <w:rPr>
          <w:bCs/>
          <w:sz w:val="24"/>
          <w:szCs w:val="24"/>
        </w:rPr>
        <w:br/>
      </w:r>
      <w:r w:rsidRPr="00250932">
        <w:rPr>
          <w:bCs/>
          <w:i/>
          <w:iCs/>
          <w:sz w:val="24"/>
          <w:szCs w:val="24"/>
        </w:rPr>
        <w:t xml:space="preserve">Marken v. Santa Monica-Malibu Unified School District </w:t>
      </w:r>
      <w:r w:rsidRPr="00250932">
        <w:rPr>
          <w:bCs/>
          <w:sz w:val="24"/>
          <w:szCs w:val="24"/>
        </w:rPr>
        <w:t xml:space="preserve">(2012) 202 Cal.App.4th 1250, </w:t>
      </w:r>
      <w:r>
        <w:rPr>
          <w:bCs/>
          <w:sz w:val="24"/>
          <w:szCs w:val="24"/>
        </w:rPr>
        <w:br/>
      </w:r>
      <w:r w:rsidRPr="00250932">
        <w:rPr>
          <w:bCs/>
          <w:sz w:val="24"/>
          <w:szCs w:val="24"/>
        </w:rPr>
        <w:t xml:space="preserve">1261-1262; </w:t>
      </w:r>
      <w:r w:rsidRPr="00250932">
        <w:rPr>
          <w:bCs/>
          <w:i/>
          <w:iCs/>
          <w:sz w:val="24"/>
          <w:szCs w:val="24"/>
        </w:rPr>
        <w:t xml:space="preserve">Register Div. of Freedom Newspapers, Inc. v. County of Orange </w:t>
      </w:r>
      <w:r w:rsidRPr="00250932">
        <w:rPr>
          <w:bCs/>
          <w:sz w:val="24"/>
          <w:szCs w:val="24"/>
        </w:rPr>
        <w:t xml:space="preserve">(1984) 158 Cal.App.3d 893, 905; </w:t>
      </w:r>
      <w:r w:rsidRPr="00250932">
        <w:rPr>
          <w:bCs/>
          <w:i/>
          <w:iCs/>
          <w:sz w:val="24"/>
          <w:szCs w:val="24"/>
        </w:rPr>
        <w:t xml:space="preserve">Black Panthers v. Kehoe </w:t>
      </w:r>
      <w:r w:rsidRPr="00250932">
        <w:rPr>
          <w:bCs/>
          <w:sz w:val="24"/>
          <w:szCs w:val="24"/>
        </w:rPr>
        <w:t xml:space="preserve">(1974) 42 Cal.App.3d 645, 656; Cal. Gov’t. Code § 6253(e): “Except as otherwise prohibited by law, a state or local agency may adopt requirements for itself that allow for faster, more efficient, or greater access to records than prescribed by the minimum standards set forth in this chapter.”; and the penultimate sentence in Cal. Gov’t. Code § 6254: “This section does not prevent any agency from opening its records concerning </w:t>
      </w:r>
      <w:r w:rsidRPr="00250932">
        <w:rPr>
          <w:sz w:val="24"/>
          <w:szCs w:val="24"/>
        </w:rPr>
        <w:t>the administration of the agency to public inspection, unless disclosure is otherwise prohibited by law.”</w:t>
      </w:r>
    </w:p>
  </w:footnote>
  <w:footnote w:id="5">
    <w:p w14:paraId="5F42719D" w14:textId="2ECD74D5" w:rsidR="00546B76" w:rsidRPr="00250932" w:rsidRDefault="00546B76" w:rsidP="000A61B4">
      <w:pPr>
        <w:pStyle w:val="FootnoteText"/>
        <w:spacing w:line="240" w:lineRule="exact"/>
        <w:ind w:right="0"/>
        <w:rPr>
          <w:sz w:val="24"/>
          <w:szCs w:val="24"/>
        </w:rPr>
      </w:pPr>
      <w:r w:rsidRPr="00E108F0">
        <w:rPr>
          <w:rStyle w:val="FootnoteReference"/>
          <w:b/>
          <w:bCs/>
          <w:sz w:val="24"/>
          <w:szCs w:val="24"/>
          <w:u w:val="single"/>
        </w:rPr>
        <w:footnoteRef/>
      </w:r>
      <w:r w:rsidRPr="00250932">
        <w:rPr>
          <w:sz w:val="24"/>
          <w:szCs w:val="24"/>
        </w:rPr>
        <w:t xml:space="preserve"> Cal. Evid. Code § 911 states that: “Except as otherwise provided by statute: … (b) No person has a privilege to refuse to disclose any matter or to refuse to produce any writing, … [and] (c) No person has a privilege that another shall not … disclose any matter or shall not produce any writing.” </w:t>
      </w:r>
      <w:r>
        <w:rPr>
          <w:sz w:val="24"/>
          <w:szCs w:val="24"/>
        </w:rPr>
        <w:t xml:space="preserve"> </w:t>
      </w:r>
      <w:r w:rsidRPr="00250932">
        <w:rPr>
          <w:sz w:val="24"/>
          <w:szCs w:val="24"/>
        </w:rPr>
        <w:t>Withholding information must generally be based upon a statutory prohibition, privilege, or similar protection against disclosure</w:t>
      </w:r>
      <w:r>
        <w:rPr>
          <w:sz w:val="24"/>
          <w:szCs w:val="24"/>
        </w:rPr>
        <w:t>.</w:t>
      </w:r>
    </w:p>
  </w:footnote>
  <w:footnote w:id="6">
    <w:p w14:paraId="130D9032" w14:textId="0F6D4F2F" w:rsidR="00546B76" w:rsidRPr="00250932" w:rsidRDefault="00546B76" w:rsidP="000A61B4">
      <w:pPr>
        <w:pStyle w:val="FootnoteText"/>
        <w:spacing w:line="240" w:lineRule="exact"/>
        <w:ind w:right="0"/>
        <w:rPr>
          <w:sz w:val="24"/>
          <w:szCs w:val="24"/>
        </w:rPr>
      </w:pPr>
      <w:r w:rsidRPr="00E108F0">
        <w:rPr>
          <w:rStyle w:val="FootnoteReference"/>
          <w:b/>
          <w:sz w:val="24"/>
          <w:szCs w:val="24"/>
          <w:u w:val="single"/>
        </w:rPr>
        <w:footnoteRef/>
      </w:r>
      <w:r w:rsidRPr="00250932">
        <w:rPr>
          <w:sz w:val="24"/>
          <w:szCs w:val="24"/>
        </w:rPr>
        <w:t xml:space="preserve"> Cal. Const. Article I, § 3(b)(2).</w:t>
      </w:r>
    </w:p>
  </w:footnote>
  <w:footnote w:id="7">
    <w:p w14:paraId="0A6180D2" w14:textId="2D10421B" w:rsidR="00546B76" w:rsidRPr="00250932" w:rsidRDefault="00546B76" w:rsidP="000A61B4">
      <w:pPr>
        <w:pStyle w:val="FootnoteText"/>
        <w:spacing w:line="240" w:lineRule="exact"/>
        <w:ind w:right="0"/>
        <w:rPr>
          <w:i/>
          <w:sz w:val="24"/>
          <w:szCs w:val="24"/>
        </w:rPr>
      </w:pPr>
      <w:r w:rsidRPr="00E108F0">
        <w:rPr>
          <w:rStyle w:val="FootnoteReference"/>
          <w:b/>
          <w:sz w:val="24"/>
          <w:szCs w:val="24"/>
          <w:u w:val="single"/>
        </w:rPr>
        <w:footnoteRef/>
      </w:r>
      <w:r>
        <w:rPr>
          <w:rStyle w:val="FootnoteReference"/>
          <w:bCs/>
          <w:sz w:val="24"/>
          <w:szCs w:val="24"/>
          <w:vertAlign w:val="baseline"/>
        </w:rPr>
        <w:t xml:space="preserve"> </w:t>
      </w:r>
      <w:r w:rsidRPr="00250932">
        <w:rPr>
          <w:i/>
          <w:sz w:val="24"/>
          <w:szCs w:val="24"/>
        </w:rPr>
        <w:t>Id.</w:t>
      </w:r>
    </w:p>
  </w:footnote>
  <w:footnote w:id="8">
    <w:p w14:paraId="5997A3AC" w14:textId="77777777" w:rsidR="00546B76" w:rsidRPr="00250932" w:rsidRDefault="00546B76" w:rsidP="000A61B4">
      <w:pPr>
        <w:pStyle w:val="FootnoteText"/>
        <w:spacing w:line="240" w:lineRule="exact"/>
        <w:ind w:right="0"/>
        <w:rPr>
          <w:sz w:val="24"/>
          <w:szCs w:val="24"/>
        </w:rPr>
      </w:pPr>
      <w:r w:rsidRPr="00E108F0">
        <w:rPr>
          <w:rStyle w:val="FootnoteReference"/>
          <w:b/>
          <w:bCs/>
          <w:sz w:val="24"/>
          <w:szCs w:val="24"/>
          <w:u w:val="single"/>
        </w:rPr>
        <w:footnoteRef/>
      </w:r>
      <w:r w:rsidRPr="00250932">
        <w:rPr>
          <w:sz w:val="24"/>
          <w:szCs w:val="24"/>
        </w:rPr>
        <w:t xml:space="preserve"> Cal. Gov. Code § 6253.4.</w:t>
      </w:r>
    </w:p>
  </w:footnote>
  <w:footnote w:id="9">
    <w:p w14:paraId="3FE6E727" w14:textId="201902A8" w:rsidR="0088672A" w:rsidRPr="00F57DF9" w:rsidRDefault="00546B76" w:rsidP="000A61B4">
      <w:pPr>
        <w:pStyle w:val="FootnoteText"/>
        <w:spacing w:line="240" w:lineRule="exact"/>
        <w:ind w:right="0"/>
        <w:rPr>
          <w:sz w:val="22"/>
          <w:szCs w:val="22"/>
        </w:rPr>
      </w:pPr>
      <w:r w:rsidRPr="00C6392E">
        <w:rPr>
          <w:rStyle w:val="FootnoteReference"/>
          <w:b/>
          <w:bCs/>
          <w:sz w:val="24"/>
          <w:szCs w:val="24"/>
          <w:u w:val="single"/>
        </w:rPr>
        <w:footnoteRef/>
      </w:r>
      <w:bookmarkStart w:id="2" w:name="_Hlk91494231"/>
      <w:r w:rsidR="00E56517">
        <w:rPr>
          <w:sz w:val="22"/>
          <w:szCs w:val="22"/>
          <w:u w:val="single"/>
        </w:rPr>
        <w:t xml:space="preserve"> </w:t>
      </w:r>
      <w:r w:rsidR="0088672A" w:rsidRPr="00DD5E97">
        <w:rPr>
          <w:sz w:val="22"/>
          <w:szCs w:val="22"/>
          <w:u w:val="single"/>
        </w:rPr>
        <w:t>September 18, 2019 Letter to Class A Water Utilities</w:t>
      </w:r>
      <w:r w:rsidR="00C6392E" w:rsidRPr="00DD5E97">
        <w:rPr>
          <w:sz w:val="22"/>
          <w:szCs w:val="22"/>
          <w:u w:val="single"/>
        </w:rPr>
        <w:t>, available at:</w:t>
      </w:r>
      <w:r w:rsidR="00DD5E97" w:rsidRPr="00DD5E97">
        <w:rPr>
          <w:sz w:val="22"/>
          <w:szCs w:val="22"/>
          <w:u w:val="single"/>
        </w:rPr>
        <w:t xml:space="preserve"> </w:t>
      </w:r>
      <w:hyperlink r:id="rId5" w:history="1">
        <w:r w:rsidR="00DD5E97" w:rsidRPr="007A2693">
          <w:rPr>
            <w:rStyle w:val="Hyperlink"/>
            <w:sz w:val="22"/>
            <w:szCs w:val="22"/>
          </w:rPr>
          <w:t>https://www.cpuc.ca.gov/-/media/cpuc-website/divisions/water-division/reports/water-division-letter-to-class-a-water-utilities-regarding-audited-financial-statements-and-10k-repo.pdf</w:t>
        </w:r>
      </w:hyperlink>
    </w:p>
    <w:bookmarkEnd w:id="2"/>
  </w:footnote>
  <w:footnote w:id="10">
    <w:p w14:paraId="30FCCBE3" w14:textId="77777777" w:rsidR="00546B76" w:rsidRPr="00250932" w:rsidRDefault="00546B76" w:rsidP="000A61B4">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Class A water utilities are water utilities with 10,000 or more customers. </w:t>
      </w:r>
    </w:p>
  </w:footnote>
  <w:footnote w:id="11">
    <w:p w14:paraId="5B1164C6" w14:textId="77777777" w:rsidR="00546B76" w:rsidRPr="00250932" w:rsidRDefault="00546B76" w:rsidP="000A61B4">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SJWC Response to Audited Financial Statements 2018 at p. 3; SJWC Response to Audited Financial Statements 2019 at p. 3; SJWC Response to Audited Financial Statements 2020 at p. 3.</w:t>
      </w:r>
    </w:p>
  </w:footnote>
  <w:footnote w:id="12">
    <w:p w14:paraId="4553EA2E" w14:textId="77777777" w:rsidR="00546B76" w:rsidRPr="00250932" w:rsidRDefault="00546B76" w:rsidP="000A61B4">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2018, 2019, and 2020 SJW Response to Request for Audited Financial Statements and 10-K Reports.</w:t>
      </w:r>
    </w:p>
  </w:footnote>
  <w:footnote w:id="13">
    <w:p w14:paraId="5BE2D66A" w14:textId="77777777" w:rsidR="00546B76" w:rsidRPr="00250932" w:rsidRDefault="00546B76" w:rsidP="000A61B4">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General Order 66-D § 3.2.</w:t>
      </w:r>
    </w:p>
  </w:footnote>
  <w:footnote w:id="14">
    <w:p w14:paraId="28488D61" w14:textId="77777777" w:rsidR="00546B76" w:rsidRPr="00250932" w:rsidRDefault="00546B76" w:rsidP="000A61B4">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w:t>
      </w:r>
      <w:r w:rsidRPr="00250932">
        <w:rPr>
          <w:i/>
          <w:iCs/>
          <w:sz w:val="24"/>
          <w:szCs w:val="24"/>
        </w:rPr>
        <w:t>Id.</w:t>
      </w:r>
    </w:p>
  </w:footnote>
  <w:footnote w:id="15">
    <w:p w14:paraId="0332F4AC" w14:textId="2E885CD4" w:rsidR="0088672A" w:rsidRPr="004B30BC" w:rsidRDefault="00546B76" w:rsidP="000A61B4">
      <w:pPr>
        <w:pStyle w:val="FootnoteText"/>
        <w:spacing w:line="240" w:lineRule="exact"/>
        <w:ind w:right="0"/>
        <w:rPr>
          <w:color w:val="0000FF"/>
          <w:sz w:val="24"/>
          <w:szCs w:val="24"/>
        </w:rPr>
      </w:pPr>
      <w:r w:rsidRPr="00AA6A03">
        <w:rPr>
          <w:rStyle w:val="FootnoteReference"/>
          <w:b/>
          <w:bCs/>
          <w:sz w:val="24"/>
          <w:szCs w:val="24"/>
          <w:u w:val="single"/>
        </w:rPr>
        <w:footnoteRef/>
      </w:r>
      <w:r>
        <w:rPr>
          <w:sz w:val="24"/>
          <w:szCs w:val="24"/>
        </w:rPr>
        <w:t xml:space="preserve"> </w:t>
      </w:r>
      <w:r w:rsidRPr="00250932">
        <w:rPr>
          <w:sz w:val="24"/>
          <w:szCs w:val="24"/>
        </w:rPr>
        <w:t xml:space="preserve">September 18, 2019 Letter to Class A Water Utilities, available at: </w:t>
      </w:r>
      <w:hyperlink r:id="rId6" w:history="1">
        <w:r w:rsidR="00DD5E97" w:rsidRPr="007A2693">
          <w:rPr>
            <w:rStyle w:val="Hyperlink"/>
            <w:sz w:val="24"/>
            <w:szCs w:val="24"/>
          </w:rPr>
          <w:t>https://www.cpuc.ca.gov/-/media/cpuc-website/divisions/water-division/reports/water-division-letter-to-class-a-water-utilities-regarding-audited-financial-statements-and-10k-repo.pdf</w:t>
        </w:r>
      </w:hyperlink>
    </w:p>
  </w:footnote>
  <w:footnote w:id="16">
    <w:p w14:paraId="685461FB" w14:textId="77777777" w:rsidR="00546B76" w:rsidRPr="00250932" w:rsidRDefault="00546B76" w:rsidP="000A61B4">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Class A water utilities are water utilities with 10,000 or more customers. </w:t>
      </w:r>
    </w:p>
  </w:footnote>
  <w:footnote w:id="17">
    <w:p w14:paraId="083FBAD9" w14:textId="480D8D9A" w:rsidR="00546B76" w:rsidRPr="00250932" w:rsidRDefault="00546B76" w:rsidP="000A61B4">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September 18, 2019 Letter to Class A Water Utilities at p. 1.</w:t>
      </w:r>
    </w:p>
  </w:footnote>
  <w:footnote w:id="18">
    <w:p w14:paraId="0FEFC717" w14:textId="77777777" w:rsidR="00546B76" w:rsidRPr="00250932" w:rsidRDefault="00546B76" w:rsidP="000A61B4">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September 18, 2019 Letter to Class A Water Utilities at p. 2.</w:t>
      </w:r>
    </w:p>
  </w:footnote>
  <w:footnote w:id="19">
    <w:p w14:paraId="66FD0105" w14:textId="439924F9" w:rsidR="00546B76" w:rsidRPr="00250932" w:rsidRDefault="00546B76" w:rsidP="000A61B4">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G.O. 66-D § 3.2(b): “A citation or general marking of confidentiality, such as “GO-66” and/or “Public Utilities Code Section 583” without additional justification of confidentiality does not satisfy the information submitter’s burden to establish a basis for confidential treatment</w:t>
      </w:r>
      <w:r>
        <w:rPr>
          <w:sz w:val="24"/>
          <w:szCs w:val="24"/>
        </w:rPr>
        <w:t>.</w:t>
      </w:r>
      <w:r w:rsidRPr="00250932">
        <w:rPr>
          <w:sz w:val="24"/>
          <w:szCs w:val="24"/>
        </w:rPr>
        <w:t>”</w:t>
      </w:r>
    </w:p>
  </w:footnote>
  <w:footnote w:id="20">
    <w:p w14:paraId="3FD09EAE" w14:textId="74F4B13A" w:rsidR="00546B76" w:rsidRPr="00250932" w:rsidRDefault="00546B76" w:rsidP="000A61B4">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Cal. Const. Art. 1, Sec. (b)(2) states that: “A statute, court rule, or other authority, including those in effect on the effective date of this subdivision, shall be broadly construed if it furthers the people’s right of access, and narrowly construed if it limits the right of access…”</w:t>
      </w:r>
    </w:p>
  </w:footnote>
  <w:footnote w:id="21">
    <w:p w14:paraId="4C19FB14" w14:textId="26CB4B2C" w:rsidR="00546B76" w:rsidRPr="00250932" w:rsidRDefault="00546B76" w:rsidP="000A61B4">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w:t>
      </w:r>
      <w:r w:rsidRPr="00250932">
        <w:rPr>
          <w:i/>
          <w:iCs/>
          <w:sz w:val="24"/>
          <w:szCs w:val="24"/>
        </w:rPr>
        <w:t>See</w:t>
      </w:r>
      <w:r w:rsidRPr="00250932">
        <w:rPr>
          <w:sz w:val="24"/>
          <w:szCs w:val="24"/>
        </w:rPr>
        <w:t xml:space="preserve"> the legislative history of AB 1158, reflected in the Legislative Counsel Digest and Senate and Assembly Committee Analyses of the bill, stating: [AB 1158, 1995 Stats. Ch. 732: Legislative Counsel’s Digest; 08/31.95 Assembly Floor Analysis; 07/28/95 Senate Floor Analysis; 07/15/95 Senate Floor Analysis; 07/10/95 Senate Judiciary Committee Analysis; 05/25/95 Assembly Floor Analysis; 04/28/95 Assembly Committee Analysis.]</w:t>
      </w:r>
    </w:p>
  </w:footnote>
  <w:footnote w:id="22">
    <w:p w14:paraId="0EEA910D" w14:textId="2B556009" w:rsidR="00546B76" w:rsidRPr="00250932" w:rsidRDefault="00546B76" w:rsidP="000A61B4">
      <w:pPr>
        <w:pStyle w:val="BodyText"/>
        <w:spacing w:after="120" w:line="240" w:lineRule="exact"/>
        <w:rPr>
          <w:sz w:val="24"/>
          <w:szCs w:val="24"/>
        </w:rPr>
      </w:pPr>
      <w:r w:rsidRPr="00AA6A03">
        <w:rPr>
          <w:rStyle w:val="FootnoteReference"/>
          <w:b/>
          <w:bCs/>
          <w:sz w:val="24"/>
          <w:szCs w:val="24"/>
          <w:u w:val="single"/>
        </w:rPr>
        <w:footnoteRef/>
      </w:r>
      <w:r w:rsidRPr="00250932">
        <w:rPr>
          <w:sz w:val="24"/>
          <w:szCs w:val="24"/>
        </w:rPr>
        <w:t xml:space="preserve"> </w:t>
      </w:r>
      <w:r w:rsidRPr="00250932">
        <w:rPr>
          <w:i/>
          <w:iCs/>
          <w:sz w:val="24"/>
          <w:szCs w:val="24"/>
        </w:rPr>
        <w:t>See also</w:t>
      </w:r>
      <w:r w:rsidRPr="00250932">
        <w:rPr>
          <w:sz w:val="24"/>
          <w:szCs w:val="24"/>
        </w:rPr>
        <w:t xml:space="preserve"> Administrative Law, Ch. 29-F, The Rutter Group, December 2020 Update, p. 63: (8) [29.685]</w:t>
      </w:r>
      <w:r>
        <w:rPr>
          <w:sz w:val="24"/>
          <w:szCs w:val="24"/>
        </w:rPr>
        <w:t>.</w:t>
      </w:r>
      <w:r w:rsidRPr="00250932">
        <w:rPr>
          <w:sz w:val="24"/>
          <w:szCs w:val="24"/>
        </w:rPr>
        <w:t xml:space="preserve"> </w:t>
      </w:r>
      <w:r>
        <w:rPr>
          <w:sz w:val="24"/>
          <w:szCs w:val="24"/>
        </w:rPr>
        <w:t xml:space="preserve"> </w:t>
      </w:r>
      <w:r w:rsidRPr="00250932">
        <w:rPr>
          <w:sz w:val="24"/>
          <w:szCs w:val="24"/>
        </w:rPr>
        <w:t>“This provision is intended to encourage businesses to start or expand businesses in California by permitting them to apply for tax or other incentives without fear that the sensitive business information they submit will be made public.”</w:t>
      </w:r>
    </w:p>
  </w:footnote>
  <w:footnote w:id="23">
    <w:p w14:paraId="09D57202" w14:textId="62463C13" w:rsidR="00546B76" w:rsidRPr="00250932" w:rsidRDefault="00546B76" w:rsidP="000A61B4">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D.20-12-021 at p. 35.</w:t>
      </w:r>
    </w:p>
  </w:footnote>
  <w:footnote w:id="24">
    <w:p w14:paraId="5CEE0FE1" w14:textId="77777777" w:rsidR="00546B76" w:rsidRPr="00250932" w:rsidRDefault="00546B76" w:rsidP="000A61B4">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SJWC Response to Audited Financial Statements 2018 at p. 3; SJWC Response to Audited Financial Statements 2019 at p. 3; SJWC Response to Audited Financial Statements 2020 at p. 3.</w:t>
      </w:r>
    </w:p>
  </w:footnote>
  <w:footnote w:id="25">
    <w:p w14:paraId="2117BD1A" w14:textId="039C2B4C" w:rsidR="00546B76" w:rsidRPr="00250932" w:rsidRDefault="00546B76" w:rsidP="000A61B4">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D.20-12-021 at </w:t>
      </w:r>
      <w:r>
        <w:rPr>
          <w:sz w:val="24"/>
          <w:szCs w:val="24"/>
        </w:rPr>
        <w:t xml:space="preserve">p. </w:t>
      </w:r>
      <w:r w:rsidRPr="00250932">
        <w:rPr>
          <w:sz w:val="24"/>
          <w:szCs w:val="24"/>
        </w:rPr>
        <w:t>35.</w:t>
      </w:r>
    </w:p>
  </w:footnote>
  <w:footnote w:id="26">
    <w:p w14:paraId="533EAD91" w14:textId="757F4E8E" w:rsidR="00546B76" w:rsidRPr="00250932" w:rsidRDefault="00546B76" w:rsidP="000A61B4">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The trade secret privilege is conditional, rather than absolute, since by its own terms it may not be asserted if its assertion would tend to conceal fraud or otherwise work injustice.</w:t>
      </w:r>
      <w:r>
        <w:rPr>
          <w:sz w:val="24"/>
          <w:szCs w:val="24"/>
        </w:rPr>
        <w:t xml:space="preserve"> </w:t>
      </w:r>
      <w:r w:rsidRPr="00250932">
        <w:rPr>
          <w:sz w:val="24"/>
          <w:szCs w:val="24"/>
        </w:rPr>
        <w:t xml:space="preserve"> A public interest in specific information may counter an effort to assert the trade secret privilege, where denial of access to information could be considered to “otherwise work injustice.” </w:t>
      </w:r>
      <w:r>
        <w:rPr>
          <w:sz w:val="24"/>
          <w:szCs w:val="24"/>
        </w:rPr>
        <w:t xml:space="preserve"> </w:t>
      </w:r>
      <w:r w:rsidRPr="003D5589">
        <w:rPr>
          <w:i/>
          <w:iCs/>
          <w:sz w:val="24"/>
          <w:szCs w:val="24"/>
        </w:rPr>
        <w:t>See</w:t>
      </w:r>
      <w:r w:rsidRPr="00250932">
        <w:rPr>
          <w:sz w:val="24"/>
          <w:szCs w:val="24"/>
        </w:rPr>
        <w:t>., e.g., D.20-12-021, at p. 19; Uribe v. Howie, 19 Cal. App. 3d 206, 199-215.</w:t>
      </w:r>
    </w:p>
  </w:footnote>
  <w:footnote w:id="27">
    <w:p w14:paraId="4596736B" w14:textId="41F6AFE4" w:rsidR="00546B76" w:rsidRPr="00250932" w:rsidRDefault="00546B76" w:rsidP="000A61B4">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Cal. Evid. Code § 1061 primarily address the trade secret privilege in the context of criminal proceedings, it’s main relevance here is its references to trade secret definitions in the Civil and Penal Codes.</w:t>
      </w:r>
    </w:p>
  </w:footnote>
  <w:footnote w:id="28">
    <w:p w14:paraId="3523B968" w14:textId="72155DCC" w:rsidR="00546B76" w:rsidRPr="00250932" w:rsidRDefault="00546B76" w:rsidP="000A61B4">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Penal Code § 499c(a)(9): “Trade secret’ means information, including a formula, pattern, compilation, program, device, method, technique, or process, that: (A) Derives independent economic value, actual or potential, from not being generally known to the public or to other persons who can obtain economic value from its disclosure or use; and (B) Is the subject of efforts that are reasonable under the circumstances to maintain its secrecy.”</w:t>
      </w:r>
      <w:r>
        <w:rPr>
          <w:sz w:val="24"/>
          <w:szCs w:val="24"/>
        </w:rPr>
        <w:t xml:space="preserve"> </w:t>
      </w:r>
      <w:r w:rsidRPr="00250932">
        <w:rPr>
          <w:sz w:val="24"/>
          <w:szCs w:val="24"/>
        </w:rPr>
        <w:t xml:space="preserve"> This definition is similar to the Cal. Civ. Code § 3426.1(d) definition of a trade secret and is set forth in Penal Code provisions describing the theft of trade secrets; we need not discuss this definition separately.</w:t>
      </w:r>
    </w:p>
  </w:footnote>
  <w:footnote w:id="29">
    <w:p w14:paraId="6CD993E0" w14:textId="1EB3EA6B" w:rsidR="00546B76" w:rsidRPr="00250932" w:rsidRDefault="00546B76" w:rsidP="000A61B4">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Cal. Evid. Code § 500: “Except as otherwise provided by law, a party has the burden of proof as to each fact the existence or nonexistence of which is essential to the claim for relief or defense that he is asserting.” </w:t>
      </w:r>
      <w:r>
        <w:rPr>
          <w:sz w:val="24"/>
          <w:szCs w:val="24"/>
        </w:rPr>
        <w:t xml:space="preserve"> </w:t>
      </w:r>
      <w:r w:rsidRPr="00250932">
        <w:rPr>
          <w:i/>
          <w:iCs/>
          <w:sz w:val="24"/>
          <w:szCs w:val="24"/>
        </w:rPr>
        <w:t xml:space="preserve">See </w:t>
      </w:r>
      <w:r w:rsidRPr="00250932">
        <w:rPr>
          <w:sz w:val="24"/>
          <w:szCs w:val="24"/>
        </w:rPr>
        <w:t xml:space="preserve">also, Cal. Evid. Code § 405; </w:t>
      </w:r>
      <w:r w:rsidRPr="00250932">
        <w:rPr>
          <w:i/>
          <w:iCs/>
          <w:sz w:val="24"/>
          <w:szCs w:val="24"/>
        </w:rPr>
        <w:t>Agricultural Labor Relations Board v. Richard A. Glass Co., Inc</w:t>
      </w:r>
      <w:r w:rsidRPr="00250932">
        <w:rPr>
          <w:sz w:val="24"/>
          <w:szCs w:val="24"/>
        </w:rPr>
        <w:t>. (</w:t>
      </w:r>
      <w:r w:rsidRPr="00250932">
        <w:rPr>
          <w:i/>
          <w:iCs/>
          <w:sz w:val="24"/>
          <w:szCs w:val="24"/>
        </w:rPr>
        <w:t>ALRB</w:t>
      </w:r>
      <w:r w:rsidRPr="00250932">
        <w:rPr>
          <w:sz w:val="24"/>
          <w:szCs w:val="24"/>
        </w:rPr>
        <w:t>) (1985) 175 Cal.App.3d 703.</w:t>
      </w:r>
    </w:p>
  </w:footnote>
  <w:footnote w:id="30">
    <w:p w14:paraId="2B52F9FE" w14:textId="0B9362E8" w:rsidR="00546B76" w:rsidRPr="00250932" w:rsidRDefault="00546B76" w:rsidP="000A61B4">
      <w:pPr>
        <w:pStyle w:val="FootnoteText"/>
        <w:spacing w:line="240" w:lineRule="exact"/>
        <w:rPr>
          <w:sz w:val="24"/>
          <w:szCs w:val="24"/>
        </w:rPr>
      </w:pPr>
      <w:r w:rsidRPr="00AA6A03">
        <w:rPr>
          <w:rStyle w:val="FootnoteReference"/>
          <w:b/>
          <w:bCs/>
          <w:sz w:val="24"/>
          <w:szCs w:val="24"/>
          <w:u w:val="single"/>
        </w:rPr>
        <w:footnoteRef/>
      </w:r>
      <w:r w:rsidRPr="00250932">
        <w:rPr>
          <w:sz w:val="24"/>
          <w:szCs w:val="24"/>
        </w:rPr>
        <w:t xml:space="preserve"> </w:t>
      </w:r>
      <w:r w:rsidRPr="00AA6A03">
        <w:rPr>
          <w:i/>
          <w:iCs/>
          <w:sz w:val="24"/>
          <w:szCs w:val="24"/>
        </w:rPr>
        <w:t>See</w:t>
      </w:r>
      <w:r w:rsidRPr="00250932">
        <w:rPr>
          <w:sz w:val="24"/>
          <w:szCs w:val="24"/>
        </w:rPr>
        <w:t xml:space="preserve">, e.g., D.20-12-021 at </w:t>
      </w:r>
      <w:r>
        <w:rPr>
          <w:sz w:val="24"/>
          <w:szCs w:val="24"/>
        </w:rPr>
        <w:t xml:space="preserve">p. </w:t>
      </w:r>
      <w:r w:rsidRPr="00250932">
        <w:rPr>
          <w:sz w:val="24"/>
          <w:szCs w:val="24"/>
        </w:rPr>
        <w:t>21.</w:t>
      </w:r>
    </w:p>
  </w:footnote>
  <w:footnote w:id="31">
    <w:p w14:paraId="59E9525A" w14:textId="77777777" w:rsidR="00546B76" w:rsidRPr="00250932" w:rsidRDefault="00546B76" w:rsidP="000A61B4">
      <w:pPr>
        <w:pStyle w:val="FootnoteText"/>
        <w:spacing w:line="240" w:lineRule="exact"/>
        <w:rPr>
          <w:sz w:val="24"/>
          <w:szCs w:val="24"/>
        </w:rPr>
      </w:pPr>
      <w:r w:rsidRPr="00AA6A03">
        <w:rPr>
          <w:rStyle w:val="FootnoteReference"/>
          <w:b/>
          <w:bCs/>
          <w:sz w:val="24"/>
          <w:szCs w:val="24"/>
          <w:u w:val="single"/>
        </w:rPr>
        <w:footnoteRef/>
      </w:r>
      <w:r w:rsidRPr="00250932">
        <w:rPr>
          <w:sz w:val="24"/>
          <w:szCs w:val="24"/>
        </w:rPr>
        <w:t xml:space="preserve"> Cal. Evid. Code § 1060.</w:t>
      </w:r>
    </w:p>
  </w:footnote>
  <w:footnote w:id="32">
    <w:p w14:paraId="29476BD9" w14:textId="5F93FCCB" w:rsidR="00546B76" w:rsidRPr="00250932" w:rsidRDefault="00546B76" w:rsidP="000A61B4">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One cannot “identify the trade secret with reasonable particularity” if the alleged trade secret is already public, since the public nature of the information defeats the “secret” element of the trade secret definition. </w:t>
      </w:r>
    </w:p>
  </w:footnote>
  <w:footnote w:id="33">
    <w:p w14:paraId="40358C78" w14:textId="5C933C04" w:rsidR="00546B76" w:rsidRPr="00250932" w:rsidRDefault="00546B76" w:rsidP="000A61B4">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Cal. Evid. Code § 1060. </w:t>
      </w:r>
      <w:r>
        <w:rPr>
          <w:sz w:val="24"/>
          <w:szCs w:val="24"/>
        </w:rPr>
        <w:t xml:space="preserve"> </w:t>
      </w:r>
      <w:r w:rsidRPr="001B17C2">
        <w:rPr>
          <w:i/>
          <w:iCs/>
          <w:sz w:val="24"/>
          <w:szCs w:val="24"/>
        </w:rPr>
        <w:t>See</w:t>
      </w:r>
      <w:r w:rsidRPr="00250932">
        <w:rPr>
          <w:sz w:val="24"/>
          <w:szCs w:val="24"/>
        </w:rPr>
        <w:t xml:space="preserve"> also, D.20-12-021 at </w:t>
      </w:r>
      <w:r>
        <w:rPr>
          <w:sz w:val="24"/>
          <w:szCs w:val="24"/>
        </w:rPr>
        <w:t xml:space="preserve">pp. </w:t>
      </w:r>
      <w:r w:rsidRPr="00250932">
        <w:rPr>
          <w:sz w:val="24"/>
          <w:szCs w:val="24"/>
        </w:rPr>
        <w:t xml:space="preserve">25-26. </w:t>
      </w:r>
    </w:p>
  </w:footnote>
  <w:footnote w:id="34">
    <w:p w14:paraId="2417C144" w14:textId="68910AB8" w:rsidR="00546B76" w:rsidRPr="00250932" w:rsidRDefault="00546B76" w:rsidP="000A61B4">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w:t>
      </w:r>
      <w:r w:rsidRPr="00250932">
        <w:rPr>
          <w:i/>
          <w:iCs/>
          <w:sz w:val="24"/>
          <w:szCs w:val="24"/>
        </w:rPr>
        <w:t>See e.g</w:t>
      </w:r>
      <w:r w:rsidRPr="00250932">
        <w:rPr>
          <w:sz w:val="24"/>
          <w:szCs w:val="24"/>
        </w:rPr>
        <w:t xml:space="preserve">., </w:t>
      </w:r>
      <w:r w:rsidRPr="00250932">
        <w:rPr>
          <w:i/>
          <w:iCs/>
          <w:sz w:val="24"/>
          <w:szCs w:val="24"/>
        </w:rPr>
        <w:t>Uribe v. Howie</w:t>
      </w:r>
      <w:r w:rsidRPr="00250932">
        <w:rPr>
          <w:sz w:val="24"/>
          <w:szCs w:val="24"/>
        </w:rPr>
        <w:t>, (1971) 19 Cal.App.3d 194, 205-207, 210-211.</w:t>
      </w:r>
    </w:p>
  </w:footnote>
  <w:footnote w:id="35">
    <w:p w14:paraId="5EC4001E" w14:textId="6B9F4070" w:rsidR="00546B76" w:rsidRPr="00250932" w:rsidRDefault="00546B76" w:rsidP="000A61B4">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w:t>
      </w:r>
      <w:r w:rsidRPr="00250932">
        <w:rPr>
          <w:i/>
          <w:iCs/>
          <w:sz w:val="24"/>
          <w:szCs w:val="24"/>
        </w:rPr>
        <w:t xml:space="preserve">Coalition of University Employees v. The Regents of the University of California </w:t>
      </w:r>
      <w:r w:rsidRPr="00250932">
        <w:rPr>
          <w:sz w:val="24"/>
          <w:szCs w:val="24"/>
        </w:rPr>
        <w:t>(CUE) (Super. Ct. Alameda County, 2003, No. RG03–089302) 2003 WL 22717384.</w:t>
      </w:r>
    </w:p>
  </w:footnote>
  <w:footnote w:id="36">
    <w:p w14:paraId="3D1D4E40" w14:textId="556E59C7" w:rsidR="00546B76" w:rsidRPr="00250932" w:rsidRDefault="00546B76" w:rsidP="000A61B4">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D.20-12-021 at </w:t>
      </w:r>
      <w:r>
        <w:rPr>
          <w:sz w:val="24"/>
          <w:szCs w:val="24"/>
        </w:rPr>
        <w:t xml:space="preserve">pp. </w:t>
      </w:r>
      <w:r w:rsidRPr="00250932">
        <w:rPr>
          <w:sz w:val="24"/>
          <w:szCs w:val="24"/>
        </w:rPr>
        <w:t>24-26.</w:t>
      </w:r>
    </w:p>
  </w:footnote>
  <w:footnote w:id="37">
    <w:p w14:paraId="2C2E5409" w14:textId="77777777" w:rsidR="00546B76" w:rsidRPr="00250932" w:rsidRDefault="00546B76" w:rsidP="000A61B4">
      <w:pPr>
        <w:pStyle w:val="FootnoteText"/>
        <w:spacing w:line="240" w:lineRule="exact"/>
        <w:rPr>
          <w:sz w:val="24"/>
          <w:szCs w:val="24"/>
        </w:rPr>
      </w:pPr>
      <w:r w:rsidRPr="00AA6A03">
        <w:rPr>
          <w:rStyle w:val="FootnoteReference"/>
          <w:b/>
          <w:bCs/>
          <w:sz w:val="24"/>
          <w:szCs w:val="24"/>
          <w:u w:val="single"/>
        </w:rPr>
        <w:footnoteRef/>
      </w:r>
      <w:r w:rsidRPr="00250932">
        <w:rPr>
          <w:sz w:val="24"/>
          <w:szCs w:val="24"/>
        </w:rPr>
        <w:t xml:space="preserve"> D. 20-03-014, at pp. 21-22; D. 20-12-021 at pp. 14-15.</w:t>
      </w:r>
    </w:p>
  </w:footnote>
  <w:footnote w:id="38">
    <w:p w14:paraId="085AA0EF" w14:textId="77777777" w:rsidR="00546B76" w:rsidRPr="00250932" w:rsidRDefault="00546B76" w:rsidP="000476AF">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w:t>
      </w:r>
      <w:r w:rsidRPr="00250932">
        <w:rPr>
          <w:i/>
          <w:iCs/>
          <w:sz w:val="24"/>
          <w:szCs w:val="24"/>
        </w:rPr>
        <w:t xml:space="preserve">Re Southern California Edison Company </w:t>
      </w:r>
      <w:r w:rsidRPr="00250932">
        <w:rPr>
          <w:sz w:val="24"/>
          <w:szCs w:val="24"/>
        </w:rPr>
        <w:t>(1991) 42 CPUC2d 298, 301</w:t>
      </w:r>
      <w:r w:rsidRPr="00250932">
        <w:rPr>
          <w:i/>
          <w:iCs/>
          <w:sz w:val="24"/>
          <w:szCs w:val="24"/>
        </w:rPr>
        <w:t xml:space="preserve">; Southern California Edison Company v. Westinghouse Electric Corporation </w:t>
      </w:r>
      <w:r w:rsidRPr="00250932">
        <w:rPr>
          <w:sz w:val="24"/>
          <w:szCs w:val="24"/>
        </w:rPr>
        <w:t>(1989</w:t>
      </w:r>
      <w:r w:rsidRPr="00250932">
        <w:rPr>
          <w:i/>
          <w:iCs/>
          <w:sz w:val="24"/>
          <w:szCs w:val="24"/>
        </w:rPr>
        <w:t xml:space="preserve">) </w:t>
      </w:r>
      <w:r w:rsidRPr="00250932">
        <w:rPr>
          <w:sz w:val="24"/>
          <w:szCs w:val="24"/>
        </w:rPr>
        <w:t>892 F.2d 778, 783 [“On its face, Section 583 does not forbid the disclosure of any information furnished to the CPUC by utilities.”]; and Decision 06-06-066,52 as modified by Decision 07-05-032 at 27 [583 does not require the Commission to afford confidential treatment to data that does not satisfy substantive requirements for Trade Secret such treatment created by other statutes and rules.].)</w:t>
      </w:r>
    </w:p>
  </w:footnote>
  <w:footnote w:id="39">
    <w:p w14:paraId="17DCA520" w14:textId="77777777" w:rsidR="00546B76" w:rsidRPr="00250932" w:rsidRDefault="00546B76" w:rsidP="000476AF">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(D.99-10-027 (1999) Ca. PUC LEXIS 748 at *2 [Pub. Util. Code § 583 gives the Commission broad discretion to order confidential information provided by a utility made public.].)</w:t>
      </w:r>
    </w:p>
  </w:footnote>
  <w:footnote w:id="40">
    <w:p w14:paraId="06B78E3A" w14:textId="537014C6" w:rsidR="00546B76" w:rsidRPr="00250932" w:rsidRDefault="00546B76" w:rsidP="000476AF">
      <w:pPr>
        <w:pStyle w:val="FootnoteText"/>
        <w:spacing w:line="240" w:lineRule="exact"/>
        <w:ind w:right="0"/>
        <w:rPr>
          <w:sz w:val="24"/>
          <w:szCs w:val="24"/>
        </w:rPr>
      </w:pPr>
      <w:r w:rsidRPr="00AA6A03">
        <w:rPr>
          <w:rStyle w:val="FootnoteReference"/>
          <w:b/>
          <w:bCs/>
          <w:sz w:val="24"/>
          <w:szCs w:val="24"/>
          <w:u w:val="single"/>
        </w:rPr>
        <w:footnoteRef/>
      </w:r>
      <w:r w:rsidRPr="00250932">
        <w:rPr>
          <w:sz w:val="24"/>
          <w:szCs w:val="24"/>
        </w:rPr>
        <w:t xml:space="preserve"> </w:t>
      </w:r>
      <w:r w:rsidRPr="00AA6A03">
        <w:rPr>
          <w:i/>
          <w:iCs/>
          <w:sz w:val="24"/>
          <w:szCs w:val="24"/>
        </w:rPr>
        <w:t>See</w:t>
      </w:r>
      <w:r w:rsidRPr="00250932">
        <w:rPr>
          <w:sz w:val="24"/>
          <w:szCs w:val="24"/>
        </w:rPr>
        <w:t>, e.g., G.O. 66-D § 3.2(b): “A citation or general marking of confidentiality, such as ‘</w:t>
      </w:r>
      <w:r>
        <w:rPr>
          <w:sz w:val="24"/>
          <w:szCs w:val="24"/>
        </w:rPr>
        <w:br/>
      </w:r>
      <w:r w:rsidRPr="00250932">
        <w:rPr>
          <w:sz w:val="24"/>
          <w:szCs w:val="24"/>
        </w:rPr>
        <w:t>GO-66’ and/or ‘Public Utilities Code Section 583’ without additional justification of confidentiality does not satisfy the information submitter’s burden to establish a basis for confidential treatment by the Commission.”</w:t>
      </w:r>
    </w:p>
  </w:footnote>
  <w:footnote w:id="41">
    <w:p w14:paraId="4AD7F321" w14:textId="77777777" w:rsidR="00546B76" w:rsidRPr="00257C90" w:rsidRDefault="00546B76" w:rsidP="000A61B4">
      <w:pPr>
        <w:pStyle w:val="FootnoteText"/>
        <w:spacing w:line="240" w:lineRule="exact"/>
        <w:ind w:right="0"/>
        <w:rPr>
          <w:sz w:val="24"/>
          <w:szCs w:val="24"/>
          <w:u w:val="single"/>
        </w:rPr>
      </w:pPr>
      <w:r w:rsidRPr="00AA6A03">
        <w:rPr>
          <w:rStyle w:val="FootnoteReference"/>
          <w:b/>
          <w:bCs/>
          <w:sz w:val="24"/>
          <w:szCs w:val="24"/>
          <w:u w:val="single"/>
        </w:rPr>
        <w:footnoteRef/>
      </w:r>
      <w:r w:rsidRPr="00250932">
        <w:rPr>
          <w:sz w:val="24"/>
          <w:szCs w:val="24"/>
        </w:rPr>
        <w:t xml:space="preserve"> </w:t>
      </w:r>
      <w:r w:rsidRPr="00257C90">
        <w:rPr>
          <w:sz w:val="24"/>
          <w:szCs w:val="24"/>
          <w:u w:val="single"/>
        </w:rPr>
        <w:t>September 18, 2019 Letter to Class A Water Utilities at p. 2</w:t>
      </w:r>
      <w:r w:rsidRPr="00257C90">
        <w:rPr>
          <w:color w:val="00B0F0"/>
          <w:sz w:val="24"/>
          <w:szCs w:val="24"/>
          <w:u w:val="single"/>
        </w:rPr>
        <w:t>.</w:t>
      </w:r>
    </w:p>
  </w:footnote>
  <w:footnote w:id="42">
    <w:p w14:paraId="35409DC7" w14:textId="77777777" w:rsidR="00546B76" w:rsidRPr="00F57DF9" w:rsidRDefault="00546B76" w:rsidP="00170AF1">
      <w:pPr>
        <w:pStyle w:val="FootnoteText"/>
        <w:rPr>
          <w:sz w:val="24"/>
          <w:szCs w:val="24"/>
        </w:rPr>
      </w:pPr>
      <w:r w:rsidRPr="006C2767">
        <w:rPr>
          <w:rStyle w:val="FootnoteReference"/>
          <w:b/>
          <w:bCs/>
          <w:sz w:val="24"/>
          <w:szCs w:val="24"/>
        </w:rPr>
        <w:footnoteRef/>
      </w:r>
      <w:r>
        <w:rPr>
          <w:b/>
          <w:bCs/>
          <w:sz w:val="24"/>
          <w:szCs w:val="24"/>
          <w:u w:val="single"/>
        </w:rPr>
        <w:t xml:space="preserve"> </w:t>
      </w:r>
      <w:r w:rsidRPr="00F57DF9">
        <w:rPr>
          <w:sz w:val="24"/>
          <w:szCs w:val="24"/>
        </w:rPr>
        <w:t>January 24, 2021 San Jose Water Company Letter to CPUC “Re: San Jose Water Company Audited Financial Statements (Draft Resolution L-614)”, pages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BEC1" w14:textId="4F0C3C5F" w:rsidR="00546B76" w:rsidRDefault="00546B76">
    <w:pPr>
      <w:pStyle w:val="Header"/>
      <w:rPr>
        <w:sz w:val="28"/>
        <w:szCs w:val="28"/>
      </w:rPr>
    </w:pPr>
    <w:r>
      <w:rPr>
        <w:sz w:val="28"/>
        <w:szCs w:val="28"/>
      </w:rPr>
      <w:t>Resolution L-614</w:t>
    </w:r>
    <w:r>
      <w:rPr>
        <w:sz w:val="28"/>
        <w:szCs w:val="28"/>
      </w:rPr>
      <w:tab/>
    </w:r>
    <w:r>
      <w:rPr>
        <w:b/>
        <w:sz w:val="28"/>
        <w:szCs w:val="28"/>
      </w:rPr>
      <w:t>DRAFT</w:t>
    </w:r>
    <w:r>
      <w:rPr>
        <w:sz w:val="28"/>
        <w:szCs w:val="28"/>
      </w:rPr>
      <w:tab/>
      <w:t xml:space="preserve">February </w:t>
    </w:r>
    <w:r w:rsidR="00E56517">
      <w:rPr>
        <w:sz w:val="28"/>
        <w:szCs w:val="28"/>
      </w:rPr>
      <w:t>24</w:t>
    </w:r>
    <w:r>
      <w:rPr>
        <w:sz w:val="28"/>
        <w:szCs w:val="28"/>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BD2D" w14:textId="3D2CA0FD" w:rsidR="00546B76" w:rsidRDefault="00546B76" w:rsidP="00E56517">
    <w:pPr>
      <w:pStyle w:val="Header"/>
      <w:tabs>
        <w:tab w:val="clear" w:pos="4320"/>
      </w:tabs>
      <w:jc w:val="right"/>
      <w:rPr>
        <w:b/>
        <w:sz w:val="26"/>
        <w:szCs w:val="26"/>
      </w:rPr>
    </w:pPr>
    <w:r>
      <w:rPr>
        <w:sz w:val="28"/>
        <w:szCs w:val="28"/>
      </w:rPr>
      <w:t xml:space="preserve">                                                     </w:t>
    </w:r>
    <w:r>
      <w:rPr>
        <w:b/>
        <w:sz w:val="28"/>
        <w:szCs w:val="28"/>
      </w:rPr>
      <w:t>DRAFT</w:t>
    </w:r>
    <w:r>
      <w:rPr>
        <w:sz w:val="28"/>
        <w:szCs w:val="28"/>
      </w:rPr>
      <w:tab/>
    </w:r>
    <w:r>
      <w:rPr>
        <w:sz w:val="26"/>
        <w:szCs w:val="26"/>
      </w:rPr>
      <w:t xml:space="preserve">Item #4 (Agenda # 20240) </w:t>
    </w:r>
    <w:r w:rsidR="00E56517">
      <w:rPr>
        <w:sz w:val="26"/>
        <w:szCs w:val="26"/>
      </w:rPr>
      <w:br/>
    </w:r>
    <w:r>
      <w:rPr>
        <w:sz w:val="26"/>
        <w:szCs w:val="26"/>
      </w:rPr>
      <w:t>Rev.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12F"/>
    <w:multiLevelType w:val="hybridMultilevel"/>
    <w:tmpl w:val="D20CBA5A"/>
    <w:lvl w:ilvl="0" w:tplc="43DE0E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D683F"/>
    <w:multiLevelType w:val="hybridMultilevel"/>
    <w:tmpl w:val="11D0B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56E58"/>
    <w:multiLevelType w:val="multilevel"/>
    <w:tmpl w:val="367E0B7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10BB0EC5"/>
    <w:multiLevelType w:val="hybridMultilevel"/>
    <w:tmpl w:val="C1626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8B7E3F"/>
    <w:multiLevelType w:val="hybridMultilevel"/>
    <w:tmpl w:val="8FE6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92908"/>
    <w:multiLevelType w:val="hybridMultilevel"/>
    <w:tmpl w:val="11D0BCF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D04E0F"/>
    <w:multiLevelType w:val="hybridMultilevel"/>
    <w:tmpl w:val="705ACBD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9654C"/>
    <w:multiLevelType w:val="multilevel"/>
    <w:tmpl w:val="02D298D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1D2B2229"/>
    <w:multiLevelType w:val="hybridMultilevel"/>
    <w:tmpl w:val="E43A4B20"/>
    <w:lvl w:ilvl="0" w:tplc="8E42E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9704B2"/>
    <w:multiLevelType w:val="hybridMultilevel"/>
    <w:tmpl w:val="254C6284"/>
    <w:lvl w:ilvl="0" w:tplc="66C88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E155D"/>
    <w:multiLevelType w:val="hybridMultilevel"/>
    <w:tmpl w:val="A9CA2F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2E4BFE"/>
    <w:multiLevelType w:val="hybridMultilevel"/>
    <w:tmpl w:val="366C2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03662D"/>
    <w:multiLevelType w:val="hybridMultilevel"/>
    <w:tmpl w:val="7A209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22C59"/>
    <w:multiLevelType w:val="hybridMultilevel"/>
    <w:tmpl w:val="EF80C5C8"/>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514932E9"/>
    <w:multiLevelType w:val="hybridMultilevel"/>
    <w:tmpl w:val="F8C2C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6129A"/>
    <w:multiLevelType w:val="hybridMultilevel"/>
    <w:tmpl w:val="11D0BCF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B4C42FE"/>
    <w:multiLevelType w:val="hybridMultilevel"/>
    <w:tmpl w:val="91A4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AE2AA5"/>
    <w:multiLevelType w:val="hybridMultilevel"/>
    <w:tmpl w:val="01D0F3EA"/>
    <w:lvl w:ilvl="0" w:tplc="24645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523526"/>
    <w:multiLevelType w:val="hybridMultilevel"/>
    <w:tmpl w:val="11D0BCF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BEA017E"/>
    <w:multiLevelType w:val="hybridMultilevel"/>
    <w:tmpl w:val="BE1E07D0"/>
    <w:lvl w:ilvl="0" w:tplc="195C3586">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11"/>
  </w:num>
  <w:num w:numId="4">
    <w:abstractNumId w:val="1"/>
  </w:num>
  <w:num w:numId="5">
    <w:abstractNumId w:val="4"/>
  </w:num>
  <w:num w:numId="6">
    <w:abstractNumId w:val="6"/>
  </w:num>
  <w:num w:numId="7">
    <w:abstractNumId w:val="12"/>
  </w:num>
  <w:num w:numId="8">
    <w:abstractNumId w:val="0"/>
  </w:num>
  <w:num w:numId="9">
    <w:abstractNumId w:val="14"/>
  </w:num>
  <w:num w:numId="10">
    <w:abstractNumId w:val="16"/>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5"/>
  </w:num>
  <w:num w:numId="16">
    <w:abstractNumId w:val="19"/>
  </w:num>
  <w:num w:numId="17">
    <w:abstractNumId w:val="18"/>
  </w:num>
  <w:num w:numId="18">
    <w:abstractNumId w:val="15"/>
  </w:num>
  <w:num w:numId="19">
    <w:abstractNumId w:val="8"/>
  </w:num>
  <w:num w:numId="20">
    <w:abstractNumId w:val="7"/>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15"/>
    <w:rsid w:val="00000192"/>
    <w:rsid w:val="00000F3F"/>
    <w:rsid w:val="00001130"/>
    <w:rsid w:val="0000209E"/>
    <w:rsid w:val="000023BE"/>
    <w:rsid w:val="00002464"/>
    <w:rsid w:val="00002940"/>
    <w:rsid w:val="00003EDF"/>
    <w:rsid w:val="000058A8"/>
    <w:rsid w:val="00005F4E"/>
    <w:rsid w:val="0000614B"/>
    <w:rsid w:val="000069D1"/>
    <w:rsid w:val="00007189"/>
    <w:rsid w:val="0001151B"/>
    <w:rsid w:val="00012A59"/>
    <w:rsid w:val="00013785"/>
    <w:rsid w:val="00014911"/>
    <w:rsid w:val="00015EF7"/>
    <w:rsid w:val="00016A08"/>
    <w:rsid w:val="00017317"/>
    <w:rsid w:val="0001790C"/>
    <w:rsid w:val="000217C8"/>
    <w:rsid w:val="00022E51"/>
    <w:rsid w:val="0002312F"/>
    <w:rsid w:val="000232BB"/>
    <w:rsid w:val="00024EB7"/>
    <w:rsid w:val="000279F6"/>
    <w:rsid w:val="000313F2"/>
    <w:rsid w:val="00032380"/>
    <w:rsid w:val="00033E31"/>
    <w:rsid w:val="00034DAC"/>
    <w:rsid w:val="00035746"/>
    <w:rsid w:val="00035C1F"/>
    <w:rsid w:val="00040180"/>
    <w:rsid w:val="00042180"/>
    <w:rsid w:val="000423B1"/>
    <w:rsid w:val="00042A0B"/>
    <w:rsid w:val="00042D68"/>
    <w:rsid w:val="00042E2D"/>
    <w:rsid w:val="0004624B"/>
    <w:rsid w:val="000466CF"/>
    <w:rsid w:val="00046F55"/>
    <w:rsid w:val="00046FB8"/>
    <w:rsid w:val="000476AF"/>
    <w:rsid w:val="00047C6E"/>
    <w:rsid w:val="000509B9"/>
    <w:rsid w:val="00050F9A"/>
    <w:rsid w:val="000518DE"/>
    <w:rsid w:val="00051950"/>
    <w:rsid w:val="00052D03"/>
    <w:rsid w:val="00053040"/>
    <w:rsid w:val="0005495D"/>
    <w:rsid w:val="00056C35"/>
    <w:rsid w:val="0005780F"/>
    <w:rsid w:val="00061603"/>
    <w:rsid w:val="0006281C"/>
    <w:rsid w:val="00062FC1"/>
    <w:rsid w:val="0006341B"/>
    <w:rsid w:val="00063AE7"/>
    <w:rsid w:val="00065CB1"/>
    <w:rsid w:val="00065E21"/>
    <w:rsid w:val="00066ED6"/>
    <w:rsid w:val="00066F41"/>
    <w:rsid w:val="000728D3"/>
    <w:rsid w:val="00073895"/>
    <w:rsid w:val="00074868"/>
    <w:rsid w:val="00074D1B"/>
    <w:rsid w:val="0007574B"/>
    <w:rsid w:val="00075D4D"/>
    <w:rsid w:val="00075DE1"/>
    <w:rsid w:val="0007642B"/>
    <w:rsid w:val="00077258"/>
    <w:rsid w:val="000775B4"/>
    <w:rsid w:val="00081D60"/>
    <w:rsid w:val="00082093"/>
    <w:rsid w:val="00082BE1"/>
    <w:rsid w:val="00083278"/>
    <w:rsid w:val="000836BF"/>
    <w:rsid w:val="00083A2F"/>
    <w:rsid w:val="00083F4B"/>
    <w:rsid w:val="00084652"/>
    <w:rsid w:val="00084AEE"/>
    <w:rsid w:val="00085212"/>
    <w:rsid w:val="00086417"/>
    <w:rsid w:val="0008760C"/>
    <w:rsid w:val="00087E43"/>
    <w:rsid w:val="00090BAF"/>
    <w:rsid w:val="00091ACB"/>
    <w:rsid w:val="00091D6C"/>
    <w:rsid w:val="00091E06"/>
    <w:rsid w:val="00092673"/>
    <w:rsid w:val="0009278E"/>
    <w:rsid w:val="000930AE"/>
    <w:rsid w:val="00093172"/>
    <w:rsid w:val="0009334C"/>
    <w:rsid w:val="00095299"/>
    <w:rsid w:val="00095C22"/>
    <w:rsid w:val="000975D0"/>
    <w:rsid w:val="00097D98"/>
    <w:rsid w:val="000A0197"/>
    <w:rsid w:val="000A05DA"/>
    <w:rsid w:val="000A11B1"/>
    <w:rsid w:val="000A14FC"/>
    <w:rsid w:val="000A2ED9"/>
    <w:rsid w:val="000A44F2"/>
    <w:rsid w:val="000A4777"/>
    <w:rsid w:val="000A4CBC"/>
    <w:rsid w:val="000A5407"/>
    <w:rsid w:val="000A55E2"/>
    <w:rsid w:val="000A6085"/>
    <w:rsid w:val="000A61B4"/>
    <w:rsid w:val="000A63E7"/>
    <w:rsid w:val="000A7254"/>
    <w:rsid w:val="000B0455"/>
    <w:rsid w:val="000B0BC6"/>
    <w:rsid w:val="000B34C0"/>
    <w:rsid w:val="000B35EB"/>
    <w:rsid w:val="000B3655"/>
    <w:rsid w:val="000B493D"/>
    <w:rsid w:val="000B5194"/>
    <w:rsid w:val="000B53CA"/>
    <w:rsid w:val="000B6697"/>
    <w:rsid w:val="000B6C95"/>
    <w:rsid w:val="000B7334"/>
    <w:rsid w:val="000C10DA"/>
    <w:rsid w:val="000C1984"/>
    <w:rsid w:val="000C1B69"/>
    <w:rsid w:val="000C27E2"/>
    <w:rsid w:val="000C34F2"/>
    <w:rsid w:val="000C56C7"/>
    <w:rsid w:val="000C5721"/>
    <w:rsid w:val="000C6D2E"/>
    <w:rsid w:val="000C7367"/>
    <w:rsid w:val="000C780F"/>
    <w:rsid w:val="000D0B60"/>
    <w:rsid w:val="000D1BFB"/>
    <w:rsid w:val="000D2F07"/>
    <w:rsid w:val="000D356E"/>
    <w:rsid w:val="000D38AF"/>
    <w:rsid w:val="000D4209"/>
    <w:rsid w:val="000D4C32"/>
    <w:rsid w:val="000D506B"/>
    <w:rsid w:val="000D6A96"/>
    <w:rsid w:val="000D6CE9"/>
    <w:rsid w:val="000D7723"/>
    <w:rsid w:val="000D7FD2"/>
    <w:rsid w:val="000E07D6"/>
    <w:rsid w:val="000E0F14"/>
    <w:rsid w:val="000E14AB"/>
    <w:rsid w:val="000E15E2"/>
    <w:rsid w:val="000E168D"/>
    <w:rsid w:val="000E2D50"/>
    <w:rsid w:val="000E2D9B"/>
    <w:rsid w:val="000E3945"/>
    <w:rsid w:val="000E42FB"/>
    <w:rsid w:val="000E47BC"/>
    <w:rsid w:val="000E588E"/>
    <w:rsid w:val="000E635B"/>
    <w:rsid w:val="000E68FE"/>
    <w:rsid w:val="000E6D28"/>
    <w:rsid w:val="000F00BB"/>
    <w:rsid w:val="000F0D77"/>
    <w:rsid w:val="000F175F"/>
    <w:rsid w:val="000F18AD"/>
    <w:rsid w:val="000F1B9D"/>
    <w:rsid w:val="000F2550"/>
    <w:rsid w:val="000F341A"/>
    <w:rsid w:val="000F4F7C"/>
    <w:rsid w:val="000F5BE5"/>
    <w:rsid w:val="000F7E09"/>
    <w:rsid w:val="0010026E"/>
    <w:rsid w:val="001003A4"/>
    <w:rsid w:val="0010078A"/>
    <w:rsid w:val="00101C26"/>
    <w:rsid w:val="00102157"/>
    <w:rsid w:val="00102ACA"/>
    <w:rsid w:val="00102FEC"/>
    <w:rsid w:val="0010369A"/>
    <w:rsid w:val="00103733"/>
    <w:rsid w:val="00103B68"/>
    <w:rsid w:val="00104F6E"/>
    <w:rsid w:val="001053D7"/>
    <w:rsid w:val="00105449"/>
    <w:rsid w:val="00105775"/>
    <w:rsid w:val="0010692A"/>
    <w:rsid w:val="001075E7"/>
    <w:rsid w:val="00107A48"/>
    <w:rsid w:val="00111400"/>
    <w:rsid w:val="0011201E"/>
    <w:rsid w:val="0011308E"/>
    <w:rsid w:val="0011319B"/>
    <w:rsid w:val="00114D86"/>
    <w:rsid w:val="00116C1A"/>
    <w:rsid w:val="00117780"/>
    <w:rsid w:val="00122F16"/>
    <w:rsid w:val="0012380A"/>
    <w:rsid w:val="00125480"/>
    <w:rsid w:val="00125B09"/>
    <w:rsid w:val="0012648F"/>
    <w:rsid w:val="0012649D"/>
    <w:rsid w:val="001268FE"/>
    <w:rsid w:val="00127EB6"/>
    <w:rsid w:val="00130916"/>
    <w:rsid w:val="00130E72"/>
    <w:rsid w:val="00132050"/>
    <w:rsid w:val="0013209A"/>
    <w:rsid w:val="001322E5"/>
    <w:rsid w:val="00132C5A"/>
    <w:rsid w:val="001334AE"/>
    <w:rsid w:val="00133AB8"/>
    <w:rsid w:val="00133C7F"/>
    <w:rsid w:val="00133F88"/>
    <w:rsid w:val="00134049"/>
    <w:rsid w:val="00134A53"/>
    <w:rsid w:val="00137915"/>
    <w:rsid w:val="00137E5F"/>
    <w:rsid w:val="00141B96"/>
    <w:rsid w:val="0014207C"/>
    <w:rsid w:val="00142092"/>
    <w:rsid w:val="0014247C"/>
    <w:rsid w:val="001442E1"/>
    <w:rsid w:val="0014510A"/>
    <w:rsid w:val="00145241"/>
    <w:rsid w:val="00145900"/>
    <w:rsid w:val="00145FDB"/>
    <w:rsid w:val="001464C4"/>
    <w:rsid w:val="00146923"/>
    <w:rsid w:val="00146A89"/>
    <w:rsid w:val="00146F46"/>
    <w:rsid w:val="00147E59"/>
    <w:rsid w:val="00150051"/>
    <w:rsid w:val="00151664"/>
    <w:rsid w:val="00152BF1"/>
    <w:rsid w:val="001538FC"/>
    <w:rsid w:val="00153DB4"/>
    <w:rsid w:val="001546D7"/>
    <w:rsid w:val="0015549A"/>
    <w:rsid w:val="00155808"/>
    <w:rsid w:val="00160192"/>
    <w:rsid w:val="00160ACD"/>
    <w:rsid w:val="001619F9"/>
    <w:rsid w:val="00161C86"/>
    <w:rsid w:val="001622C7"/>
    <w:rsid w:val="0016349C"/>
    <w:rsid w:val="00163D88"/>
    <w:rsid w:val="00164081"/>
    <w:rsid w:val="001641BC"/>
    <w:rsid w:val="0016457E"/>
    <w:rsid w:val="00164E8B"/>
    <w:rsid w:val="00165622"/>
    <w:rsid w:val="00165FF0"/>
    <w:rsid w:val="00167644"/>
    <w:rsid w:val="00167660"/>
    <w:rsid w:val="00167C71"/>
    <w:rsid w:val="001707B6"/>
    <w:rsid w:val="00170AF1"/>
    <w:rsid w:val="00171B6E"/>
    <w:rsid w:val="00172B26"/>
    <w:rsid w:val="001730D7"/>
    <w:rsid w:val="001738AF"/>
    <w:rsid w:val="00173CAE"/>
    <w:rsid w:val="00173D42"/>
    <w:rsid w:val="00174475"/>
    <w:rsid w:val="00174562"/>
    <w:rsid w:val="00174820"/>
    <w:rsid w:val="001755A5"/>
    <w:rsid w:val="00175D47"/>
    <w:rsid w:val="001763A3"/>
    <w:rsid w:val="001806C2"/>
    <w:rsid w:val="001814B3"/>
    <w:rsid w:val="001829BE"/>
    <w:rsid w:val="00182A4F"/>
    <w:rsid w:val="00182C44"/>
    <w:rsid w:val="00182E2C"/>
    <w:rsid w:val="00184797"/>
    <w:rsid w:val="00185F1E"/>
    <w:rsid w:val="00186FF7"/>
    <w:rsid w:val="0018719D"/>
    <w:rsid w:val="00187C18"/>
    <w:rsid w:val="00187C1D"/>
    <w:rsid w:val="00191D2C"/>
    <w:rsid w:val="001923C3"/>
    <w:rsid w:val="00193B11"/>
    <w:rsid w:val="00194754"/>
    <w:rsid w:val="0019588E"/>
    <w:rsid w:val="00195F19"/>
    <w:rsid w:val="0019642B"/>
    <w:rsid w:val="0019674D"/>
    <w:rsid w:val="0019685B"/>
    <w:rsid w:val="00197AA5"/>
    <w:rsid w:val="001A0CF4"/>
    <w:rsid w:val="001A3464"/>
    <w:rsid w:val="001A39BC"/>
    <w:rsid w:val="001A4348"/>
    <w:rsid w:val="001A492A"/>
    <w:rsid w:val="001A498F"/>
    <w:rsid w:val="001A4E17"/>
    <w:rsid w:val="001A5562"/>
    <w:rsid w:val="001A5BC7"/>
    <w:rsid w:val="001A642B"/>
    <w:rsid w:val="001A68C7"/>
    <w:rsid w:val="001B17C2"/>
    <w:rsid w:val="001B2307"/>
    <w:rsid w:val="001B28AD"/>
    <w:rsid w:val="001B3596"/>
    <w:rsid w:val="001B45EA"/>
    <w:rsid w:val="001B57DB"/>
    <w:rsid w:val="001B5CA8"/>
    <w:rsid w:val="001C070B"/>
    <w:rsid w:val="001C2F7C"/>
    <w:rsid w:val="001C3202"/>
    <w:rsid w:val="001C38D5"/>
    <w:rsid w:val="001C3A66"/>
    <w:rsid w:val="001C5B6B"/>
    <w:rsid w:val="001D335B"/>
    <w:rsid w:val="001D38CC"/>
    <w:rsid w:val="001D51BC"/>
    <w:rsid w:val="001D54D5"/>
    <w:rsid w:val="001D552F"/>
    <w:rsid w:val="001D56F0"/>
    <w:rsid w:val="001D5730"/>
    <w:rsid w:val="001D5C08"/>
    <w:rsid w:val="001D5F5D"/>
    <w:rsid w:val="001D64BF"/>
    <w:rsid w:val="001D6C63"/>
    <w:rsid w:val="001E135F"/>
    <w:rsid w:val="001E1D97"/>
    <w:rsid w:val="001E352D"/>
    <w:rsid w:val="001E4E29"/>
    <w:rsid w:val="001E5464"/>
    <w:rsid w:val="001E595F"/>
    <w:rsid w:val="001E6142"/>
    <w:rsid w:val="001E76AE"/>
    <w:rsid w:val="001F0C21"/>
    <w:rsid w:val="001F0D4F"/>
    <w:rsid w:val="001F37E4"/>
    <w:rsid w:val="001F4575"/>
    <w:rsid w:val="001F4DF6"/>
    <w:rsid w:val="001F5DDB"/>
    <w:rsid w:val="001F5EF0"/>
    <w:rsid w:val="001F5F1B"/>
    <w:rsid w:val="001F609D"/>
    <w:rsid w:val="001F7A10"/>
    <w:rsid w:val="001F7F29"/>
    <w:rsid w:val="00200921"/>
    <w:rsid w:val="00202779"/>
    <w:rsid w:val="00202829"/>
    <w:rsid w:val="00205713"/>
    <w:rsid w:val="00206EC6"/>
    <w:rsid w:val="00211A71"/>
    <w:rsid w:val="00211CBD"/>
    <w:rsid w:val="00213C06"/>
    <w:rsid w:val="00215BF2"/>
    <w:rsid w:val="0021685C"/>
    <w:rsid w:val="00217673"/>
    <w:rsid w:val="00217E07"/>
    <w:rsid w:val="002209FD"/>
    <w:rsid w:val="00220FA2"/>
    <w:rsid w:val="002223F0"/>
    <w:rsid w:val="002231AC"/>
    <w:rsid w:val="00223701"/>
    <w:rsid w:val="00223EAD"/>
    <w:rsid w:val="00224399"/>
    <w:rsid w:val="00225E0E"/>
    <w:rsid w:val="00226710"/>
    <w:rsid w:val="00227399"/>
    <w:rsid w:val="0022767D"/>
    <w:rsid w:val="002300F7"/>
    <w:rsid w:val="002303EB"/>
    <w:rsid w:val="00230B66"/>
    <w:rsid w:val="002316A4"/>
    <w:rsid w:val="00231CC8"/>
    <w:rsid w:val="002333C3"/>
    <w:rsid w:val="00233C00"/>
    <w:rsid w:val="00233E2B"/>
    <w:rsid w:val="0023478D"/>
    <w:rsid w:val="00234FD5"/>
    <w:rsid w:val="0023542D"/>
    <w:rsid w:val="00235B65"/>
    <w:rsid w:val="00235FC7"/>
    <w:rsid w:val="0023676F"/>
    <w:rsid w:val="002376C4"/>
    <w:rsid w:val="00240E72"/>
    <w:rsid w:val="00241396"/>
    <w:rsid w:val="00241EE3"/>
    <w:rsid w:val="00243000"/>
    <w:rsid w:val="00246E85"/>
    <w:rsid w:val="00247B4B"/>
    <w:rsid w:val="00250071"/>
    <w:rsid w:val="002506D1"/>
    <w:rsid w:val="00250932"/>
    <w:rsid w:val="00250A87"/>
    <w:rsid w:val="002518BC"/>
    <w:rsid w:val="00252DEA"/>
    <w:rsid w:val="002547E7"/>
    <w:rsid w:val="002575FE"/>
    <w:rsid w:val="00257864"/>
    <w:rsid w:val="00257C90"/>
    <w:rsid w:val="00260270"/>
    <w:rsid w:val="00260310"/>
    <w:rsid w:val="00260AF3"/>
    <w:rsid w:val="002619A5"/>
    <w:rsid w:val="00262129"/>
    <w:rsid w:val="002622AA"/>
    <w:rsid w:val="00262A90"/>
    <w:rsid w:val="00262E51"/>
    <w:rsid w:val="0026380D"/>
    <w:rsid w:val="002641B8"/>
    <w:rsid w:val="00264B15"/>
    <w:rsid w:val="00264D6D"/>
    <w:rsid w:val="00264F5E"/>
    <w:rsid w:val="0026520F"/>
    <w:rsid w:val="00265321"/>
    <w:rsid w:val="00265CA3"/>
    <w:rsid w:val="00270256"/>
    <w:rsid w:val="0027048E"/>
    <w:rsid w:val="00270BCD"/>
    <w:rsid w:val="002724EA"/>
    <w:rsid w:val="00272E21"/>
    <w:rsid w:val="002737DD"/>
    <w:rsid w:val="00273B0C"/>
    <w:rsid w:val="0027447F"/>
    <w:rsid w:val="002778EA"/>
    <w:rsid w:val="00277D59"/>
    <w:rsid w:val="00281328"/>
    <w:rsid w:val="00281890"/>
    <w:rsid w:val="00282DD5"/>
    <w:rsid w:val="002830A0"/>
    <w:rsid w:val="0028402C"/>
    <w:rsid w:val="00284567"/>
    <w:rsid w:val="002852F7"/>
    <w:rsid w:val="0028768E"/>
    <w:rsid w:val="00291989"/>
    <w:rsid w:val="00293E81"/>
    <w:rsid w:val="0029611F"/>
    <w:rsid w:val="00296D51"/>
    <w:rsid w:val="0029719C"/>
    <w:rsid w:val="00297219"/>
    <w:rsid w:val="00297448"/>
    <w:rsid w:val="00297671"/>
    <w:rsid w:val="002A04B6"/>
    <w:rsid w:val="002A0826"/>
    <w:rsid w:val="002A34BB"/>
    <w:rsid w:val="002A4B2F"/>
    <w:rsid w:val="002A4C6F"/>
    <w:rsid w:val="002A4DA6"/>
    <w:rsid w:val="002A5480"/>
    <w:rsid w:val="002A5968"/>
    <w:rsid w:val="002A6960"/>
    <w:rsid w:val="002A7B86"/>
    <w:rsid w:val="002B0927"/>
    <w:rsid w:val="002B1D61"/>
    <w:rsid w:val="002B1E17"/>
    <w:rsid w:val="002B2131"/>
    <w:rsid w:val="002B217E"/>
    <w:rsid w:val="002B36C9"/>
    <w:rsid w:val="002B39D5"/>
    <w:rsid w:val="002B4A31"/>
    <w:rsid w:val="002B4E70"/>
    <w:rsid w:val="002B6F18"/>
    <w:rsid w:val="002C0094"/>
    <w:rsid w:val="002C11CC"/>
    <w:rsid w:val="002C1C18"/>
    <w:rsid w:val="002C2B68"/>
    <w:rsid w:val="002C4262"/>
    <w:rsid w:val="002C54DA"/>
    <w:rsid w:val="002C57FC"/>
    <w:rsid w:val="002C6AD7"/>
    <w:rsid w:val="002C7123"/>
    <w:rsid w:val="002C749A"/>
    <w:rsid w:val="002D0ADA"/>
    <w:rsid w:val="002D248C"/>
    <w:rsid w:val="002D4049"/>
    <w:rsid w:val="002D4134"/>
    <w:rsid w:val="002D4DB5"/>
    <w:rsid w:val="002D6109"/>
    <w:rsid w:val="002D6ABF"/>
    <w:rsid w:val="002D7A76"/>
    <w:rsid w:val="002D7B6F"/>
    <w:rsid w:val="002D7FDA"/>
    <w:rsid w:val="002E0FDC"/>
    <w:rsid w:val="002E10E6"/>
    <w:rsid w:val="002E16C1"/>
    <w:rsid w:val="002E1BC6"/>
    <w:rsid w:val="002E335B"/>
    <w:rsid w:val="002E3EAD"/>
    <w:rsid w:val="002E68CA"/>
    <w:rsid w:val="002E705D"/>
    <w:rsid w:val="002E788E"/>
    <w:rsid w:val="002E7BC8"/>
    <w:rsid w:val="002F09EC"/>
    <w:rsid w:val="002F14ED"/>
    <w:rsid w:val="002F1F42"/>
    <w:rsid w:val="002F2BEB"/>
    <w:rsid w:val="002F37A3"/>
    <w:rsid w:val="002F3892"/>
    <w:rsid w:val="002F3B9D"/>
    <w:rsid w:val="002F493A"/>
    <w:rsid w:val="002F4958"/>
    <w:rsid w:val="002F4CB6"/>
    <w:rsid w:val="002F5EB5"/>
    <w:rsid w:val="002F5FA0"/>
    <w:rsid w:val="002F631C"/>
    <w:rsid w:val="002F6DE1"/>
    <w:rsid w:val="002F6E77"/>
    <w:rsid w:val="002F7B8D"/>
    <w:rsid w:val="002F7C3E"/>
    <w:rsid w:val="00300450"/>
    <w:rsid w:val="00300672"/>
    <w:rsid w:val="00301688"/>
    <w:rsid w:val="00302953"/>
    <w:rsid w:val="00303513"/>
    <w:rsid w:val="00303587"/>
    <w:rsid w:val="00305E6B"/>
    <w:rsid w:val="003075EE"/>
    <w:rsid w:val="003076A9"/>
    <w:rsid w:val="00312126"/>
    <w:rsid w:val="0031314D"/>
    <w:rsid w:val="00313769"/>
    <w:rsid w:val="00313CBC"/>
    <w:rsid w:val="00314B5E"/>
    <w:rsid w:val="00315320"/>
    <w:rsid w:val="0031763F"/>
    <w:rsid w:val="00317754"/>
    <w:rsid w:val="00317ADC"/>
    <w:rsid w:val="0032099B"/>
    <w:rsid w:val="00320FD8"/>
    <w:rsid w:val="00323622"/>
    <w:rsid w:val="003246E7"/>
    <w:rsid w:val="00324822"/>
    <w:rsid w:val="00325C5E"/>
    <w:rsid w:val="00326D3E"/>
    <w:rsid w:val="00327014"/>
    <w:rsid w:val="003270A4"/>
    <w:rsid w:val="00327667"/>
    <w:rsid w:val="00327F5F"/>
    <w:rsid w:val="0033012F"/>
    <w:rsid w:val="003308DE"/>
    <w:rsid w:val="00330DB9"/>
    <w:rsid w:val="00331DB3"/>
    <w:rsid w:val="003321A0"/>
    <w:rsid w:val="00332F06"/>
    <w:rsid w:val="0033496F"/>
    <w:rsid w:val="00335214"/>
    <w:rsid w:val="00337A0F"/>
    <w:rsid w:val="003402D7"/>
    <w:rsid w:val="00340940"/>
    <w:rsid w:val="00340E78"/>
    <w:rsid w:val="0034141A"/>
    <w:rsid w:val="00343365"/>
    <w:rsid w:val="00345691"/>
    <w:rsid w:val="00346202"/>
    <w:rsid w:val="00350854"/>
    <w:rsid w:val="00351534"/>
    <w:rsid w:val="003528E5"/>
    <w:rsid w:val="003538A5"/>
    <w:rsid w:val="00355D0B"/>
    <w:rsid w:val="00356A66"/>
    <w:rsid w:val="00357292"/>
    <w:rsid w:val="003572B4"/>
    <w:rsid w:val="003575A9"/>
    <w:rsid w:val="00357CF0"/>
    <w:rsid w:val="00360A3B"/>
    <w:rsid w:val="00360CD1"/>
    <w:rsid w:val="00360D77"/>
    <w:rsid w:val="00360EF9"/>
    <w:rsid w:val="0036271C"/>
    <w:rsid w:val="00363B15"/>
    <w:rsid w:val="00363E10"/>
    <w:rsid w:val="00364559"/>
    <w:rsid w:val="003662A7"/>
    <w:rsid w:val="0036765C"/>
    <w:rsid w:val="003677FE"/>
    <w:rsid w:val="0037000C"/>
    <w:rsid w:val="0037065D"/>
    <w:rsid w:val="00372974"/>
    <w:rsid w:val="00372D94"/>
    <w:rsid w:val="00372FA1"/>
    <w:rsid w:val="003730D1"/>
    <w:rsid w:val="003732CA"/>
    <w:rsid w:val="0037383E"/>
    <w:rsid w:val="00373EE8"/>
    <w:rsid w:val="00374756"/>
    <w:rsid w:val="003747F2"/>
    <w:rsid w:val="0037547C"/>
    <w:rsid w:val="00375B17"/>
    <w:rsid w:val="00375B91"/>
    <w:rsid w:val="00375EC3"/>
    <w:rsid w:val="00376201"/>
    <w:rsid w:val="00376BFE"/>
    <w:rsid w:val="00376C77"/>
    <w:rsid w:val="00380EFF"/>
    <w:rsid w:val="00381156"/>
    <w:rsid w:val="00381A4F"/>
    <w:rsid w:val="00383987"/>
    <w:rsid w:val="00384BD3"/>
    <w:rsid w:val="003850C8"/>
    <w:rsid w:val="003852CD"/>
    <w:rsid w:val="00385433"/>
    <w:rsid w:val="00386C08"/>
    <w:rsid w:val="00391AA5"/>
    <w:rsid w:val="00392341"/>
    <w:rsid w:val="003923BE"/>
    <w:rsid w:val="003925A8"/>
    <w:rsid w:val="00393C87"/>
    <w:rsid w:val="00394CE8"/>
    <w:rsid w:val="00395997"/>
    <w:rsid w:val="003960B6"/>
    <w:rsid w:val="00396A83"/>
    <w:rsid w:val="00397B68"/>
    <w:rsid w:val="003A1608"/>
    <w:rsid w:val="003A3026"/>
    <w:rsid w:val="003A3A89"/>
    <w:rsid w:val="003A4E2F"/>
    <w:rsid w:val="003A53C4"/>
    <w:rsid w:val="003B118E"/>
    <w:rsid w:val="003B172D"/>
    <w:rsid w:val="003B212B"/>
    <w:rsid w:val="003B3108"/>
    <w:rsid w:val="003B3C14"/>
    <w:rsid w:val="003B49CA"/>
    <w:rsid w:val="003B5A20"/>
    <w:rsid w:val="003B6748"/>
    <w:rsid w:val="003B68C3"/>
    <w:rsid w:val="003B7840"/>
    <w:rsid w:val="003B79D0"/>
    <w:rsid w:val="003C0DFA"/>
    <w:rsid w:val="003C19A3"/>
    <w:rsid w:val="003C232F"/>
    <w:rsid w:val="003C277B"/>
    <w:rsid w:val="003C36BB"/>
    <w:rsid w:val="003C4BBB"/>
    <w:rsid w:val="003C5639"/>
    <w:rsid w:val="003C6C73"/>
    <w:rsid w:val="003C6F77"/>
    <w:rsid w:val="003D2784"/>
    <w:rsid w:val="003D2EFE"/>
    <w:rsid w:val="003D3673"/>
    <w:rsid w:val="003D3933"/>
    <w:rsid w:val="003D4103"/>
    <w:rsid w:val="003D42EE"/>
    <w:rsid w:val="003D4D66"/>
    <w:rsid w:val="003D5589"/>
    <w:rsid w:val="003D560D"/>
    <w:rsid w:val="003D5CAC"/>
    <w:rsid w:val="003D67D1"/>
    <w:rsid w:val="003D6E7D"/>
    <w:rsid w:val="003D6EDE"/>
    <w:rsid w:val="003E0F9C"/>
    <w:rsid w:val="003E13CD"/>
    <w:rsid w:val="003E4055"/>
    <w:rsid w:val="003E4205"/>
    <w:rsid w:val="003E4DA2"/>
    <w:rsid w:val="003E53DA"/>
    <w:rsid w:val="003E5543"/>
    <w:rsid w:val="003E7B97"/>
    <w:rsid w:val="003E7D49"/>
    <w:rsid w:val="003F19EC"/>
    <w:rsid w:val="003F20F3"/>
    <w:rsid w:val="003F34F9"/>
    <w:rsid w:val="003F3B43"/>
    <w:rsid w:val="003F5206"/>
    <w:rsid w:val="003F57B7"/>
    <w:rsid w:val="003F5B9C"/>
    <w:rsid w:val="003F5D6B"/>
    <w:rsid w:val="004001F8"/>
    <w:rsid w:val="00401A65"/>
    <w:rsid w:val="00402FDE"/>
    <w:rsid w:val="00403574"/>
    <w:rsid w:val="00403D64"/>
    <w:rsid w:val="00405A1B"/>
    <w:rsid w:val="00405A3D"/>
    <w:rsid w:val="00406438"/>
    <w:rsid w:val="00406640"/>
    <w:rsid w:val="00406BB1"/>
    <w:rsid w:val="00406F8E"/>
    <w:rsid w:val="00407A63"/>
    <w:rsid w:val="00410873"/>
    <w:rsid w:val="00410A03"/>
    <w:rsid w:val="00412538"/>
    <w:rsid w:val="0041367E"/>
    <w:rsid w:val="00413A3B"/>
    <w:rsid w:val="004162E2"/>
    <w:rsid w:val="004165DA"/>
    <w:rsid w:val="0041706C"/>
    <w:rsid w:val="00417C1C"/>
    <w:rsid w:val="00417F31"/>
    <w:rsid w:val="00421A36"/>
    <w:rsid w:val="00421EE6"/>
    <w:rsid w:val="00421F24"/>
    <w:rsid w:val="0042344F"/>
    <w:rsid w:val="004239FA"/>
    <w:rsid w:val="00423BB1"/>
    <w:rsid w:val="00424AD5"/>
    <w:rsid w:val="00424B6A"/>
    <w:rsid w:val="0042799A"/>
    <w:rsid w:val="00430115"/>
    <w:rsid w:val="00430312"/>
    <w:rsid w:val="00430DAF"/>
    <w:rsid w:val="00430E3B"/>
    <w:rsid w:val="00431E62"/>
    <w:rsid w:val="00432418"/>
    <w:rsid w:val="00433A43"/>
    <w:rsid w:val="00433D17"/>
    <w:rsid w:val="004344FD"/>
    <w:rsid w:val="00434AE2"/>
    <w:rsid w:val="0043689D"/>
    <w:rsid w:val="00436942"/>
    <w:rsid w:val="00436AAC"/>
    <w:rsid w:val="004370BE"/>
    <w:rsid w:val="004378DC"/>
    <w:rsid w:val="00437E5B"/>
    <w:rsid w:val="00442D1C"/>
    <w:rsid w:val="004439BF"/>
    <w:rsid w:val="00446975"/>
    <w:rsid w:val="00446EF9"/>
    <w:rsid w:val="00446FC2"/>
    <w:rsid w:val="00447E53"/>
    <w:rsid w:val="004521A4"/>
    <w:rsid w:val="004535A3"/>
    <w:rsid w:val="00453BA3"/>
    <w:rsid w:val="004555FB"/>
    <w:rsid w:val="0045608B"/>
    <w:rsid w:val="004564D4"/>
    <w:rsid w:val="004566C7"/>
    <w:rsid w:val="00456874"/>
    <w:rsid w:val="0045708C"/>
    <w:rsid w:val="00457CE2"/>
    <w:rsid w:val="00460F5E"/>
    <w:rsid w:val="00461A2B"/>
    <w:rsid w:val="00461A69"/>
    <w:rsid w:val="004625C3"/>
    <w:rsid w:val="00463BED"/>
    <w:rsid w:val="004644B7"/>
    <w:rsid w:val="00466D83"/>
    <w:rsid w:val="00467AD7"/>
    <w:rsid w:val="00467B5F"/>
    <w:rsid w:val="004712E5"/>
    <w:rsid w:val="00471DC3"/>
    <w:rsid w:val="00474391"/>
    <w:rsid w:val="004752C1"/>
    <w:rsid w:val="004758E7"/>
    <w:rsid w:val="00477221"/>
    <w:rsid w:val="00477568"/>
    <w:rsid w:val="004778AA"/>
    <w:rsid w:val="004805EF"/>
    <w:rsid w:val="00480708"/>
    <w:rsid w:val="00480D84"/>
    <w:rsid w:val="00480EF1"/>
    <w:rsid w:val="0048166B"/>
    <w:rsid w:val="00481EE8"/>
    <w:rsid w:val="0048285A"/>
    <w:rsid w:val="0048362A"/>
    <w:rsid w:val="00484150"/>
    <w:rsid w:val="004858F5"/>
    <w:rsid w:val="004867BF"/>
    <w:rsid w:val="00490E02"/>
    <w:rsid w:val="00490F78"/>
    <w:rsid w:val="00491CD3"/>
    <w:rsid w:val="0049260F"/>
    <w:rsid w:val="00492873"/>
    <w:rsid w:val="0049312E"/>
    <w:rsid w:val="004951C3"/>
    <w:rsid w:val="004955A0"/>
    <w:rsid w:val="004959C5"/>
    <w:rsid w:val="00496402"/>
    <w:rsid w:val="00497474"/>
    <w:rsid w:val="004A02CA"/>
    <w:rsid w:val="004A1605"/>
    <w:rsid w:val="004A1C62"/>
    <w:rsid w:val="004A247F"/>
    <w:rsid w:val="004A32A0"/>
    <w:rsid w:val="004A3485"/>
    <w:rsid w:val="004A45A4"/>
    <w:rsid w:val="004A490E"/>
    <w:rsid w:val="004A572A"/>
    <w:rsid w:val="004A6450"/>
    <w:rsid w:val="004A6B7D"/>
    <w:rsid w:val="004B160B"/>
    <w:rsid w:val="004B189D"/>
    <w:rsid w:val="004B27BC"/>
    <w:rsid w:val="004B30B3"/>
    <w:rsid w:val="004B30BC"/>
    <w:rsid w:val="004B4733"/>
    <w:rsid w:val="004B68FC"/>
    <w:rsid w:val="004B6B7C"/>
    <w:rsid w:val="004B7B75"/>
    <w:rsid w:val="004B7D41"/>
    <w:rsid w:val="004C01E2"/>
    <w:rsid w:val="004C0466"/>
    <w:rsid w:val="004C1C52"/>
    <w:rsid w:val="004C337A"/>
    <w:rsid w:val="004C3DA3"/>
    <w:rsid w:val="004C56C1"/>
    <w:rsid w:val="004C72AA"/>
    <w:rsid w:val="004D00C5"/>
    <w:rsid w:val="004D05DB"/>
    <w:rsid w:val="004D1449"/>
    <w:rsid w:val="004D1AD8"/>
    <w:rsid w:val="004D2BD6"/>
    <w:rsid w:val="004D2BE0"/>
    <w:rsid w:val="004D30A6"/>
    <w:rsid w:val="004D3B85"/>
    <w:rsid w:val="004D4A95"/>
    <w:rsid w:val="004D4AA1"/>
    <w:rsid w:val="004D5322"/>
    <w:rsid w:val="004E08CB"/>
    <w:rsid w:val="004E1202"/>
    <w:rsid w:val="004E290C"/>
    <w:rsid w:val="004E2B99"/>
    <w:rsid w:val="004E2F57"/>
    <w:rsid w:val="004E5347"/>
    <w:rsid w:val="004E5A81"/>
    <w:rsid w:val="004E609A"/>
    <w:rsid w:val="004E6D05"/>
    <w:rsid w:val="004E6DC3"/>
    <w:rsid w:val="004F03FC"/>
    <w:rsid w:val="004F1402"/>
    <w:rsid w:val="004F1E5F"/>
    <w:rsid w:val="004F3668"/>
    <w:rsid w:val="004F5D33"/>
    <w:rsid w:val="004F6440"/>
    <w:rsid w:val="004F7611"/>
    <w:rsid w:val="004F7BC6"/>
    <w:rsid w:val="005006CD"/>
    <w:rsid w:val="00500A74"/>
    <w:rsid w:val="0050101F"/>
    <w:rsid w:val="00501738"/>
    <w:rsid w:val="005028C5"/>
    <w:rsid w:val="00503A33"/>
    <w:rsid w:val="00503BFF"/>
    <w:rsid w:val="00503F80"/>
    <w:rsid w:val="00506D5F"/>
    <w:rsid w:val="0050748C"/>
    <w:rsid w:val="00507CF6"/>
    <w:rsid w:val="00507D43"/>
    <w:rsid w:val="00510CE0"/>
    <w:rsid w:val="005158D2"/>
    <w:rsid w:val="0051623C"/>
    <w:rsid w:val="00517FF4"/>
    <w:rsid w:val="005200EC"/>
    <w:rsid w:val="00520824"/>
    <w:rsid w:val="00522951"/>
    <w:rsid w:val="00522BD5"/>
    <w:rsid w:val="005243A5"/>
    <w:rsid w:val="00524A78"/>
    <w:rsid w:val="00525104"/>
    <w:rsid w:val="00526747"/>
    <w:rsid w:val="00532064"/>
    <w:rsid w:val="00533688"/>
    <w:rsid w:val="00533F69"/>
    <w:rsid w:val="00533F6C"/>
    <w:rsid w:val="00534102"/>
    <w:rsid w:val="00534C13"/>
    <w:rsid w:val="00535563"/>
    <w:rsid w:val="0053570E"/>
    <w:rsid w:val="00536617"/>
    <w:rsid w:val="00540CA8"/>
    <w:rsid w:val="00541578"/>
    <w:rsid w:val="00542332"/>
    <w:rsid w:val="00542C0E"/>
    <w:rsid w:val="00543D9D"/>
    <w:rsid w:val="00543F8A"/>
    <w:rsid w:val="005451AA"/>
    <w:rsid w:val="00546B76"/>
    <w:rsid w:val="00546B99"/>
    <w:rsid w:val="00546C1F"/>
    <w:rsid w:val="005500B9"/>
    <w:rsid w:val="005509C8"/>
    <w:rsid w:val="00550F1A"/>
    <w:rsid w:val="00551DBD"/>
    <w:rsid w:val="00553855"/>
    <w:rsid w:val="00554A13"/>
    <w:rsid w:val="00555AC0"/>
    <w:rsid w:val="00560417"/>
    <w:rsid w:val="00560C21"/>
    <w:rsid w:val="00563B5F"/>
    <w:rsid w:val="00564E5A"/>
    <w:rsid w:val="00565CF7"/>
    <w:rsid w:val="00566AC8"/>
    <w:rsid w:val="00566D90"/>
    <w:rsid w:val="00567296"/>
    <w:rsid w:val="00570383"/>
    <w:rsid w:val="005717E6"/>
    <w:rsid w:val="00571A30"/>
    <w:rsid w:val="00572D1A"/>
    <w:rsid w:val="00573CDC"/>
    <w:rsid w:val="00573F45"/>
    <w:rsid w:val="00575B29"/>
    <w:rsid w:val="00575DC0"/>
    <w:rsid w:val="00576770"/>
    <w:rsid w:val="00576F5C"/>
    <w:rsid w:val="0057706D"/>
    <w:rsid w:val="00577946"/>
    <w:rsid w:val="00577C28"/>
    <w:rsid w:val="00581076"/>
    <w:rsid w:val="00583776"/>
    <w:rsid w:val="005843F2"/>
    <w:rsid w:val="0058527B"/>
    <w:rsid w:val="00585CBB"/>
    <w:rsid w:val="005862E2"/>
    <w:rsid w:val="005870B3"/>
    <w:rsid w:val="00587288"/>
    <w:rsid w:val="005873B3"/>
    <w:rsid w:val="0058761D"/>
    <w:rsid w:val="00590791"/>
    <w:rsid w:val="005917A3"/>
    <w:rsid w:val="00591AE6"/>
    <w:rsid w:val="005921D1"/>
    <w:rsid w:val="00593FCC"/>
    <w:rsid w:val="00594600"/>
    <w:rsid w:val="00595CE7"/>
    <w:rsid w:val="005A073E"/>
    <w:rsid w:val="005A077E"/>
    <w:rsid w:val="005A1DA7"/>
    <w:rsid w:val="005A30C3"/>
    <w:rsid w:val="005A360A"/>
    <w:rsid w:val="005A3F68"/>
    <w:rsid w:val="005A4782"/>
    <w:rsid w:val="005A6F53"/>
    <w:rsid w:val="005A7C3F"/>
    <w:rsid w:val="005B0973"/>
    <w:rsid w:val="005B0FC7"/>
    <w:rsid w:val="005B2BAC"/>
    <w:rsid w:val="005B31BB"/>
    <w:rsid w:val="005B378F"/>
    <w:rsid w:val="005B38FC"/>
    <w:rsid w:val="005B40C4"/>
    <w:rsid w:val="005B4D8D"/>
    <w:rsid w:val="005B7383"/>
    <w:rsid w:val="005B7D08"/>
    <w:rsid w:val="005B7D22"/>
    <w:rsid w:val="005C0301"/>
    <w:rsid w:val="005C0C39"/>
    <w:rsid w:val="005C10A1"/>
    <w:rsid w:val="005C1D84"/>
    <w:rsid w:val="005C2ABA"/>
    <w:rsid w:val="005C331E"/>
    <w:rsid w:val="005C3455"/>
    <w:rsid w:val="005C49A1"/>
    <w:rsid w:val="005C60A0"/>
    <w:rsid w:val="005C60D2"/>
    <w:rsid w:val="005C7A11"/>
    <w:rsid w:val="005D061D"/>
    <w:rsid w:val="005D21F6"/>
    <w:rsid w:val="005D2560"/>
    <w:rsid w:val="005D3308"/>
    <w:rsid w:val="005D466B"/>
    <w:rsid w:val="005D51DA"/>
    <w:rsid w:val="005D5249"/>
    <w:rsid w:val="005D5266"/>
    <w:rsid w:val="005D58CD"/>
    <w:rsid w:val="005D608C"/>
    <w:rsid w:val="005D6E02"/>
    <w:rsid w:val="005D70A7"/>
    <w:rsid w:val="005D70AB"/>
    <w:rsid w:val="005D768D"/>
    <w:rsid w:val="005D796E"/>
    <w:rsid w:val="005D79C7"/>
    <w:rsid w:val="005E06BE"/>
    <w:rsid w:val="005E1C9E"/>
    <w:rsid w:val="005E24B6"/>
    <w:rsid w:val="005E2A00"/>
    <w:rsid w:val="005E3DF9"/>
    <w:rsid w:val="005E40AD"/>
    <w:rsid w:val="005E466F"/>
    <w:rsid w:val="005E5996"/>
    <w:rsid w:val="005E698C"/>
    <w:rsid w:val="005E6CBE"/>
    <w:rsid w:val="005E6CE7"/>
    <w:rsid w:val="005E720A"/>
    <w:rsid w:val="005E7EAA"/>
    <w:rsid w:val="005F0153"/>
    <w:rsid w:val="005F0873"/>
    <w:rsid w:val="005F09FD"/>
    <w:rsid w:val="005F145E"/>
    <w:rsid w:val="005F19E7"/>
    <w:rsid w:val="005F2A54"/>
    <w:rsid w:val="005F2CD0"/>
    <w:rsid w:val="005F2F26"/>
    <w:rsid w:val="005F3EBD"/>
    <w:rsid w:val="005F41FC"/>
    <w:rsid w:val="005F5E94"/>
    <w:rsid w:val="005F6634"/>
    <w:rsid w:val="005F78E7"/>
    <w:rsid w:val="00601E4C"/>
    <w:rsid w:val="00603B8C"/>
    <w:rsid w:val="006046BB"/>
    <w:rsid w:val="00606184"/>
    <w:rsid w:val="00606463"/>
    <w:rsid w:val="00607523"/>
    <w:rsid w:val="00610031"/>
    <w:rsid w:val="0061004D"/>
    <w:rsid w:val="006105C2"/>
    <w:rsid w:val="006109E7"/>
    <w:rsid w:val="00610C89"/>
    <w:rsid w:val="006111DD"/>
    <w:rsid w:val="00612BBE"/>
    <w:rsid w:val="00612EA8"/>
    <w:rsid w:val="00613551"/>
    <w:rsid w:val="00614063"/>
    <w:rsid w:val="00614090"/>
    <w:rsid w:val="006144E0"/>
    <w:rsid w:val="00614BF9"/>
    <w:rsid w:val="00616E97"/>
    <w:rsid w:val="006172B9"/>
    <w:rsid w:val="00617867"/>
    <w:rsid w:val="0061794B"/>
    <w:rsid w:val="00620B30"/>
    <w:rsid w:val="00621606"/>
    <w:rsid w:val="00621651"/>
    <w:rsid w:val="00621E37"/>
    <w:rsid w:val="0062247A"/>
    <w:rsid w:val="006227D4"/>
    <w:rsid w:val="00622D6D"/>
    <w:rsid w:val="00624132"/>
    <w:rsid w:val="00625878"/>
    <w:rsid w:val="00625D01"/>
    <w:rsid w:val="00627F52"/>
    <w:rsid w:val="00627F94"/>
    <w:rsid w:val="006309FE"/>
    <w:rsid w:val="006313A6"/>
    <w:rsid w:val="006313F8"/>
    <w:rsid w:val="00631821"/>
    <w:rsid w:val="00632063"/>
    <w:rsid w:val="00632E17"/>
    <w:rsid w:val="006339C3"/>
    <w:rsid w:val="00633B55"/>
    <w:rsid w:val="0063429D"/>
    <w:rsid w:val="0063436A"/>
    <w:rsid w:val="00634A65"/>
    <w:rsid w:val="0063514B"/>
    <w:rsid w:val="006357E8"/>
    <w:rsid w:val="006359FB"/>
    <w:rsid w:val="0063652C"/>
    <w:rsid w:val="006400FA"/>
    <w:rsid w:val="00640310"/>
    <w:rsid w:val="006406A0"/>
    <w:rsid w:val="006406B3"/>
    <w:rsid w:val="006410A5"/>
    <w:rsid w:val="00641EDA"/>
    <w:rsid w:val="00642334"/>
    <w:rsid w:val="0064247F"/>
    <w:rsid w:val="00642E43"/>
    <w:rsid w:val="00644476"/>
    <w:rsid w:val="00646E62"/>
    <w:rsid w:val="0064712A"/>
    <w:rsid w:val="0064796F"/>
    <w:rsid w:val="00647E37"/>
    <w:rsid w:val="00650845"/>
    <w:rsid w:val="006516A8"/>
    <w:rsid w:val="006516D1"/>
    <w:rsid w:val="006545B4"/>
    <w:rsid w:val="006558BF"/>
    <w:rsid w:val="00655D9D"/>
    <w:rsid w:val="00656A06"/>
    <w:rsid w:val="00660BA6"/>
    <w:rsid w:val="00661C07"/>
    <w:rsid w:val="00662522"/>
    <w:rsid w:val="006625EE"/>
    <w:rsid w:val="00664BE7"/>
    <w:rsid w:val="00664D2B"/>
    <w:rsid w:val="00664DF3"/>
    <w:rsid w:val="00664ED3"/>
    <w:rsid w:val="006653C3"/>
    <w:rsid w:val="006654A4"/>
    <w:rsid w:val="006661EE"/>
    <w:rsid w:val="00667E97"/>
    <w:rsid w:val="00670748"/>
    <w:rsid w:val="00670EDA"/>
    <w:rsid w:val="00670F8C"/>
    <w:rsid w:val="00671462"/>
    <w:rsid w:val="0067193A"/>
    <w:rsid w:val="00671AB9"/>
    <w:rsid w:val="00673757"/>
    <w:rsid w:val="00673A6A"/>
    <w:rsid w:val="0067447F"/>
    <w:rsid w:val="00674AFC"/>
    <w:rsid w:val="00674BF0"/>
    <w:rsid w:val="00677DE1"/>
    <w:rsid w:val="00680B4C"/>
    <w:rsid w:val="00680D7A"/>
    <w:rsid w:val="00681E02"/>
    <w:rsid w:val="00681EA9"/>
    <w:rsid w:val="00682E51"/>
    <w:rsid w:val="0068340E"/>
    <w:rsid w:val="006838D8"/>
    <w:rsid w:val="00683D91"/>
    <w:rsid w:val="00683DF9"/>
    <w:rsid w:val="0068436A"/>
    <w:rsid w:val="006862AD"/>
    <w:rsid w:val="0068720B"/>
    <w:rsid w:val="00687514"/>
    <w:rsid w:val="006905F2"/>
    <w:rsid w:val="006919B3"/>
    <w:rsid w:val="00691C0A"/>
    <w:rsid w:val="006921A9"/>
    <w:rsid w:val="0069233F"/>
    <w:rsid w:val="0069259E"/>
    <w:rsid w:val="006934B0"/>
    <w:rsid w:val="00693703"/>
    <w:rsid w:val="00693A1A"/>
    <w:rsid w:val="00693A99"/>
    <w:rsid w:val="00694B39"/>
    <w:rsid w:val="006950CB"/>
    <w:rsid w:val="00695586"/>
    <w:rsid w:val="006961C1"/>
    <w:rsid w:val="00696FDC"/>
    <w:rsid w:val="006A15F6"/>
    <w:rsid w:val="006A17A7"/>
    <w:rsid w:val="006A1D25"/>
    <w:rsid w:val="006A1DC3"/>
    <w:rsid w:val="006A385A"/>
    <w:rsid w:val="006A3BA8"/>
    <w:rsid w:val="006A3D2E"/>
    <w:rsid w:val="006A4C74"/>
    <w:rsid w:val="006A4D0D"/>
    <w:rsid w:val="006A5087"/>
    <w:rsid w:val="006A6065"/>
    <w:rsid w:val="006A6C86"/>
    <w:rsid w:val="006B1C8D"/>
    <w:rsid w:val="006B2E2D"/>
    <w:rsid w:val="006B2F98"/>
    <w:rsid w:val="006B2FC1"/>
    <w:rsid w:val="006B35C6"/>
    <w:rsid w:val="006B6CBD"/>
    <w:rsid w:val="006B6CF4"/>
    <w:rsid w:val="006C028D"/>
    <w:rsid w:val="006C0E4A"/>
    <w:rsid w:val="006C131C"/>
    <w:rsid w:val="006C1C64"/>
    <w:rsid w:val="006C2767"/>
    <w:rsid w:val="006C3880"/>
    <w:rsid w:val="006C3D8C"/>
    <w:rsid w:val="006C445C"/>
    <w:rsid w:val="006C4584"/>
    <w:rsid w:val="006C46F2"/>
    <w:rsid w:val="006C5A2F"/>
    <w:rsid w:val="006C63F3"/>
    <w:rsid w:val="006C7722"/>
    <w:rsid w:val="006D011E"/>
    <w:rsid w:val="006D2060"/>
    <w:rsid w:val="006D2064"/>
    <w:rsid w:val="006D2398"/>
    <w:rsid w:val="006D2B4D"/>
    <w:rsid w:val="006D366B"/>
    <w:rsid w:val="006D4094"/>
    <w:rsid w:val="006D45CD"/>
    <w:rsid w:val="006D5605"/>
    <w:rsid w:val="006D5923"/>
    <w:rsid w:val="006D5AF9"/>
    <w:rsid w:val="006D5E2A"/>
    <w:rsid w:val="006D5F36"/>
    <w:rsid w:val="006D6BD2"/>
    <w:rsid w:val="006D7345"/>
    <w:rsid w:val="006E005C"/>
    <w:rsid w:val="006E071F"/>
    <w:rsid w:val="006E0B3E"/>
    <w:rsid w:val="006E10F7"/>
    <w:rsid w:val="006E183A"/>
    <w:rsid w:val="006E1B86"/>
    <w:rsid w:val="006E1EB4"/>
    <w:rsid w:val="006E2794"/>
    <w:rsid w:val="006E5FD3"/>
    <w:rsid w:val="006E61BB"/>
    <w:rsid w:val="006E79FC"/>
    <w:rsid w:val="006F075C"/>
    <w:rsid w:val="006F0DE5"/>
    <w:rsid w:val="006F2C4B"/>
    <w:rsid w:val="006F378A"/>
    <w:rsid w:val="006F4927"/>
    <w:rsid w:val="006F5A7F"/>
    <w:rsid w:val="006F6F9E"/>
    <w:rsid w:val="006F72F9"/>
    <w:rsid w:val="006F7330"/>
    <w:rsid w:val="006F751C"/>
    <w:rsid w:val="006F7844"/>
    <w:rsid w:val="00700941"/>
    <w:rsid w:val="00701C41"/>
    <w:rsid w:val="00701DC2"/>
    <w:rsid w:val="007022C0"/>
    <w:rsid w:val="007026A4"/>
    <w:rsid w:val="0070335B"/>
    <w:rsid w:val="007034CC"/>
    <w:rsid w:val="0070453E"/>
    <w:rsid w:val="00704989"/>
    <w:rsid w:val="00704A09"/>
    <w:rsid w:val="00705912"/>
    <w:rsid w:val="00706A52"/>
    <w:rsid w:val="0070738F"/>
    <w:rsid w:val="00707D68"/>
    <w:rsid w:val="00710703"/>
    <w:rsid w:val="00710D23"/>
    <w:rsid w:val="007110BF"/>
    <w:rsid w:val="007114EB"/>
    <w:rsid w:val="007120D7"/>
    <w:rsid w:val="00712FF3"/>
    <w:rsid w:val="007142FC"/>
    <w:rsid w:val="007152B0"/>
    <w:rsid w:val="00715C8F"/>
    <w:rsid w:val="00716924"/>
    <w:rsid w:val="00716A4B"/>
    <w:rsid w:val="00716B44"/>
    <w:rsid w:val="007205A4"/>
    <w:rsid w:val="00720671"/>
    <w:rsid w:val="00722101"/>
    <w:rsid w:val="007224D7"/>
    <w:rsid w:val="007239F7"/>
    <w:rsid w:val="00723B9C"/>
    <w:rsid w:val="00723C9C"/>
    <w:rsid w:val="007256F9"/>
    <w:rsid w:val="00726883"/>
    <w:rsid w:val="00731BA7"/>
    <w:rsid w:val="00731D03"/>
    <w:rsid w:val="00732E57"/>
    <w:rsid w:val="007340AA"/>
    <w:rsid w:val="0073427C"/>
    <w:rsid w:val="007343C3"/>
    <w:rsid w:val="00734AF8"/>
    <w:rsid w:val="00735391"/>
    <w:rsid w:val="00735441"/>
    <w:rsid w:val="00736301"/>
    <w:rsid w:val="00737412"/>
    <w:rsid w:val="00737A6C"/>
    <w:rsid w:val="00737E36"/>
    <w:rsid w:val="00740901"/>
    <w:rsid w:val="00740A54"/>
    <w:rsid w:val="007410E8"/>
    <w:rsid w:val="00741E27"/>
    <w:rsid w:val="00742114"/>
    <w:rsid w:val="0074360A"/>
    <w:rsid w:val="0074459B"/>
    <w:rsid w:val="007455BF"/>
    <w:rsid w:val="00745B51"/>
    <w:rsid w:val="00746815"/>
    <w:rsid w:val="00746B28"/>
    <w:rsid w:val="00747271"/>
    <w:rsid w:val="00747945"/>
    <w:rsid w:val="00751272"/>
    <w:rsid w:val="00751A80"/>
    <w:rsid w:val="00751CD0"/>
    <w:rsid w:val="007523F9"/>
    <w:rsid w:val="00752589"/>
    <w:rsid w:val="00752C58"/>
    <w:rsid w:val="00753C7E"/>
    <w:rsid w:val="00753E77"/>
    <w:rsid w:val="007547ED"/>
    <w:rsid w:val="007569E2"/>
    <w:rsid w:val="00756AA1"/>
    <w:rsid w:val="007570A9"/>
    <w:rsid w:val="007600F8"/>
    <w:rsid w:val="00760803"/>
    <w:rsid w:val="007617C5"/>
    <w:rsid w:val="0076221F"/>
    <w:rsid w:val="00762B73"/>
    <w:rsid w:val="00762BA5"/>
    <w:rsid w:val="00763ABD"/>
    <w:rsid w:val="00763CCE"/>
    <w:rsid w:val="00763DDC"/>
    <w:rsid w:val="0076469D"/>
    <w:rsid w:val="00764DFA"/>
    <w:rsid w:val="00764E78"/>
    <w:rsid w:val="00765279"/>
    <w:rsid w:val="00766A0B"/>
    <w:rsid w:val="007677C3"/>
    <w:rsid w:val="00767FBA"/>
    <w:rsid w:val="00770E3F"/>
    <w:rsid w:val="007721C1"/>
    <w:rsid w:val="00773C94"/>
    <w:rsid w:val="00774AB3"/>
    <w:rsid w:val="00775794"/>
    <w:rsid w:val="00776950"/>
    <w:rsid w:val="00777EC0"/>
    <w:rsid w:val="00781D97"/>
    <w:rsid w:val="00782C0D"/>
    <w:rsid w:val="00783E34"/>
    <w:rsid w:val="007844F3"/>
    <w:rsid w:val="007847B2"/>
    <w:rsid w:val="00785107"/>
    <w:rsid w:val="00792971"/>
    <w:rsid w:val="00792F8B"/>
    <w:rsid w:val="00794C60"/>
    <w:rsid w:val="00795922"/>
    <w:rsid w:val="0079780C"/>
    <w:rsid w:val="007A14DD"/>
    <w:rsid w:val="007A2833"/>
    <w:rsid w:val="007A2E00"/>
    <w:rsid w:val="007A3307"/>
    <w:rsid w:val="007A509E"/>
    <w:rsid w:val="007A6FE7"/>
    <w:rsid w:val="007A716F"/>
    <w:rsid w:val="007B00BD"/>
    <w:rsid w:val="007B1201"/>
    <w:rsid w:val="007B137A"/>
    <w:rsid w:val="007B20D9"/>
    <w:rsid w:val="007B337B"/>
    <w:rsid w:val="007B3694"/>
    <w:rsid w:val="007B396F"/>
    <w:rsid w:val="007B4665"/>
    <w:rsid w:val="007B4AD6"/>
    <w:rsid w:val="007B4ECD"/>
    <w:rsid w:val="007B557F"/>
    <w:rsid w:val="007B5CE1"/>
    <w:rsid w:val="007B627E"/>
    <w:rsid w:val="007B6A70"/>
    <w:rsid w:val="007C0267"/>
    <w:rsid w:val="007C1091"/>
    <w:rsid w:val="007C13CA"/>
    <w:rsid w:val="007C17F1"/>
    <w:rsid w:val="007C1A0B"/>
    <w:rsid w:val="007C2E22"/>
    <w:rsid w:val="007C49D3"/>
    <w:rsid w:val="007C6144"/>
    <w:rsid w:val="007C7AB5"/>
    <w:rsid w:val="007C7FE4"/>
    <w:rsid w:val="007D01C8"/>
    <w:rsid w:val="007D0297"/>
    <w:rsid w:val="007D16B0"/>
    <w:rsid w:val="007D18FF"/>
    <w:rsid w:val="007D1EBA"/>
    <w:rsid w:val="007D230A"/>
    <w:rsid w:val="007D493A"/>
    <w:rsid w:val="007D6666"/>
    <w:rsid w:val="007D6B72"/>
    <w:rsid w:val="007D7E9E"/>
    <w:rsid w:val="007E233A"/>
    <w:rsid w:val="007E2CB1"/>
    <w:rsid w:val="007E2E6F"/>
    <w:rsid w:val="007E3DA0"/>
    <w:rsid w:val="007E6797"/>
    <w:rsid w:val="007E7344"/>
    <w:rsid w:val="007E7DF5"/>
    <w:rsid w:val="007F0531"/>
    <w:rsid w:val="007F0E16"/>
    <w:rsid w:val="007F19DB"/>
    <w:rsid w:val="007F1DDA"/>
    <w:rsid w:val="007F21F3"/>
    <w:rsid w:val="007F2748"/>
    <w:rsid w:val="007F3782"/>
    <w:rsid w:val="007F41BB"/>
    <w:rsid w:val="007F4460"/>
    <w:rsid w:val="007F4D23"/>
    <w:rsid w:val="007F4F6E"/>
    <w:rsid w:val="007F51C2"/>
    <w:rsid w:val="007F60FA"/>
    <w:rsid w:val="007F6A26"/>
    <w:rsid w:val="007F7310"/>
    <w:rsid w:val="00800260"/>
    <w:rsid w:val="00803FDA"/>
    <w:rsid w:val="008040C4"/>
    <w:rsid w:val="00804113"/>
    <w:rsid w:val="00804EA0"/>
    <w:rsid w:val="0080531B"/>
    <w:rsid w:val="00805EE8"/>
    <w:rsid w:val="0080703D"/>
    <w:rsid w:val="0080753A"/>
    <w:rsid w:val="008075C8"/>
    <w:rsid w:val="00807A2E"/>
    <w:rsid w:val="00807FB7"/>
    <w:rsid w:val="008101F5"/>
    <w:rsid w:val="00810754"/>
    <w:rsid w:val="00810EC1"/>
    <w:rsid w:val="00811FE9"/>
    <w:rsid w:val="00813001"/>
    <w:rsid w:val="008133A3"/>
    <w:rsid w:val="008136F3"/>
    <w:rsid w:val="00813C8F"/>
    <w:rsid w:val="00813E90"/>
    <w:rsid w:val="00814C60"/>
    <w:rsid w:val="00815164"/>
    <w:rsid w:val="00816C68"/>
    <w:rsid w:val="00816ED6"/>
    <w:rsid w:val="00817271"/>
    <w:rsid w:val="00817642"/>
    <w:rsid w:val="00817A6E"/>
    <w:rsid w:val="00817E1F"/>
    <w:rsid w:val="00817ED1"/>
    <w:rsid w:val="0082031E"/>
    <w:rsid w:val="008203C0"/>
    <w:rsid w:val="008220EF"/>
    <w:rsid w:val="00822C8B"/>
    <w:rsid w:val="00822F82"/>
    <w:rsid w:val="008245CE"/>
    <w:rsid w:val="0082497E"/>
    <w:rsid w:val="008263A6"/>
    <w:rsid w:val="008266FA"/>
    <w:rsid w:val="00826A02"/>
    <w:rsid w:val="008301D5"/>
    <w:rsid w:val="00830230"/>
    <w:rsid w:val="008305A4"/>
    <w:rsid w:val="00832C1E"/>
    <w:rsid w:val="008338A8"/>
    <w:rsid w:val="0083393D"/>
    <w:rsid w:val="00834B9C"/>
    <w:rsid w:val="008357BE"/>
    <w:rsid w:val="00835D3C"/>
    <w:rsid w:val="00835EB8"/>
    <w:rsid w:val="008362B7"/>
    <w:rsid w:val="00837133"/>
    <w:rsid w:val="008371E8"/>
    <w:rsid w:val="00840573"/>
    <w:rsid w:val="00840AA3"/>
    <w:rsid w:val="00841144"/>
    <w:rsid w:val="00842B8D"/>
    <w:rsid w:val="00842E38"/>
    <w:rsid w:val="00843136"/>
    <w:rsid w:val="0084370D"/>
    <w:rsid w:val="00843CAE"/>
    <w:rsid w:val="00843E14"/>
    <w:rsid w:val="00844DDF"/>
    <w:rsid w:val="00846897"/>
    <w:rsid w:val="00847BC5"/>
    <w:rsid w:val="008505D4"/>
    <w:rsid w:val="00851D73"/>
    <w:rsid w:val="00852942"/>
    <w:rsid w:val="00852FCD"/>
    <w:rsid w:val="008542CA"/>
    <w:rsid w:val="00854EA4"/>
    <w:rsid w:val="008551CA"/>
    <w:rsid w:val="00855C9D"/>
    <w:rsid w:val="008568F8"/>
    <w:rsid w:val="00860153"/>
    <w:rsid w:val="00860FA7"/>
    <w:rsid w:val="00861DA6"/>
    <w:rsid w:val="008623A5"/>
    <w:rsid w:val="00863627"/>
    <w:rsid w:val="00863B59"/>
    <w:rsid w:val="00864B34"/>
    <w:rsid w:val="0086623C"/>
    <w:rsid w:val="00867684"/>
    <w:rsid w:val="0086785C"/>
    <w:rsid w:val="008701E3"/>
    <w:rsid w:val="00870331"/>
    <w:rsid w:val="00870D5C"/>
    <w:rsid w:val="00871536"/>
    <w:rsid w:val="00871B9D"/>
    <w:rsid w:val="00873368"/>
    <w:rsid w:val="0087375C"/>
    <w:rsid w:val="00873DD5"/>
    <w:rsid w:val="00874A0D"/>
    <w:rsid w:val="0087558B"/>
    <w:rsid w:val="008758D4"/>
    <w:rsid w:val="00875F95"/>
    <w:rsid w:val="00877A57"/>
    <w:rsid w:val="00880485"/>
    <w:rsid w:val="008819A7"/>
    <w:rsid w:val="008824EE"/>
    <w:rsid w:val="00882843"/>
    <w:rsid w:val="00883E83"/>
    <w:rsid w:val="0088458E"/>
    <w:rsid w:val="00884D05"/>
    <w:rsid w:val="00884E50"/>
    <w:rsid w:val="00885E3B"/>
    <w:rsid w:val="0088672A"/>
    <w:rsid w:val="0089035C"/>
    <w:rsid w:val="00890DD6"/>
    <w:rsid w:val="00891E12"/>
    <w:rsid w:val="008923E1"/>
    <w:rsid w:val="00892E2E"/>
    <w:rsid w:val="008947A6"/>
    <w:rsid w:val="00894808"/>
    <w:rsid w:val="008954BC"/>
    <w:rsid w:val="00895539"/>
    <w:rsid w:val="00895CFA"/>
    <w:rsid w:val="008971EC"/>
    <w:rsid w:val="00897791"/>
    <w:rsid w:val="00897907"/>
    <w:rsid w:val="008A08E9"/>
    <w:rsid w:val="008A23A3"/>
    <w:rsid w:val="008A2700"/>
    <w:rsid w:val="008A2D67"/>
    <w:rsid w:val="008A31C7"/>
    <w:rsid w:val="008A3374"/>
    <w:rsid w:val="008A3AF4"/>
    <w:rsid w:val="008A3DA3"/>
    <w:rsid w:val="008A4778"/>
    <w:rsid w:val="008A4F36"/>
    <w:rsid w:val="008A517D"/>
    <w:rsid w:val="008A6B0D"/>
    <w:rsid w:val="008A6E41"/>
    <w:rsid w:val="008A7248"/>
    <w:rsid w:val="008A7915"/>
    <w:rsid w:val="008B030F"/>
    <w:rsid w:val="008B0446"/>
    <w:rsid w:val="008B0BB0"/>
    <w:rsid w:val="008B140C"/>
    <w:rsid w:val="008B14F4"/>
    <w:rsid w:val="008B1DA1"/>
    <w:rsid w:val="008B206E"/>
    <w:rsid w:val="008B45E2"/>
    <w:rsid w:val="008B55B4"/>
    <w:rsid w:val="008B6711"/>
    <w:rsid w:val="008B779A"/>
    <w:rsid w:val="008C2C8C"/>
    <w:rsid w:val="008C366D"/>
    <w:rsid w:val="008C390D"/>
    <w:rsid w:val="008C44B2"/>
    <w:rsid w:val="008C5DAE"/>
    <w:rsid w:val="008C75B7"/>
    <w:rsid w:val="008D2B53"/>
    <w:rsid w:val="008D320D"/>
    <w:rsid w:val="008D3FBA"/>
    <w:rsid w:val="008D415F"/>
    <w:rsid w:val="008D4A3A"/>
    <w:rsid w:val="008D5790"/>
    <w:rsid w:val="008E041A"/>
    <w:rsid w:val="008E1D00"/>
    <w:rsid w:val="008E1FC1"/>
    <w:rsid w:val="008E20E5"/>
    <w:rsid w:val="008E29FF"/>
    <w:rsid w:val="008E2E1A"/>
    <w:rsid w:val="008E3574"/>
    <w:rsid w:val="008E57E3"/>
    <w:rsid w:val="008E6863"/>
    <w:rsid w:val="008E6C55"/>
    <w:rsid w:val="008E6CEB"/>
    <w:rsid w:val="008E78EE"/>
    <w:rsid w:val="008F07D2"/>
    <w:rsid w:val="008F0946"/>
    <w:rsid w:val="008F27FD"/>
    <w:rsid w:val="008F33C6"/>
    <w:rsid w:val="008F3EBD"/>
    <w:rsid w:val="008F5285"/>
    <w:rsid w:val="008F52D2"/>
    <w:rsid w:val="008F5418"/>
    <w:rsid w:val="008F59DC"/>
    <w:rsid w:val="008F63EB"/>
    <w:rsid w:val="008F745E"/>
    <w:rsid w:val="008F770E"/>
    <w:rsid w:val="009002CA"/>
    <w:rsid w:val="009005F3"/>
    <w:rsid w:val="009008D6"/>
    <w:rsid w:val="00900CF4"/>
    <w:rsid w:val="009016D8"/>
    <w:rsid w:val="00901843"/>
    <w:rsid w:val="00903022"/>
    <w:rsid w:val="00904F96"/>
    <w:rsid w:val="0090505A"/>
    <w:rsid w:val="009075DD"/>
    <w:rsid w:val="00910704"/>
    <w:rsid w:val="00910977"/>
    <w:rsid w:val="0091145D"/>
    <w:rsid w:val="00911496"/>
    <w:rsid w:val="00911673"/>
    <w:rsid w:val="009136ED"/>
    <w:rsid w:val="00913FF0"/>
    <w:rsid w:val="009143AC"/>
    <w:rsid w:val="0091690F"/>
    <w:rsid w:val="00920CAA"/>
    <w:rsid w:val="00922F73"/>
    <w:rsid w:val="009234E8"/>
    <w:rsid w:val="0092452D"/>
    <w:rsid w:val="00924AF8"/>
    <w:rsid w:val="00924BFC"/>
    <w:rsid w:val="00925302"/>
    <w:rsid w:val="00925663"/>
    <w:rsid w:val="009262DD"/>
    <w:rsid w:val="00926C2E"/>
    <w:rsid w:val="009300AB"/>
    <w:rsid w:val="009300AE"/>
    <w:rsid w:val="00930C74"/>
    <w:rsid w:val="0093133A"/>
    <w:rsid w:val="00931492"/>
    <w:rsid w:val="0093150F"/>
    <w:rsid w:val="0093255B"/>
    <w:rsid w:val="009330F2"/>
    <w:rsid w:val="0093493F"/>
    <w:rsid w:val="00936A42"/>
    <w:rsid w:val="00937E45"/>
    <w:rsid w:val="00940C47"/>
    <w:rsid w:val="00942483"/>
    <w:rsid w:val="009424E3"/>
    <w:rsid w:val="0094352F"/>
    <w:rsid w:val="00944166"/>
    <w:rsid w:val="009461C5"/>
    <w:rsid w:val="00946B4E"/>
    <w:rsid w:val="00946D96"/>
    <w:rsid w:val="009514C5"/>
    <w:rsid w:val="00951A60"/>
    <w:rsid w:val="0095209E"/>
    <w:rsid w:val="00952984"/>
    <w:rsid w:val="00955689"/>
    <w:rsid w:val="00955BE4"/>
    <w:rsid w:val="009574A0"/>
    <w:rsid w:val="009579B6"/>
    <w:rsid w:val="00957D11"/>
    <w:rsid w:val="00960323"/>
    <w:rsid w:val="00962371"/>
    <w:rsid w:val="00962BF4"/>
    <w:rsid w:val="00962CAA"/>
    <w:rsid w:val="009632D0"/>
    <w:rsid w:val="0096731F"/>
    <w:rsid w:val="00970CD8"/>
    <w:rsid w:val="009768E5"/>
    <w:rsid w:val="00977950"/>
    <w:rsid w:val="0098098B"/>
    <w:rsid w:val="00982392"/>
    <w:rsid w:val="009831E7"/>
    <w:rsid w:val="00984C06"/>
    <w:rsid w:val="00985A0C"/>
    <w:rsid w:val="0098625B"/>
    <w:rsid w:val="00986E9F"/>
    <w:rsid w:val="009878CE"/>
    <w:rsid w:val="00990A0A"/>
    <w:rsid w:val="0099209F"/>
    <w:rsid w:val="00992189"/>
    <w:rsid w:val="009926BE"/>
    <w:rsid w:val="009927B4"/>
    <w:rsid w:val="00992EB6"/>
    <w:rsid w:val="009950EA"/>
    <w:rsid w:val="00995550"/>
    <w:rsid w:val="00995FA0"/>
    <w:rsid w:val="0099685F"/>
    <w:rsid w:val="0099694A"/>
    <w:rsid w:val="00997184"/>
    <w:rsid w:val="009A0057"/>
    <w:rsid w:val="009A022F"/>
    <w:rsid w:val="009A1587"/>
    <w:rsid w:val="009A2654"/>
    <w:rsid w:val="009A2A19"/>
    <w:rsid w:val="009A3D42"/>
    <w:rsid w:val="009A74BF"/>
    <w:rsid w:val="009B0162"/>
    <w:rsid w:val="009B033F"/>
    <w:rsid w:val="009B058B"/>
    <w:rsid w:val="009B0E2B"/>
    <w:rsid w:val="009B21C4"/>
    <w:rsid w:val="009B4837"/>
    <w:rsid w:val="009B650C"/>
    <w:rsid w:val="009B661F"/>
    <w:rsid w:val="009B7BE7"/>
    <w:rsid w:val="009B7F3D"/>
    <w:rsid w:val="009C1954"/>
    <w:rsid w:val="009C24E5"/>
    <w:rsid w:val="009C3FA6"/>
    <w:rsid w:val="009C47D1"/>
    <w:rsid w:val="009C5958"/>
    <w:rsid w:val="009C7B19"/>
    <w:rsid w:val="009D0DAC"/>
    <w:rsid w:val="009D0FBB"/>
    <w:rsid w:val="009D13EB"/>
    <w:rsid w:val="009D2F5D"/>
    <w:rsid w:val="009D3712"/>
    <w:rsid w:val="009D3B25"/>
    <w:rsid w:val="009D3D52"/>
    <w:rsid w:val="009D44A7"/>
    <w:rsid w:val="009D45EC"/>
    <w:rsid w:val="009D584F"/>
    <w:rsid w:val="009D5C0D"/>
    <w:rsid w:val="009D6D76"/>
    <w:rsid w:val="009D7462"/>
    <w:rsid w:val="009E0FFE"/>
    <w:rsid w:val="009E14AC"/>
    <w:rsid w:val="009E14E8"/>
    <w:rsid w:val="009E1644"/>
    <w:rsid w:val="009E21E7"/>
    <w:rsid w:val="009E4662"/>
    <w:rsid w:val="009E4F21"/>
    <w:rsid w:val="009E5457"/>
    <w:rsid w:val="009E54B1"/>
    <w:rsid w:val="009E5B7C"/>
    <w:rsid w:val="009F0607"/>
    <w:rsid w:val="009F0645"/>
    <w:rsid w:val="009F1969"/>
    <w:rsid w:val="009F20E0"/>
    <w:rsid w:val="009F293D"/>
    <w:rsid w:val="009F3CD8"/>
    <w:rsid w:val="009F7176"/>
    <w:rsid w:val="009F7E00"/>
    <w:rsid w:val="00A0041B"/>
    <w:rsid w:val="00A00687"/>
    <w:rsid w:val="00A01B9D"/>
    <w:rsid w:val="00A03FFE"/>
    <w:rsid w:val="00A04006"/>
    <w:rsid w:val="00A0468F"/>
    <w:rsid w:val="00A062B2"/>
    <w:rsid w:val="00A073A1"/>
    <w:rsid w:val="00A119CA"/>
    <w:rsid w:val="00A11FEB"/>
    <w:rsid w:val="00A1332B"/>
    <w:rsid w:val="00A137C9"/>
    <w:rsid w:val="00A14515"/>
    <w:rsid w:val="00A21962"/>
    <w:rsid w:val="00A237AD"/>
    <w:rsid w:val="00A2399E"/>
    <w:rsid w:val="00A25758"/>
    <w:rsid w:val="00A25A00"/>
    <w:rsid w:val="00A25B93"/>
    <w:rsid w:val="00A25F02"/>
    <w:rsid w:val="00A27163"/>
    <w:rsid w:val="00A305F9"/>
    <w:rsid w:val="00A31E64"/>
    <w:rsid w:val="00A3262C"/>
    <w:rsid w:val="00A3270C"/>
    <w:rsid w:val="00A32C83"/>
    <w:rsid w:val="00A32CCE"/>
    <w:rsid w:val="00A332F0"/>
    <w:rsid w:val="00A34E9B"/>
    <w:rsid w:val="00A34EC9"/>
    <w:rsid w:val="00A3662D"/>
    <w:rsid w:val="00A375F0"/>
    <w:rsid w:val="00A37B15"/>
    <w:rsid w:val="00A40B84"/>
    <w:rsid w:val="00A4297F"/>
    <w:rsid w:val="00A43EB5"/>
    <w:rsid w:val="00A45909"/>
    <w:rsid w:val="00A503F2"/>
    <w:rsid w:val="00A51CB2"/>
    <w:rsid w:val="00A522AF"/>
    <w:rsid w:val="00A52864"/>
    <w:rsid w:val="00A54284"/>
    <w:rsid w:val="00A60423"/>
    <w:rsid w:val="00A61D2C"/>
    <w:rsid w:val="00A61DBD"/>
    <w:rsid w:val="00A65149"/>
    <w:rsid w:val="00A662B2"/>
    <w:rsid w:val="00A66393"/>
    <w:rsid w:val="00A70BA5"/>
    <w:rsid w:val="00A70D67"/>
    <w:rsid w:val="00A728A8"/>
    <w:rsid w:val="00A72D23"/>
    <w:rsid w:val="00A731F0"/>
    <w:rsid w:val="00A732C7"/>
    <w:rsid w:val="00A73977"/>
    <w:rsid w:val="00A756CE"/>
    <w:rsid w:val="00A759E1"/>
    <w:rsid w:val="00A808C5"/>
    <w:rsid w:val="00A80FE8"/>
    <w:rsid w:val="00A81EE2"/>
    <w:rsid w:val="00A82780"/>
    <w:rsid w:val="00A82A18"/>
    <w:rsid w:val="00A82A1F"/>
    <w:rsid w:val="00A82C37"/>
    <w:rsid w:val="00A82E54"/>
    <w:rsid w:val="00A834F3"/>
    <w:rsid w:val="00A84084"/>
    <w:rsid w:val="00A8421D"/>
    <w:rsid w:val="00A84561"/>
    <w:rsid w:val="00A863BD"/>
    <w:rsid w:val="00A90CF7"/>
    <w:rsid w:val="00A90D3A"/>
    <w:rsid w:val="00A92B8C"/>
    <w:rsid w:val="00A93454"/>
    <w:rsid w:val="00A9424A"/>
    <w:rsid w:val="00A94F8F"/>
    <w:rsid w:val="00A956FD"/>
    <w:rsid w:val="00A960A6"/>
    <w:rsid w:val="00AA359B"/>
    <w:rsid w:val="00AA4197"/>
    <w:rsid w:val="00AA4200"/>
    <w:rsid w:val="00AA6972"/>
    <w:rsid w:val="00AA6A03"/>
    <w:rsid w:val="00AA6C20"/>
    <w:rsid w:val="00AA7A4D"/>
    <w:rsid w:val="00AB1037"/>
    <w:rsid w:val="00AB1F2D"/>
    <w:rsid w:val="00AB21CF"/>
    <w:rsid w:val="00AB32BD"/>
    <w:rsid w:val="00AB330F"/>
    <w:rsid w:val="00AB3E9E"/>
    <w:rsid w:val="00AB6669"/>
    <w:rsid w:val="00AC0085"/>
    <w:rsid w:val="00AC0562"/>
    <w:rsid w:val="00AC1676"/>
    <w:rsid w:val="00AC2C6D"/>
    <w:rsid w:val="00AC4005"/>
    <w:rsid w:val="00AC4583"/>
    <w:rsid w:val="00AC48CE"/>
    <w:rsid w:val="00AC7677"/>
    <w:rsid w:val="00AC7D2B"/>
    <w:rsid w:val="00AD067A"/>
    <w:rsid w:val="00AD1BD4"/>
    <w:rsid w:val="00AD2249"/>
    <w:rsid w:val="00AD52A3"/>
    <w:rsid w:val="00AD5566"/>
    <w:rsid w:val="00AD5B2C"/>
    <w:rsid w:val="00AD6492"/>
    <w:rsid w:val="00AD670F"/>
    <w:rsid w:val="00AD6F91"/>
    <w:rsid w:val="00AD7010"/>
    <w:rsid w:val="00AD7D11"/>
    <w:rsid w:val="00AE08B9"/>
    <w:rsid w:val="00AE0A87"/>
    <w:rsid w:val="00AE0CE2"/>
    <w:rsid w:val="00AE18D8"/>
    <w:rsid w:val="00AE363A"/>
    <w:rsid w:val="00AE38D8"/>
    <w:rsid w:val="00AE3C93"/>
    <w:rsid w:val="00AE5115"/>
    <w:rsid w:val="00AE5E90"/>
    <w:rsid w:val="00AE64F5"/>
    <w:rsid w:val="00AE6B65"/>
    <w:rsid w:val="00AE745A"/>
    <w:rsid w:val="00AF0513"/>
    <w:rsid w:val="00AF0AA1"/>
    <w:rsid w:val="00AF0BC3"/>
    <w:rsid w:val="00AF0E43"/>
    <w:rsid w:val="00AF27D5"/>
    <w:rsid w:val="00AF35E9"/>
    <w:rsid w:val="00AF4EF6"/>
    <w:rsid w:val="00AF546C"/>
    <w:rsid w:val="00AF617C"/>
    <w:rsid w:val="00B00250"/>
    <w:rsid w:val="00B0040B"/>
    <w:rsid w:val="00B0063F"/>
    <w:rsid w:val="00B0071B"/>
    <w:rsid w:val="00B02141"/>
    <w:rsid w:val="00B0233B"/>
    <w:rsid w:val="00B0367B"/>
    <w:rsid w:val="00B043F4"/>
    <w:rsid w:val="00B04583"/>
    <w:rsid w:val="00B04FB4"/>
    <w:rsid w:val="00B066D2"/>
    <w:rsid w:val="00B06977"/>
    <w:rsid w:val="00B10F2E"/>
    <w:rsid w:val="00B10F5E"/>
    <w:rsid w:val="00B1105A"/>
    <w:rsid w:val="00B115E8"/>
    <w:rsid w:val="00B119F7"/>
    <w:rsid w:val="00B12B4F"/>
    <w:rsid w:val="00B13155"/>
    <w:rsid w:val="00B1344F"/>
    <w:rsid w:val="00B1364C"/>
    <w:rsid w:val="00B13B1B"/>
    <w:rsid w:val="00B13F74"/>
    <w:rsid w:val="00B148AD"/>
    <w:rsid w:val="00B14F9C"/>
    <w:rsid w:val="00B157A4"/>
    <w:rsid w:val="00B15952"/>
    <w:rsid w:val="00B15B6E"/>
    <w:rsid w:val="00B16879"/>
    <w:rsid w:val="00B17C85"/>
    <w:rsid w:val="00B2032F"/>
    <w:rsid w:val="00B21022"/>
    <w:rsid w:val="00B254A3"/>
    <w:rsid w:val="00B25E53"/>
    <w:rsid w:val="00B25E6F"/>
    <w:rsid w:val="00B26E6E"/>
    <w:rsid w:val="00B27872"/>
    <w:rsid w:val="00B27B9F"/>
    <w:rsid w:val="00B31542"/>
    <w:rsid w:val="00B321DC"/>
    <w:rsid w:val="00B32694"/>
    <w:rsid w:val="00B330B4"/>
    <w:rsid w:val="00B33317"/>
    <w:rsid w:val="00B334FC"/>
    <w:rsid w:val="00B367C8"/>
    <w:rsid w:val="00B36C73"/>
    <w:rsid w:val="00B3758A"/>
    <w:rsid w:val="00B37969"/>
    <w:rsid w:val="00B37B46"/>
    <w:rsid w:val="00B40D17"/>
    <w:rsid w:val="00B4115E"/>
    <w:rsid w:val="00B413C6"/>
    <w:rsid w:val="00B41560"/>
    <w:rsid w:val="00B4185E"/>
    <w:rsid w:val="00B41C63"/>
    <w:rsid w:val="00B41D2B"/>
    <w:rsid w:val="00B42A95"/>
    <w:rsid w:val="00B43261"/>
    <w:rsid w:val="00B432BB"/>
    <w:rsid w:val="00B433D0"/>
    <w:rsid w:val="00B43B70"/>
    <w:rsid w:val="00B43D76"/>
    <w:rsid w:val="00B43E87"/>
    <w:rsid w:val="00B4460F"/>
    <w:rsid w:val="00B4467C"/>
    <w:rsid w:val="00B456C7"/>
    <w:rsid w:val="00B45E72"/>
    <w:rsid w:val="00B46D70"/>
    <w:rsid w:val="00B476BF"/>
    <w:rsid w:val="00B5095E"/>
    <w:rsid w:val="00B50F64"/>
    <w:rsid w:val="00B517B2"/>
    <w:rsid w:val="00B5196C"/>
    <w:rsid w:val="00B51B53"/>
    <w:rsid w:val="00B54541"/>
    <w:rsid w:val="00B547E8"/>
    <w:rsid w:val="00B54BFE"/>
    <w:rsid w:val="00B54F6B"/>
    <w:rsid w:val="00B600D0"/>
    <w:rsid w:val="00B60A42"/>
    <w:rsid w:val="00B61296"/>
    <w:rsid w:val="00B61C2F"/>
    <w:rsid w:val="00B622EC"/>
    <w:rsid w:val="00B62454"/>
    <w:rsid w:val="00B62BAE"/>
    <w:rsid w:val="00B62F3F"/>
    <w:rsid w:val="00B636F4"/>
    <w:rsid w:val="00B63BEB"/>
    <w:rsid w:val="00B63F00"/>
    <w:rsid w:val="00B64085"/>
    <w:rsid w:val="00B667EE"/>
    <w:rsid w:val="00B67236"/>
    <w:rsid w:val="00B675B7"/>
    <w:rsid w:val="00B6781E"/>
    <w:rsid w:val="00B71CF6"/>
    <w:rsid w:val="00B72E09"/>
    <w:rsid w:val="00B73634"/>
    <w:rsid w:val="00B73F6C"/>
    <w:rsid w:val="00B740CD"/>
    <w:rsid w:val="00B7435C"/>
    <w:rsid w:val="00B76A40"/>
    <w:rsid w:val="00B76D35"/>
    <w:rsid w:val="00B77DC8"/>
    <w:rsid w:val="00B804DB"/>
    <w:rsid w:val="00B804FB"/>
    <w:rsid w:val="00B80CB6"/>
    <w:rsid w:val="00B8234E"/>
    <w:rsid w:val="00B835E7"/>
    <w:rsid w:val="00B83B03"/>
    <w:rsid w:val="00B84D68"/>
    <w:rsid w:val="00B8509D"/>
    <w:rsid w:val="00B8569E"/>
    <w:rsid w:val="00B85BED"/>
    <w:rsid w:val="00B85EC0"/>
    <w:rsid w:val="00B8646E"/>
    <w:rsid w:val="00B87175"/>
    <w:rsid w:val="00B87A43"/>
    <w:rsid w:val="00B913B6"/>
    <w:rsid w:val="00B91FAE"/>
    <w:rsid w:val="00B936BB"/>
    <w:rsid w:val="00B93FD2"/>
    <w:rsid w:val="00B94B99"/>
    <w:rsid w:val="00B958FC"/>
    <w:rsid w:val="00B95973"/>
    <w:rsid w:val="00B961F7"/>
    <w:rsid w:val="00B96950"/>
    <w:rsid w:val="00B96E6D"/>
    <w:rsid w:val="00B9731A"/>
    <w:rsid w:val="00BA1CFF"/>
    <w:rsid w:val="00BA294C"/>
    <w:rsid w:val="00BA71D7"/>
    <w:rsid w:val="00BA7480"/>
    <w:rsid w:val="00BA752A"/>
    <w:rsid w:val="00BB0C55"/>
    <w:rsid w:val="00BB0CC1"/>
    <w:rsid w:val="00BB3085"/>
    <w:rsid w:val="00BB3A39"/>
    <w:rsid w:val="00BB3BAE"/>
    <w:rsid w:val="00BB3F7B"/>
    <w:rsid w:val="00BB523F"/>
    <w:rsid w:val="00BB53A4"/>
    <w:rsid w:val="00BB77BD"/>
    <w:rsid w:val="00BC0B89"/>
    <w:rsid w:val="00BC243E"/>
    <w:rsid w:val="00BC2C75"/>
    <w:rsid w:val="00BC3062"/>
    <w:rsid w:val="00BC5B52"/>
    <w:rsid w:val="00BD1CB3"/>
    <w:rsid w:val="00BD1CED"/>
    <w:rsid w:val="00BD2F6D"/>
    <w:rsid w:val="00BD3CE7"/>
    <w:rsid w:val="00BD41FA"/>
    <w:rsid w:val="00BD4AAA"/>
    <w:rsid w:val="00BD6996"/>
    <w:rsid w:val="00BD6A34"/>
    <w:rsid w:val="00BD776F"/>
    <w:rsid w:val="00BD7978"/>
    <w:rsid w:val="00BD7ACB"/>
    <w:rsid w:val="00BD7EBE"/>
    <w:rsid w:val="00BE00A4"/>
    <w:rsid w:val="00BE039A"/>
    <w:rsid w:val="00BE077A"/>
    <w:rsid w:val="00BE3BE5"/>
    <w:rsid w:val="00BE4758"/>
    <w:rsid w:val="00BE48C6"/>
    <w:rsid w:val="00BE6DD1"/>
    <w:rsid w:val="00BF06FD"/>
    <w:rsid w:val="00BF1B72"/>
    <w:rsid w:val="00BF1D88"/>
    <w:rsid w:val="00BF426F"/>
    <w:rsid w:val="00BF4BD2"/>
    <w:rsid w:val="00BF5C1F"/>
    <w:rsid w:val="00BF7180"/>
    <w:rsid w:val="00BF7485"/>
    <w:rsid w:val="00BF7B19"/>
    <w:rsid w:val="00C00438"/>
    <w:rsid w:val="00C00695"/>
    <w:rsid w:val="00C01D39"/>
    <w:rsid w:val="00C035D7"/>
    <w:rsid w:val="00C03C39"/>
    <w:rsid w:val="00C04E06"/>
    <w:rsid w:val="00C0525B"/>
    <w:rsid w:val="00C0616E"/>
    <w:rsid w:val="00C06BDE"/>
    <w:rsid w:val="00C1000A"/>
    <w:rsid w:val="00C12186"/>
    <w:rsid w:val="00C13D07"/>
    <w:rsid w:val="00C13FBE"/>
    <w:rsid w:val="00C14A70"/>
    <w:rsid w:val="00C15282"/>
    <w:rsid w:val="00C1562E"/>
    <w:rsid w:val="00C15CA8"/>
    <w:rsid w:val="00C16173"/>
    <w:rsid w:val="00C16608"/>
    <w:rsid w:val="00C209FD"/>
    <w:rsid w:val="00C20A1F"/>
    <w:rsid w:val="00C2246F"/>
    <w:rsid w:val="00C227D9"/>
    <w:rsid w:val="00C22E36"/>
    <w:rsid w:val="00C2302F"/>
    <w:rsid w:val="00C262A8"/>
    <w:rsid w:val="00C2630A"/>
    <w:rsid w:val="00C26C46"/>
    <w:rsid w:val="00C27736"/>
    <w:rsid w:val="00C301DB"/>
    <w:rsid w:val="00C30F6E"/>
    <w:rsid w:val="00C31C07"/>
    <w:rsid w:val="00C3204A"/>
    <w:rsid w:val="00C32383"/>
    <w:rsid w:val="00C33649"/>
    <w:rsid w:val="00C33ABA"/>
    <w:rsid w:val="00C3538E"/>
    <w:rsid w:val="00C358D0"/>
    <w:rsid w:val="00C45350"/>
    <w:rsid w:val="00C46F5A"/>
    <w:rsid w:val="00C479C0"/>
    <w:rsid w:val="00C50231"/>
    <w:rsid w:val="00C50431"/>
    <w:rsid w:val="00C51081"/>
    <w:rsid w:val="00C5397C"/>
    <w:rsid w:val="00C54CE6"/>
    <w:rsid w:val="00C60D35"/>
    <w:rsid w:val="00C610B7"/>
    <w:rsid w:val="00C61501"/>
    <w:rsid w:val="00C61E21"/>
    <w:rsid w:val="00C62C9B"/>
    <w:rsid w:val="00C631B2"/>
    <w:rsid w:val="00C635E7"/>
    <w:rsid w:val="00C6392E"/>
    <w:rsid w:val="00C64411"/>
    <w:rsid w:val="00C64BB6"/>
    <w:rsid w:val="00C657CA"/>
    <w:rsid w:val="00C6590E"/>
    <w:rsid w:val="00C65FCC"/>
    <w:rsid w:val="00C66623"/>
    <w:rsid w:val="00C66E3F"/>
    <w:rsid w:val="00C703A5"/>
    <w:rsid w:val="00C7157B"/>
    <w:rsid w:val="00C739D0"/>
    <w:rsid w:val="00C75002"/>
    <w:rsid w:val="00C7626E"/>
    <w:rsid w:val="00C7775C"/>
    <w:rsid w:val="00C77CBD"/>
    <w:rsid w:val="00C77F48"/>
    <w:rsid w:val="00C801F6"/>
    <w:rsid w:val="00C81611"/>
    <w:rsid w:val="00C81A45"/>
    <w:rsid w:val="00C82614"/>
    <w:rsid w:val="00C82E4C"/>
    <w:rsid w:val="00C84EFC"/>
    <w:rsid w:val="00C85986"/>
    <w:rsid w:val="00C860F3"/>
    <w:rsid w:val="00C86264"/>
    <w:rsid w:val="00C908D2"/>
    <w:rsid w:val="00C91AFD"/>
    <w:rsid w:val="00C91D3B"/>
    <w:rsid w:val="00C92EB7"/>
    <w:rsid w:val="00C938A6"/>
    <w:rsid w:val="00C94031"/>
    <w:rsid w:val="00C95018"/>
    <w:rsid w:val="00C9550C"/>
    <w:rsid w:val="00C95912"/>
    <w:rsid w:val="00C95A67"/>
    <w:rsid w:val="00C95F27"/>
    <w:rsid w:val="00C95F97"/>
    <w:rsid w:val="00C973C7"/>
    <w:rsid w:val="00CA0117"/>
    <w:rsid w:val="00CA407F"/>
    <w:rsid w:val="00CA4982"/>
    <w:rsid w:val="00CA50A6"/>
    <w:rsid w:val="00CA58EB"/>
    <w:rsid w:val="00CA6590"/>
    <w:rsid w:val="00CA6CE0"/>
    <w:rsid w:val="00CA6FD1"/>
    <w:rsid w:val="00CA7145"/>
    <w:rsid w:val="00CA757D"/>
    <w:rsid w:val="00CA7AA4"/>
    <w:rsid w:val="00CB27FD"/>
    <w:rsid w:val="00CB35FB"/>
    <w:rsid w:val="00CB3A03"/>
    <w:rsid w:val="00CB3F8C"/>
    <w:rsid w:val="00CB4490"/>
    <w:rsid w:val="00CB4657"/>
    <w:rsid w:val="00CB5C0C"/>
    <w:rsid w:val="00CB6F60"/>
    <w:rsid w:val="00CB70BF"/>
    <w:rsid w:val="00CB7A0E"/>
    <w:rsid w:val="00CC02B8"/>
    <w:rsid w:val="00CC21AA"/>
    <w:rsid w:val="00CC36D3"/>
    <w:rsid w:val="00CC4B0B"/>
    <w:rsid w:val="00CC4BFD"/>
    <w:rsid w:val="00CC5407"/>
    <w:rsid w:val="00CC54C3"/>
    <w:rsid w:val="00CC6EF3"/>
    <w:rsid w:val="00CC72F2"/>
    <w:rsid w:val="00CD099A"/>
    <w:rsid w:val="00CD0EBB"/>
    <w:rsid w:val="00CD2AD1"/>
    <w:rsid w:val="00CD396B"/>
    <w:rsid w:val="00CD3F31"/>
    <w:rsid w:val="00CD54F2"/>
    <w:rsid w:val="00CD5F29"/>
    <w:rsid w:val="00CD5F8E"/>
    <w:rsid w:val="00CD606F"/>
    <w:rsid w:val="00CD6AEB"/>
    <w:rsid w:val="00CD7BC2"/>
    <w:rsid w:val="00CE0322"/>
    <w:rsid w:val="00CE0FAF"/>
    <w:rsid w:val="00CE121A"/>
    <w:rsid w:val="00CE2232"/>
    <w:rsid w:val="00CE267B"/>
    <w:rsid w:val="00CE285B"/>
    <w:rsid w:val="00CE344D"/>
    <w:rsid w:val="00CE4E00"/>
    <w:rsid w:val="00CE6CE0"/>
    <w:rsid w:val="00CF04C6"/>
    <w:rsid w:val="00CF0BA7"/>
    <w:rsid w:val="00CF0CC0"/>
    <w:rsid w:val="00CF1804"/>
    <w:rsid w:val="00CF2095"/>
    <w:rsid w:val="00CF3AD1"/>
    <w:rsid w:val="00CF3D16"/>
    <w:rsid w:val="00CF5029"/>
    <w:rsid w:val="00CF63DE"/>
    <w:rsid w:val="00CF7625"/>
    <w:rsid w:val="00D002CC"/>
    <w:rsid w:val="00D002FA"/>
    <w:rsid w:val="00D00A28"/>
    <w:rsid w:val="00D00BB6"/>
    <w:rsid w:val="00D00D9F"/>
    <w:rsid w:val="00D00E8E"/>
    <w:rsid w:val="00D011BC"/>
    <w:rsid w:val="00D01C82"/>
    <w:rsid w:val="00D0213E"/>
    <w:rsid w:val="00D02C36"/>
    <w:rsid w:val="00D0382D"/>
    <w:rsid w:val="00D03F75"/>
    <w:rsid w:val="00D05B50"/>
    <w:rsid w:val="00D11010"/>
    <w:rsid w:val="00D1159B"/>
    <w:rsid w:val="00D122F3"/>
    <w:rsid w:val="00D135A9"/>
    <w:rsid w:val="00D141BA"/>
    <w:rsid w:val="00D14CB1"/>
    <w:rsid w:val="00D16B3D"/>
    <w:rsid w:val="00D17DE7"/>
    <w:rsid w:val="00D20A72"/>
    <w:rsid w:val="00D22704"/>
    <w:rsid w:val="00D22960"/>
    <w:rsid w:val="00D2331E"/>
    <w:rsid w:val="00D2364C"/>
    <w:rsid w:val="00D23983"/>
    <w:rsid w:val="00D246A0"/>
    <w:rsid w:val="00D249EB"/>
    <w:rsid w:val="00D24F90"/>
    <w:rsid w:val="00D251DA"/>
    <w:rsid w:val="00D25BBD"/>
    <w:rsid w:val="00D25F38"/>
    <w:rsid w:val="00D27DAB"/>
    <w:rsid w:val="00D30D1D"/>
    <w:rsid w:val="00D324C3"/>
    <w:rsid w:val="00D326D3"/>
    <w:rsid w:val="00D32A16"/>
    <w:rsid w:val="00D335DF"/>
    <w:rsid w:val="00D375A0"/>
    <w:rsid w:val="00D376FD"/>
    <w:rsid w:val="00D40C4C"/>
    <w:rsid w:val="00D412EB"/>
    <w:rsid w:val="00D41C98"/>
    <w:rsid w:val="00D44A55"/>
    <w:rsid w:val="00D44A99"/>
    <w:rsid w:val="00D4577B"/>
    <w:rsid w:val="00D46841"/>
    <w:rsid w:val="00D46FA6"/>
    <w:rsid w:val="00D47051"/>
    <w:rsid w:val="00D47D83"/>
    <w:rsid w:val="00D50A57"/>
    <w:rsid w:val="00D516D0"/>
    <w:rsid w:val="00D53FD3"/>
    <w:rsid w:val="00D54822"/>
    <w:rsid w:val="00D554AD"/>
    <w:rsid w:val="00D55556"/>
    <w:rsid w:val="00D559C2"/>
    <w:rsid w:val="00D55BEA"/>
    <w:rsid w:val="00D573C5"/>
    <w:rsid w:val="00D574E0"/>
    <w:rsid w:val="00D601AB"/>
    <w:rsid w:val="00D60560"/>
    <w:rsid w:val="00D62C22"/>
    <w:rsid w:val="00D63268"/>
    <w:rsid w:val="00D632E2"/>
    <w:rsid w:val="00D635BF"/>
    <w:rsid w:val="00D63E80"/>
    <w:rsid w:val="00D63EB0"/>
    <w:rsid w:val="00D642E1"/>
    <w:rsid w:val="00D64739"/>
    <w:rsid w:val="00D64C78"/>
    <w:rsid w:val="00D65BCE"/>
    <w:rsid w:val="00D66EEC"/>
    <w:rsid w:val="00D71670"/>
    <w:rsid w:val="00D71C66"/>
    <w:rsid w:val="00D7219A"/>
    <w:rsid w:val="00D7271A"/>
    <w:rsid w:val="00D729E4"/>
    <w:rsid w:val="00D739A6"/>
    <w:rsid w:val="00D74CC5"/>
    <w:rsid w:val="00D74E1C"/>
    <w:rsid w:val="00D7555A"/>
    <w:rsid w:val="00D75A7A"/>
    <w:rsid w:val="00D77B09"/>
    <w:rsid w:val="00D804F3"/>
    <w:rsid w:val="00D8061B"/>
    <w:rsid w:val="00D80B92"/>
    <w:rsid w:val="00D82471"/>
    <w:rsid w:val="00D8265D"/>
    <w:rsid w:val="00D82B6C"/>
    <w:rsid w:val="00D82B77"/>
    <w:rsid w:val="00D84DD0"/>
    <w:rsid w:val="00D8523F"/>
    <w:rsid w:val="00D902A8"/>
    <w:rsid w:val="00D90E3D"/>
    <w:rsid w:val="00D93E74"/>
    <w:rsid w:val="00D94025"/>
    <w:rsid w:val="00D9568C"/>
    <w:rsid w:val="00D958C6"/>
    <w:rsid w:val="00D96122"/>
    <w:rsid w:val="00D96253"/>
    <w:rsid w:val="00D96454"/>
    <w:rsid w:val="00D964F8"/>
    <w:rsid w:val="00D97DEC"/>
    <w:rsid w:val="00DA0227"/>
    <w:rsid w:val="00DA081E"/>
    <w:rsid w:val="00DA0F69"/>
    <w:rsid w:val="00DA2709"/>
    <w:rsid w:val="00DA3694"/>
    <w:rsid w:val="00DA3EB8"/>
    <w:rsid w:val="00DA4A96"/>
    <w:rsid w:val="00DA5748"/>
    <w:rsid w:val="00DA64BC"/>
    <w:rsid w:val="00DA7177"/>
    <w:rsid w:val="00DB079F"/>
    <w:rsid w:val="00DB1F59"/>
    <w:rsid w:val="00DB380E"/>
    <w:rsid w:val="00DB3ACA"/>
    <w:rsid w:val="00DB3FDD"/>
    <w:rsid w:val="00DB42C3"/>
    <w:rsid w:val="00DB5B51"/>
    <w:rsid w:val="00DB7E08"/>
    <w:rsid w:val="00DC07EC"/>
    <w:rsid w:val="00DC0A27"/>
    <w:rsid w:val="00DC0C47"/>
    <w:rsid w:val="00DC0F90"/>
    <w:rsid w:val="00DC17C4"/>
    <w:rsid w:val="00DC1A4D"/>
    <w:rsid w:val="00DC3D8E"/>
    <w:rsid w:val="00DC5C2B"/>
    <w:rsid w:val="00DC610B"/>
    <w:rsid w:val="00DC65C5"/>
    <w:rsid w:val="00DD0508"/>
    <w:rsid w:val="00DD1051"/>
    <w:rsid w:val="00DD12A4"/>
    <w:rsid w:val="00DD37FA"/>
    <w:rsid w:val="00DD40AA"/>
    <w:rsid w:val="00DD561F"/>
    <w:rsid w:val="00DD5967"/>
    <w:rsid w:val="00DD5E97"/>
    <w:rsid w:val="00DD6553"/>
    <w:rsid w:val="00DD67E3"/>
    <w:rsid w:val="00DE05D0"/>
    <w:rsid w:val="00DE07BF"/>
    <w:rsid w:val="00DE3206"/>
    <w:rsid w:val="00DE4E58"/>
    <w:rsid w:val="00DE52CA"/>
    <w:rsid w:val="00DE5F51"/>
    <w:rsid w:val="00DE78C8"/>
    <w:rsid w:val="00DF03BF"/>
    <w:rsid w:val="00DF0973"/>
    <w:rsid w:val="00DF48C0"/>
    <w:rsid w:val="00DF4E7A"/>
    <w:rsid w:val="00DF7A4A"/>
    <w:rsid w:val="00E00477"/>
    <w:rsid w:val="00E00493"/>
    <w:rsid w:val="00E01381"/>
    <w:rsid w:val="00E014F9"/>
    <w:rsid w:val="00E01B31"/>
    <w:rsid w:val="00E0212D"/>
    <w:rsid w:val="00E030EE"/>
    <w:rsid w:val="00E0464F"/>
    <w:rsid w:val="00E061B6"/>
    <w:rsid w:val="00E062C7"/>
    <w:rsid w:val="00E07049"/>
    <w:rsid w:val="00E0731F"/>
    <w:rsid w:val="00E07A12"/>
    <w:rsid w:val="00E07A1C"/>
    <w:rsid w:val="00E10868"/>
    <w:rsid w:val="00E108F0"/>
    <w:rsid w:val="00E11611"/>
    <w:rsid w:val="00E11785"/>
    <w:rsid w:val="00E11A8C"/>
    <w:rsid w:val="00E11EC1"/>
    <w:rsid w:val="00E13900"/>
    <w:rsid w:val="00E14C1E"/>
    <w:rsid w:val="00E15357"/>
    <w:rsid w:val="00E16520"/>
    <w:rsid w:val="00E16598"/>
    <w:rsid w:val="00E1663C"/>
    <w:rsid w:val="00E16731"/>
    <w:rsid w:val="00E17778"/>
    <w:rsid w:val="00E20E6B"/>
    <w:rsid w:val="00E215C2"/>
    <w:rsid w:val="00E2202E"/>
    <w:rsid w:val="00E241D5"/>
    <w:rsid w:val="00E24E0C"/>
    <w:rsid w:val="00E262A4"/>
    <w:rsid w:val="00E2668E"/>
    <w:rsid w:val="00E275ED"/>
    <w:rsid w:val="00E27B8D"/>
    <w:rsid w:val="00E27E51"/>
    <w:rsid w:val="00E304E8"/>
    <w:rsid w:val="00E318D5"/>
    <w:rsid w:val="00E331DB"/>
    <w:rsid w:val="00E341ED"/>
    <w:rsid w:val="00E34A57"/>
    <w:rsid w:val="00E34B1B"/>
    <w:rsid w:val="00E34FE3"/>
    <w:rsid w:val="00E35272"/>
    <w:rsid w:val="00E3656F"/>
    <w:rsid w:val="00E365FF"/>
    <w:rsid w:val="00E3664D"/>
    <w:rsid w:val="00E373DC"/>
    <w:rsid w:val="00E409F9"/>
    <w:rsid w:val="00E41132"/>
    <w:rsid w:val="00E42384"/>
    <w:rsid w:val="00E434A8"/>
    <w:rsid w:val="00E43AD8"/>
    <w:rsid w:val="00E43DEB"/>
    <w:rsid w:val="00E44939"/>
    <w:rsid w:val="00E44E63"/>
    <w:rsid w:val="00E4682E"/>
    <w:rsid w:val="00E468B7"/>
    <w:rsid w:val="00E50B54"/>
    <w:rsid w:val="00E52102"/>
    <w:rsid w:val="00E52A53"/>
    <w:rsid w:val="00E53C3B"/>
    <w:rsid w:val="00E54197"/>
    <w:rsid w:val="00E5485C"/>
    <w:rsid w:val="00E555D1"/>
    <w:rsid w:val="00E55C3C"/>
    <w:rsid w:val="00E5635A"/>
    <w:rsid w:val="00E56517"/>
    <w:rsid w:val="00E56849"/>
    <w:rsid w:val="00E56860"/>
    <w:rsid w:val="00E57B43"/>
    <w:rsid w:val="00E61B39"/>
    <w:rsid w:val="00E62987"/>
    <w:rsid w:val="00E64B88"/>
    <w:rsid w:val="00E6554F"/>
    <w:rsid w:val="00E66D4E"/>
    <w:rsid w:val="00E66E1B"/>
    <w:rsid w:val="00E6717F"/>
    <w:rsid w:val="00E70EAF"/>
    <w:rsid w:val="00E7244D"/>
    <w:rsid w:val="00E72612"/>
    <w:rsid w:val="00E72809"/>
    <w:rsid w:val="00E72CAA"/>
    <w:rsid w:val="00E7333E"/>
    <w:rsid w:val="00E737D8"/>
    <w:rsid w:val="00E73823"/>
    <w:rsid w:val="00E740A0"/>
    <w:rsid w:val="00E74FA4"/>
    <w:rsid w:val="00E76574"/>
    <w:rsid w:val="00E76920"/>
    <w:rsid w:val="00E80292"/>
    <w:rsid w:val="00E81846"/>
    <w:rsid w:val="00E818A6"/>
    <w:rsid w:val="00E81C7A"/>
    <w:rsid w:val="00E82474"/>
    <w:rsid w:val="00E82CD4"/>
    <w:rsid w:val="00E835EB"/>
    <w:rsid w:val="00E83668"/>
    <w:rsid w:val="00E83A7A"/>
    <w:rsid w:val="00E83F9F"/>
    <w:rsid w:val="00E8546A"/>
    <w:rsid w:val="00E85F91"/>
    <w:rsid w:val="00E860D2"/>
    <w:rsid w:val="00E865A5"/>
    <w:rsid w:val="00E86F3D"/>
    <w:rsid w:val="00E87C40"/>
    <w:rsid w:val="00E90CFA"/>
    <w:rsid w:val="00E91F44"/>
    <w:rsid w:val="00E92EE3"/>
    <w:rsid w:val="00E932E2"/>
    <w:rsid w:val="00E93FB9"/>
    <w:rsid w:val="00E9475E"/>
    <w:rsid w:val="00E9481B"/>
    <w:rsid w:val="00E96928"/>
    <w:rsid w:val="00E97836"/>
    <w:rsid w:val="00E97FCB"/>
    <w:rsid w:val="00EA0014"/>
    <w:rsid w:val="00EA06E0"/>
    <w:rsid w:val="00EA0815"/>
    <w:rsid w:val="00EA0A72"/>
    <w:rsid w:val="00EA1371"/>
    <w:rsid w:val="00EA1BAF"/>
    <w:rsid w:val="00EA2079"/>
    <w:rsid w:val="00EA24DB"/>
    <w:rsid w:val="00EA26AB"/>
    <w:rsid w:val="00EA329C"/>
    <w:rsid w:val="00EA57CC"/>
    <w:rsid w:val="00EB001F"/>
    <w:rsid w:val="00EB1504"/>
    <w:rsid w:val="00EB1A97"/>
    <w:rsid w:val="00EB2025"/>
    <w:rsid w:val="00EB216B"/>
    <w:rsid w:val="00EB27F9"/>
    <w:rsid w:val="00EB28A9"/>
    <w:rsid w:val="00EB2E5C"/>
    <w:rsid w:val="00EB3F4E"/>
    <w:rsid w:val="00EB4AD5"/>
    <w:rsid w:val="00EB4D04"/>
    <w:rsid w:val="00EB65EB"/>
    <w:rsid w:val="00EC0483"/>
    <w:rsid w:val="00EC11F6"/>
    <w:rsid w:val="00EC1EE3"/>
    <w:rsid w:val="00EC2572"/>
    <w:rsid w:val="00EC4C38"/>
    <w:rsid w:val="00EC502E"/>
    <w:rsid w:val="00EC6A75"/>
    <w:rsid w:val="00EC6D7B"/>
    <w:rsid w:val="00EC7BF9"/>
    <w:rsid w:val="00ED0169"/>
    <w:rsid w:val="00ED0779"/>
    <w:rsid w:val="00ED0A4C"/>
    <w:rsid w:val="00ED0DB8"/>
    <w:rsid w:val="00ED25E3"/>
    <w:rsid w:val="00ED323D"/>
    <w:rsid w:val="00ED32E0"/>
    <w:rsid w:val="00ED36A2"/>
    <w:rsid w:val="00ED3EB0"/>
    <w:rsid w:val="00ED4131"/>
    <w:rsid w:val="00ED4232"/>
    <w:rsid w:val="00ED43A8"/>
    <w:rsid w:val="00ED48CE"/>
    <w:rsid w:val="00ED5E15"/>
    <w:rsid w:val="00ED6AE2"/>
    <w:rsid w:val="00EE03DD"/>
    <w:rsid w:val="00EE13FD"/>
    <w:rsid w:val="00EE1C7D"/>
    <w:rsid w:val="00EE25FC"/>
    <w:rsid w:val="00EE2D4F"/>
    <w:rsid w:val="00EE3C3B"/>
    <w:rsid w:val="00EE4EB0"/>
    <w:rsid w:val="00EE6599"/>
    <w:rsid w:val="00EE6827"/>
    <w:rsid w:val="00EF02BA"/>
    <w:rsid w:val="00EF062E"/>
    <w:rsid w:val="00EF0B86"/>
    <w:rsid w:val="00EF11C7"/>
    <w:rsid w:val="00EF2433"/>
    <w:rsid w:val="00EF2C95"/>
    <w:rsid w:val="00EF33F7"/>
    <w:rsid w:val="00EF3AE2"/>
    <w:rsid w:val="00EF403F"/>
    <w:rsid w:val="00EF58C0"/>
    <w:rsid w:val="00EF6BBB"/>
    <w:rsid w:val="00EF719B"/>
    <w:rsid w:val="00EF7ABC"/>
    <w:rsid w:val="00F000BD"/>
    <w:rsid w:val="00F00AC4"/>
    <w:rsid w:val="00F01EAD"/>
    <w:rsid w:val="00F0221D"/>
    <w:rsid w:val="00F0227D"/>
    <w:rsid w:val="00F02946"/>
    <w:rsid w:val="00F035D6"/>
    <w:rsid w:val="00F03D98"/>
    <w:rsid w:val="00F04F4F"/>
    <w:rsid w:val="00F07F6F"/>
    <w:rsid w:val="00F1051C"/>
    <w:rsid w:val="00F112CE"/>
    <w:rsid w:val="00F11364"/>
    <w:rsid w:val="00F12190"/>
    <w:rsid w:val="00F12387"/>
    <w:rsid w:val="00F1286E"/>
    <w:rsid w:val="00F15000"/>
    <w:rsid w:val="00F1544D"/>
    <w:rsid w:val="00F157A6"/>
    <w:rsid w:val="00F15B3F"/>
    <w:rsid w:val="00F1697C"/>
    <w:rsid w:val="00F16A52"/>
    <w:rsid w:val="00F218DA"/>
    <w:rsid w:val="00F21E65"/>
    <w:rsid w:val="00F227AE"/>
    <w:rsid w:val="00F23089"/>
    <w:rsid w:val="00F24903"/>
    <w:rsid w:val="00F2591C"/>
    <w:rsid w:val="00F2618F"/>
    <w:rsid w:val="00F26989"/>
    <w:rsid w:val="00F26AA8"/>
    <w:rsid w:val="00F26D80"/>
    <w:rsid w:val="00F273F5"/>
    <w:rsid w:val="00F30B5C"/>
    <w:rsid w:val="00F30E45"/>
    <w:rsid w:val="00F30FC9"/>
    <w:rsid w:val="00F3135F"/>
    <w:rsid w:val="00F31978"/>
    <w:rsid w:val="00F31E55"/>
    <w:rsid w:val="00F323A7"/>
    <w:rsid w:val="00F3259C"/>
    <w:rsid w:val="00F3410B"/>
    <w:rsid w:val="00F34180"/>
    <w:rsid w:val="00F3471C"/>
    <w:rsid w:val="00F348EC"/>
    <w:rsid w:val="00F350D8"/>
    <w:rsid w:val="00F36A48"/>
    <w:rsid w:val="00F37587"/>
    <w:rsid w:val="00F377AA"/>
    <w:rsid w:val="00F41CAC"/>
    <w:rsid w:val="00F41D05"/>
    <w:rsid w:val="00F41F16"/>
    <w:rsid w:val="00F43311"/>
    <w:rsid w:val="00F434F5"/>
    <w:rsid w:val="00F43F86"/>
    <w:rsid w:val="00F4471D"/>
    <w:rsid w:val="00F45162"/>
    <w:rsid w:val="00F4795F"/>
    <w:rsid w:val="00F517A0"/>
    <w:rsid w:val="00F5316D"/>
    <w:rsid w:val="00F532D4"/>
    <w:rsid w:val="00F53808"/>
    <w:rsid w:val="00F53D4A"/>
    <w:rsid w:val="00F53D62"/>
    <w:rsid w:val="00F54145"/>
    <w:rsid w:val="00F5477E"/>
    <w:rsid w:val="00F54C54"/>
    <w:rsid w:val="00F55F92"/>
    <w:rsid w:val="00F56832"/>
    <w:rsid w:val="00F56833"/>
    <w:rsid w:val="00F572D4"/>
    <w:rsid w:val="00F579F7"/>
    <w:rsid w:val="00F57DF9"/>
    <w:rsid w:val="00F57F0A"/>
    <w:rsid w:val="00F605F3"/>
    <w:rsid w:val="00F6095D"/>
    <w:rsid w:val="00F614AA"/>
    <w:rsid w:val="00F61912"/>
    <w:rsid w:val="00F61A9E"/>
    <w:rsid w:val="00F61EAB"/>
    <w:rsid w:val="00F626CC"/>
    <w:rsid w:val="00F647B2"/>
    <w:rsid w:val="00F66B1D"/>
    <w:rsid w:val="00F67102"/>
    <w:rsid w:val="00F67922"/>
    <w:rsid w:val="00F710F7"/>
    <w:rsid w:val="00F7198B"/>
    <w:rsid w:val="00F71C10"/>
    <w:rsid w:val="00F734AE"/>
    <w:rsid w:val="00F744B9"/>
    <w:rsid w:val="00F74E15"/>
    <w:rsid w:val="00F77E67"/>
    <w:rsid w:val="00F824BF"/>
    <w:rsid w:val="00F82A27"/>
    <w:rsid w:val="00F82AE6"/>
    <w:rsid w:val="00F850A8"/>
    <w:rsid w:val="00F85547"/>
    <w:rsid w:val="00F85A57"/>
    <w:rsid w:val="00F8604C"/>
    <w:rsid w:val="00F902D5"/>
    <w:rsid w:val="00F90CC2"/>
    <w:rsid w:val="00F90E5C"/>
    <w:rsid w:val="00F9135A"/>
    <w:rsid w:val="00F93098"/>
    <w:rsid w:val="00F94203"/>
    <w:rsid w:val="00F9422A"/>
    <w:rsid w:val="00F94EB6"/>
    <w:rsid w:val="00F96BCC"/>
    <w:rsid w:val="00F97A57"/>
    <w:rsid w:val="00F97C4A"/>
    <w:rsid w:val="00FA0E64"/>
    <w:rsid w:val="00FA0F71"/>
    <w:rsid w:val="00FA2358"/>
    <w:rsid w:val="00FA442C"/>
    <w:rsid w:val="00FA4719"/>
    <w:rsid w:val="00FA546B"/>
    <w:rsid w:val="00FA5B2B"/>
    <w:rsid w:val="00FA5DCC"/>
    <w:rsid w:val="00FA6779"/>
    <w:rsid w:val="00FA7003"/>
    <w:rsid w:val="00FB0E2F"/>
    <w:rsid w:val="00FB1C79"/>
    <w:rsid w:val="00FB23C1"/>
    <w:rsid w:val="00FB264F"/>
    <w:rsid w:val="00FB2716"/>
    <w:rsid w:val="00FB3249"/>
    <w:rsid w:val="00FB33EB"/>
    <w:rsid w:val="00FB5D81"/>
    <w:rsid w:val="00FB63FF"/>
    <w:rsid w:val="00FB67E1"/>
    <w:rsid w:val="00FB7083"/>
    <w:rsid w:val="00FB7B32"/>
    <w:rsid w:val="00FC028C"/>
    <w:rsid w:val="00FC0A99"/>
    <w:rsid w:val="00FC1E1B"/>
    <w:rsid w:val="00FC3B92"/>
    <w:rsid w:val="00FC4DF4"/>
    <w:rsid w:val="00FC5158"/>
    <w:rsid w:val="00FC52F2"/>
    <w:rsid w:val="00FC5751"/>
    <w:rsid w:val="00FC599B"/>
    <w:rsid w:val="00FC5A1D"/>
    <w:rsid w:val="00FD04B5"/>
    <w:rsid w:val="00FD153F"/>
    <w:rsid w:val="00FD1E0E"/>
    <w:rsid w:val="00FD24E2"/>
    <w:rsid w:val="00FD4DF7"/>
    <w:rsid w:val="00FD5D2B"/>
    <w:rsid w:val="00FD7386"/>
    <w:rsid w:val="00FD7B94"/>
    <w:rsid w:val="00FE001F"/>
    <w:rsid w:val="00FE067C"/>
    <w:rsid w:val="00FE0776"/>
    <w:rsid w:val="00FE0B15"/>
    <w:rsid w:val="00FE0DFC"/>
    <w:rsid w:val="00FE106C"/>
    <w:rsid w:val="00FE152E"/>
    <w:rsid w:val="00FE2671"/>
    <w:rsid w:val="00FE327E"/>
    <w:rsid w:val="00FE3769"/>
    <w:rsid w:val="00FE39C2"/>
    <w:rsid w:val="00FE49FD"/>
    <w:rsid w:val="00FE4C40"/>
    <w:rsid w:val="00FE5169"/>
    <w:rsid w:val="00FE5CB9"/>
    <w:rsid w:val="00FE7388"/>
    <w:rsid w:val="00FF0000"/>
    <w:rsid w:val="00FF0067"/>
    <w:rsid w:val="00FF08BC"/>
    <w:rsid w:val="00FF3085"/>
    <w:rsid w:val="00FF3103"/>
    <w:rsid w:val="00FF3311"/>
    <w:rsid w:val="00FF3909"/>
    <w:rsid w:val="00FF425C"/>
    <w:rsid w:val="00FF464F"/>
    <w:rsid w:val="00FF4DD0"/>
    <w:rsid w:val="00FF5311"/>
    <w:rsid w:val="00FF55EE"/>
    <w:rsid w:val="00FF61BB"/>
    <w:rsid w:val="00FF6EED"/>
    <w:rsid w:val="00FF6F42"/>
    <w:rsid w:val="00FF72B4"/>
    <w:rsid w:val="00FF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C3E79"/>
  <w15:docId w15:val="{0D33E6CA-DEC9-4E95-A964-F1CFCDA251E9}"/>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E15"/>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990A0A"/>
    <w:pPr>
      <w:keepNext/>
      <w:keepLines/>
      <w:numPr>
        <w:numId w:val="22"/>
      </w:numPr>
      <w:spacing w:before="120"/>
      <w:outlineLvl w:val="0"/>
    </w:pPr>
    <w:rPr>
      <w:rFonts w:eastAsiaTheme="majorEastAsia"/>
      <w:b/>
      <w:bCs/>
      <w:sz w:val="26"/>
      <w:szCs w:val="26"/>
    </w:rPr>
  </w:style>
  <w:style w:type="paragraph" w:styleId="Heading2">
    <w:name w:val="heading 2"/>
    <w:basedOn w:val="Normal"/>
    <w:next w:val="Normal"/>
    <w:link w:val="Heading2Char"/>
    <w:autoRedefine/>
    <w:uiPriority w:val="9"/>
    <w:unhideWhenUsed/>
    <w:qFormat/>
    <w:rsid w:val="003B68C3"/>
    <w:pPr>
      <w:keepNext/>
      <w:keepLines/>
      <w:numPr>
        <w:ilvl w:val="1"/>
        <w:numId w:val="22"/>
      </w:numPr>
      <w:spacing w:before="120"/>
      <w:ind w:left="1440" w:hanging="720"/>
      <w:outlineLvl w:val="1"/>
    </w:pPr>
    <w:rPr>
      <w:rFonts w:eastAsiaTheme="majorEastAsia"/>
      <w:b/>
      <w:bCs/>
      <w:sz w:val="26"/>
      <w:szCs w:val="26"/>
    </w:rPr>
  </w:style>
  <w:style w:type="paragraph" w:styleId="Heading3">
    <w:name w:val="heading 3"/>
    <w:basedOn w:val="BodyText"/>
    <w:next w:val="Normal"/>
    <w:link w:val="Heading3Char"/>
    <w:autoRedefine/>
    <w:uiPriority w:val="9"/>
    <w:unhideWhenUsed/>
    <w:qFormat/>
    <w:rsid w:val="00257C90"/>
    <w:pPr>
      <w:numPr>
        <w:ilvl w:val="2"/>
        <w:numId w:val="22"/>
      </w:numPr>
      <w:spacing w:before="120" w:after="120"/>
      <w:ind w:left="2160" w:right="720" w:hanging="720"/>
      <w:outlineLvl w:val="2"/>
    </w:pPr>
    <w:rPr>
      <w:b/>
      <w:bCs/>
      <w:szCs w:val="26"/>
    </w:rPr>
  </w:style>
  <w:style w:type="paragraph" w:styleId="Heading4">
    <w:name w:val="heading 4"/>
    <w:basedOn w:val="Normal"/>
    <w:next w:val="Normal"/>
    <w:link w:val="Heading4Char"/>
    <w:uiPriority w:val="9"/>
    <w:semiHidden/>
    <w:unhideWhenUsed/>
    <w:qFormat/>
    <w:rsid w:val="00990A0A"/>
    <w:pPr>
      <w:keepNext/>
      <w:keepLines/>
      <w:numPr>
        <w:ilvl w:val="3"/>
        <w:numId w:val="2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90A0A"/>
    <w:pPr>
      <w:keepNext/>
      <w:keepLines/>
      <w:numPr>
        <w:ilvl w:val="4"/>
        <w:numId w:val="2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90A0A"/>
    <w:pPr>
      <w:keepNext/>
      <w:keepLines/>
      <w:numPr>
        <w:ilvl w:val="5"/>
        <w:numId w:val="2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90A0A"/>
    <w:pPr>
      <w:keepNext/>
      <w:keepLines/>
      <w:numPr>
        <w:ilvl w:val="6"/>
        <w:numId w:val="2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90A0A"/>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0A0A"/>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D5E15"/>
    <w:pPr>
      <w:widowControl w:val="0"/>
      <w:ind w:right="-720"/>
    </w:pPr>
  </w:style>
  <w:style w:type="character" w:customStyle="1" w:styleId="FootnoteTextChar">
    <w:name w:val="Footnote Text Char"/>
    <w:basedOn w:val="DefaultParagraphFont"/>
    <w:link w:val="FootnoteText"/>
    <w:semiHidden/>
    <w:rsid w:val="00ED5E15"/>
    <w:rPr>
      <w:rFonts w:ascii="Times New Roman" w:eastAsia="Times New Roman" w:hAnsi="Times New Roman" w:cs="Times New Roman"/>
      <w:sz w:val="20"/>
      <w:szCs w:val="20"/>
    </w:rPr>
  </w:style>
  <w:style w:type="character" w:styleId="FootnoteReference">
    <w:name w:val="footnote reference"/>
    <w:aliases w:val="o"/>
    <w:rsid w:val="00ED5E15"/>
    <w:rPr>
      <w:vertAlign w:val="superscript"/>
    </w:rPr>
  </w:style>
  <w:style w:type="paragraph" w:styleId="TOC1">
    <w:name w:val="toc 1"/>
    <w:basedOn w:val="Normal"/>
    <w:next w:val="Normal"/>
    <w:semiHidden/>
    <w:rsid w:val="00ED5E15"/>
    <w:pPr>
      <w:keepNext/>
      <w:tabs>
        <w:tab w:val="right" w:leader="dot" w:pos="8640"/>
      </w:tabs>
      <w:suppressAutoHyphens/>
      <w:spacing w:before="120"/>
      <w:ind w:left="245" w:right="1440" w:hanging="245"/>
    </w:pPr>
    <w:rPr>
      <w:b/>
      <w:caps/>
      <w:noProof/>
      <w:sz w:val="26"/>
      <w:u w:val="single"/>
    </w:rPr>
  </w:style>
  <w:style w:type="character" w:styleId="LineNumber">
    <w:name w:val="line number"/>
    <w:rsid w:val="00ED5E15"/>
    <w:rPr>
      <w:sz w:val="26"/>
    </w:rPr>
  </w:style>
  <w:style w:type="paragraph" w:customStyle="1" w:styleId="Quotation">
    <w:name w:val="Quotation"/>
    <w:basedOn w:val="Normal"/>
    <w:next w:val="Normal"/>
    <w:rsid w:val="00ED5E15"/>
    <w:pPr>
      <w:ind w:left="1440" w:right="1440"/>
    </w:pPr>
    <w:rPr>
      <w:sz w:val="26"/>
    </w:rPr>
  </w:style>
  <w:style w:type="paragraph" w:styleId="BodyText">
    <w:name w:val="Body Text"/>
    <w:basedOn w:val="Normal"/>
    <w:link w:val="BodyTextChar"/>
    <w:rsid w:val="00ED5E15"/>
    <w:pPr>
      <w:spacing w:after="480"/>
    </w:pPr>
    <w:rPr>
      <w:sz w:val="26"/>
    </w:rPr>
  </w:style>
  <w:style w:type="character" w:customStyle="1" w:styleId="BodyTextChar">
    <w:name w:val="Body Text Char"/>
    <w:basedOn w:val="DefaultParagraphFont"/>
    <w:link w:val="BodyText"/>
    <w:rsid w:val="00ED5E15"/>
    <w:rPr>
      <w:rFonts w:ascii="Times New Roman" w:eastAsia="Times New Roman" w:hAnsi="Times New Roman" w:cs="Times New Roman"/>
      <w:sz w:val="26"/>
      <w:szCs w:val="20"/>
    </w:rPr>
  </w:style>
  <w:style w:type="paragraph" w:styleId="Title">
    <w:name w:val="Title"/>
    <w:basedOn w:val="Normal"/>
    <w:link w:val="TitleChar"/>
    <w:qFormat/>
    <w:rsid w:val="00ED5E15"/>
    <w:pPr>
      <w:spacing w:before="240" w:after="60"/>
      <w:jc w:val="center"/>
    </w:pPr>
    <w:rPr>
      <w:b/>
      <w:kern w:val="28"/>
      <w:sz w:val="28"/>
    </w:rPr>
  </w:style>
  <w:style w:type="character" w:customStyle="1" w:styleId="TitleChar">
    <w:name w:val="Title Char"/>
    <w:basedOn w:val="DefaultParagraphFont"/>
    <w:link w:val="Title"/>
    <w:rsid w:val="00ED5E15"/>
    <w:rPr>
      <w:rFonts w:ascii="Times New Roman" w:eastAsia="Times New Roman" w:hAnsi="Times New Roman" w:cs="Times New Roman"/>
      <w:b/>
      <w:kern w:val="28"/>
      <w:sz w:val="28"/>
      <w:szCs w:val="20"/>
    </w:rPr>
  </w:style>
  <w:style w:type="paragraph" w:styleId="Date">
    <w:name w:val="Date"/>
    <w:basedOn w:val="Normal"/>
    <w:link w:val="DateChar"/>
    <w:rsid w:val="00ED5E15"/>
    <w:pPr>
      <w:jc w:val="right"/>
    </w:pPr>
    <w:rPr>
      <w:sz w:val="26"/>
    </w:rPr>
  </w:style>
  <w:style w:type="character" w:customStyle="1" w:styleId="DateChar">
    <w:name w:val="Date Char"/>
    <w:basedOn w:val="DefaultParagraphFont"/>
    <w:link w:val="Date"/>
    <w:rsid w:val="00ED5E15"/>
    <w:rPr>
      <w:rFonts w:ascii="Times New Roman" w:eastAsia="Times New Roman" w:hAnsi="Times New Roman" w:cs="Times New Roman"/>
      <w:sz w:val="26"/>
      <w:szCs w:val="20"/>
    </w:rPr>
  </w:style>
  <w:style w:type="paragraph" w:customStyle="1" w:styleId="BodyText1Noindent">
    <w:name w:val="Body Text 1 (No indent)"/>
    <w:basedOn w:val="Normal"/>
    <w:rsid w:val="00ED5E15"/>
    <w:rPr>
      <w:sz w:val="26"/>
    </w:rPr>
  </w:style>
  <w:style w:type="paragraph" w:styleId="BodyText3">
    <w:name w:val="Body Text 3"/>
    <w:basedOn w:val="Normal"/>
    <w:link w:val="BodyText3Char"/>
    <w:rsid w:val="00ED5E15"/>
    <w:rPr>
      <w:sz w:val="16"/>
      <w:szCs w:val="16"/>
    </w:rPr>
  </w:style>
  <w:style w:type="character" w:customStyle="1" w:styleId="BodyText3Char">
    <w:name w:val="Body Text 3 Char"/>
    <w:basedOn w:val="DefaultParagraphFont"/>
    <w:link w:val="BodyText3"/>
    <w:rsid w:val="00ED5E15"/>
    <w:rPr>
      <w:rFonts w:ascii="Times New Roman" w:eastAsia="Times New Roman" w:hAnsi="Times New Roman" w:cs="Times New Roman"/>
      <w:sz w:val="16"/>
      <w:szCs w:val="16"/>
    </w:rPr>
  </w:style>
  <w:style w:type="paragraph" w:styleId="Header">
    <w:name w:val="header"/>
    <w:basedOn w:val="Normal"/>
    <w:link w:val="HeaderChar"/>
    <w:rsid w:val="00ED5E15"/>
    <w:pPr>
      <w:tabs>
        <w:tab w:val="center" w:pos="4320"/>
        <w:tab w:val="right" w:pos="8640"/>
      </w:tabs>
    </w:pPr>
  </w:style>
  <w:style w:type="character" w:customStyle="1" w:styleId="HeaderChar">
    <w:name w:val="Header Char"/>
    <w:basedOn w:val="DefaultParagraphFont"/>
    <w:link w:val="Header"/>
    <w:rsid w:val="00ED5E15"/>
    <w:rPr>
      <w:rFonts w:ascii="Times New Roman" w:eastAsia="Times New Roman" w:hAnsi="Times New Roman" w:cs="Times New Roman"/>
      <w:sz w:val="20"/>
      <w:szCs w:val="20"/>
    </w:rPr>
  </w:style>
  <w:style w:type="paragraph" w:styleId="Footer">
    <w:name w:val="footer"/>
    <w:basedOn w:val="Normal"/>
    <w:link w:val="FooterChar"/>
    <w:rsid w:val="00ED5E15"/>
    <w:pPr>
      <w:tabs>
        <w:tab w:val="center" w:pos="4320"/>
        <w:tab w:val="right" w:pos="8640"/>
      </w:tabs>
    </w:pPr>
  </w:style>
  <w:style w:type="character" w:customStyle="1" w:styleId="FooterChar">
    <w:name w:val="Footer Char"/>
    <w:basedOn w:val="DefaultParagraphFont"/>
    <w:link w:val="Footer"/>
    <w:rsid w:val="00ED5E15"/>
    <w:rPr>
      <w:rFonts w:ascii="Times New Roman" w:eastAsia="Times New Roman" w:hAnsi="Times New Roman" w:cs="Times New Roman"/>
      <w:sz w:val="20"/>
      <w:szCs w:val="20"/>
    </w:rPr>
  </w:style>
  <w:style w:type="character" w:styleId="PageNumber">
    <w:name w:val="page number"/>
    <w:basedOn w:val="DefaultParagraphFont"/>
    <w:rsid w:val="00ED5E15"/>
  </w:style>
  <w:style w:type="paragraph" w:styleId="NormalWeb">
    <w:name w:val="Normal (Web)"/>
    <w:basedOn w:val="Normal"/>
    <w:uiPriority w:val="99"/>
    <w:unhideWhenUsed/>
    <w:rsid w:val="00EA2079"/>
    <w:pPr>
      <w:spacing w:before="100" w:beforeAutospacing="1" w:after="100" w:afterAutospacing="1"/>
    </w:pPr>
    <w:rPr>
      <w:sz w:val="24"/>
      <w:szCs w:val="24"/>
    </w:rPr>
  </w:style>
  <w:style w:type="character" w:customStyle="1" w:styleId="added-material">
    <w:name w:val="added-material"/>
    <w:basedOn w:val="DefaultParagraphFont"/>
    <w:rsid w:val="00EA2079"/>
  </w:style>
  <w:style w:type="paragraph" w:styleId="ListParagraph">
    <w:name w:val="List Paragraph"/>
    <w:basedOn w:val="Normal"/>
    <w:uiPriority w:val="34"/>
    <w:qFormat/>
    <w:rsid w:val="005A7C3F"/>
    <w:pPr>
      <w:ind w:left="720"/>
      <w:contextualSpacing/>
    </w:pPr>
  </w:style>
  <w:style w:type="paragraph" w:customStyle="1" w:styleId="Default">
    <w:name w:val="Default"/>
    <w:rsid w:val="00DD6553"/>
    <w:pPr>
      <w:autoSpaceDE w:val="0"/>
      <w:autoSpaceDN w:val="0"/>
      <w:adjustRightInd w:val="0"/>
      <w:spacing w:after="0"/>
    </w:pPr>
    <w:rPr>
      <w:rFonts w:ascii="Times New Roman" w:hAnsi="Times New Roman" w:cs="Times New Roman"/>
      <w:color w:val="000000"/>
      <w:sz w:val="24"/>
      <w:szCs w:val="24"/>
    </w:rPr>
  </w:style>
  <w:style w:type="character" w:styleId="Hyperlink">
    <w:name w:val="Hyperlink"/>
    <w:basedOn w:val="DefaultParagraphFont"/>
    <w:uiPriority w:val="99"/>
    <w:unhideWhenUsed/>
    <w:rsid w:val="0023676F"/>
    <w:rPr>
      <w:color w:val="0000FF" w:themeColor="hyperlink"/>
      <w:u w:val="single"/>
    </w:rPr>
  </w:style>
  <w:style w:type="character" w:styleId="UnresolvedMention">
    <w:name w:val="Unresolved Mention"/>
    <w:basedOn w:val="DefaultParagraphFont"/>
    <w:uiPriority w:val="99"/>
    <w:semiHidden/>
    <w:unhideWhenUsed/>
    <w:rsid w:val="0023676F"/>
    <w:rPr>
      <w:color w:val="605E5C"/>
      <w:shd w:val="clear" w:color="auto" w:fill="E1DFDD"/>
    </w:rPr>
  </w:style>
  <w:style w:type="character" w:styleId="CommentReference">
    <w:name w:val="annotation reference"/>
    <w:basedOn w:val="DefaultParagraphFont"/>
    <w:uiPriority w:val="99"/>
    <w:semiHidden/>
    <w:unhideWhenUsed/>
    <w:rsid w:val="0073427C"/>
    <w:rPr>
      <w:sz w:val="16"/>
      <w:szCs w:val="16"/>
    </w:rPr>
  </w:style>
  <w:style w:type="paragraph" w:styleId="CommentText">
    <w:name w:val="annotation text"/>
    <w:basedOn w:val="Normal"/>
    <w:link w:val="CommentTextChar"/>
    <w:uiPriority w:val="99"/>
    <w:unhideWhenUsed/>
    <w:rsid w:val="0073427C"/>
  </w:style>
  <w:style w:type="character" w:customStyle="1" w:styleId="CommentTextChar">
    <w:name w:val="Comment Text Char"/>
    <w:basedOn w:val="DefaultParagraphFont"/>
    <w:link w:val="CommentText"/>
    <w:uiPriority w:val="99"/>
    <w:rsid w:val="007342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427C"/>
    <w:rPr>
      <w:b/>
      <w:bCs/>
    </w:rPr>
  </w:style>
  <w:style w:type="character" w:customStyle="1" w:styleId="CommentSubjectChar">
    <w:name w:val="Comment Subject Char"/>
    <w:basedOn w:val="CommentTextChar"/>
    <w:link w:val="CommentSubject"/>
    <w:uiPriority w:val="99"/>
    <w:semiHidden/>
    <w:rsid w:val="0073427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285B"/>
    <w:rPr>
      <w:color w:val="800080" w:themeColor="followedHyperlink"/>
      <w:u w:val="single"/>
    </w:rPr>
  </w:style>
  <w:style w:type="paragraph" w:styleId="Revision">
    <w:name w:val="Revision"/>
    <w:hidden/>
    <w:uiPriority w:val="99"/>
    <w:semiHidden/>
    <w:rsid w:val="009234E8"/>
    <w:pPr>
      <w:spacing w:after="0"/>
    </w:pPr>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B61C2F"/>
    <w:pPr>
      <w:spacing w:after="0"/>
    </w:pPr>
  </w:style>
  <w:style w:type="character" w:customStyle="1" w:styleId="EndnoteTextChar">
    <w:name w:val="Endnote Text Char"/>
    <w:basedOn w:val="DefaultParagraphFont"/>
    <w:link w:val="EndnoteText"/>
    <w:uiPriority w:val="99"/>
    <w:semiHidden/>
    <w:rsid w:val="00B61C2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61C2F"/>
    <w:rPr>
      <w:vertAlign w:val="superscript"/>
    </w:rPr>
  </w:style>
  <w:style w:type="character" w:customStyle="1" w:styleId="Heading1Char">
    <w:name w:val="Heading 1 Char"/>
    <w:basedOn w:val="DefaultParagraphFont"/>
    <w:link w:val="Heading1"/>
    <w:uiPriority w:val="9"/>
    <w:rsid w:val="00990A0A"/>
    <w:rPr>
      <w:rFonts w:ascii="Times New Roman" w:eastAsiaTheme="majorEastAsia" w:hAnsi="Times New Roman" w:cs="Times New Roman"/>
      <w:b/>
      <w:bCs/>
      <w:sz w:val="26"/>
      <w:szCs w:val="26"/>
    </w:rPr>
  </w:style>
  <w:style w:type="character" w:customStyle="1" w:styleId="Heading2Char">
    <w:name w:val="Heading 2 Char"/>
    <w:basedOn w:val="DefaultParagraphFont"/>
    <w:link w:val="Heading2"/>
    <w:uiPriority w:val="9"/>
    <w:rsid w:val="003B68C3"/>
    <w:rPr>
      <w:rFonts w:ascii="Times New Roman" w:eastAsiaTheme="majorEastAsia" w:hAnsi="Times New Roman" w:cs="Times New Roman"/>
      <w:b/>
      <w:bCs/>
      <w:sz w:val="26"/>
      <w:szCs w:val="26"/>
    </w:rPr>
  </w:style>
  <w:style w:type="character" w:customStyle="1" w:styleId="Heading3Char">
    <w:name w:val="Heading 3 Char"/>
    <w:basedOn w:val="DefaultParagraphFont"/>
    <w:link w:val="Heading3"/>
    <w:uiPriority w:val="9"/>
    <w:rsid w:val="00257C90"/>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semiHidden/>
    <w:rsid w:val="00990A0A"/>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90A0A"/>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990A0A"/>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90A0A"/>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90A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90A0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6680">
      <w:bodyDiv w:val="1"/>
      <w:marLeft w:val="0"/>
      <w:marRight w:val="0"/>
      <w:marTop w:val="0"/>
      <w:marBottom w:val="0"/>
      <w:divBdr>
        <w:top w:val="none" w:sz="0" w:space="0" w:color="auto"/>
        <w:left w:val="none" w:sz="0" w:space="0" w:color="auto"/>
        <w:bottom w:val="none" w:sz="0" w:space="0" w:color="auto"/>
        <w:right w:val="none" w:sz="0" w:space="0" w:color="auto"/>
      </w:divBdr>
    </w:div>
    <w:div w:id="133328305">
      <w:bodyDiv w:val="1"/>
      <w:marLeft w:val="0"/>
      <w:marRight w:val="0"/>
      <w:marTop w:val="0"/>
      <w:marBottom w:val="0"/>
      <w:divBdr>
        <w:top w:val="none" w:sz="0" w:space="0" w:color="auto"/>
        <w:left w:val="none" w:sz="0" w:space="0" w:color="auto"/>
        <w:bottom w:val="none" w:sz="0" w:space="0" w:color="auto"/>
        <w:right w:val="none" w:sz="0" w:space="0" w:color="auto"/>
      </w:divBdr>
    </w:div>
    <w:div w:id="148445863">
      <w:bodyDiv w:val="1"/>
      <w:marLeft w:val="0"/>
      <w:marRight w:val="0"/>
      <w:marTop w:val="0"/>
      <w:marBottom w:val="0"/>
      <w:divBdr>
        <w:top w:val="none" w:sz="0" w:space="0" w:color="auto"/>
        <w:left w:val="none" w:sz="0" w:space="0" w:color="auto"/>
        <w:bottom w:val="none" w:sz="0" w:space="0" w:color="auto"/>
        <w:right w:val="none" w:sz="0" w:space="0" w:color="auto"/>
      </w:divBdr>
    </w:div>
    <w:div w:id="247354252">
      <w:bodyDiv w:val="1"/>
      <w:marLeft w:val="0"/>
      <w:marRight w:val="0"/>
      <w:marTop w:val="0"/>
      <w:marBottom w:val="0"/>
      <w:divBdr>
        <w:top w:val="none" w:sz="0" w:space="0" w:color="auto"/>
        <w:left w:val="none" w:sz="0" w:space="0" w:color="auto"/>
        <w:bottom w:val="none" w:sz="0" w:space="0" w:color="auto"/>
        <w:right w:val="none" w:sz="0" w:space="0" w:color="auto"/>
      </w:divBdr>
    </w:div>
    <w:div w:id="534460877">
      <w:bodyDiv w:val="1"/>
      <w:marLeft w:val="0"/>
      <w:marRight w:val="0"/>
      <w:marTop w:val="0"/>
      <w:marBottom w:val="0"/>
      <w:divBdr>
        <w:top w:val="none" w:sz="0" w:space="0" w:color="auto"/>
        <w:left w:val="none" w:sz="0" w:space="0" w:color="auto"/>
        <w:bottom w:val="none" w:sz="0" w:space="0" w:color="auto"/>
        <w:right w:val="none" w:sz="0" w:space="0" w:color="auto"/>
      </w:divBdr>
    </w:div>
    <w:div w:id="889069918">
      <w:bodyDiv w:val="1"/>
      <w:marLeft w:val="0"/>
      <w:marRight w:val="0"/>
      <w:marTop w:val="0"/>
      <w:marBottom w:val="0"/>
      <w:divBdr>
        <w:top w:val="none" w:sz="0" w:space="0" w:color="auto"/>
        <w:left w:val="none" w:sz="0" w:space="0" w:color="auto"/>
        <w:bottom w:val="none" w:sz="0" w:space="0" w:color="auto"/>
        <w:right w:val="none" w:sz="0" w:space="0" w:color="auto"/>
      </w:divBdr>
    </w:div>
    <w:div w:id="1153527804">
      <w:bodyDiv w:val="1"/>
      <w:marLeft w:val="0"/>
      <w:marRight w:val="0"/>
      <w:marTop w:val="0"/>
      <w:marBottom w:val="0"/>
      <w:divBdr>
        <w:top w:val="none" w:sz="0" w:space="0" w:color="auto"/>
        <w:left w:val="none" w:sz="0" w:space="0" w:color="auto"/>
        <w:bottom w:val="none" w:sz="0" w:space="0" w:color="auto"/>
        <w:right w:val="none" w:sz="0" w:space="0" w:color="auto"/>
      </w:divBdr>
    </w:div>
    <w:div w:id="1170755493">
      <w:bodyDiv w:val="1"/>
      <w:marLeft w:val="0"/>
      <w:marRight w:val="0"/>
      <w:marTop w:val="0"/>
      <w:marBottom w:val="0"/>
      <w:divBdr>
        <w:top w:val="none" w:sz="0" w:space="0" w:color="auto"/>
        <w:left w:val="none" w:sz="0" w:space="0" w:color="auto"/>
        <w:bottom w:val="none" w:sz="0" w:space="0" w:color="auto"/>
        <w:right w:val="none" w:sz="0" w:space="0" w:color="auto"/>
      </w:divBdr>
    </w:div>
    <w:div w:id="1196767796">
      <w:bodyDiv w:val="1"/>
      <w:marLeft w:val="0"/>
      <w:marRight w:val="0"/>
      <w:marTop w:val="0"/>
      <w:marBottom w:val="0"/>
      <w:divBdr>
        <w:top w:val="none" w:sz="0" w:space="0" w:color="auto"/>
        <w:left w:val="none" w:sz="0" w:space="0" w:color="auto"/>
        <w:bottom w:val="none" w:sz="0" w:space="0" w:color="auto"/>
        <w:right w:val="none" w:sz="0" w:space="0" w:color="auto"/>
      </w:divBdr>
    </w:div>
    <w:div w:id="1241987625">
      <w:bodyDiv w:val="1"/>
      <w:marLeft w:val="0"/>
      <w:marRight w:val="0"/>
      <w:marTop w:val="0"/>
      <w:marBottom w:val="0"/>
      <w:divBdr>
        <w:top w:val="none" w:sz="0" w:space="0" w:color="auto"/>
        <w:left w:val="none" w:sz="0" w:space="0" w:color="auto"/>
        <w:bottom w:val="none" w:sz="0" w:space="0" w:color="auto"/>
        <w:right w:val="none" w:sz="0" w:space="0" w:color="auto"/>
      </w:divBdr>
    </w:div>
    <w:div w:id="1402366344">
      <w:bodyDiv w:val="1"/>
      <w:marLeft w:val="0"/>
      <w:marRight w:val="0"/>
      <w:marTop w:val="0"/>
      <w:marBottom w:val="0"/>
      <w:divBdr>
        <w:top w:val="none" w:sz="0" w:space="0" w:color="auto"/>
        <w:left w:val="none" w:sz="0" w:space="0" w:color="auto"/>
        <w:bottom w:val="none" w:sz="0" w:space="0" w:color="auto"/>
        <w:right w:val="none" w:sz="0" w:space="0" w:color="auto"/>
      </w:divBdr>
    </w:div>
    <w:div w:id="1439137409">
      <w:bodyDiv w:val="1"/>
      <w:marLeft w:val="0"/>
      <w:marRight w:val="0"/>
      <w:marTop w:val="0"/>
      <w:marBottom w:val="0"/>
      <w:divBdr>
        <w:top w:val="none" w:sz="0" w:space="0" w:color="auto"/>
        <w:left w:val="none" w:sz="0" w:space="0" w:color="auto"/>
        <w:bottom w:val="none" w:sz="0" w:space="0" w:color="auto"/>
        <w:right w:val="none" w:sz="0" w:space="0" w:color="auto"/>
      </w:divBdr>
    </w:div>
    <w:div w:id="1458766379">
      <w:bodyDiv w:val="1"/>
      <w:marLeft w:val="0"/>
      <w:marRight w:val="0"/>
      <w:marTop w:val="0"/>
      <w:marBottom w:val="0"/>
      <w:divBdr>
        <w:top w:val="none" w:sz="0" w:space="0" w:color="auto"/>
        <w:left w:val="none" w:sz="0" w:space="0" w:color="auto"/>
        <w:bottom w:val="none" w:sz="0" w:space="0" w:color="auto"/>
        <w:right w:val="none" w:sz="0" w:space="0" w:color="auto"/>
      </w:divBdr>
    </w:div>
    <w:div w:id="1710103596">
      <w:bodyDiv w:val="1"/>
      <w:marLeft w:val="0"/>
      <w:marRight w:val="0"/>
      <w:marTop w:val="0"/>
      <w:marBottom w:val="0"/>
      <w:divBdr>
        <w:top w:val="none" w:sz="0" w:space="0" w:color="auto"/>
        <w:left w:val="none" w:sz="0" w:space="0" w:color="auto"/>
        <w:bottom w:val="none" w:sz="0" w:space="0" w:color="auto"/>
        <w:right w:val="none" w:sz="0" w:space="0" w:color="auto"/>
      </w:divBdr>
    </w:div>
    <w:div w:id="1716395161">
      <w:bodyDiv w:val="1"/>
      <w:marLeft w:val="0"/>
      <w:marRight w:val="0"/>
      <w:marTop w:val="0"/>
      <w:marBottom w:val="0"/>
      <w:divBdr>
        <w:top w:val="none" w:sz="0" w:space="0" w:color="auto"/>
        <w:left w:val="none" w:sz="0" w:space="0" w:color="auto"/>
        <w:bottom w:val="none" w:sz="0" w:space="0" w:color="auto"/>
        <w:right w:val="none" w:sz="0" w:space="0" w:color="auto"/>
      </w:divBdr>
    </w:div>
    <w:div w:id="1764766685">
      <w:bodyDiv w:val="1"/>
      <w:marLeft w:val="0"/>
      <w:marRight w:val="0"/>
      <w:marTop w:val="0"/>
      <w:marBottom w:val="0"/>
      <w:divBdr>
        <w:top w:val="none" w:sz="0" w:space="0" w:color="auto"/>
        <w:left w:val="none" w:sz="0" w:space="0" w:color="auto"/>
        <w:bottom w:val="none" w:sz="0" w:space="0" w:color="auto"/>
        <w:right w:val="none" w:sz="0" w:space="0" w:color="auto"/>
      </w:divBdr>
    </w:div>
    <w:div w:id="1786733421">
      <w:bodyDiv w:val="1"/>
      <w:marLeft w:val="0"/>
      <w:marRight w:val="0"/>
      <w:marTop w:val="0"/>
      <w:marBottom w:val="0"/>
      <w:divBdr>
        <w:top w:val="none" w:sz="0" w:space="0" w:color="auto"/>
        <w:left w:val="none" w:sz="0" w:space="0" w:color="auto"/>
        <w:bottom w:val="none" w:sz="0" w:space="0" w:color="auto"/>
        <w:right w:val="none" w:sz="0" w:space="0" w:color="auto"/>
      </w:divBdr>
    </w:div>
    <w:div w:id="1847748325">
      <w:bodyDiv w:val="1"/>
      <w:marLeft w:val="0"/>
      <w:marRight w:val="0"/>
      <w:marTop w:val="0"/>
      <w:marBottom w:val="0"/>
      <w:divBdr>
        <w:top w:val="none" w:sz="0" w:space="0" w:color="auto"/>
        <w:left w:val="none" w:sz="0" w:space="0" w:color="auto"/>
        <w:bottom w:val="none" w:sz="0" w:space="0" w:color="auto"/>
        <w:right w:val="none" w:sz="0" w:space="0" w:color="auto"/>
      </w:divBdr>
      <w:divsChild>
        <w:div w:id="2058821272">
          <w:marLeft w:val="0"/>
          <w:marRight w:val="0"/>
          <w:marTop w:val="0"/>
          <w:marBottom w:val="0"/>
          <w:divBdr>
            <w:top w:val="none" w:sz="0" w:space="0" w:color="auto"/>
            <w:left w:val="none" w:sz="0" w:space="0" w:color="auto"/>
            <w:bottom w:val="none" w:sz="0" w:space="0" w:color="auto"/>
            <w:right w:val="none" w:sz="0" w:space="0" w:color="auto"/>
          </w:divBdr>
        </w:div>
        <w:div w:id="72287204">
          <w:marLeft w:val="0"/>
          <w:marRight w:val="0"/>
          <w:marTop w:val="0"/>
          <w:marBottom w:val="0"/>
          <w:divBdr>
            <w:top w:val="none" w:sz="0" w:space="0" w:color="auto"/>
            <w:left w:val="none" w:sz="0" w:space="0" w:color="auto"/>
            <w:bottom w:val="none" w:sz="0" w:space="0" w:color="auto"/>
            <w:right w:val="none" w:sz="0" w:space="0" w:color="auto"/>
          </w:divBdr>
          <w:divsChild>
            <w:div w:id="929391833">
              <w:marLeft w:val="0"/>
              <w:marRight w:val="0"/>
              <w:marTop w:val="0"/>
              <w:marBottom w:val="0"/>
              <w:divBdr>
                <w:top w:val="none" w:sz="0" w:space="0" w:color="auto"/>
                <w:left w:val="none" w:sz="0" w:space="0" w:color="auto"/>
                <w:bottom w:val="none" w:sz="0" w:space="0" w:color="auto"/>
                <w:right w:val="none" w:sz="0" w:space="0" w:color="auto"/>
              </w:divBdr>
            </w:div>
          </w:divsChild>
        </w:div>
        <w:div w:id="892227873">
          <w:marLeft w:val="0"/>
          <w:marRight w:val="0"/>
          <w:marTop w:val="0"/>
          <w:marBottom w:val="0"/>
          <w:divBdr>
            <w:top w:val="none" w:sz="0" w:space="0" w:color="auto"/>
            <w:left w:val="none" w:sz="0" w:space="0" w:color="auto"/>
            <w:bottom w:val="none" w:sz="0" w:space="0" w:color="auto"/>
            <w:right w:val="none" w:sz="0" w:space="0" w:color="auto"/>
          </w:divBdr>
          <w:divsChild>
            <w:div w:id="13629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5016">
      <w:bodyDiv w:val="1"/>
      <w:marLeft w:val="0"/>
      <w:marRight w:val="0"/>
      <w:marTop w:val="0"/>
      <w:marBottom w:val="0"/>
      <w:divBdr>
        <w:top w:val="none" w:sz="0" w:space="0" w:color="auto"/>
        <w:left w:val="none" w:sz="0" w:space="0" w:color="auto"/>
        <w:bottom w:val="none" w:sz="0" w:space="0" w:color="auto"/>
        <w:right w:val="none" w:sz="0" w:space="0" w:color="auto"/>
      </w:divBdr>
    </w:div>
    <w:div w:id="208799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1.next.westlaw.com/Link/Document/FullText?findType=L&amp;pubNum=1000203&amp;cite=CACNART1S3&amp;originatingDoc=I401aa0d0a11a11eabb91c2e2bc8b49a5&amp;refType=LQ&amp;originationContext=document&amp;transitionType=DocumentItem&amp;ppcid=317ee9bed8064aad8b0042eb8c190410&amp;contextData=(sc.Search)" TargetMode="External"/><Relationship Id="rId2" Type="http://schemas.openxmlformats.org/officeDocument/2006/relationships/hyperlink" Target="https://1.next.westlaw.com/Link/Document/FullText?findType=L&amp;pubNum=1000211&amp;cite=CAGTS6250&amp;originatingDoc=I401aa0d0a11a11eabb91c2e2bc8b49a5&amp;refType=LQ&amp;originationContext=document&amp;transitionType=DocumentItem&amp;ppcid=317ee9bed8064aad8b0042eb8c190410&amp;contextData=(sc.Search)" TargetMode="External"/><Relationship Id="rId1" Type="http://schemas.openxmlformats.org/officeDocument/2006/relationships/hyperlink" Target="https://1.next.westlaw.com/Link/Document/FullText?findType=Y&amp;serNum=2040679491&amp;pubNum=0007052&amp;originatingDoc=I401aa0d0a11a11eabb91c2e2bc8b49a5&amp;refType=RP&amp;fi=co_pp_sp_7052_290&amp;originationContext=document&amp;transitionType=DocumentItem&amp;ppcid=317ee9bed8064aad8b0042eb8c190410&amp;contextData=(sc.Search)" TargetMode="External"/><Relationship Id="rId6" Type="http://schemas.openxmlformats.org/officeDocument/2006/relationships/hyperlink" Target="https://www.cpuc.ca.gov/-/media/cpuc-website/divisions/water-division/reports/water-division-letter-to-class-a-water-utilities-regarding-audited-financial-statements-and-10k-repo.pdf" TargetMode="External"/><Relationship Id="rId5" Type="http://schemas.openxmlformats.org/officeDocument/2006/relationships/hyperlink" Target="https://www.cpuc.ca.gov/-/media/cpuc-website/divisions/water-division/reports/water-division-letter-to-class-a-water-utilities-regarding-audited-financial-statements-and-10k-repo.pdf" TargetMode="External"/><Relationship Id="rId4" Type="http://schemas.openxmlformats.org/officeDocument/2006/relationships/hyperlink" Target="https://1.next.westlaw.com/Link/Document/FullText?findType=Y&amp;serNum=2040679491&amp;pubNum=0004645&amp;originatingDoc=I401aa0d0a11a11eabb91c2e2bc8b49a5&amp;refType=RP&amp;fi=co_pp_sp_4645_290&amp;originationContext=document&amp;transitionType=DocumentItem&amp;ppcid=317ee9bed8064aad8b0042eb8c190410&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185F-4FE3-4063-B26B-05520DAC4AE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19</ap:Pages>
  <ap:Words>5579</ap:Words>
  <ap:Characters>31806</ap:Characters>
  <ap:Application>Microsoft Office Word</ap:Application>
  <ap:DocSecurity>0</ap:DocSecurity>
  <ap:Lines>265</ap:Lines>
  <ap:Paragraphs>74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37311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2022-02-18T16:45:00Z</cp:lastPrinted>
  <dcterms:created xsi:type="dcterms:W3CDTF">2022-02-18T09:06:03Z</dcterms:created>
  <dcterms:modified xsi:type="dcterms:W3CDTF">2022-02-18T09:06:03Z</dcterms:modified>
</cp:coreProperties>
</file>