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4DCA" w:rsidR="00BB7CF6" w:rsidP="00F84DCA" w:rsidRDefault="00BB7CF6" w14:paraId="02EF70D8" w14:textId="4A2794B3">
      <w:pPr>
        <w:tabs>
          <w:tab w:val="center" w:pos="4680"/>
          <w:tab w:val="right" w:pos="9360"/>
        </w:tabs>
        <w:spacing w:line="240" w:lineRule="auto"/>
        <w:ind w:firstLine="0"/>
        <w:rPr>
          <w:rFonts w:ascii="Arial" w:hAnsi="Arial" w:cs="Arial"/>
          <w:szCs w:val="26"/>
        </w:rPr>
      </w:pPr>
      <w:r w:rsidRPr="008658CC">
        <w:t>ALJ/</w:t>
      </w:r>
      <w:r>
        <w:t>DBB</w:t>
      </w:r>
      <w:r w:rsidRPr="008658CC">
        <w:t>/lil</w:t>
      </w:r>
      <w:r w:rsidR="00F84DCA">
        <w:t>/sgu</w:t>
      </w:r>
      <w:r w:rsidRPr="008658CC">
        <w:tab/>
      </w:r>
      <w:r w:rsidRPr="00F84DCA">
        <w:rPr>
          <w:rFonts w:ascii="Arial" w:hAnsi="Arial" w:cs="Arial"/>
          <w:b/>
          <w:szCs w:val="26"/>
        </w:rPr>
        <w:t>PROPOSED DECISION</w:t>
      </w:r>
      <w:r w:rsidR="00F84DCA">
        <w:rPr>
          <w:rFonts w:ascii="Arial" w:hAnsi="Arial" w:cs="Arial"/>
          <w:b/>
          <w:szCs w:val="26"/>
        </w:rPr>
        <w:tab/>
      </w:r>
      <w:r w:rsidRPr="00F84DCA">
        <w:t>Agenda ID #20358</w:t>
      </w:r>
      <w:r w:rsidRPr="00F84DCA" w:rsidR="002B734E">
        <w:t xml:space="preserve">  (Rev. 1)</w:t>
      </w:r>
    </w:p>
    <w:p w:rsidRPr="00F84DCA" w:rsidR="00BB7CF6" w:rsidP="00BB7CF6" w:rsidRDefault="00BB7CF6" w14:paraId="36C8B5F5" w14:textId="77777777">
      <w:pPr>
        <w:tabs>
          <w:tab w:val="center" w:pos="4680"/>
          <w:tab w:val="right" w:pos="9360"/>
        </w:tabs>
        <w:spacing w:line="240" w:lineRule="auto"/>
        <w:ind w:firstLine="0"/>
        <w:jc w:val="right"/>
        <w:rPr>
          <w:szCs w:val="26"/>
        </w:rPr>
      </w:pPr>
      <w:r w:rsidRPr="00F84DCA">
        <w:rPr>
          <w:szCs w:val="26"/>
        </w:rPr>
        <w:t>Ratesetting</w:t>
      </w:r>
    </w:p>
    <w:p w:rsidRPr="00F84DCA" w:rsidR="00BB7CF6" w:rsidP="002B734E" w:rsidRDefault="002B734E" w14:paraId="4CF94748" w14:textId="43F9992B">
      <w:pPr>
        <w:spacing w:line="240" w:lineRule="auto"/>
        <w:ind w:firstLine="0"/>
        <w:jc w:val="right"/>
      </w:pPr>
      <w:r w:rsidRPr="00F84DCA">
        <w:t>3/17/2022</w:t>
      </w:r>
      <w:r w:rsidR="00F84DCA">
        <w:t xml:space="preserve"> Item #42</w:t>
      </w:r>
    </w:p>
    <w:p w:rsidR="00BB7CF6" w:rsidP="00BB7CF6" w:rsidRDefault="00BB7CF6" w14:paraId="12306662" w14:textId="77777777">
      <w:pPr>
        <w:ind w:firstLine="0"/>
      </w:pPr>
    </w:p>
    <w:p w:rsidRPr="008658CC" w:rsidR="00BB7CF6" w:rsidP="00BB7CF6" w:rsidRDefault="00BB7CF6" w14:paraId="65D46D2E" w14:textId="77777777">
      <w:pPr>
        <w:spacing w:after="160" w:line="240" w:lineRule="auto"/>
        <w:ind w:firstLine="0"/>
      </w:pPr>
      <w:r w:rsidRPr="008658CC">
        <w:t xml:space="preserve">Decision </w:t>
      </w:r>
      <w:r w:rsidRPr="008658CC">
        <w:rPr>
          <w:b/>
          <w:bCs/>
          <w:u w:val="single"/>
        </w:rPr>
        <w:t>PR</w:t>
      </w:r>
      <w:r>
        <w:rPr>
          <w:b/>
          <w:bCs/>
          <w:u w:val="single"/>
        </w:rPr>
        <w:t xml:space="preserve">OPOSED DECISION OF </w:t>
      </w:r>
      <w:r w:rsidRPr="008658CC">
        <w:rPr>
          <w:b/>
          <w:bCs/>
          <w:u w:val="single"/>
        </w:rPr>
        <w:t xml:space="preserve">ALJ </w:t>
      </w:r>
      <w:r>
        <w:rPr>
          <w:b/>
          <w:bCs/>
          <w:u w:val="single"/>
        </w:rPr>
        <w:t>CHIV</w:t>
      </w:r>
      <w:r w:rsidRPr="008658CC">
        <w:t xml:space="preserve">  (Mailed </w:t>
      </w:r>
      <w:r>
        <w:t>2/10/2022</w:t>
      </w:r>
      <w:r w:rsidRPr="008658CC">
        <w:t>)</w:t>
      </w:r>
    </w:p>
    <w:p w:rsidR="00BB7CF6" w:rsidP="00BB7CF6" w:rsidRDefault="00BB7CF6" w14:paraId="216D64AA" w14:textId="77777777">
      <w:pPr>
        <w:spacing w:line="240" w:lineRule="auto"/>
        <w:ind w:firstLine="0"/>
        <w:rPr>
          <w:u w:val="single"/>
        </w:rPr>
      </w:pPr>
    </w:p>
    <w:p w:rsidR="00BB7CF6" w:rsidP="00BB7CF6" w:rsidRDefault="00BB7CF6" w14:paraId="7CBB9742"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BB7CF6" w:rsidP="00BB7CF6" w:rsidRDefault="00BB7CF6" w14:paraId="43A6C672"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BB7CF6" w:rsidTr="002270C9" w14:paraId="42193FC9" w14:textId="77777777">
        <w:trPr>
          <w:jc w:val="center"/>
        </w:trPr>
        <w:tc>
          <w:tcPr>
            <w:tcW w:w="5040" w:type="dxa"/>
            <w:tcBorders>
              <w:top w:val="nil"/>
              <w:left w:val="nil"/>
              <w:bottom w:val="single" w:color="auto" w:sz="4" w:space="0"/>
              <w:right w:val="single" w:color="auto" w:sz="4" w:space="0"/>
            </w:tcBorders>
          </w:tcPr>
          <w:p w:rsidR="00BB7CF6" w:rsidP="002270C9" w:rsidRDefault="00BB7CF6" w14:paraId="7017ECD6" w14:textId="77777777">
            <w:pPr>
              <w:spacing w:line="240" w:lineRule="auto"/>
              <w:ind w:firstLine="0"/>
              <w:rPr>
                <w:rFonts w:cs="Arial"/>
                <w:szCs w:val="26"/>
              </w:rPr>
            </w:pPr>
            <w:r w:rsidRPr="0046317C">
              <w:rPr>
                <w:rFonts w:cs="Arial"/>
                <w:szCs w:val="26"/>
              </w:rPr>
              <w:t>Order Instituting Rulemaking to Oversee the Resource Adequacy Program, Consider Program Reforms and Refinements, and Establish Forward Resource Adequacy Procurement Obligations.</w:t>
            </w:r>
          </w:p>
          <w:p w:rsidRPr="00DA7B5D" w:rsidR="00BB7CF6" w:rsidP="002270C9" w:rsidRDefault="00BB7CF6" w14:paraId="60E5BD62" w14:textId="77777777">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BB7CF6" w:rsidP="002270C9" w:rsidRDefault="00BB7CF6" w14:paraId="689F4B51" w14:textId="77777777">
            <w:pPr>
              <w:spacing w:line="240" w:lineRule="auto"/>
              <w:ind w:firstLine="0"/>
              <w:jc w:val="center"/>
              <w:rPr>
                <w:rFonts w:cs="Arial"/>
                <w:szCs w:val="26"/>
              </w:rPr>
            </w:pPr>
            <w:r>
              <w:rPr>
                <w:rFonts w:cs="Arial"/>
                <w:szCs w:val="26"/>
              </w:rPr>
              <w:t>Rulemaking 21-10-002</w:t>
            </w:r>
          </w:p>
        </w:tc>
      </w:tr>
    </w:tbl>
    <w:p w:rsidR="00BB7CF6" w:rsidP="00BB7CF6" w:rsidRDefault="00BB7CF6" w14:paraId="5DB0E84C" w14:textId="77777777">
      <w:pPr>
        <w:spacing w:line="240" w:lineRule="auto"/>
        <w:ind w:firstLine="0"/>
        <w:rPr>
          <w:rFonts w:ascii="Arial" w:hAnsi="Arial" w:cs="Arial"/>
          <w:sz w:val="24"/>
          <w:szCs w:val="24"/>
        </w:rPr>
      </w:pPr>
    </w:p>
    <w:p w:rsidR="00BB7CF6" w:rsidP="00BB7CF6" w:rsidRDefault="00BB7CF6" w14:paraId="66CC8320" w14:textId="77777777">
      <w:pPr>
        <w:spacing w:line="240" w:lineRule="auto"/>
        <w:ind w:firstLine="0"/>
        <w:rPr>
          <w:rFonts w:ascii="Arial" w:hAnsi="Arial" w:cs="Arial"/>
          <w:sz w:val="24"/>
          <w:szCs w:val="24"/>
        </w:rPr>
      </w:pPr>
    </w:p>
    <w:p w:rsidRPr="008658CC" w:rsidR="00BB7CF6" w:rsidP="00BB7CF6" w:rsidRDefault="00BB7CF6" w14:paraId="4ECF4275" w14:textId="77777777">
      <w:pPr>
        <w:pStyle w:val="Main"/>
      </w:pPr>
      <w:bookmarkStart w:name="_Toc95232093" w:id="0"/>
      <w:bookmarkStart w:name="_Hlk54356077" w:id="1"/>
      <w:r w:rsidRPr="0046317C">
        <w:t>DECISION ON PHASE 1 OF THE IMPLEMENTATION TRACK: MODIFICATIONS TO THE CENTRAL PROCUREMENT ENTITY STRUCTURE</w:t>
      </w:r>
      <w:bookmarkEnd w:id="0"/>
    </w:p>
    <w:bookmarkEnd w:id="1"/>
    <w:p w:rsidRPr="008658CC" w:rsidR="00BB7CF6" w:rsidP="00BB7CF6" w:rsidRDefault="00BB7CF6" w14:paraId="0035688F" w14:textId="77777777">
      <w:pPr>
        <w:spacing w:line="240" w:lineRule="auto"/>
        <w:ind w:right="-1123" w:firstLine="0"/>
        <w:rPr>
          <w:szCs w:val="26"/>
        </w:rPr>
      </w:pPr>
    </w:p>
    <w:p w:rsidR="00BB7CF6" w:rsidP="00BB7CF6" w:rsidRDefault="00BB7CF6" w14:paraId="1BF8F890" w14:textId="77777777">
      <w:pPr>
        <w:spacing w:line="240" w:lineRule="auto"/>
        <w:ind w:firstLine="0"/>
        <w:rPr>
          <w:rFonts w:ascii="Arial" w:hAnsi="Arial" w:cs="Arial"/>
          <w:sz w:val="24"/>
          <w:szCs w:val="24"/>
        </w:rPr>
      </w:pPr>
    </w:p>
    <w:p w:rsidRPr="00F92385" w:rsidR="00BB7CF6" w:rsidP="00BB7CF6" w:rsidRDefault="00BB7CF6" w14:paraId="39647226" w14:textId="77777777">
      <w:pPr>
        <w:pStyle w:val="Dummy"/>
        <w:jc w:val="center"/>
        <w:sectPr w:rsidRPr="00F92385" w:rsidR="00BB7CF6" w:rsidSect="0055722F">
          <w:headerReference w:type="default" r:id="rId8"/>
          <w:footerReference w:type="default" r:id="rId9"/>
          <w:footerReference w:type="first" r:id="rId10"/>
          <w:pgSz w:w="12240" w:h="15840"/>
          <w:pgMar w:top="1440" w:right="1440" w:bottom="1440" w:left="1440" w:header="720" w:footer="720" w:gutter="0"/>
          <w:pgNumType w:start="1"/>
          <w:cols w:space="720"/>
          <w:titlePg/>
          <w:docGrid w:linePitch="360"/>
        </w:sectPr>
      </w:pPr>
    </w:p>
    <w:p w:rsidRPr="009418BC" w:rsidR="00BB7CF6" w:rsidP="00BB7CF6" w:rsidRDefault="00BB7CF6" w14:paraId="5D7BE8C1" w14:textId="77777777">
      <w:pPr>
        <w:jc w:val="center"/>
        <w:rPr>
          <w:b/>
          <w:bCs/>
        </w:rPr>
      </w:pPr>
      <w:bookmarkStart w:name="_Toc54711126" w:id="2"/>
      <w:bookmarkStart w:name="_Toc54711966" w:id="3"/>
      <w:r w:rsidRPr="009418BC">
        <w:rPr>
          <w:b/>
          <w:bCs/>
        </w:rPr>
        <w:lastRenderedPageBreak/>
        <w:t>TABLE OF CONTENTS</w:t>
      </w:r>
      <w:bookmarkEnd w:id="2"/>
      <w:bookmarkEnd w:id="3"/>
    </w:p>
    <w:p w:rsidRPr="00D50119" w:rsidR="00BB7CF6" w:rsidP="00BB7CF6" w:rsidRDefault="00BB7CF6" w14:paraId="759D22DB" w14:textId="77777777">
      <w:pPr>
        <w:tabs>
          <w:tab w:val="right" w:pos="9360"/>
        </w:tabs>
        <w:ind w:firstLine="0"/>
      </w:pPr>
      <w:r w:rsidRPr="00D15DC0">
        <w:rPr>
          <w:b/>
          <w:u w:val="single"/>
        </w:rPr>
        <w:t>Title</w:t>
      </w:r>
      <w:r>
        <w:tab/>
      </w:r>
      <w:r w:rsidRPr="00D15DC0">
        <w:rPr>
          <w:b/>
          <w:u w:val="single"/>
        </w:rPr>
        <w:t>Page</w:t>
      </w:r>
    </w:p>
    <w:sdt>
      <w:sdtPr>
        <w:id w:val="-1224440197"/>
        <w:docPartObj>
          <w:docPartGallery w:val="Table of Contents"/>
          <w:docPartUnique/>
        </w:docPartObj>
      </w:sdtPr>
      <w:sdtEndPr>
        <w:rPr>
          <w:b/>
          <w:bCs/>
          <w:noProof/>
        </w:rPr>
      </w:sdtEndPr>
      <w:sdtContent>
        <w:p w:rsidR="00BB7CF6" w:rsidP="00BB7CF6" w:rsidRDefault="00BB7CF6" w14:paraId="284F173B" w14:textId="39160DA2">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"1-3" \h \z \t "Main,1" </w:instrText>
          </w:r>
          <w:r>
            <w:rPr>
              <w:rFonts w:asciiTheme="minorHAnsi" w:hAnsiTheme="minorHAnsi"/>
              <w:sz w:val="22"/>
            </w:rPr>
            <w:fldChar w:fldCharType="separate"/>
          </w:r>
          <w:hyperlink w:history="1" w:anchor="_Toc95232093">
            <w:r w:rsidRPr="00A37575">
              <w:rPr>
                <w:rStyle w:val="Hyperlink"/>
                <w:noProof/>
              </w:rPr>
              <w:t xml:space="preserve">DECISION ON PHASE 1 OF THE IMPLEMENTATION TRACK: MODIFICATIONS TO THE CENTRAL PROCUREMENT </w:t>
            </w:r>
            <w:r>
              <w:rPr>
                <w:rStyle w:val="Hyperlink"/>
                <w:noProof/>
              </w:rPr>
              <w:br/>
            </w:r>
            <w:r w:rsidRPr="00A37575">
              <w:rPr>
                <w:rStyle w:val="Hyperlink"/>
                <w:noProof/>
              </w:rPr>
              <w:t>ENTITY STRUCTURE</w:t>
            </w:r>
            <w:r>
              <w:rPr>
                <w:noProof/>
                <w:webHidden/>
              </w:rPr>
              <w:tab/>
            </w:r>
            <w:r>
              <w:rPr>
                <w:noProof/>
                <w:webHidden/>
              </w:rPr>
              <w:fldChar w:fldCharType="begin"/>
            </w:r>
            <w:r>
              <w:rPr>
                <w:noProof/>
                <w:webHidden/>
              </w:rPr>
              <w:instrText xml:space="preserve"> PAGEREF _Toc95232093 \h </w:instrText>
            </w:r>
            <w:r>
              <w:rPr>
                <w:noProof/>
                <w:webHidden/>
              </w:rPr>
            </w:r>
            <w:r>
              <w:rPr>
                <w:noProof/>
                <w:webHidden/>
              </w:rPr>
              <w:fldChar w:fldCharType="separate"/>
            </w:r>
            <w:r w:rsidR="00B15E78">
              <w:rPr>
                <w:noProof/>
                <w:webHidden/>
              </w:rPr>
              <w:t>1</w:t>
            </w:r>
            <w:r>
              <w:rPr>
                <w:noProof/>
                <w:webHidden/>
              </w:rPr>
              <w:fldChar w:fldCharType="end"/>
            </w:r>
          </w:hyperlink>
        </w:p>
        <w:p w:rsidR="00BB7CF6" w:rsidP="00BB7CF6" w:rsidRDefault="00E710CC" w14:paraId="7D3B0D05" w14:textId="6C7CCBF2">
          <w:pPr>
            <w:pStyle w:val="TOC1"/>
            <w:tabs>
              <w:tab w:val="right" w:leader="dot" w:pos="9350"/>
            </w:tabs>
            <w:rPr>
              <w:rFonts w:asciiTheme="minorHAnsi" w:hAnsiTheme="minorHAnsi" w:cstheme="minorBidi"/>
              <w:noProof/>
              <w:sz w:val="22"/>
            </w:rPr>
          </w:pPr>
          <w:hyperlink w:history="1" w:anchor="_Toc95232094">
            <w:r w:rsidRPr="00A37575" w:rsidR="00BB7CF6">
              <w:rPr>
                <w:rStyle w:val="Hyperlink"/>
                <w:noProof/>
              </w:rPr>
              <w:t>Summary</w:t>
            </w:r>
            <w:r w:rsidR="00BB7CF6">
              <w:rPr>
                <w:noProof/>
                <w:webHidden/>
              </w:rPr>
              <w:tab/>
            </w:r>
            <w:r w:rsidR="00BB7CF6">
              <w:rPr>
                <w:noProof/>
                <w:webHidden/>
              </w:rPr>
              <w:fldChar w:fldCharType="begin"/>
            </w:r>
            <w:r w:rsidR="00BB7CF6">
              <w:rPr>
                <w:noProof/>
                <w:webHidden/>
              </w:rPr>
              <w:instrText xml:space="preserve"> PAGEREF _Toc95232094 \h </w:instrText>
            </w:r>
            <w:r w:rsidR="00BB7CF6">
              <w:rPr>
                <w:noProof/>
                <w:webHidden/>
              </w:rPr>
            </w:r>
            <w:r w:rsidR="00BB7CF6">
              <w:rPr>
                <w:noProof/>
                <w:webHidden/>
              </w:rPr>
              <w:fldChar w:fldCharType="separate"/>
            </w:r>
            <w:r w:rsidR="00B15E78">
              <w:rPr>
                <w:noProof/>
                <w:webHidden/>
              </w:rPr>
              <w:t>2</w:t>
            </w:r>
            <w:r w:rsidR="00BB7CF6">
              <w:rPr>
                <w:noProof/>
                <w:webHidden/>
              </w:rPr>
              <w:fldChar w:fldCharType="end"/>
            </w:r>
          </w:hyperlink>
        </w:p>
        <w:p w:rsidR="00BB7CF6" w:rsidP="00BB7CF6" w:rsidRDefault="00E710CC" w14:paraId="5D6F69CF" w14:textId="0EF53E27">
          <w:pPr>
            <w:pStyle w:val="TOC1"/>
            <w:tabs>
              <w:tab w:val="right" w:leader="dot" w:pos="9350"/>
            </w:tabs>
            <w:rPr>
              <w:rFonts w:asciiTheme="minorHAnsi" w:hAnsiTheme="minorHAnsi" w:cstheme="minorBidi"/>
              <w:noProof/>
              <w:sz w:val="22"/>
            </w:rPr>
          </w:pPr>
          <w:hyperlink w:history="1" w:anchor="_Toc95232095">
            <w:r w:rsidRPr="00A37575" w:rsidR="00BB7CF6">
              <w:rPr>
                <w:rStyle w:val="Hyperlink"/>
                <w:rFonts w:eastAsia="Times New Roman"/>
                <w:noProof/>
              </w:rPr>
              <w:t>1.</w:t>
            </w:r>
            <w:r w:rsidR="00BB7CF6">
              <w:rPr>
                <w:rFonts w:asciiTheme="minorHAnsi" w:hAnsiTheme="minorHAnsi" w:cstheme="minorBidi"/>
                <w:noProof/>
                <w:sz w:val="22"/>
              </w:rPr>
              <w:tab/>
            </w:r>
            <w:r w:rsidRPr="00A37575" w:rsidR="00BB7CF6">
              <w:rPr>
                <w:rStyle w:val="Hyperlink"/>
                <w:rFonts w:eastAsia="Times New Roman"/>
                <w:noProof/>
              </w:rPr>
              <w:t>Background</w:t>
            </w:r>
            <w:r w:rsidR="00BB7CF6">
              <w:rPr>
                <w:noProof/>
                <w:webHidden/>
              </w:rPr>
              <w:tab/>
            </w:r>
            <w:r w:rsidR="00BB7CF6">
              <w:rPr>
                <w:noProof/>
                <w:webHidden/>
              </w:rPr>
              <w:fldChar w:fldCharType="begin"/>
            </w:r>
            <w:r w:rsidR="00BB7CF6">
              <w:rPr>
                <w:noProof/>
                <w:webHidden/>
              </w:rPr>
              <w:instrText xml:space="preserve"> PAGEREF _Toc95232095 \h </w:instrText>
            </w:r>
            <w:r w:rsidR="00BB7CF6">
              <w:rPr>
                <w:noProof/>
                <w:webHidden/>
              </w:rPr>
            </w:r>
            <w:r w:rsidR="00BB7CF6">
              <w:rPr>
                <w:noProof/>
                <w:webHidden/>
              </w:rPr>
              <w:fldChar w:fldCharType="separate"/>
            </w:r>
            <w:r w:rsidR="00B15E78">
              <w:rPr>
                <w:noProof/>
                <w:webHidden/>
              </w:rPr>
              <w:t>2</w:t>
            </w:r>
            <w:r w:rsidR="00BB7CF6">
              <w:rPr>
                <w:noProof/>
                <w:webHidden/>
              </w:rPr>
              <w:fldChar w:fldCharType="end"/>
            </w:r>
          </w:hyperlink>
        </w:p>
        <w:p w:rsidR="00BB7CF6" w:rsidP="00BB7CF6" w:rsidRDefault="00E710CC" w14:paraId="163B00BF" w14:textId="400BA1CC">
          <w:pPr>
            <w:pStyle w:val="TOC2"/>
            <w:tabs>
              <w:tab w:val="right" w:leader="dot" w:pos="9350"/>
            </w:tabs>
            <w:rPr>
              <w:rFonts w:asciiTheme="minorHAnsi" w:hAnsiTheme="minorHAnsi" w:cstheme="minorBidi"/>
              <w:noProof/>
              <w:sz w:val="22"/>
            </w:rPr>
          </w:pPr>
          <w:hyperlink w:history="1" w:anchor="_Toc95232096">
            <w:r w:rsidRPr="00A37575" w:rsidR="00BB7CF6">
              <w:rPr>
                <w:rStyle w:val="Hyperlink"/>
                <w:noProof/>
              </w:rPr>
              <w:t>1.1.</w:t>
            </w:r>
            <w:r w:rsidR="00BB7CF6">
              <w:rPr>
                <w:rFonts w:asciiTheme="minorHAnsi" w:hAnsiTheme="minorHAnsi" w:cstheme="minorBidi"/>
                <w:noProof/>
                <w:sz w:val="22"/>
              </w:rPr>
              <w:tab/>
            </w:r>
            <w:r w:rsidRPr="00A37575" w:rsidR="00BB7CF6">
              <w:rPr>
                <w:rStyle w:val="Hyperlink"/>
                <w:noProof/>
              </w:rPr>
              <w:t>Procedural Background</w:t>
            </w:r>
            <w:r w:rsidR="00BB7CF6">
              <w:rPr>
                <w:noProof/>
                <w:webHidden/>
              </w:rPr>
              <w:tab/>
            </w:r>
            <w:r w:rsidR="00BB7CF6">
              <w:rPr>
                <w:noProof/>
                <w:webHidden/>
              </w:rPr>
              <w:fldChar w:fldCharType="begin"/>
            </w:r>
            <w:r w:rsidR="00BB7CF6">
              <w:rPr>
                <w:noProof/>
                <w:webHidden/>
              </w:rPr>
              <w:instrText xml:space="preserve"> PAGEREF _Toc95232096 \h </w:instrText>
            </w:r>
            <w:r w:rsidR="00BB7CF6">
              <w:rPr>
                <w:noProof/>
                <w:webHidden/>
              </w:rPr>
            </w:r>
            <w:r w:rsidR="00BB7CF6">
              <w:rPr>
                <w:noProof/>
                <w:webHidden/>
              </w:rPr>
              <w:fldChar w:fldCharType="separate"/>
            </w:r>
            <w:r w:rsidR="00B15E78">
              <w:rPr>
                <w:noProof/>
                <w:webHidden/>
              </w:rPr>
              <w:t>2</w:t>
            </w:r>
            <w:r w:rsidR="00BB7CF6">
              <w:rPr>
                <w:noProof/>
                <w:webHidden/>
              </w:rPr>
              <w:fldChar w:fldCharType="end"/>
            </w:r>
          </w:hyperlink>
        </w:p>
        <w:p w:rsidR="00BB7CF6" w:rsidP="00BB7CF6" w:rsidRDefault="00E710CC" w14:paraId="70984AFE" w14:textId="67A41D4C">
          <w:pPr>
            <w:pStyle w:val="TOC2"/>
            <w:tabs>
              <w:tab w:val="right" w:leader="dot" w:pos="9350"/>
            </w:tabs>
            <w:rPr>
              <w:rFonts w:asciiTheme="minorHAnsi" w:hAnsiTheme="minorHAnsi" w:cstheme="minorBidi"/>
              <w:noProof/>
              <w:sz w:val="22"/>
            </w:rPr>
          </w:pPr>
          <w:hyperlink w:history="1" w:anchor="_Toc95232097">
            <w:r w:rsidRPr="00A37575" w:rsidR="00BB7CF6">
              <w:rPr>
                <w:rStyle w:val="Hyperlink"/>
                <w:noProof/>
              </w:rPr>
              <w:t>1.2.</w:t>
            </w:r>
            <w:r w:rsidR="00BB7CF6">
              <w:rPr>
                <w:rFonts w:asciiTheme="minorHAnsi" w:hAnsiTheme="minorHAnsi" w:cstheme="minorBidi"/>
                <w:noProof/>
                <w:sz w:val="22"/>
              </w:rPr>
              <w:tab/>
            </w:r>
            <w:r w:rsidRPr="00A37575" w:rsidR="00BB7CF6">
              <w:rPr>
                <w:rStyle w:val="Hyperlink"/>
                <w:noProof/>
              </w:rPr>
              <w:t>Background on CPE Framework</w:t>
            </w:r>
            <w:r w:rsidR="00BB7CF6">
              <w:rPr>
                <w:noProof/>
                <w:webHidden/>
              </w:rPr>
              <w:tab/>
            </w:r>
            <w:r w:rsidR="00BB7CF6">
              <w:rPr>
                <w:noProof/>
                <w:webHidden/>
              </w:rPr>
              <w:fldChar w:fldCharType="begin"/>
            </w:r>
            <w:r w:rsidR="00BB7CF6">
              <w:rPr>
                <w:noProof/>
                <w:webHidden/>
              </w:rPr>
              <w:instrText xml:space="preserve"> PAGEREF _Toc95232097 \h </w:instrText>
            </w:r>
            <w:r w:rsidR="00BB7CF6">
              <w:rPr>
                <w:noProof/>
                <w:webHidden/>
              </w:rPr>
            </w:r>
            <w:r w:rsidR="00BB7CF6">
              <w:rPr>
                <w:noProof/>
                <w:webHidden/>
              </w:rPr>
              <w:fldChar w:fldCharType="separate"/>
            </w:r>
            <w:r w:rsidR="00B15E78">
              <w:rPr>
                <w:noProof/>
                <w:webHidden/>
              </w:rPr>
              <w:t>3</w:t>
            </w:r>
            <w:r w:rsidR="00BB7CF6">
              <w:rPr>
                <w:noProof/>
                <w:webHidden/>
              </w:rPr>
              <w:fldChar w:fldCharType="end"/>
            </w:r>
          </w:hyperlink>
        </w:p>
        <w:p w:rsidR="00BB7CF6" w:rsidP="00BB7CF6" w:rsidRDefault="00E710CC" w14:paraId="1D81E78A" w14:textId="387D389B">
          <w:pPr>
            <w:pStyle w:val="TOC1"/>
            <w:tabs>
              <w:tab w:val="right" w:leader="dot" w:pos="9350"/>
            </w:tabs>
            <w:rPr>
              <w:rFonts w:asciiTheme="minorHAnsi" w:hAnsiTheme="minorHAnsi" w:cstheme="minorBidi"/>
              <w:noProof/>
              <w:sz w:val="22"/>
            </w:rPr>
          </w:pPr>
          <w:hyperlink w:history="1" w:anchor="_Toc95232098">
            <w:r w:rsidRPr="00A37575" w:rsidR="00BB7CF6">
              <w:rPr>
                <w:rStyle w:val="Hyperlink"/>
                <w:rFonts w:eastAsia="Times New Roman"/>
                <w:noProof/>
              </w:rPr>
              <w:t>2.</w:t>
            </w:r>
            <w:r w:rsidR="00BB7CF6">
              <w:rPr>
                <w:rFonts w:asciiTheme="minorHAnsi" w:hAnsiTheme="minorHAnsi" w:cstheme="minorBidi"/>
                <w:noProof/>
                <w:sz w:val="22"/>
              </w:rPr>
              <w:tab/>
            </w:r>
            <w:r w:rsidRPr="00A37575" w:rsidR="00BB7CF6">
              <w:rPr>
                <w:rStyle w:val="Hyperlink"/>
                <w:rFonts w:eastAsia="Times New Roman"/>
                <w:noProof/>
              </w:rPr>
              <w:t>Issues Before the Commission</w:t>
            </w:r>
            <w:r w:rsidR="00BB7CF6">
              <w:rPr>
                <w:noProof/>
                <w:webHidden/>
              </w:rPr>
              <w:tab/>
            </w:r>
            <w:r w:rsidR="00BB7CF6">
              <w:rPr>
                <w:noProof/>
                <w:webHidden/>
              </w:rPr>
              <w:fldChar w:fldCharType="begin"/>
            </w:r>
            <w:r w:rsidR="00BB7CF6">
              <w:rPr>
                <w:noProof/>
                <w:webHidden/>
              </w:rPr>
              <w:instrText xml:space="preserve"> PAGEREF _Toc95232098 \h </w:instrText>
            </w:r>
            <w:r w:rsidR="00BB7CF6">
              <w:rPr>
                <w:noProof/>
                <w:webHidden/>
              </w:rPr>
            </w:r>
            <w:r w:rsidR="00BB7CF6">
              <w:rPr>
                <w:noProof/>
                <w:webHidden/>
              </w:rPr>
              <w:fldChar w:fldCharType="separate"/>
            </w:r>
            <w:r w:rsidR="00B15E78">
              <w:rPr>
                <w:noProof/>
                <w:webHidden/>
              </w:rPr>
              <w:t>5</w:t>
            </w:r>
            <w:r w:rsidR="00BB7CF6">
              <w:rPr>
                <w:noProof/>
                <w:webHidden/>
              </w:rPr>
              <w:fldChar w:fldCharType="end"/>
            </w:r>
          </w:hyperlink>
        </w:p>
        <w:p w:rsidR="00BB7CF6" w:rsidP="00BB7CF6" w:rsidRDefault="00E710CC" w14:paraId="1B9C56F4" w14:textId="64A6D84E">
          <w:pPr>
            <w:pStyle w:val="TOC1"/>
            <w:tabs>
              <w:tab w:val="right" w:leader="dot" w:pos="9350"/>
            </w:tabs>
            <w:rPr>
              <w:rFonts w:asciiTheme="minorHAnsi" w:hAnsiTheme="minorHAnsi" w:cstheme="minorBidi"/>
              <w:noProof/>
              <w:sz w:val="22"/>
            </w:rPr>
          </w:pPr>
          <w:hyperlink w:history="1" w:anchor="_Toc95232099">
            <w:r w:rsidRPr="00A37575" w:rsidR="00BB7CF6">
              <w:rPr>
                <w:rStyle w:val="Hyperlink"/>
                <w:rFonts w:eastAsia="Times New Roman"/>
                <w:noProof/>
              </w:rPr>
              <w:t>3.</w:t>
            </w:r>
            <w:r w:rsidR="00BB7CF6">
              <w:rPr>
                <w:rFonts w:asciiTheme="minorHAnsi" w:hAnsiTheme="minorHAnsi" w:cstheme="minorBidi"/>
                <w:noProof/>
                <w:sz w:val="22"/>
              </w:rPr>
              <w:tab/>
            </w:r>
            <w:r w:rsidRPr="00A37575" w:rsidR="00BB7CF6">
              <w:rPr>
                <w:rStyle w:val="Hyperlink"/>
                <w:rFonts w:eastAsia="Times New Roman"/>
                <w:noProof/>
              </w:rPr>
              <w:t>Discussion</w:t>
            </w:r>
            <w:r w:rsidR="00BB7CF6">
              <w:rPr>
                <w:noProof/>
                <w:webHidden/>
              </w:rPr>
              <w:tab/>
            </w:r>
            <w:r w:rsidR="00BB7CF6">
              <w:rPr>
                <w:noProof/>
                <w:webHidden/>
              </w:rPr>
              <w:fldChar w:fldCharType="begin"/>
            </w:r>
            <w:r w:rsidR="00BB7CF6">
              <w:rPr>
                <w:noProof/>
                <w:webHidden/>
              </w:rPr>
              <w:instrText xml:space="preserve"> PAGEREF _Toc95232099 \h </w:instrText>
            </w:r>
            <w:r w:rsidR="00BB7CF6">
              <w:rPr>
                <w:noProof/>
                <w:webHidden/>
              </w:rPr>
            </w:r>
            <w:r w:rsidR="00BB7CF6">
              <w:rPr>
                <w:noProof/>
                <w:webHidden/>
              </w:rPr>
              <w:fldChar w:fldCharType="separate"/>
            </w:r>
            <w:r w:rsidR="00B15E78">
              <w:rPr>
                <w:noProof/>
                <w:webHidden/>
              </w:rPr>
              <w:t>6</w:t>
            </w:r>
            <w:r w:rsidR="00BB7CF6">
              <w:rPr>
                <w:noProof/>
                <w:webHidden/>
              </w:rPr>
              <w:fldChar w:fldCharType="end"/>
            </w:r>
          </w:hyperlink>
        </w:p>
        <w:p w:rsidR="00BB7CF6" w:rsidP="00BB7CF6" w:rsidRDefault="00E710CC" w14:paraId="57C07C7F" w14:textId="7777E168">
          <w:pPr>
            <w:pStyle w:val="TOC2"/>
            <w:tabs>
              <w:tab w:val="right" w:leader="dot" w:pos="9350"/>
            </w:tabs>
            <w:rPr>
              <w:rFonts w:asciiTheme="minorHAnsi" w:hAnsiTheme="minorHAnsi" w:cstheme="minorBidi"/>
              <w:noProof/>
              <w:sz w:val="22"/>
            </w:rPr>
          </w:pPr>
          <w:hyperlink w:history="1" w:anchor="_Toc95232100">
            <w:r w:rsidRPr="00A37575" w:rsidR="00BB7CF6">
              <w:rPr>
                <w:rStyle w:val="Hyperlink"/>
                <w:noProof/>
              </w:rPr>
              <w:t>3.1.</w:t>
            </w:r>
            <w:r w:rsidR="00BB7CF6">
              <w:rPr>
                <w:rFonts w:asciiTheme="minorHAnsi" w:hAnsiTheme="minorHAnsi" w:cstheme="minorBidi"/>
                <w:noProof/>
                <w:sz w:val="22"/>
              </w:rPr>
              <w:tab/>
            </w:r>
            <w:r w:rsidRPr="00A37575" w:rsidR="00BB7CF6">
              <w:rPr>
                <w:rStyle w:val="Hyperlink"/>
                <w:noProof/>
              </w:rPr>
              <w:t>Requirements for Self-Shown Resources</w:t>
            </w:r>
            <w:r w:rsidR="00BB7CF6">
              <w:rPr>
                <w:noProof/>
                <w:webHidden/>
              </w:rPr>
              <w:tab/>
            </w:r>
            <w:r w:rsidR="00BB7CF6">
              <w:rPr>
                <w:noProof/>
                <w:webHidden/>
              </w:rPr>
              <w:fldChar w:fldCharType="begin"/>
            </w:r>
            <w:r w:rsidR="00BB7CF6">
              <w:rPr>
                <w:noProof/>
                <w:webHidden/>
              </w:rPr>
              <w:instrText xml:space="preserve"> PAGEREF _Toc95232100 \h </w:instrText>
            </w:r>
            <w:r w:rsidR="00BB7CF6">
              <w:rPr>
                <w:noProof/>
                <w:webHidden/>
              </w:rPr>
            </w:r>
            <w:r w:rsidR="00BB7CF6">
              <w:rPr>
                <w:noProof/>
                <w:webHidden/>
              </w:rPr>
              <w:fldChar w:fldCharType="separate"/>
            </w:r>
            <w:r w:rsidR="00B15E78">
              <w:rPr>
                <w:noProof/>
                <w:webHidden/>
              </w:rPr>
              <w:t>6</w:t>
            </w:r>
            <w:r w:rsidR="00BB7CF6">
              <w:rPr>
                <w:noProof/>
                <w:webHidden/>
              </w:rPr>
              <w:fldChar w:fldCharType="end"/>
            </w:r>
          </w:hyperlink>
        </w:p>
        <w:p w:rsidR="00BB7CF6" w:rsidP="00BB7CF6" w:rsidRDefault="00E710CC" w14:paraId="0E74F446" w14:textId="616ACE39">
          <w:pPr>
            <w:pStyle w:val="TOC3"/>
            <w:tabs>
              <w:tab w:val="left" w:pos="1296"/>
              <w:tab w:val="right" w:leader="dot" w:pos="9350"/>
            </w:tabs>
            <w:rPr>
              <w:rFonts w:asciiTheme="minorHAnsi" w:hAnsiTheme="minorHAnsi" w:cstheme="minorBidi"/>
              <w:noProof/>
              <w:sz w:val="22"/>
            </w:rPr>
          </w:pPr>
          <w:hyperlink w:history="1" w:anchor="_Toc95232101">
            <w:r w:rsidRPr="00A37575" w:rsidR="00BB7CF6">
              <w:rPr>
                <w:rStyle w:val="Hyperlink"/>
                <w:rFonts w:eastAsia="Times New Roman"/>
                <w:noProof/>
              </w:rPr>
              <w:t>3.1.1.</w:t>
            </w:r>
            <w:r w:rsidR="00BB7CF6">
              <w:rPr>
                <w:rFonts w:asciiTheme="minorHAnsi" w:hAnsiTheme="minorHAnsi" w:cstheme="minorBidi"/>
                <w:noProof/>
                <w:sz w:val="22"/>
              </w:rPr>
              <w:tab/>
            </w:r>
            <w:r w:rsidRPr="00A37575" w:rsidR="00BB7CF6">
              <w:rPr>
                <w:rStyle w:val="Hyperlink"/>
                <w:rFonts w:eastAsia="Times New Roman"/>
                <w:noProof/>
              </w:rPr>
              <w:t>PG&amp;E’s Proposal</w:t>
            </w:r>
            <w:r w:rsidR="00BB7CF6">
              <w:rPr>
                <w:noProof/>
                <w:webHidden/>
              </w:rPr>
              <w:tab/>
            </w:r>
            <w:r w:rsidR="00BB7CF6">
              <w:rPr>
                <w:noProof/>
                <w:webHidden/>
              </w:rPr>
              <w:fldChar w:fldCharType="begin"/>
            </w:r>
            <w:r w:rsidR="00BB7CF6">
              <w:rPr>
                <w:noProof/>
                <w:webHidden/>
              </w:rPr>
              <w:instrText xml:space="preserve"> PAGEREF _Toc95232101 \h </w:instrText>
            </w:r>
            <w:r w:rsidR="00BB7CF6">
              <w:rPr>
                <w:noProof/>
                <w:webHidden/>
              </w:rPr>
            </w:r>
            <w:r w:rsidR="00BB7CF6">
              <w:rPr>
                <w:noProof/>
                <w:webHidden/>
              </w:rPr>
              <w:fldChar w:fldCharType="separate"/>
            </w:r>
            <w:r w:rsidR="00B15E78">
              <w:rPr>
                <w:noProof/>
                <w:webHidden/>
              </w:rPr>
              <w:t>8</w:t>
            </w:r>
            <w:r w:rsidR="00BB7CF6">
              <w:rPr>
                <w:noProof/>
                <w:webHidden/>
              </w:rPr>
              <w:fldChar w:fldCharType="end"/>
            </w:r>
          </w:hyperlink>
        </w:p>
        <w:p w:rsidR="00BB7CF6" w:rsidP="00BB7CF6" w:rsidRDefault="00E710CC" w14:paraId="37CBD6A1" w14:textId="27A27F2E">
          <w:pPr>
            <w:pStyle w:val="TOC3"/>
            <w:tabs>
              <w:tab w:val="left" w:pos="1296"/>
              <w:tab w:val="right" w:leader="dot" w:pos="9350"/>
            </w:tabs>
            <w:rPr>
              <w:rFonts w:asciiTheme="minorHAnsi" w:hAnsiTheme="minorHAnsi" w:cstheme="minorBidi"/>
              <w:noProof/>
              <w:sz w:val="22"/>
            </w:rPr>
          </w:pPr>
          <w:hyperlink w:history="1" w:anchor="_Toc95232102">
            <w:r w:rsidRPr="00A37575" w:rsidR="00BB7CF6">
              <w:rPr>
                <w:rStyle w:val="Hyperlink"/>
                <w:rFonts w:eastAsia="Times New Roman"/>
                <w:noProof/>
              </w:rPr>
              <w:t>3.1.2.</w:t>
            </w:r>
            <w:r w:rsidR="00BB7CF6">
              <w:rPr>
                <w:rFonts w:asciiTheme="minorHAnsi" w:hAnsiTheme="minorHAnsi" w:cstheme="minorBidi"/>
                <w:noProof/>
                <w:sz w:val="22"/>
              </w:rPr>
              <w:tab/>
            </w:r>
            <w:r w:rsidRPr="00A37575" w:rsidR="00BB7CF6">
              <w:rPr>
                <w:rStyle w:val="Hyperlink"/>
                <w:noProof/>
              </w:rPr>
              <w:t>SCE’s Proposal</w:t>
            </w:r>
            <w:r w:rsidR="00BB7CF6">
              <w:rPr>
                <w:noProof/>
                <w:webHidden/>
              </w:rPr>
              <w:tab/>
            </w:r>
            <w:r w:rsidR="00BB7CF6">
              <w:rPr>
                <w:noProof/>
                <w:webHidden/>
              </w:rPr>
              <w:fldChar w:fldCharType="begin"/>
            </w:r>
            <w:r w:rsidR="00BB7CF6">
              <w:rPr>
                <w:noProof/>
                <w:webHidden/>
              </w:rPr>
              <w:instrText xml:space="preserve"> PAGEREF _Toc95232102 \h </w:instrText>
            </w:r>
            <w:r w:rsidR="00BB7CF6">
              <w:rPr>
                <w:noProof/>
                <w:webHidden/>
              </w:rPr>
            </w:r>
            <w:r w:rsidR="00BB7CF6">
              <w:rPr>
                <w:noProof/>
                <w:webHidden/>
              </w:rPr>
              <w:fldChar w:fldCharType="separate"/>
            </w:r>
            <w:r w:rsidR="00B15E78">
              <w:rPr>
                <w:noProof/>
                <w:webHidden/>
              </w:rPr>
              <w:t>9</w:t>
            </w:r>
            <w:r w:rsidR="00BB7CF6">
              <w:rPr>
                <w:noProof/>
                <w:webHidden/>
              </w:rPr>
              <w:fldChar w:fldCharType="end"/>
            </w:r>
          </w:hyperlink>
        </w:p>
        <w:p w:rsidR="00BB7CF6" w:rsidP="00BB7CF6" w:rsidRDefault="00E710CC" w14:paraId="21F5B6FB" w14:textId="34202F52">
          <w:pPr>
            <w:pStyle w:val="TOC3"/>
            <w:tabs>
              <w:tab w:val="left" w:pos="1296"/>
              <w:tab w:val="right" w:leader="dot" w:pos="9350"/>
            </w:tabs>
            <w:rPr>
              <w:rFonts w:asciiTheme="minorHAnsi" w:hAnsiTheme="minorHAnsi" w:cstheme="minorBidi"/>
              <w:noProof/>
              <w:sz w:val="22"/>
            </w:rPr>
          </w:pPr>
          <w:hyperlink w:history="1" w:anchor="_Toc95232103">
            <w:r w:rsidRPr="00A37575" w:rsidR="00BB7CF6">
              <w:rPr>
                <w:rStyle w:val="Hyperlink"/>
                <w:rFonts w:eastAsia="Times New Roman"/>
                <w:noProof/>
              </w:rPr>
              <w:t>3.1.3.</w:t>
            </w:r>
            <w:r w:rsidR="00BB7CF6">
              <w:rPr>
                <w:rFonts w:asciiTheme="minorHAnsi" w:hAnsiTheme="minorHAnsi" w:cstheme="minorBidi"/>
                <w:noProof/>
                <w:sz w:val="22"/>
              </w:rPr>
              <w:tab/>
            </w:r>
            <w:r w:rsidRPr="00A37575" w:rsidR="00BB7CF6">
              <w:rPr>
                <w:rStyle w:val="Hyperlink"/>
                <w:rFonts w:eastAsia="Times New Roman"/>
                <w:noProof/>
              </w:rPr>
              <w:t>CAISO’s Proposal</w:t>
            </w:r>
            <w:r w:rsidR="00BB7CF6">
              <w:rPr>
                <w:noProof/>
                <w:webHidden/>
              </w:rPr>
              <w:tab/>
            </w:r>
            <w:r w:rsidR="00BB7CF6">
              <w:rPr>
                <w:noProof/>
                <w:webHidden/>
              </w:rPr>
              <w:fldChar w:fldCharType="begin"/>
            </w:r>
            <w:r w:rsidR="00BB7CF6">
              <w:rPr>
                <w:noProof/>
                <w:webHidden/>
              </w:rPr>
              <w:instrText xml:space="preserve"> PAGEREF _Toc95232103 \h </w:instrText>
            </w:r>
            <w:r w:rsidR="00BB7CF6">
              <w:rPr>
                <w:noProof/>
                <w:webHidden/>
              </w:rPr>
            </w:r>
            <w:r w:rsidR="00BB7CF6">
              <w:rPr>
                <w:noProof/>
                <w:webHidden/>
              </w:rPr>
              <w:fldChar w:fldCharType="separate"/>
            </w:r>
            <w:r w:rsidR="00B15E78">
              <w:rPr>
                <w:noProof/>
                <w:webHidden/>
              </w:rPr>
              <w:t>12</w:t>
            </w:r>
            <w:r w:rsidR="00BB7CF6">
              <w:rPr>
                <w:noProof/>
                <w:webHidden/>
              </w:rPr>
              <w:fldChar w:fldCharType="end"/>
            </w:r>
          </w:hyperlink>
        </w:p>
        <w:p w:rsidR="00BB7CF6" w:rsidP="00BB7CF6" w:rsidRDefault="00E710CC" w14:paraId="6A798283" w14:textId="6FF7AA14">
          <w:pPr>
            <w:pStyle w:val="TOC3"/>
            <w:tabs>
              <w:tab w:val="left" w:pos="1296"/>
              <w:tab w:val="right" w:leader="dot" w:pos="9350"/>
            </w:tabs>
            <w:rPr>
              <w:rFonts w:asciiTheme="minorHAnsi" w:hAnsiTheme="minorHAnsi" w:cstheme="minorBidi"/>
              <w:noProof/>
              <w:sz w:val="22"/>
            </w:rPr>
          </w:pPr>
          <w:hyperlink w:history="1" w:anchor="_Toc95232104">
            <w:r w:rsidRPr="00A37575" w:rsidR="00BB7CF6">
              <w:rPr>
                <w:rStyle w:val="Hyperlink"/>
                <w:rFonts w:eastAsia="Times New Roman"/>
                <w:noProof/>
              </w:rPr>
              <w:t>3.1.4.</w:t>
            </w:r>
            <w:r w:rsidR="00BB7CF6">
              <w:rPr>
                <w:rFonts w:asciiTheme="minorHAnsi" w:hAnsiTheme="minorHAnsi" w:cstheme="minorBidi"/>
                <w:noProof/>
                <w:sz w:val="22"/>
              </w:rPr>
              <w:tab/>
            </w:r>
            <w:r w:rsidRPr="00A37575" w:rsidR="00BB7CF6">
              <w:rPr>
                <w:rStyle w:val="Hyperlink"/>
                <w:rFonts w:eastAsia="Times New Roman"/>
                <w:noProof/>
              </w:rPr>
              <w:t>Discussion</w:t>
            </w:r>
            <w:r w:rsidR="00BB7CF6">
              <w:rPr>
                <w:noProof/>
                <w:webHidden/>
              </w:rPr>
              <w:tab/>
            </w:r>
            <w:r w:rsidR="00BB7CF6">
              <w:rPr>
                <w:noProof/>
                <w:webHidden/>
              </w:rPr>
              <w:fldChar w:fldCharType="begin"/>
            </w:r>
            <w:r w:rsidR="00BB7CF6">
              <w:rPr>
                <w:noProof/>
                <w:webHidden/>
              </w:rPr>
              <w:instrText xml:space="preserve"> PAGEREF _Toc95232104 \h </w:instrText>
            </w:r>
            <w:r w:rsidR="00BB7CF6">
              <w:rPr>
                <w:noProof/>
                <w:webHidden/>
              </w:rPr>
            </w:r>
            <w:r w:rsidR="00BB7CF6">
              <w:rPr>
                <w:noProof/>
                <w:webHidden/>
              </w:rPr>
              <w:fldChar w:fldCharType="separate"/>
            </w:r>
            <w:r w:rsidR="00B15E78">
              <w:rPr>
                <w:noProof/>
                <w:webHidden/>
              </w:rPr>
              <w:t>13</w:t>
            </w:r>
            <w:r w:rsidR="00BB7CF6">
              <w:rPr>
                <w:noProof/>
                <w:webHidden/>
              </w:rPr>
              <w:fldChar w:fldCharType="end"/>
            </w:r>
          </w:hyperlink>
        </w:p>
        <w:p w:rsidR="00BB7CF6" w:rsidP="00BB7CF6" w:rsidRDefault="00E710CC" w14:paraId="5290D8CB" w14:textId="6765CE46">
          <w:pPr>
            <w:pStyle w:val="TOC2"/>
            <w:tabs>
              <w:tab w:val="right" w:leader="dot" w:pos="9350"/>
            </w:tabs>
            <w:rPr>
              <w:rFonts w:asciiTheme="minorHAnsi" w:hAnsiTheme="minorHAnsi" w:cstheme="minorBidi"/>
              <w:noProof/>
              <w:sz w:val="22"/>
            </w:rPr>
          </w:pPr>
          <w:hyperlink w:history="1" w:anchor="_Toc95232105">
            <w:r w:rsidRPr="00A37575" w:rsidR="00BB7CF6">
              <w:rPr>
                <w:rStyle w:val="Hyperlink"/>
                <w:noProof/>
              </w:rPr>
              <w:t>3.2.</w:t>
            </w:r>
            <w:r w:rsidR="00BB7CF6">
              <w:rPr>
                <w:rFonts w:asciiTheme="minorHAnsi" w:hAnsiTheme="minorHAnsi" w:cstheme="minorBidi"/>
                <w:noProof/>
                <w:sz w:val="22"/>
              </w:rPr>
              <w:tab/>
            </w:r>
            <w:r w:rsidRPr="00A37575" w:rsidR="00BB7CF6">
              <w:rPr>
                <w:rStyle w:val="Hyperlink"/>
                <w:noProof/>
              </w:rPr>
              <w:t>CPE Solicitation Selection Criteria</w:t>
            </w:r>
            <w:r w:rsidR="00BB7CF6">
              <w:rPr>
                <w:noProof/>
                <w:webHidden/>
              </w:rPr>
              <w:tab/>
            </w:r>
            <w:r w:rsidR="00BB7CF6">
              <w:rPr>
                <w:noProof/>
                <w:webHidden/>
              </w:rPr>
              <w:fldChar w:fldCharType="begin"/>
            </w:r>
            <w:r w:rsidR="00BB7CF6">
              <w:rPr>
                <w:noProof/>
                <w:webHidden/>
              </w:rPr>
              <w:instrText xml:space="preserve"> PAGEREF _Toc95232105 \h </w:instrText>
            </w:r>
            <w:r w:rsidR="00BB7CF6">
              <w:rPr>
                <w:noProof/>
                <w:webHidden/>
              </w:rPr>
            </w:r>
            <w:r w:rsidR="00BB7CF6">
              <w:rPr>
                <w:noProof/>
                <w:webHidden/>
              </w:rPr>
              <w:fldChar w:fldCharType="separate"/>
            </w:r>
            <w:r w:rsidR="00B15E78">
              <w:rPr>
                <w:noProof/>
                <w:webHidden/>
              </w:rPr>
              <w:t>18</w:t>
            </w:r>
            <w:r w:rsidR="00BB7CF6">
              <w:rPr>
                <w:noProof/>
                <w:webHidden/>
              </w:rPr>
              <w:fldChar w:fldCharType="end"/>
            </w:r>
          </w:hyperlink>
        </w:p>
        <w:p w:rsidR="00BB7CF6" w:rsidP="00BB7CF6" w:rsidRDefault="007D050E" w14:paraId="19D9D198" w14:textId="00A58C6B">
          <w:pPr>
            <w:pStyle w:val="TOC3"/>
            <w:tabs>
              <w:tab w:val="left" w:pos="1296"/>
              <w:tab w:val="right" w:leader="dot" w:pos="9350"/>
            </w:tabs>
            <w:rPr>
              <w:rFonts w:asciiTheme="minorHAnsi" w:hAnsiTheme="minorHAnsi" w:cstheme="minorBidi"/>
              <w:noProof/>
              <w:sz w:val="22"/>
            </w:rPr>
          </w:pPr>
          <w:hyperlink w:history="1" w:anchor="_Toc95232106">
            <w:r w:rsidRPr="00A37575" w:rsidR="00BB7CF6">
              <w:rPr>
                <w:rStyle w:val="Hyperlink"/>
                <w:noProof/>
              </w:rPr>
              <w:t>3.2.1.</w:t>
            </w:r>
            <w:r w:rsidR="00BB7CF6">
              <w:rPr>
                <w:rFonts w:asciiTheme="minorHAnsi" w:hAnsiTheme="minorHAnsi" w:cstheme="minorBidi"/>
                <w:noProof/>
                <w:sz w:val="22"/>
              </w:rPr>
              <w:tab/>
            </w:r>
            <w:r w:rsidRPr="00A37575" w:rsidR="00BB7CF6">
              <w:rPr>
                <w:rStyle w:val="Hyperlink"/>
                <w:noProof/>
              </w:rPr>
              <w:t>Proposals to Modify the Selection Criteria</w:t>
            </w:r>
            <w:r w:rsidR="00BB7CF6">
              <w:rPr>
                <w:noProof/>
                <w:webHidden/>
              </w:rPr>
              <w:tab/>
            </w:r>
            <w:r w:rsidR="00BB7CF6">
              <w:rPr>
                <w:noProof/>
                <w:webHidden/>
              </w:rPr>
              <w:fldChar w:fldCharType="begin"/>
            </w:r>
            <w:r w:rsidR="00BB7CF6">
              <w:rPr>
                <w:noProof/>
                <w:webHidden/>
              </w:rPr>
              <w:instrText xml:space="preserve"> PAGEREF _Toc95232106 \h </w:instrText>
            </w:r>
            <w:r w:rsidR="00BB7CF6">
              <w:rPr>
                <w:noProof/>
                <w:webHidden/>
              </w:rPr>
            </w:r>
            <w:r w:rsidR="00BB7CF6">
              <w:rPr>
                <w:noProof/>
                <w:webHidden/>
              </w:rPr>
              <w:fldChar w:fldCharType="separate"/>
            </w:r>
            <w:r w:rsidR="00B15E78">
              <w:rPr>
                <w:noProof/>
                <w:webHidden/>
              </w:rPr>
              <w:t>19</w:t>
            </w:r>
            <w:r w:rsidR="00BB7CF6">
              <w:rPr>
                <w:noProof/>
                <w:webHidden/>
              </w:rPr>
              <w:fldChar w:fldCharType="end"/>
            </w:r>
          </w:hyperlink>
        </w:p>
        <w:p w:rsidR="00BB7CF6" w:rsidP="00BB7CF6" w:rsidRDefault="007D050E" w14:paraId="544A72A2" w14:textId="6A089FB0">
          <w:pPr>
            <w:pStyle w:val="TOC3"/>
            <w:tabs>
              <w:tab w:val="left" w:pos="1296"/>
              <w:tab w:val="right" w:leader="dot" w:pos="9350"/>
            </w:tabs>
            <w:rPr>
              <w:rFonts w:asciiTheme="minorHAnsi" w:hAnsiTheme="minorHAnsi" w:cstheme="minorBidi"/>
              <w:noProof/>
              <w:sz w:val="22"/>
            </w:rPr>
          </w:pPr>
          <w:hyperlink w:history="1" w:anchor="_Toc95232107">
            <w:r w:rsidRPr="00A37575" w:rsidR="00BB7CF6">
              <w:rPr>
                <w:rStyle w:val="Hyperlink"/>
                <w:rFonts w:eastAsia="Times New Roman"/>
                <w:noProof/>
              </w:rPr>
              <w:t>3.2.2.</w:t>
            </w:r>
            <w:r w:rsidR="00BB7CF6">
              <w:rPr>
                <w:rFonts w:asciiTheme="minorHAnsi" w:hAnsiTheme="minorHAnsi" w:cstheme="minorBidi"/>
                <w:noProof/>
                <w:sz w:val="22"/>
              </w:rPr>
              <w:tab/>
            </w:r>
            <w:r w:rsidRPr="00A37575" w:rsidR="00BB7CF6">
              <w:rPr>
                <w:rStyle w:val="Hyperlink"/>
                <w:rFonts w:eastAsia="Times New Roman"/>
                <w:noProof/>
              </w:rPr>
              <w:t>Proposals on CPE Selection Process</w:t>
            </w:r>
            <w:r w:rsidR="00BB7CF6">
              <w:rPr>
                <w:noProof/>
                <w:webHidden/>
              </w:rPr>
              <w:tab/>
            </w:r>
            <w:r w:rsidR="00BB7CF6">
              <w:rPr>
                <w:noProof/>
                <w:webHidden/>
              </w:rPr>
              <w:fldChar w:fldCharType="begin"/>
            </w:r>
            <w:r w:rsidR="00BB7CF6">
              <w:rPr>
                <w:noProof/>
                <w:webHidden/>
              </w:rPr>
              <w:instrText xml:space="preserve"> PAGEREF _Toc95232107 \h </w:instrText>
            </w:r>
            <w:r w:rsidR="00BB7CF6">
              <w:rPr>
                <w:noProof/>
                <w:webHidden/>
              </w:rPr>
            </w:r>
            <w:r w:rsidR="00BB7CF6">
              <w:rPr>
                <w:noProof/>
                <w:webHidden/>
              </w:rPr>
              <w:fldChar w:fldCharType="separate"/>
            </w:r>
            <w:r w:rsidR="00B15E78">
              <w:rPr>
                <w:noProof/>
                <w:webHidden/>
              </w:rPr>
              <w:t>21</w:t>
            </w:r>
            <w:r w:rsidR="00BB7CF6">
              <w:rPr>
                <w:noProof/>
                <w:webHidden/>
              </w:rPr>
              <w:fldChar w:fldCharType="end"/>
            </w:r>
          </w:hyperlink>
        </w:p>
        <w:p w:rsidR="00BB7CF6" w:rsidP="00BB7CF6" w:rsidRDefault="007D050E" w14:paraId="471C9674" w14:textId="67E31354">
          <w:pPr>
            <w:pStyle w:val="TOC3"/>
            <w:tabs>
              <w:tab w:val="left" w:pos="1296"/>
              <w:tab w:val="right" w:leader="dot" w:pos="9350"/>
            </w:tabs>
            <w:rPr>
              <w:rFonts w:asciiTheme="minorHAnsi" w:hAnsiTheme="minorHAnsi" w:cstheme="minorBidi"/>
              <w:noProof/>
              <w:sz w:val="22"/>
            </w:rPr>
          </w:pPr>
          <w:hyperlink w:history="1" w:anchor="_Toc95232108">
            <w:r w:rsidRPr="00A37575" w:rsidR="00BB7CF6">
              <w:rPr>
                <w:rStyle w:val="Hyperlink"/>
                <w:noProof/>
              </w:rPr>
              <w:t>3.2.3.</w:t>
            </w:r>
            <w:r w:rsidR="00BB7CF6">
              <w:rPr>
                <w:rFonts w:asciiTheme="minorHAnsi" w:hAnsiTheme="minorHAnsi" w:cstheme="minorBidi"/>
                <w:noProof/>
                <w:sz w:val="22"/>
              </w:rPr>
              <w:tab/>
            </w:r>
            <w:r w:rsidRPr="00A37575" w:rsidR="00BB7CF6">
              <w:rPr>
                <w:rStyle w:val="Hyperlink"/>
                <w:noProof/>
              </w:rPr>
              <w:t>Discussion</w:t>
            </w:r>
            <w:r w:rsidR="00BB7CF6">
              <w:rPr>
                <w:noProof/>
                <w:webHidden/>
              </w:rPr>
              <w:tab/>
            </w:r>
            <w:r w:rsidR="00BB7CF6">
              <w:rPr>
                <w:noProof/>
                <w:webHidden/>
              </w:rPr>
              <w:fldChar w:fldCharType="begin"/>
            </w:r>
            <w:r w:rsidR="00BB7CF6">
              <w:rPr>
                <w:noProof/>
                <w:webHidden/>
              </w:rPr>
              <w:instrText xml:space="preserve"> PAGEREF _Toc95232108 \h </w:instrText>
            </w:r>
            <w:r w:rsidR="00BB7CF6">
              <w:rPr>
                <w:noProof/>
                <w:webHidden/>
              </w:rPr>
            </w:r>
            <w:r w:rsidR="00BB7CF6">
              <w:rPr>
                <w:noProof/>
                <w:webHidden/>
              </w:rPr>
              <w:fldChar w:fldCharType="separate"/>
            </w:r>
            <w:r w:rsidR="00B15E78">
              <w:rPr>
                <w:noProof/>
                <w:webHidden/>
              </w:rPr>
              <w:t>22</w:t>
            </w:r>
            <w:r w:rsidR="00BB7CF6">
              <w:rPr>
                <w:noProof/>
                <w:webHidden/>
              </w:rPr>
              <w:fldChar w:fldCharType="end"/>
            </w:r>
          </w:hyperlink>
        </w:p>
        <w:p w:rsidR="00BB7CF6" w:rsidP="00BB7CF6" w:rsidRDefault="007D050E" w14:paraId="2EC4C5AB" w14:textId="0D697481">
          <w:pPr>
            <w:pStyle w:val="TOC2"/>
            <w:tabs>
              <w:tab w:val="right" w:leader="dot" w:pos="9350"/>
            </w:tabs>
            <w:rPr>
              <w:rFonts w:asciiTheme="minorHAnsi" w:hAnsiTheme="minorHAnsi" w:cstheme="minorBidi"/>
              <w:noProof/>
              <w:sz w:val="22"/>
            </w:rPr>
          </w:pPr>
          <w:hyperlink w:history="1" w:anchor="_Toc95232109">
            <w:r w:rsidRPr="00A37575" w:rsidR="00BB7CF6">
              <w:rPr>
                <w:rStyle w:val="Hyperlink"/>
                <w:noProof/>
              </w:rPr>
              <w:t>3.3.</w:t>
            </w:r>
            <w:r w:rsidR="00BB7CF6">
              <w:rPr>
                <w:rFonts w:asciiTheme="minorHAnsi" w:hAnsiTheme="minorHAnsi" w:cstheme="minorBidi"/>
                <w:noProof/>
                <w:sz w:val="22"/>
              </w:rPr>
              <w:tab/>
            </w:r>
            <w:r w:rsidRPr="00A37575" w:rsidR="00BB7CF6">
              <w:rPr>
                <w:rStyle w:val="Hyperlink"/>
                <w:noProof/>
              </w:rPr>
              <w:t>CPE Procurement Outside of Annual RA Solicitation</w:t>
            </w:r>
            <w:r w:rsidR="00BB7CF6">
              <w:rPr>
                <w:noProof/>
                <w:webHidden/>
              </w:rPr>
              <w:tab/>
            </w:r>
            <w:r w:rsidR="00BB7CF6">
              <w:rPr>
                <w:noProof/>
                <w:webHidden/>
              </w:rPr>
              <w:fldChar w:fldCharType="begin"/>
            </w:r>
            <w:r w:rsidR="00BB7CF6">
              <w:rPr>
                <w:noProof/>
                <w:webHidden/>
              </w:rPr>
              <w:instrText xml:space="preserve"> PAGEREF _Toc95232109 \h </w:instrText>
            </w:r>
            <w:r w:rsidR="00BB7CF6">
              <w:rPr>
                <w:noProof/>
                <w:webHidden/>
              </w:rPr>
            </w:r>
            <w:r w:rsidR="00BB7CF6">
              <w:rPr>
                <w:noProof/>
                <w:webHidden/>
              </w:rPr>
              <w:fldChar w:fldCharType="separate"/>
            </w:r>
            <w:r w:rsidR="00B15E78">
              <w:rPr>
                <w:noProof/>
                <w:webHidden/>
              </w:rPr>
              <w:t>24</w:t>
            </w:r>
            <w:r w:rsidR="00BB7CF6">
              <w:rPr>
                <w:noProof/>
                <w:webHidden/>
              </w:rPr>
              <w:fldChar w:fldCharType="end"/>
            </w:r>
          </w:hyperlink>
        </w:p>
        <w:p w:rsidR="00BB7CF6" w:rsidP="00BB7CF6" w:rsidRDefault="007D050E" w14:paraId="4DE00FAE" w14:textId="21A73D6D">
          <w:pPr>
            <w:pStyle w:val="TOC3"/>
            <w:tabs>
              <w:tab w:val="left" w:pos="1296"/>
              <w:tab w:val="right" w:leader="dot" w:pos="9350"/>
            </w:tabs>
            <w:rPr>
              <w:rFonts w:asciiTheme="minorHAnsi" w:hAnsiTheme="minorHAnsi" w:cstheme="minorBidi"/>
              <w:noProof/>
              <w:sz w:val="22"/>
            </w:rPr>
          </w:pPr>
          <w:hyperlink w:history="1" w:anchor="_Toc95232110">
            <w:r w:rsidRPr="00A37575" w:rsidR="00BB7CF6">
              <w:rPr>
                <w:rStyle w:val="Hyperlink"/>
                <w:rFonts w:eastAsia="Times New Roman"/>
                <w:noProof/>
              </w:rPr>
              <w:t>3.3.1.</w:t>
            </w:r>
            <w:r w:rsidR="00BB7CF6">
              <w:rPr>
                <w:rFonts w:asciiTheme="minorHAnsi" w:hAnsiTheme="minorHAnsi" w:cstheme="minorBidi"/>
                <w:noProof/>
                <w:sz w:val="22"/>
              </w:rPr>
              <w:tab/>
            </w:r>
            <w:r w:rsidRPr="00A37575" w:rsidR="00BB7CF6">
              <w:rPr>
                <w:rStyle w:val="Hyperlink"/>
                <w:rFonts w:eastAsia="Times New Roman"/>
                <w:noProof/>
              </w:rPr>
              <w:t>Discussion</w:t>
            </w:r>
            <w:r w:rsidR="00BB7CF6">
              <w:rPr>
                <w:noProof/>
                <w:webHidden/>
              </w:rPr>
              <w:tab/>
            </w:r>
            <w:r w:rsidR="00BB7CF6">
              <w:rPr>
                <w:noProof/>
                <w:webHidden/>
              </w:rPr>
              <w:fldChar w:fldCharType="begin"/>
            </w:r>
            <w:r w:rsidR="00BB7CF6">
              <w:rPr>
                <w:noProof/>
                <w:webHidden/>
              </w:rPr>
              <w:instrText xml:space="preserve"> PAGEREF _Toc95232110 \h </w:instrText>
            </w:r>
            <w:r w:rsidR="00BB7CF6">
              <w:rPr>
                <w:noProof/>
                <w:webHidden/>
              </w:rPr>
            </w:r>
            <w:r w:rsidR="00BB7CF6">
              <w:rPr>
                <w:noProof/>
                <w:webHidden/>
              </w:rPr>
              <w:fldChar w:fldCharType="separate"/>
            </w:r>
            <w:r w:rsidR="00B15E78">
              <w:rPr>
                <w:noProof/>
                <w:webHidden/>
              </w:rPr>
              <w:t>25</w:t>
            </w:r>
            <w:r w:rsidR="00BB7CF6">
              <w:rPr>
                <w:noProof/>
                <w:webHidden/>
              </w:rPr>
              <w:fldChar w:fldCharType="end"/>
            </w:r>
          </w:hyperlink>
        </w:p>
        <w:p w:rsidR="00BB7CF6" w:rsidP="00BB7CF6" w:rsidRDefault="007D050E" w14:paraId="27C668E5" w14:textId="27EC39CB">
          <w:pPr>
            <w:pStyle w:val="TOC2"/>
            <w:tabs>
              <w:tab w:val="right" w:leader="dot" w:pos="9350"/>
            </w:tabs>
            <w:rPr>
              <w:rFonts w:asciiTheme="minorHAnsi" w:hAnsiTheme="minorHAnsi" w:cstheme="minorBidi"/>
              <w:noProof/>
              <w:sz w:val="22"/>
            </w:rPr>
          </w:pPr>
          <w:hyperlink w:history="1" w:anchor="_Toc95232111">
            <w:r w:rsidRPr="00A37575" w:rsidR="00BB7CF6">
              <w:rPr>
                <w:rStyle w:val="Hyperlink"/>
                <w:noProof/>
              </w:rPr>
              <w:t>3.4.</w:t>
            </w:r>
            <w:r w:rsidR="00BB7CF6">
              <w:rPr>
                <w:rFonts w:asciiTheme="minorHAnsi" w:hAnsiTheme="minorHAnsi" w:cstheme="minorBidi"/>
                <w:noProof/>
                <w:sz w:val="22"/>
              </w:rPr>
              <w:tab/>
            </w:r>
            <w:r w:rsidRPr="00A37575" w:rsidR="00BB7CF6">
              <w:rPr>
                <w:rStyle w:val="Hyperlink"/>
                <w:noProof/>
              </w:rPr>
              <w:t>CPE Procurement Timeline</w:t>
            </w:r>
            <w:r w:rsidR="00BB7CF6">
              <w:rPr>
                <w:noProof/>
                <w:webHidden/>
              </w:rPr>
              <w:tab/>
            </w:r>
            <w:r w:rsidR="00BB7CF6">
              <w:rPr>
                <w:noProof/>
                <w:webHidden/>
              </w:rPr>
              <w:fldChar w:fldCharType="begin"/>
            </w:r>
            <w:r w:rsidR="00BB7CF6">
              <w:rPr>
                <w:noProof/>
                <w:webHidden/>
              </w:rPr>
              <w:instrText xml:space="preserve"> PAGEREF _Toc95232111 \h </w:instrText>
            </w:r>
            <w:r w:rsidR="00BB7CF6">
              <w:rPr>
                <w:noProof/>
                <w:webHidden/>
              </w:rPr>
            </w:r>
            <w:r w:rsidR="00BB7CF6">
              <w:rPr>
                <w:noProof/>
                <w:webHidden/>
              </w:rPr>
              <w:fldChar w:fldCharType="separate"/>
            </w:r>
            <w:r w:rsidR="00B15E78">
              <w:rPr>
                <w:noProof/>
                <w:webHidden/>
              </w:rPr>
              <w:t>27</w:t>
            </w:r>
            <w:r w:rsidR="00BB7CF6">
              <w:rPr>
                <w:noProof/>
                <w:webHidden/>
              </w:rPr>
              <w:fldChar w:fldCharType="end"/>
            </w:r>
          </w:hyperlink>
        </w:p>
        <w:p w:rsidR="00BB7CF6" w:rsidP="00BB7CF6" w:rsidRDefault="007D050E" w14:paraId="01B2D523" w14:textId="2C71E741">
          <w:pPr>
            <w:pStyle w:val="TOC3"/>
            <w:tabs>
              <w:tab w:val="left" w:pos="1296"/>
              <w:tab w:val="right" w:leader="dot" w:pos="9350"/>
            </w:tabs>
            <w:rPr>
              <w:rFonts w:asciiTheme="minorHAnsi" w:hAnsiTheme="minorHAnsi" w:cstheme="minorBidi"/>
              <w:noProof/>
              <w:sz w:val="22"/>
            </w:rPr>
          </w:pPr>
          <w:hyperlink w:history="1" w:anchor="_Toc95232112">
            <w:r w:rsidRPr="00A37575" w:rsidR="00BB7CF6">
              <w:rPr>
                <w:rStyle w:val="Hyperlink"/>
                <w:rFonts w:eastAsia="Times New Roman"/>
                <w:noProof/>
              </w:rPr>
              <w:t>3.4.1.</w:t>
            </w:r>
            <w:r w:rsidR="00BB7CF6">
              <w:rPr>
                <w:rFonts w:asciiTheme="minorHAnsi" w:hAnsiTheme="minorHAnsi" w:cstheme="minorBidi"/>
                <w:noProof/>
                <w:sz w:val="22"/>
              </w:rPr>
              <w:tab/>
            </w:r>
            <w:r w:rsidRPr="00A37575" w:rsidR="00BB7CF6">
              <w:rPr>
                <w:rStyle w:val="Hyperlink"/>
                <w:rFonts w:eastAsia="Times New Roman"/>
                <w:noProof/>
              </w:rPr>
              <w:t>Energy Division’s Proposal</w:t>
            </w:r>
            <w:r w:rsidR="00BB7CF6">
              <w:rPr>
                <w:noProof/>
                <w:webHidden/>
              </w:rPr>
              <w:tab/>
            </w:r>
            <w:r w:rsidR="00BB7CF6">
              <w:rPr>
                <w:noProof/>
                <w:webHidden/>
              </w:rPr>
              <w:fldChar w:fldCharType="begin"/>
            </w:r>
            <w:r w:rsidR="00BB7CF6">
              <w:rPr>
                <w:noProof/>
                <w:webHidden/>
              </w:rPr>
              <w:instrText xml:space="preserve"> PAGEREF _Toc95232112 \h </w:instrText>
            </w:r>
            <w:r w:rsidR="00BB7CF6">
              <w:rPr>
                <w:noProof/>
                <w:webHidden/>
              </w:rPr>
            </w:r>
            <w:r w:rsidR="00BB7CF6">
              <w:rPr>
                <w:noProof/>
                <w:webHidden/>
              </w:rPr>
              <w:fldChar w:fldCharType="separate"/>
            </w:r>
            <w:r w:rsidR="00B15E78">
              <w:rPr>
                <w:noProof/>
                <w:webHidden/>
              </w:rPr>
              <w:t>28</w:t>
            </w:r>
            <w:r w:rsidR="00BB7CF6">
              <w:rPr>
                <w:noProof/>
                <w:webHidden/>
              </w:rPr>
              <w:fldChar w:fldCharType="end"/>
            </w:r>
          </w:hyperlink>
        </w:p>
        <w:p w:rsidR="00BB7CF6" w:rsidP="00BB7CF6" w:rsidRDefault="007D050E" w14:paraId="44A75F2E" w14:textId="28C17F88">
          <w:pPr>
            <w:pStyle w:val="TOC3"/>
            <w:tabs>
              <w:tab w:val="left" w:pos="1296"/>
              <w:tab w:val="right" w:leader="dot" w:pos="9350"/>
            </w:tabs>
            <w:rPr>
              <w:rFonts w:asciiTheme="minorHAnsi" w:hAnsiTheme="minorHAnsi" w:cstheme="minorBidi"/>
              <w:noProof/>
              <w:sz w:val="22"/>
            </w:rPr>
          </w:pPr>
          <w:hyperlink w:history="1" w:anchor="_Toc95232113">
            <w:r w:rsidRPr="00A37575" w:rsidR="00BB7CF6">
              <w:rPr>
                <w:rStyle w:val="Hyperlink"/>
                <w:noProof/>
              </w:rPr>
              <w:t>3.4.2.</w:t>
            </w:r>
            <w:r w:rsidR="00BB7CF6">
              <w:rPr>
                <w:rFonts w:asciiTheme="minorHAnsi" w:hAnsiTheme="minorHAnsi" w:cstheme="minorBidi"/>
                <w:noProof/>
                <w:sz w:val="22"/>
              </w:rPr>
              <w:tab/>
            </w:r>
            <w:r w:rsidRPr="00A37575" w:rsidR="00BB7CF6">
              <w:rPr>
                <w:rStyle w:val="Hyperlink"/>
                <w:noProof/>
              </w:rPr>
              <w:t>PG&amp;E’s Proposal</w:t>
            </w:r>
            <w:r w:rsidR="00BB7CF6">
              <w:rPr>
                <w:noProof/>
                <w:webHidden/>
              </w:rPr>
              <w:tab/>
            </w:r>
            <w:r w:rsidR="00BB7CF6">
              <w:rPr>
                <w:noProof/>
                <w:webHidden/>
              </w:rPr>
              <w:fldChar w:fldCharType="begin"/>
            </w:r>
            <w:r w:rsidR="00BB7CF6">
              <w:rPr>
                <w:noProof/>
                <w:webHidden/>
              </w:rPr>
              <w:instrText xml:space="preserve"> PAGEREF _Toc95232113 \h </w:instrText>
            </w:r>
            <w:r w:rsidR="00BB7CF6">
              <w:rPr>
                <w:noProof/>
                <w:webHidden/>
              </w:rPr>
            </w:r>
            <w:r w:rsidR="00BB7CF6">
              <w:rPr>
                <w:noProof/>
                <w:webHidden/>
              </w:rPr>
              <w:fldChar w:fldCharType="separate"/>
            </w:r>
            <w:r w:rsidR="00B15E78">
              <w:rPr>
                <w:noProof/>
                <w:webHidden/>
              </w:rPr>
              <w:t>30</w:t>
            </w:r>
            <w:r w:rsidR="00BB7CF6">
              <w:rPr>
                <w:noProof/>
                <w:webHidden/>
              </w:rPr>
              <w:fldChar w:fldCharType="end"/>
            </w:r>
          </w:hyperlink>
        </w:p>
        <w:p w:rsidR="00BB7CF6" w:rsidP="00BB7CF6" w:rsidRDefault="007D050E" w14:paraId="63FB3BC8" w14:textId="224652DC">
          <w:pPr>
            <w:pStyle w:val="TOC3"/>
            <w:tabs>
              <w:tab w:val="left" w:pos="1296"/>
              <w:tab w:val="right" w:leader="dot" w:pos="9350"/>
            </w:tabs>
            <w:rPr>
              <w:rFonts w:asciiTheme="minorHAnsi" w:hAnsiTheme="minorHAnsi" w:cstheme="minorBidi"/>
              <w:noProof/>
              <w:sz w:val="22"/>
            </w:rPr>
          </w:pPr>
          <w:hyperlink w:history="1" w:anchor="_Toc95232114">
            <w:r w:rsidRPr="00A37575" w:rsidR="00BB7CF6">
              <w:rPr>
                <w:rStyle w:val="Hyperlink"/>
                <w:noProof/>
              </w:rPr>
              <w:t>3.4.3.</w:t>
            </w:r>
            <w:r w:rsidR="00BB7CF6">
              <w:rPr>
                <w:rFonts w:asciiTheme="minorHAnsi" w:hAnsiTheme="minorHAnsi" w:cstheme="minorBidi"/>
                <w:noProof/>
                <w:sz w:val="22"/>
              </w:rPr>
              <w:tab/>
            </w:r>
            <w:r w:rsidRPr="00A37575" w:rsidR="00BB7CF6">
              <w:rPr>
                <w:rStyle w:val="Hyperlink"/>
                <w:noProof/>
              </w:rPr>
              <w:t>CalCCA’s Proposal</w:t>
            </w:r>
            <w:r w:rsidR="00BB7CF6">
              <w:rPr>
                <w:noProof/>
                <w:webHidden/>
              </w:rPr>
              <w:tab/>
            </w:r>
            <w:r w:rsidR="00BB7CF6">
              <w:rPr>
                <w:noProof/>
                <w:webHidden/>
              </w:rPr>
              <w:fldChar w:fldCharType="begin"/>
            </w:r>
            <w:r w:rsidR="00BB7CF6">
              <w:rPr>
                <w:noProof/>
                <w:webHidden/>
              </w:rPr>
              <w:instrText xml:space="preserve"> PAGEREF _Toc95232114 \h </w:instrText>
            </w:r>
            <w:r w:rsidR="00BB7CF6">
              <w:rPr>
                <w:noProof/>
                <w:webHidden/>
              </w:rPr>
            </w:r>
            <w:r w:rsidR="00BB7CF6">
              <w:rPr>
                <w:noProof/>
                <w:webHidden/>
              </w:rPr>
              <w:fldChar w:fldCharType="separate"/>
            </w:r>
            <w:r w:rsidR="00B15E78">
              <w:rPr>
                <w:noProof/>
                <w:webHidden/>
              </w:rPr>
              <w:t>31</w:t>
            </w:r>
            <w:r w:rsidR="00BB7CF6">
              <w:rPr>
                <w:noProof/>
                <w:webHidden/>
              </w:rPr>
              <w:fldChar w:fldCharType="end"/>
            </w:r>
          </w:hyperlink>
        </w:p>
        <w:p w:rsidR="00BB7CF6" w:rsidP="00BB7CF6" w:rsidRDefault="007D050E" w14:paraId="383150DB" w14:textId="7EE57C36">
          <w:pPr>
            <w:pStyle w:val="TOC3"/>
            <w:tabs>
              <w:tab w:val="left" w:pos="1296"/>
              <w:tab w:val="right" w:leader="dot" w:pos="9350"/>
            </w:tabs>
            <w:rPr>
              <w:rFonts w:asciiTheme="minorHAnsi" w:hAnsiTheme="minorHAnsi" w:cstheme="minorBidi"/>
              <w:noProof/>
              <w:sz w:val="22"/>
            </w:rPr>
          </w:pPr>
          <w:hyperlink w:history="1" w:anchor="_Toc95232115">
            <w:r w:rsidRPr="00A37575" w:rsidR="00BB7CF6">
              <w:rPr>
                <w:rStyle w:val="Hyperlink"/>
                <w:noProof/>
              </w:rPr>
              <w:t>3.4.4.</w:t>
            </w:r>
            <w:r w:rsidR="00BB7CF6">
              <w:rPr>
                <w:rFonts w:asciiTheme="minorHAnsi" w:hAnsiTheme="minorHAnsi" w:cstheme="minorBidi"/>
                <w:noProof/>
                <w:sz w:val="22"/>
              </w:rPr>
              <w:tab/>
            </w:r>
            <w:r w:rsidRPr="00A37575" w:rsidR="00BB7CF6">
              <w:rPr>
                <w:rStyle w:val="Hyperlink"/>
                <w:noProof/>
              </w:rPr>
              <w:t>Discussion</w:t>
            </w:r>
            <w:r w:rsidR="00BB7CF6">
              <w:rPr>
                <w:noProof/>
                <w:webHidden/>
              </w:rPr>
              <w:tab/>
            </w:r>
            <w:r w:rsidR="00BB7CF6">
              <w:rPr>
                <w:noProof/>
                <w:webHidden/>
              </w:rPr>
              <w:fldChar w:fldCharType="begin"/>
            </w:r>
            <w:r w:rsidR="00BB7CF6">
              <w:rPr>
                <w:noProof/>
                <w:webHidden/>
              </w:rPr>
              <w:instrText xml:space="preserve"> PAGEREF _Toc95232115 \h </w:instrText>
            </w:r>
            <w:r w:rsidR="00BB7CF6">
              <w:rPr>
                <w:noProof/>
                <w:webHidden/>
              </w:rPr>
            </w:r>
            <w:r w:rsidR="00BB7CF6">
              <w:rPr>
                <w:noProof/>
                <w:webHidden/>
              </w:rPr>
              <w:fldChar w:fldCharType="separate"/>
            </w:r>
            <w:r w:rsidR="00B15E78">
              <w:rPr>
                <w:noProof/>
                <w:webHidden/>
              </w:rPr>
              <w:t>33</w:t>
            </w:r>
            <w:r w:rsidR="00BB7CF6">
              <w:rPr>
                <w:noProof/>
                <w:webHidden/>
              </w:rPr>
              <w:fldChar w:fldCharType="end"/>
            </w:r>
          </w:hyperlink>
        </w:p>
        <w:p w:rsidR="00BB7CF6" w:rsidP="00BB7CF6" w:rsidRDefault="007D050E" w14:paraId="56F7BC4C" w14:textId="44DB2FF5">
          <w:pPr>
            <w:pStyle w:val="TOC2"/>
            <w:tabs>
              <w:tab w:val="right" w:leader="dot" w:pos="9350"/>
            </w:tabs>
            <w:rPr>
              <w:rFonts w:asciiTheme="minorHAnsi" w:hAnsiTheme="minorHAnsi" w:cstheme="minorBidi"/>
              <w:noProof/>
              <w:sz w:val="22"/>
            </w:rPr>
          </w:pPr>
          <w:hyperlink w:history="1" w:anchor="_Toc95232116">
            <w:r w:rsidRPr="00A37575" w:rsidR="00BB7CF6">
              <w:rPr>
                <w:rStyle w:val="Hyperlink"/>
                <w:noProof/>
              </w:rPr>
              <w:t>3.5.</w:t>
            </w:r>
            <w:r w:rsidR="00BB7CF6">
              <w:rPr>
                <w:rFonts w:asciiTheme="minorHAnsi" w:hAnsiTheme="minorHAnsi" w:cstheme="minorBidi"/>
                <w:noProof/>
                <w:sz w:val="22"/>
              </w:rPr>
              <w:tab/>
            </w:r>
            <w:r w:rsidRPr="00A37575" w:rsidR="00BB7CF6">
              <w:rPr>
                <w:rStyle w:val="Hyperlink"/>
                <w:noProof/>
              </w:rPr>
              <w:t xml:space="preserve">Local Capacity Requirement Reduction Compensation Mechanism </w:t>
            </w:r>
            <w:r w:rsidR="00BB7CF6">
              <w:rPr>
                <w:rStyle w:val="Hyperlink"/>
                <w:noProof/>
              </w:rPr>
              <w:br/>
            </w:r>
            <w:r w:rsidRPr="00A37575" w:rsidR="00BB7CF6">
              <w:rPr>
                <w:rStyle w:val="Hyperlink"/>
                <w:noProof/>
              </w:rPr>
              <w:t>(LCR RCM)</w:t>
            </w:r>
            <w:r w:rsidR="00BB7CF6">
              <w:rPr>
                <w:noProof/>
                <w:webHidden/>
              </w:rPr>
              <w:tab/>
            </w:r>
            <w:r w:rsidR="00BB7CF6">
              <w:rPr>
                <w:noProof/>
                <w:webHidden/>
              </w:rPr>
              <w:fldChar w:fldCharType="begin"/>
            </w:r>
            <w:r w:rsidR="00BB7CF6">
              <w:rPr>
                <w:noProof/>
                <w:webHidden/>
              </w:rPr>
              <w:instrText xml:space="preserve"> PAGEREF _Toc95232116 \h </w:instrText>
            </w:r>
            <w:r w:rsidR="00BB7CF6">
              <w:rPr>
                <w:noProof/>
                <w:webHidden/>
              </w:rPr>
            </w:r>
            <w:r w:rsidR="00BB7CF6">
              <w:rPr>
                <w:noProof/>
                <w:webHidden/>
              </w:rPr>
              <w:fldChar w:fldCharType="separate"/>
            </w:r>
            <w:r w:rsidR="00B15E78">
              <w:rPr>
                <w:noProof/>
                <w:webHidden/>
              </w:rPr>
              <w:t>35</w:t>
            </w:r>
            <w:r w:rsidR="00BB7CF6">
              <w:rPr>
                <w:noProof/>
                <w:webHidden/>
              </w:rPr>
              <w:fldChar w:fldCharType="end"/>
            </w:r>
          </w:hyperlink>
        </w:p>
        <w:p w:rsidR="00BB7CF6" w:rsidP="00BB7CF6" w:rsidRDefault="007D050E" w14:paraId="78FF882C" w14:textId="27CBAC16">
          <w:pPr>
            <w:pStyle w:val="TOC3"/>
            <w:tabs>
              <w:tab w:val="left" w:pos="1296"/>
              <w:tab w:val="right" w:leader="dot" w:pos="9350"/>
            </w:tabs>
            <w:rPr>
              <w:rFonts w:asciiTheme="minorHAnsi" w:hAnsiTheme="minorHAnsi" w:cstheme="minorBidi"/>
              <w:noProof/>
              <w:sz w:val="22"/>
            </w:rPr>
          </w:pPr>
          <w:hyperlink w:history="1" w:anchor="_Toc95232117">
            <w:r w:rsidRPr="00A37575" w:rsidR="00BB7CF6">
              <w:rPr>
                <w:rStyle w:val="Hyperlink"/>
                <w:noProof/>
              </w:rPr>
              <w:t>3.5.1.</w:t>
            </w:r>
            <w:r w:rsidR="00BB7CF6">
              <w:rPr>
                <w:rFonts w:asciiTheme="minorHAnsi" w:hAnsiTheme="minorHAnsi" w:cstheme="minorBidi"/>
                <w:noProof/>
                <w:sz w:val="22"/>
              </w:rPr>
              <w:tab/>
            </w:r>
            <w:r w:rsidRPr="00A37575" w:rsidR="00BB7CF6">
              <w:rPr>
                <w:rStyle w:val="Hyperlink"/>
                <w:noProof/>
              </w:rPr>
              <w:t>Discussion</w:t>
            </w:r>
            <w:r w:rsidR="00BB7CF6">
              <w:rPr>
                <w:noProof/>
                <w:webHidden/>
              </w:rPr>
              <w:tab/>
            </w:r>
            <w:r w:rsidR="00BB7CF6">
              <w:rPr>
                <w:noProof/>
                <w:webHidden/>
              </w:rPr>
              <w:fldChar w:fldCharType="begin"/>
            </w:r>
            <w:r w:rsidR="00BB7CF6">
              <w:rPr>
                <w:noProof/>
                <w:webHidden/>
              </w:rPr>
              <w:instrText xml:space="preserve"> PAGEREF _Toc95232117 \h </w:instrText>
            </w:r>
            <w:r w:rsidR="00BB7CF6">
              <w:rPr>
                <w:noProof/>
                <w:webHidden/>
              </w:rPr>
            </w:r>
            <w:r w:rsidR="00BB7CF6">
              <w:rPr>
                <w:noProof/>
                <w:webHidden/>
              </w:rPr>
              <w:fldChar w:fldCharType="separate"/>
            </w:r>
            <w:r w:rsidR="00B15E78">
              <w:rPr>
                <w:noProof/>
                <w:webHidden/>
              </w:rPr>
              <w:t>38</w:t>
            </w:r>
            <w:r w:rsidR="00BB7CF6">
              <w:rPr>
                <w:noProof/>
                <w:webHidden/>
              </w:rPr>
              <w:fldChar w:fldCharType="end"/>
            </w:r>
          </w:hyperlink>
        </w:p>
        <w:p w:rsidR="00BB7CF6" w:rsidP="00BB7CF6" w:rsidRDefault="007D050E" w14:paraId="7E17F4A5" w14:textId="4B9598EA">
          <w:pPr>
            <w:pStyle w:val="TOC2"/>
            <w:tabs>
              <w:tab w:val="right" w:leader="dot" w:pos="9350"/>
            </w:tabs>
            <w:rPr>
              <w:rFonts w:asciiTheme="minorHAnsi" w:hAnsiTheme="minorHAnsi" w:cstheme="minorBidi"/>
              <w:noProof/>
              <w:sz w:val="22"/>
            </w:rPr>
          </w:pPr>
          <w:hyperlink w:history="1" w:anchor="_Toc95232118">
            <w:r w:rsidRPr="00A37575" w:rsidR="00BB7CF6">
              <w:rPr>
                <w:rStyle w:val="Hyperlink"/>
                <w:noProof/>
              </w:rPr>
              <w:t>3.6.</w:t>
            </w:r>
            <w:r w:rsidR="00BB7CF6">
              <w:rPr>
                <w:rFonts w:asciiTheme="minorHAnsi" w:hAnsiTheme="minorHAnsi" w:cstheme="minorBidi"/>
                <w:noProof/>
                <w:sz w:val="22"/>
              </w:rPr>
              <w:tab/>
            </w:r>
            <w:r w:rsidRPr="00A37575" w:rsidR="00BB7CF6">
              <w:rPr>
                <w:rStyle w:val="Hyperlink"/>
                <w:noProof/>
              </w:rPr>
              <w:t>Investor-Owned Utility Bidding at Levelized Fixed Costs</w:t>
            </w:r>
            <w:r w:rsidR="00BB7CF6">
              <w:rPr>
                <w:noProof/>
                <w:webHidden/>
              </w:rPr>
              <w:tab/>
            </w:r>
            <w:r w:rsidR="00BB7CF6">
              <w:rPr>
                <w:noProof/>
                <w:webHidden/>
              </w:rPr>
              <w:fldChar w:fldCharType="begin"/>
            </w:r>
            <w:r w:rsidR="00BB7CF6">
              <w:rPr>
                <w:noProof/>
                <w:webHidden/>
              </w:rPr>
              <w:instrText xml:space="preserve"> PAGEREF _Toc95232118 \h </w:instrText>
            </w:r>
            <w:r w:rsidR="00BB7CF6">
              <w:rPr>
                <w:noProof/>
                <w:webHidden/>
              </w:rPr>
            </w:r>
            <w:r w:rsidR="00BB7CF6">
              <w:rPr>
                <w:noProof/>
                <w:webHidden/>
              </w:rPr>
              <w:fldChar w:fldCharType="separate"/>
            </w:r>
            <w:r w:rsidR="00B15E78">
              <w:rPr>
                <w:noProof/>
                <w:webHidden/>
              </w:rPr>
              <w:t>39</w:t>
            </w:r>
            <w:r w:rsidR="00BB7CF6">
              <w:rPr>
                <w:noProof/>
                <w:webHidden/>
              </w:rPr>
              <w:fldChar w:fldCharType="end"/>
            </w:r>
          </w:hyperlink>
        </w:p>
        <w:p w:rsidR="00BB7CF6" w:rsidP="00BB7CF6" w:rsidRDefault="007D050E" w14:paraId="78115719" w14:textId="45182971">
          <w:pPr>
            <w:pStyle w:val="TOC3"/>
            <w:tabs>
              <w:tab w:val="left" w:pos="1296"/>
              <w:tab w:val="right" w:leader="dot" w:pos="9350"/>
            </w:tabs>
            <w:rPr>
              <w:rFonts w:asciiTheme="minorHAnsi" w:hAnsiTheme="minorHAnsi" w:cstheme="minorBidi"/>
              <w:noProof/>
              <w:sz w:val="22"/>
            </w:rPr>
          </w:pPr>
          <w:hyperlink w:history="1" w:anchor="_Toc95232119">
            <w:r w:rsidRPr="00A37575" w:rsidR="00BB7CF6">
              <w:rPr>
                <w:rStyle w:val="Hyperlink"/>
                <w:noProof/>
              </w:rPr>
              <w:t>3.6.1.</w:t>
            </w:r>
            <w:r w:rsidR="00BB7CF6">
              <w:rPr>
                <w:rFonts w:asciiTheme="minorHAnsi" w:hAnsiTheme="minorHAnsi" w:cstheme="minorBidi"/>
                <w:noProof/>
                <w:sz w:val="22"/>
              </w:rPr>
              <w:tab/>
            </w:r>
            <w:r w:rsidRPr="00A37575" w:rsidR="00BB7CF6">
              <w:rPr>
                <w:rStyle w:val="Hyperlink"/>
                <w:noProof/>
              </w:rPr>
              <w:t>Discussion</w:t>
            </w:r>
            <w:r w:rsidR="00BB7CF6">
              <w:rPr>
                <w:noProof/>
                <w:webHidden/>
              </w:rPr>
              <w:tab/>
            </w:r>
            <w:r w:rsidR="00BB7CF6">
              <w:rPr>
                <w:noProof/>
                <w:webHidden/>
              </w:rPr>
              <w:fldChar w:fldCharType="begin"/>
            </w:r>
            <w:r w:rsidR="00BB7CF6">
              <w:rPr>
                <w:noProof/>
                <w:webHidden/>
              </w:rPr>
              <w:instrText xml:space="preserve"> PAGEREF _Toc95232119 \h </w:instrText>
            </w:r>
            <w:r w:rsidR="00BB7CF6">
              <w:rPr>
                <w:noProof/>
                <w:webHidden/>
              </w:rPr>
            </w:r>
            <w:r w:rsidR="00BB7CF6">
              <w:rPr>
                <w:noProof/>
                <w:webHidden/>
              </w:rPr>
              <w:fldChar w:fldCharType="separate"/>
            </w:r>
            <w:r w:rsidR="00B15E78">
              <w:rPr>
                <w:noProof/>
                <w:webHidden/>
              </w:rPr>
              <w:t>41</w:t>
            </w:r>
            <w:r w:rsidR="00BB7CF6">
              <w:rPr>
                <w:noProof/>
                <w:webHidden/>
              </w:rPr>
              <w:fldChar w:fldCharType="end"/>
            </w:r>
          </w:hyperlink>
        </w:p>
        <w:p w:rsidR="00BB7CF6" w:rsidP="00BB7CF6" w:rsidRDefault="007D050E" w14:paraId="4C474F58" w14:textId="4AFAA51F">
          <w:pPr>
            <w:pStyle w:val="TOC2"/>
            <w:tabs>
              <w:tab w:val="right" w:leader="dot" w:pos="9350"/>
            </w:tabs>
            <w:rPr>
              <w:rFonts w:asciiTheme="minorHAnsi" w:hAnsiTheme="minorHAnsi" w:cstheme="minorBidi"/>
              <w:noProof/>
              <w:sz w:val="22"/>
            </w:rPr>
          </w:pPr>
          <w:hyperlink w:history="1" w:anchor="_Toc95232120">
            <w:r w:rsidRPr="00A37575" w:rsidR="00BB7CF6">
              <w:rPr>
                <w:rStyle w:val="Hyperlink"/>
                <w:noProof/>
              </w:rPr>
              <w:t>3.7.</w:t>
            </w:r>
            <w:r w:rsidR="00BB7CF6">
              <w:rPr>
                <w:rFonts w:asciiTheme="minorHAnsi" w:hAnsiTheme="minorHAnsi" w:cstheme="minorBidi"/>
                <w:noProof/>
                <w:sz w:val="22"/>
              </w:rPr>
              <w:tab/>
            </w:r>
            <w:r w:rsidRPr="00A37575" w:rsidR="00BB7CF6">
              <w:rPr>
                <w:rStyle w:val="Hyperlink"/>
                <w:noProof/>
              </w:rPr>
              <w:t>Additional Reporting Requirements</w:t>
            </w:r>
            <w:r w:rsidR="00BB7CF6">
              <w:rPr>
                <w:noProof/>
                <w:webHidden/>
              </w:rPr>
              <w:tab/>
            </w:r>
            <w:r w:rsidR="00BB7CF6">
              <w:rPr>
                <w:noProof/>
                <w:webHidden/>
              </w:rPr>
              <w:fldChar w:fldCharType="begin"/>
            </w:r>
            <w:r w:rsidR="00BB7CF6">
              <w:rPr>
                <w:noProof/>
                <w:webHidden/>
              </w:rPr>
              <w:instrText xml:space="preserve"> PAGEREF _Toc95232120 \h </w:instrText>
            </w:r>
            <w:r w:rsidR="00BB7CF6">
              <w:rPr>
                <w:noProof/>
                <w:webHidden/>
              </w:rPr>
            </w:r>
            <w:r w:rsidR="00BB7CF6">
              <w:rPr>
                <w:noProof/>
                <w:webHidden/>
              </w:rPr>
              <w:fldChar w:fldCharType="separate"/>
            </w:r>
            <w:r w:rsidR="00B15E78">
              <w:rPr>
                <w:noProof/>
                <w:webHidden/>
              </w:rPr>
              <w:t>42</w:t>
            </w:r>
            <w:r w:rsidR="00BB7CF6">
              <w:rPr>
                <w:noProof/>
                <w:webHidden/>
              </w:rPr>
              <w:fldChar w:fldCharType="end"/>
            </w:r>
          </w:hyperlink>
        </w:p>
        <w:p w:rsidR="00BB7CF6" w:rsidP="00BB7CF6" w:rsidRDefault="007D050E" w14:paraId="66BBC725" w14:textId="0C9D84A2">
          <w:pPr>
            <w:pStyle w:val="TOC3"/>
            <w:tabs>
              <w:tab w:val="left" w:pos="1296"/>
              <w:tab w:val="right" w:leader="dot" w:pos="9350"/>
            </w:tabs>
            <w:rPr>
              <w:rFonts w:asciiTheme="minorHAnsi" w:hAnsiTheme="minorHAnsi" w:cstheme="minorBidi"/>
              <w:noProof/>
              <w:sz w:val="22"/>
            </w:rPr>
          </w:pPr>
          <w:hyperlink w:history="1" w:anchor="_Toc95232121">
            <w:r w:rsidRPr="00A37575" w:rsidR="00BB7CF6">
              <w:rPr>
                <w:rStyle w:val="Hyperlink"/>
                <w:noProof/>
              </w:rPr>
              <w:t>3.7.1.</w:t>
            </w:r>
            <w:r w:rsidR="00BB7CF6">
              <w:rPr>
                <w:rFonts w:asciiTheme="minorHAnsi" w:hAnsiTheme="minorHAnsi" w:cstheme="minorBidi"/>
                <w:noProof/>
                <w:sz w:val="22"/>
              </w:rPr>
              <w:tab/>
            </w:r>
            <w:r w:rsidRPr="00A37575" w:rsidR="00BB7CF6">
              <w:rPr>
                <w:rStyle w:val="Hyperlink"/>
                <w:noProof/>
              </w:rPr>
              <w:t>Discussion</w:t>
            </w:r>
            <w:r w:rsidR="00BB7CF6">
              <w:rPr>
                <w:noProof/>
                <w:webHidden/>
              </w:rPr>
              <w:tab/>
            </w:r>
            <w:r w:rsidR="00BB7CF6">
              <w:rPr>
                <w:noProof/>
                <w:webHidden/>
              </w:rPr>
              <w:fldChar w:fldCharType="begin"/>
            </w:r>
            <w:r w:rsidR="00BB7CF6">
              <w:rPr>
                <w:noProof/>
                <w:webHidden/>
              </w:rPr>
              <w:instrText xml:space="preserve"> PAGEREF _Toc95232121 \h </w:instrText>
            </w:r>
            <w:r w:rsidR="00BB7CF6">
              <w:rPr>
                <w:noProof/>
                <w:webHidden/>
              </w:rPr>
            </w:r>
            <w:r w:rsidR="00BB7CF6">
              <w:rPr>
                <w:noProof/>
                <w:webHidden/>
              </w:rPr>
              <w:fldChar w:fldCharType="separate"/>
            </w:r>
            <w:r w:rsidR="00B15E78">
              <w:rPr>
                <w:noProof/>
                <w:webHidden/>
              </w:rPr>
              <w:t>45</w:t>
            </w:r>
            <w:r w:rsidR="00BB7CF6">
              <w:rPr>
                <w:noProof/>
                <w:webHidden/>
              </w:rPr>
              <w:fldChar w:fldCharType="end"/>
            </w:r>
          </w:hyperlink>
        </w:p>
        <w:p w:rsidR="00BB7CF6" w:rsidP="00BB7CF6" w:rsidRDefault="007D050E" w14:paraId="4CD3D106" w14:textId="11F603AF">
          <w:pPr>
            <w:pStyle w:val="TOC2"/>
            <w:tabs>
              <w:tab w:val="right" w:leader="dot" w:pos="9350"/>
            </w:tabs>
            <w:rPr>
              <w:rFonts w:asciiTheme="minorHAnsi" w:hAnsiTheme="minorHAnsi" w:cstheme="minorBidi"/>
              <w:noProof/>
              <w:sz w:val="22"/>
            </w:rPr>
          </w:pPr>
          <w:hyperlink w:history="1" w:anchor="_Toc95232122">
            <w:r w:rsidRPr="00A37575" w:rsidR="00BB7CF6">
              <w:rPr>
                <w:rStyle w:val="Hyperlink"/>
                <w:noProof/>
              </w:rPr>
              <w:t>3.8.</w:t>
            </w:r>
            <w:r w:rsidR="00BB7CF6">
              <w:rPr>
                <w:rFonts w:asciiTheme="minorHAnsi" w:hAnsiTheme="minorHAnsi" w:cstheme="minorBidi"/>
                <w:noProof/>
                <w:sz w:val="22"/>
              </w:rPr>
              <w:tab/>
            </w:r>
            <w:r w:rsidRPr="00A37575" w:rsidR="00BB7CF6">
              <w:rPr>
                <w:rStyle w:val="Hyperlink"/>
                <w:noProof/>
              </w:rPr>
              <w:t>Confidentiality of CPE Information</w:t>
            </w:r>
            <w:r w:rsidR="00BB7CF6">
              <w:rPr>
                <w:noProof/>
                <w:webHidden/>
              </w:rPr>
              <w:tab/>
            </w:r>
            <w:r w:rsidR="00BB7CF6">
              <w:rPr>
                <w:noProof/>
                <w:webHidden/>
              </w:rPr>
              <w:fldChar w:fldCharType="begin"/>
            </w:r>
            <w:r w:rsidR="00BB7CF6">
              <w:rPr>
                <w:noProof/>
                <w:webHidden/>
              </w:rPr>
              <w:instrText xml:space="preserve"> PAGEREF _Toc95232122 \h </w:instrText>
            </w:r>
            <w:r w:rsidR="00BB7CF6">
              <w:rPr>
                <w:noProof/>
                <w:webHidden/>
              </w:rPr>
            </w:r>
            <w:r w:rsidR="00BB7CF6">
              <w:rPr>
                <w:noProof/>
                <w:webHidden/>
              </w:rPr>
              <w:fldChar w:fldCharType="separate"/>
            </w:r>
            <w:r w:rsidR="00B15E78">
              <w:rPr>
                <w:noProof/>
                <w:webHidden/>
              </w:rPr>
              <w:t>47</w:t>
            </w:r>
            <w:r w:rsidR="00BB7CF6">
              <w:rPr>
                <w:noProof/>
                <w:webHidden/>
              </w:rPr>
              <w:fldChar w:fldCharType="end"/>
            </w:r>
          </w:hyperlink>
        </w:p>
        <w:p w:rsidR="00BB7CF6" w:rsidP="00BB7CF6" w:rsidRDefault="007D050E" w14:paraId="7506B34F" w14:textId="25F81955">
          <w:pPr>
            <w:pStyle w:val="TOC3"/>
            <w:tabs>
              <w:tab w:val="left" w:pos="1296"/>
              <w:tab w:val="right" w:leader="dot" w:pos="9350"/>
            </w:tabs>
            <w:rPr>
              <w:rFonts w:asciiTheme="minorHAnsi" w:hAnsiTheme="minorHAnsi" w:cstheme="minorBidi"/>
              <w:noProof/>
              <w:sz w:val="22"/>
            </w:rPr>
          </w:pPr>
          <w:hyperlink w:history="1" w:anchor="_Toc95232123">
            <w:r w:rsidRPr="00A37575" w:rsidR="00BB7CF6">
              <w:rPr>
                <w:rStyle w:val="Hyperlink"/>
                <w:rFonts w:eastAsia="Times New Roman"/>
                <w:noProof/>
              </w:rPr>
              <w:t>3.8.1.</w:t>
            </w:r>
            <w:r w:rsidR="00BB7CF6">
              <w:rPr>
                <w:rFonts w:asciiTheme="minorHAnsi" w:hAnsiTheme="minorHAnsi" w:cstheme="minorBidi"/>
                <w:noProof/>
                <w:sz w:val="22"/>
              </w:rPr>
              <w:tab/>
            </w:r>
            <w:r w:rsidRPr="00A37575" w:rsidR="00BB7CF6">
              <w:rPr>
                <w:rStyle w:val="Hyperlink"/>
                <w:rFonts w:eastAsia="Times New Roman"/>
                <w:noProof/>
              </w:rPr>
              <w:t>Discussion</w:t>
            </w:r>
            <w:r w:rsidR="00BB7CF6">
              <w:rPr>
                <w:noProof/>
                <w:webHidden/>
              </w:rPr>
              <w:tab/>
            </w:r>
            <w:r w:rsidR="00BB7CF6">
              <w:rPr>
                <w:noProof/>
                <w:webHidden/>
              </w:rPr>
              <w:fldChar w:fldCharType="begin"/>
            </w:r>
            <w:r w:rsidR="00BB7CF6">
              <w:rPr>
                <w:noProof/>
                <w:webHidden/>
              </w:rPr>
              <w:instrText xml:space="preserve"> PAGEREF _Toc95232123 \h </w:instrText>
            </w:r>
            <w:r w:rsidR="00BB7CF6">
              <w:rPr>
                <w:noProof/>
                <w:webHidden/>
              </w:rPr>
            </w:r>
            <w:r w:rsidR="00BB7CF6">
              <w:rPr>
                <w:noProof/>
                <w:webHidden/>
              </w:rPr>
              <w:fldChar w:fldCharType="separate"/>
            </w:r>
            <w:r w:rsidR="00B15E78">
              <w:rPr>
                <w:noProof/>
                <w:webHidden/>
              </w:rPr>
              <w:t>48</w:t>
            </w:r>
            <w:r w:rsidR="00BB7CF6">
              <w:rPr>
                <w:noProof/>
                <w:webHidden/>
              </w:rPr>
              <w:fldChar w:fldCharType="end"/>
            </w:r>
          </w:hyperlink>
        </w:p>
        <w:p w:rsidR="00BB7CF6" w:rsidP="00BB7CF6" w:rsidRDefault="007D050E" w14:paraId="1D19DFA1" w14:textId="39F093AB">
          <w:pPr>
            <w:pStyle w:val="TOC2"/>
            <w:tabs>
              <w:tab w:val="right" w:leader="dot" w:pos="9350"/>
            </w:tabs>
            <w:rPr>
              <w:rFonts w:asciiTheme="minorHAnsi" w:hAnsiTheme="minorHAnsi" w:cstheme="minorBidi"/>
              <w:noProof/>
              <w:sz w:val="22"/>
            </w:rPr>
          </w:pPr>
          <w:hyperlink w:history="1" w:anchor="_Toc95232124">
            <w:r w:rsidRPr="00A37575" w:rsidR="00BB7CF6">
              <w:rPr>
                <w:rStyle w:val="Hyperlink"/>
                <w:noProof/>
              </w:rPr>
              <w:t>3.9.</w:t>
            </w:r>
            <w:r w:rsidR="00BB7CF6">
              <w:rPr>
                <w:rFonts w:asciiTheme="minorHAnsi" w:hAnsiTheme="minorHAnsi" w:cstheme="minorBidi"/>
                <w:noProof/>
                <w:sz w:val="22"/>
              </w:rPr>
              <w:tab/>
            </w:r>
            <w:r w:rsidRPr="00A37575" w:rsidR="00BB7CF6">
              <w:rPr>
                <w:rStyle w:val="Hyperlink"/>
                <w:noProof/>
              </w:rPr>
              <w:t>Swaps</w:t>
            </w:r>
            <w:r w:rsidR="00BB7CF6">
              <w:rPr>
                <w:noProof/>
                <w:webHidden/>
              </w:rPr>
              <w:tab/>
            </w:r>
            <w:r w:rsidR="00BB7CF6">
              <w:rPr>
                <w:noProof/>
                <w:webHidden/>
              </w:rPr>
              <w:fldChar w:fldCharType="begin"/>
            </w:r>
            <w:r w:rsidR="00BB7CF6">
              <w:rPr>
                <w:noProof/>
                <w:webHidden/>
              </w:rPr>
              <w:instrText xml:space="preserve"> PAGEREF _Toc95232124 \h </w:instrText>
            </w:r>
            <w:r w:rsidR="00BB7CF6">
              <w:rPr>
                <w:noProof/>
                <w:webHidden/>
              </w:rPr>
            </w:r>
            <w:r w:rsidR="00BB7CF6">
              <w:rPr>
                <w:noProof/>
                <w:webHidden/>
              </w:rPr>
              <w:fldChar w:fldCharType="separate"/>
            </w:r>
            <w:r w:rsidR="00B15E78">
              <w:rPr>
                <w:noProof/>
                <w:webHidden/>
              </w:rPr>
              <w:t>51</w:t>
            </w:r>
            <w:r w:rsidR="00BB7CF6">
              <w:rPr>
                <w:noProof/>
                <w:webHidden/>
              </w:rPr>
              <w:fldChar w:fldCharType="end"/>
            </w:r>
          </w:hyperlink>
        </w:p>
        <w:p w:rsidR="00BB7CF6" w:rsidP="00BB7CF6" w:rsidRDefault="007D050E" w14:paraId="04A4D5C5" w14:textId="5D5DCD07">
          <w:pPr>
            <w:pStyle w:val="TOC2"/>
            <w:tabs>
              <w:tab w:val="left" w:pos="1296"/>
              <w:tab w:val="right" w:leader="dot" w:pos="9350"/>
            </w:tabs>
            <w:rPr>
              <w:rFonts w:asciiTheme="minorHAnsi" w:hAnsiTheme="minorHAnsi" w:cstheme="minorBidi"/>
              <w:noProof/>
              <w:sz w:val="22"/>
            </w:rPr>
          </w:pPr>
          <w:hyperlink w:history="1" w:anchor="_Toc95232125">
            <w:r w:rsidRPr="00A37575" w:rsidR="00BB7CF6">
              <w:rPr>
                <w:rStyle w:val="Hyperlink"/>
                <w:noProof/>
              </w:rPr>
              <w:t>3.10.</w:t>
            </w:r>
            <w:r w:rsidR="00BB7CF6">
              <w:rPr>
                <w:rFonts w:asciiTheme="minorHAnsi" w:hAnsiTheme="minorHAnsi" w:cstheme="minorBidi"/>
                <w:noProof/>
                <w:sz w:val="22"/>
              </w:rPr>
              <w:tab/>
            </w:r>
            <w:r w:rsidRPr="00A37575" w:rsidR="00BB7CF6">
              <w:rPr>
                <w:rStyle w:val="Hyperlink"/>
                <w:noProof/>
              </w:rPr>
              <w:t>Cost Recovery</w:t>
            </w:r>
            <w:r w:rsidR="00BB7CF6">
              <w:rPr>
                <w:noProof/>
                <w:webHidden/>
              </w:rPr>
              <w:tab/>
            </w:r>
            <w:r w:rsidR="00BB7CF6">
              <w:rPr>
                <w:noProof/>
                <w:webHidden/>
              </w:rPr>
              <w:fldChar w:fldCharType="begin"/>
            </w:r>
            <w:r w:rsidR="00BB7CF6">
              <w:rPr>
                <w:noProof/>
                <w:webHidden/>
              </w:rPr>
              <w:instrText xml:space="preserve"> PAGEREF _Toc95232125 \h </w:instrText>
            </w:r>
            <w:r w:rsidR="00BB7CF6">
              <w:rPr>
                <w:noProof/>
                <w:webHidden/>
              </w:rPr>
            </w:r>
            <w:r w:rsidR="00BB7CF6">
              <w:rPr>
                <w:noProof/>
                <w:webHidden/>
              </w:rPr>
              <w:fldChar w:fldCharType="separate"/>
            </w:r>
            <w:r w:rsidR="00B15E78">
              <w:rPr>
                <w:noProof/>
                <w:webHidden/>
              </w:rPr>
              <w:t>52</w:t>
            </w:r>
            <w:r w:rsidR="00BB7CF6">
              <w:rPr>
                <w:noProof/>
                <w:webHidden/>
              </w:rPr>
              <w:fldChar w:fldCharType="end"/>
            </w:r>
          </w:hyperlink>
        </w:p>
        <w:p w:rsidR="00BB7CF6" w:rsidP="00BB7CF6" w:rsidRDefault="007D050E" w14:paraId="42A99579" w14:textId="728F7170">
          <w:pPr>
            <w:pStyle w:val="TOC3"/>
            <w:tabs>
              <w:tab w:val="left" w:pos="2880"/>
              <w:tab w:val="right" w:leader="dot" w:pos="9350"/>
            </w:tabs>
            <w:rPr>
              <w:rFonts w:asciiTheme="minorHAnsi" w:hAnsiTheme="minorHAnsi" w:cstheme="minorBidi"/>
              <w:noProof/>
              <w:sz w:val="22"/>
            </w:rPr>
          </w:pPr>
          <w:hyperlink w:history="1" w:anchor="_Toc95232126">
            <w:r w:rsidRPr="00A37575" w:rsidR="00BB7CF6">
              <w:rPr>
                <w:rStyle w:val="Hyperlink"/>
                <w:noProof/>
              </w:rPr>
              <w:t>3.10.1.</w:t>
            </w:r>
            <w:r w:rsidR="00BB7CF6">
              <w:rPr>
                <w:rFonts w:asciiTheme="minorHAnsi" w:hAnsiTheme="minorHAnsi" w:cstheme="minorBidi"/>
                <w:noProof/>
                <w:sz w:val="22"/>
              </w:rPr>
              <w:tab/>
            </w:r>
            <w:r w:rsidRPr="00A37575" w:rsidR="00BB7CF6">
              <w:rPr>
                <w:rStyle w:val="Hyperlink"/>
                <w:noProof/>
              </w:rPr>
              <w:t>Forecasted CPE Costs</w:t>
            </w:r>
            <w:r w:rsidR="00BB7CF6">
              <w:rPr>
                <w:noProof/>
                <w:webHidden/>
              </w:rPr>
              <w:tab/>
            </w:r>
            <w:r w:rsidR="00BB7CF6">
              <w:rPr>
                <w:noProof/>
                <w:webHidden/>
              </w:rPr>
              <w:fldChar w:fldCharType="begin"/>
            </w:r>
            <w:r w:rsidR="00BB7CF6">
              <w:rPr>
                <w:noProof/>
                <w:webHidden/>
              </w:rPr>
              <w:instrText xml:space="preserve"> PAGEREF _Toc95232126 \h </w:instrText>
            </w:r>
            <w:r w:rsidR="00BB7CF6">
              <w:rPr>
                <w:noProof/>
                <w:webHidden/>
              </w:rPr>
            </w:r>
            <w:r w:rsidR="00BB7CF6">
              <w:rPr>
                <w:noProof/>
                <w:webHidden/>
              </w:rPr>
              <w:fldChar w:fldCharType="separate"/>
            </w:r>
            <w:r w:rsidR="00B15E78">
              <w:rPr>
                <w:noProof/>
                <w:webHidden/>
              </w:rPr>
              <w:t>52</w:t>
            </w:r>
            <w:r w:rsidR="00BB7CF6">
              <w:rPr>
                <w:noProof/>
                <w:webHidden/>
              </w:rPr>
              <w:fldChar w:fldCharType="end"/>
            </w:r>
          </w:hyperlink>
        </w:p>
        <w:p w:rsidR="00BB7CF6" w:rsidP="00BB7CF6" w:rsidRDefault="007D050E" w14:paraId="7ED8118E" w14:textId="03FFC51C">
          <w:pPr>
            <w:pStyle w:val="TOC3"/>
            <w:tabs>
              <w:tab w:val="left" w:pos="2880"/>
              <w:tab w:val="right" w:leader="dot" w:pos="9350"/>
            </w:tabs>
            <w:rPr>
              <w:rFonts w:asciiTheme="minorHAnsi" w:hAnsiTheme="minorHAnsi" w:cstheme="minorBidi"/>
              <w:noProof/>
              <w:sz w:val="22"/>
            </w:rPr>
          </w:pPr>
          <w:hyperlink w:history="1" w:anchor="_Toc95232127">
            <w:r w:rsidRPr="00A37575" w:rsidR="00BB7CF6">
              <w:rPr>
                <w:rStyle w:val="Hyperlink"/>
                <w:noProof/>
              </w:rPr>
              <w:t>3.10.2.</w:t>
            </w:r>
            <w:r w:rsidR="00BB7CF6">
              <w:rPr>
                <w:rFonts w:asciiTheme="minorHAnsi" w:hAnsiTheme="minorHAnsi" w:cstheme="minorBidi"/>
                <w:noProof/>
                <w:sz w:val="22"/>
              </w:rPr>
              <w:tab/>
            </w:r>
            <w:r w:rsidRPr="00A37575" w:rsidR="00BB7CF6">
              <w:rPr>
                <w:rStyle w:val="Hyperlink"/>
                <w:noProof/>
              </w:rPr>
              <w:t>Transactions with IOUs</w:t>
            </w:r>
            <w:r w:rsidR="00BB7CF6">
              <w:rPr>
                <w:noProof/>
                <w:webHidden/>
              </w:rPr>
              <w:tab/>
            </w:r>
            <w:r w:rsidR="00BB7CF6">
              <w:rPr>
                <w:noProof/>
                <w:webHidden/>
              </w:rPr>
              <w:fldChar w:fldCharType="begin"/>
            </w:r>
            <w:r w:rsidR="00BB7CF6">
              <w:rPr>
                <w:noProof/>
                <w:webHidden/>
              </w:rPr>
              <w:instrText xml:space="preserve"> PAGEREF _Toc95232127 \h </w:instrText>
            </w:r>
            <w:r w:rsidR="00BB7CF6">
              <w:rPr>
                <w:noProof/>
                <w:webHidden/>
              </w:rPr>
            </w:r>
            <w:r w:rsidR="00BB7CF6">
              <w:rPr>
                <w:noProof/>
                <w:webHidden/>
              </w:rPr>
              <w:fldChar w:fldCharType="separate"/>
            </w:r>
            <w:r w:rsidR="00B15E78">
              <w:rPr>
                <w:noProof/>
                <w:webHidden/>
              </w:rPr>
              <w:t>54</w:t>
            </w:r>
            <w:r w:rsidR="00BB7CF6">
              <w:rPr>
                <w:noProof/>
                <w:webHidden/>
              </w:rPr>
              <w:fldChar w:fldCharType="end"/>
            </w:r>
          </w:hyperlink>
        </w:p>
        <w:p w:rsidR="00BB7CF6" w:rsidP="00BB7CF6" w:rsidRDefault="007D050E" w14:paraId="4226632E" w14:textId="06397A8C">
          <w:pPr>
            <w:pStyle w:val="TOC1"/>
            <w:tabs>
              <w:tab w:val="right" w:leader="dot" w:pos="9350"/>
            </w:tabs>
            <w:rPr>
              <w:rFonts w:asciiTheme="minorHAnsi" w:hAnsiTheme="minorHAnsi" w:cstheme="minorBidi"/>
              <w:noProof/>
              <w:sz w:val="22"/>
            </w:rPr>
          </w:pPr>
          <w:hyperlink w:history="1" w:anchor="_Toc95232128">
            <w:r w:rsidRPr="00A37575" w:rsidR="00BB7CF6">
              <w:rPr>
                <w:rStyle w:val="Hyperlink"/>
                <w:noProof/>
              </w:rPr>
              <w:t>4.</w:t>
            </w:r>
            <w:r w:rsidR="00BB7CF6">
              <w:rPr>
                <w:rFonts w:asciiTheme="minorHAnsi" w:hAnsiTheme="minorHAnsi" w:cstheme="minorBidi"/>
                <w:noProof/>
                <w:sz w:val="22"/>
              </w:rPr>
              <w:tab/>
            </w:r>
            <w:r w:rsidRPr="00A37575" w:rsidR="00BB7CF6">
              <w:rPr>
                <w:rStyle w:val="Hyperlink"/>
                <w:noProof/>
              </w:rPr>
              <w:t>Comments on Proposed Decision</w:t>
            </w:r>
            <w:r w:rsidR="00BB7CF6">
              <w:rPr>
                <w:noProof/>
                <w:webHidden/>
              </w:rPr>
              <w:tab/>
            </w:r>
            <w:r w:rsidR="00BB7CF6">
              <w:rPr>
                <w:noProof/>
                <w:webHidden/>
              </w:rPr>
              <w:fldChar w:fldCharType="begin"/>
            </w:r>
            <w:r w:rsidR="00BB7CF6">
              <w:rPr>
                <w:noProof/>
                <w:webHidden/>
              </w:rPr>
              <w:instrText xml:space="preserve"> PAGEREF _Toc95232128 \h </w:instrText>
            </w:r>
            <w:r w:rsidR="00BB7CF6">
              <w:rPr>
                <w:noProof/>
                <w:webHidden/>
              </w:rPr>
            </w:r>
            <w:r w:rsidR="00BB7CF6">
              <w:rPr>
                <w:noProof/>
                <w:webHidden/>
              </w:rPr>
              <w:fldChar w:fldCharType="separate"/>
            </w:r>
            <w:r w:rsidR="00B15E78">
              <w:rPr>
                <w:noProof/>
                <w:webHidden/>
              </w:rPr>
              <w:t>57</w:t>
            </w:r>
            <w:r w:rsidR="00BB7CF6">
              <w:rPr>
                <w:noProof/>
                <w:webHidden/>
              </w:rPr>
              <w:fldChar w:fldCharType="end"/>
            </w:r>
          </w:hyperlink>
        </w:p>
        <w:p w:rsidR="00BB7CF6" w:rsidP="00BB7CF6" w:rsidRDefault="007D050E" w14:paraId="55B7B972" w14:textId="661F0940">
          <w:pPr>
            <w:pStyle w:val="TOC1"/>
            <w:tabs>
              <w:tab w:val="right" w:leader="dot" w:pos="9350"/>
            </w:tabs>
            <w:rPr>
              <w:rFonts w:asciiTheme="minorHAnsi" w:hAnsiTheme="minorHAnsi" w:cstheme="minorBidi"/>
              <w:noProof/>
              <w:sz w:val="22"/>
            </w:rPr>
          </w:pPr>
          <w:hyperlink w:history="1" w:anchor="_Toc95232129">
            <w:r w:rsidRPr="00A37575" w:rsidR="00BB7CF6">
              <w:rPr>
                <w:rStyle w:val="Hyperlink"/>
                <w:rFonts w:eastAsia="Times New Roman"/>
                <w:noProof/>
              </w:rPr>
              <w:t>5.</w:t>
            </w:r>
            <w:r w:rsidR="00BB7CF6">
              <w:rPr>
                <w:rFonts w:asciiTheme="minorHAnsi" w:hAnsiTheme="minorHAnsi" w:cstheme="minorBidi"/>
                <w:noProof/>
                <w:sz w:val="22"/>
              </w:rPr>
              <w:tab/>
            </w:r>
            <w:r w:rsidRPr="00A37575" w:rsidR="00BB7CF6">
              <w:rPr>
                <w:rStyle w:val="Hyperlink"/>
                <w:rFonts w:eastAsia="Times New Roman"/>
                <w:noProof/>
              </w:rPr>
              <w:t>Assignment of Proceeding</w:t>
            </w:r>
            <w:r w:rsidR="00BB7CF6">
              <w:rPr>
                <w:noProof/>
                <w:webHidden/>
              </w:rPr>
              <w:tab/>
            </w:r>
            <w:r w:rsidR="00BB7CF6">
              <w:rPr>
                <w:noProof/>
                <w:webHidden/>
              </w:rPr>
              <w:fldChar w:fldCharType="begin"/>
            </w:r>
            <w:r w:rsidR="00BB7CF6">
              <w:rPr>
                <w:noProof/>
                <w:webHidden/>
              </w:rPr>
              <w:instrText xml:space="preserve"> PAGEREF _Toc95232129 \h </w:instrText>
            </w:r>
            <w:r w:rsidR="00BB7CF6">
              <w:rPr>
                <w:noProof/>
                <w:webHidden/>
              </w:rPr>
            </w:r>
            <w:r w:rsidR="00BB7CF6">
              <w:rPr>
                <w:noProof/>
                <w:webHidden/>
              </w:rPr>
              <w:fldChar w:fldCharType="separate"/>
            </w:r>
            <w:r w:rsidR="00B15E78">
              <w:rPr>
                <w:noProof/>
                <w:webHidden/>
              </w:rPr>
              <w:t>67</w:t>
            </w:r>
            <w:r w:rsidR="00BB7CF6">
              <w:rPr>
                <w:noProof/>
                <w:webHidden/>
              </w:rPr>
              <w:fldChar w:fldCharType="end"/>
            </w:r>
          </w:hyperlink>
        </w:p>
        <w:p w:rsidR="00BB7CF6" w:rsidP="00BB7CF6" w:rsidRDefault="007D050E" w14:paraId="04522D2C" w14:textId="4FB2C586">
          <w:pPr>
            <w:pStyle w:val="TOC1"/>
            <w:tabs>
              <w:tab w:val="right" w:leader="dot" w:pos="9350"/>
            </w:tabs>
            <w:rPr>
              <w:rFonts w:asciiTheme="minorHAnsi" w:hAnsiTheme="minorHAnsi" w:cstheme="minorBidi"/>
              <w:noProof/>
              <w:sz w:val="22"/>
            </w:rPr>
          </w:pPr>
          <w:hyperlink w:history="1" w:anchor="_Toc95232130">
            <w:r w:rsidRPr="00A37575" w:rsidR="00BB7CF6">
              <w:rPr>
                <w:rStyle w:val="Hyperlink"/>
                <w:noProof/>
              </w:rPr>
              <w:t>Findings of Fact</w:t>
            </w:r>
            <w:r w:rsidR="00BB7CF6">
              <w:rPr>
                <w:noProof/>
                <w:webHidden/>
              </w:rPr>
              <w:tab/>
            </w:r>
            <w:r w:rsidR="00BB7CF6">
              <w:rPr>
                <w:noProof/>
                <w:webHidden/>
              </w:rPr>
              <w:fldChar w:fldCharType="begin"/>
            </w:r>
            <w:r w:rsidR="00BB7CF6">
              <w:rPr>
                <w:noProof/>
                <w:webHidden/>
              </w:rPr>
              <w:instrText xml:space="preserve"> PAGEREF _Toc95232130 \h </w:instrText>
            </w:r>
            <w:r w:rsidR="00BB7CF6">
              <w:rPr>
                <w:noProof/>
                <w:webHidden/>
              </w:rPr>
            </w:r>
            <w:r w:rsidR="00BB7CF6">
              <w:rPr>
                <w:noProof/>
                <w:webHidden/>
              </w:rPr>
              <w:fldChar w:fldCharType="separate"/>
            </w:r>
            <w:r w:rsidR="00B15E78">
              <w:rPr>
                <w:noProof/>
                <w:webHidden/>
              </w:rPr>
              <w:t>67</w:t>
            </w:r>
            <w:r w:rsidR="00BB7CF6">
              <w:rPr>
                <w:noProof/>
                <w:webHidden/>
              </w:rPr>
              <w:fldChar w:fldCharType="end"/>
            </w:r>
          </w:hyperlink>
        </w:p>
        <w:p w:rsidR="00BB7CF6" w:rsidP="00BB7CF6" w:rsidRDefault="007D050E" w14:paraId="5F9BB3E5" w14:textId="18508764">
          <w:pPr>
            <w:pStyle w:val="TOC1"/>
            <w:tabs>
              <w:tab w:val="right" w:leader="dot" w:pos="9350"/>
            </w:tabs>
            <w:rPr>
              <w:rFonts w:asciiTheme="minorHAnsi" w:hAnsiTheme="minorHAnsi" w:cstheme="minorBidi"/>
              <w:noProof/>
              <w:sz w:val="22"/>
            </w:rPr>
          </w:pPr>
          <w:hyperlink w:history="1" w:anchor="_Toc95232131">
            <w:r w:rsidRPr="00A37575" w:rsidR="00BB7CF6">
              <w:rPr>
                <w:rStyle w:val="Hyperlink"/>
                <w:noProof/>
              </w:rPr>
              <w:t>Conclusions of Law</w:t>
            </w:r>
            <w:r w:rsidR="00BB7CF6">
              <w:rPr>
                <w:noProof/>
                <w:webHidden/>
              </w:rPr>
              <w:tab/>
            </w:r>
            <w:r w:rsidR="00BB7CF6">
              <w:rPr>
                <w:noProof/>
                <w:webHidden/>
              </w:rPr>
              <w:fldChar w:fldCharType="begin"/>
            </w:r>
            <w:r w:rsidR="00BB7CF6">
              <w:rPr>
                <w:noProof/>
                <w:webHidden/>
              </w:rPr>
              <w:instrText xml:space="preserve"> PAGEREF _Toc95232131 \h </w:instrText>
            </w:r>
            <w:r w:rsidR="00BB7CF6">
              <w:rPr>
                <w:noProof/>
                <w:webHidden/>
              </w:rPr>
            </w:r>
            <w:r w:rsidR="00BB7CF6">
              <w:rPr>
                <w:noProof/>
                <w:webHidden/>
              </w:rPr>
              <w:fldChar w:fldCharType="separate"/>
            </w:r>
            <w:r w:rsidR="00B15E78">
              <w:rPr>
                <w:noProof/>
                <w:webHidden/>
              </w:rPr>
              <w:t>69</w:t>
            </w:r>
            <w:r w:rsidR="00BB7CF6">
              <w:rPr>
                <w:noProof/>
                <w:webHidden/>
              </w:rPr>
              <w:fldChar w:fldCharType="end"/>
            </w:r>
          </w:hyperlink>
        </w:p>
        <w:p w:rsidR="00BB7CF6" w:rsidP="00BB7CF6" w:rsidRDefault="007D050E" w14:paraId="735139E5" w14:textId="6466B568">
          <w:pPr>
            <w:pStyle w:val="TOC1"/>
            <w:tabs>
              <w:tab w:val="right" w:leader="dot" w:pos="9350"/>
            </w:tabs>
            <w:rPr>
              <w:rFonts w:asciiTheme="minorHAnsi" w:hAnsiTheme="minorHAnsi" w:cstheme="minorBidi"/>
              <w:noProof/>
              <w:sz w:val="22"/>
            </w:rPr>
          </w:pPr>
          <w:hyperlink w:history="1" w:anchor="_Toc95232132">
            <w:r w:rsidRPr="00A37575" w:rsidR="00BB7CF6">
              <w:rPr>
                <w:rStyle w:val="Hyperlink"/>
                <w:noProof/>
              </w:rPr>
              <w:t>ORDER</w:t>
            </w:r>
            <w:r w:rsidR="00BB7CF6">
              <w:rPr>
                <w:noProof/>
                <w:webHidden/>
              </w:rPr>
              <w:tab/>
            </w:r>
            <w:r w:rsidR="00BB7CF6">
              <w:rPr>
                <w:noProof/>
                <w:webHidden/>
              </w:rPr>
              <w:fldChar w:fldCharType="begin"/>
            </w:r>
            <w:r w:rsidR="00BB7CF6">
              <w:rPr>
                <w:noProof/>
                <w:webHidden/>
              </w:rPr>
              <w:instrText xml:space="preserve"> PAGEREF _Toc95232132 \h </w:instrText>
            </w:r>
            <w:r w:rsidR="00BB7CF6">
              <w:rPr>
                <w:noProof/>
                <w:webHidden/>
              </w:rPr>
            </w:r>
            <w:r w:rsidR="00BB7CF6">
              <w:rPr>
                <w:noProof/>
                <w:webHidden/>
              </w:rPr>
              <w:fldChar w:fldCharType="separate"/>
            </w:r>
            <w:r w:rsidR="00B15E78">
              <w:rPr>
                <w:noProof/>
                <w:webHidden/>
              </w:rPr>
              <w:t>70</w:t>
            </w:r>
            <w:r w:rsidR="00BB7CF6">
              <w:rPr>
                <w:noProof/>
                <w:webHidden/>
              </w:rPr>
              <w:fldChar w:fldCharType="end"/>
            </w:r>
          </w:hyperlink>
        </w:p>
        <w:p w:rsidR="00BB7CF6" w:rsidP="00BB7CF6" w:rsidRDefault="00BB7CF6" w14:paraId="0E270101" w14:textId="77777777">
          <w:pPr>
            <w:pStyle w:val="TOC1"/>
            <w:tabs>
              <w:tab w:val="right" w:leader="dot" w:pos="9350"/>
            </w:tabs>
          </w:pPr>
          <w:r>
            <w:rPr>
              <w:rFonts w:asciiTheme="minorHAnsi" w:hAnsiTheme="minorHAnsi"/>
              <w:sz w:val="22"/>
            </w:rPr>
            <w:fldChar w:fldCharType="end"/>
          </w:r>
        </w:p>
      </w:sdtContent>
    </w:sdt>
    <w:p w:rsidRPr="0098655A" w:rsidR="00BB7CF6" w:rsidP="00BB7CF6" w:rsidRDefault="00BB7CF6" w14:paraId="095E2BC1" w14:textId="77777777">
      <w:pPr>
        <w:spacing w:line="240" w:lineRule="auto"/>
        <w:ind w:left="1710" w:hanging="1710"/>
        <w:rPr>
          <w:rFonts w:cs="Arial"/>
          <w:szCs w:val="26"/>
        </w:rPr>
      </w:pPr>
      <w:r w:rsidRPr="0098655A">
        <w:rPr>
          <w:rFonts w:cs="Arial"/>
          <w:b/>
          <w:szCs w:val="26"/>
        </w:rPr>
        <w:t>Appendix A</w:t>
      </w:r>
      <w:r w:rsidRPr="0098655A">
        <w:rPr>
          <w:rFonts w:cs="Arial"/>
          <w:szCs w:val="26"/>
        </w:rPr>
        <w:t xml:space="preserve"> –</w:t>
      </w:r>
      <w:r>
        <w:rPr>
          <w:rFonts w:cs="Arial"/>
          <w:szCs w:val="26"/>
        </w:rPr>
        <w:t xml:space="preserve"> </w:t>
      </w:r>
      <w:r w:rsidRPr="00C44DB5">
        <w:rPr>
          <w:rFonts w:cs="Arial"/>
          <w:szCs w:val="26"/>
        </w:rPr>
        <w:t>Confidential Treatment Of Central Procurement Entity Information</w:t>
      </w:r>
    </w:p>
    <w:p w:rsidRPr="00D44DB6" w:rsidR="00BB7CF6" w:rsidP="00BB7CF6" w:rsidRDefault="00BB7CF6" w14:paraId="7CC13AEA" w14:textId="77777777">
      <w:pPr>
        <w:spacing w:line="240" w:lineRule="auto"/>
        <w:ind w:firstLine="0"/>
        <w:rPr>
          <w:rFonts w:cs="Arial"/>
          <w:i/>
          <w:szCs w:val="26"/>
        </w:rPr>
        <w:sectPr w:rsidRPr="00D44DB6" w:rsidR="00BB7CF6" w:rsidSect="00D44DB6">
          <w:headerReference w:type="default" r:id="rId11"/>
          <w:footerReference w:type="default" r:id="rId12"/>
          <w:pgSz w:w="12240" w:h="15840"/>
          <w:pgMar w:top="1728" w:right="1440" w:bottom="1440" w:left="1440" w:header="720" w:footer="720" w:gutter="0"/>
          <w:pgNumType w:fmt="lowerRoman" w:start="1"/>
          <w:cols w:space="720"/>
          <w:docGrid w:linePitch="360"/>
        </w:sectPr>
      </w:pPr>
    </w:p>
    <w:p w:rsidRPr="008658CC" w:rsidR="00BB7CF6" w:rsidP="00BB7CF6" w:rsidRDefault="00BB7CF6" w14:paraId="1BFE1EDE" w14:textId="77777777">
      <w:pPr>
        <w:spacing w:after="240" w:line="240" w:lineRule="auto"/>
        <w:ind w:firstLine="0"/>
        <w:jc w:val="center"/>
        <w:rPr>
          <w:rFonts w:ascii="Arial" w:hAnsi="Arial" w:cs="Arial"/>
          <w:b/>
          <w:szCs w:val="26"/>
        </w:rPr>
      </w:pPr>
      <w:r w:rsidRPr="0046317C">
        <w:rPr>
          <w:rFonts w:ascii="Arial" w:hAnsi="Arial" w:cs="Arial"/>
          <w:b/>
          <w:szCs w:val="26"/>
        </w:rPr>
        <w:lastRenderedPageBreak/>
        <w:t>DECISION ON PHASE 1 OF THE IMPLEMENTATION TRACK: MODIFICATIONS TO THE CENTRAL PROCUREMENT ENTITY STRUCTURE</w:t>
      </w:r>
    </w:p>
    <w:p w:rsidR="00BB7CF6" w:rsidP="00BB7CF6" w:rsidRDefault="00BB7CF6" w14:paraId="7EF2E7DD" w14:textId="77777777">
      <w:pPr>
        <w:pStyle w:val="Heading1"/>
        <w:numPr>
          <w:ilvl w:val="0"/>
          <w:numId w:val="0"/>
        </w:numPr>
        <w:ind w:left="720" w:hanging="720"/>
      </w:pPr>
      <w:bookmarkStart w:name="_Toc95232094" w:id="4"/>
      <w:r w:rsidRPr="000D6C57">
        <w:t>Summary</w:t>
      </w:r>
      <w:bookmarkEnd w:id="4"/>
    </w:p>
    <w:p w:rsidRPr="0046317C" w:rsidR="00BB7CF6" w:rsidP="00BB7CF6" w:rsidRDefault="00BB7CF6" w14:paraId="47B5F27C" w14:textId="77777777">
      <w:pPr>
        <w:rPr>
          <w:rFonts w:eastAsia="Times New Roman" w:cs="Times New Roman"/>
          <w:szCs w:val="20"/>
        </w:rPr>
      </w:pPr>
      <w:r w:rsidRPr="0046317C">
        <w:rPr>
          <w:rFonts w:eastAsia="Times New Roman" w:cs="Times New Roman"/>
          <w:szCs w:val="20"/>
        </w:rPr>
        <w:t xml:space="preserve">This decision adopts modifications to the </w:t>
      </w:r>
      <w:bookmarkStart w:name="_Hlk94189860" w:id="5"/>
      <w:r w:rsidRPr="0046317C">
        <w:rPr>
          <w:rFonts w:eastAsia="Times New Roman" w:cs="Times New Roman"/>
          <w:szCs w:val="20"/>
        </w:rPr>
        <w:t xml:space="preserve">central procurement entity </w:t>
      </w:r>
      <w:bookmarkEnd w:id="5"/>
      <w:r w:rsidRPr="0046317C">
        <w:rPr>
          <w:rFonts w:eastAsia="Times New Roman" w:cs="Times New Roman"/>
          <w:szCs w:val="20"/>
        </w:rPr>
        <w:t xml:space="preserve">(CPE) structure adopted in Decision (D.) 20-06-002 and D.20-12-006, including revisions to the requirements for self-shown local resources, revisions to the CPE’s solicitation selection criteria, and revisions to the CPE procurement timeline.   </w:t>
      </w:r>
    </w:p>
    <w:p w:rsidRPr="0046317C" w:rsidR="00BB7CF6" w:rsidP="00BB7CF6" w:rsidRDefault="00BB7CF6" w14:paraId="2A2459C9" w14:textId="77777777">
      <w:pPr>
        <w:rPr>
          <w:rFonts w:eastAsia="Times New Roman" w:cs="Arial"/>
          <w:szCs w:val="26"/>
        </w:rPr>
      </w:pPr>
      <w:r w:rsidRPr="0046317C">
        <w:rPr>
          <w:rFonts w:eastAsia="Times New Roman" w:cs="Arial"/>
          <w:szCs w:val="26"/>
        </w:rPr>
        <w:t>This proceeding remains open.</w:t>
      </w:r>
    </w:p>
    <w:p w:rsidRPr="0046317C" w:rsidR="00BB7CF6" w:rsidP="00BB7CF6" w:rsidRDefault="00BB7CF6" w14:paraId="4F954C96" w14:textId="77777777">
      <w:pPr>
        <w:pStyle w:val="Heading1"/>
        <w:rPr>
          <w:rFonts w:eastAsia="Times New Roman"/>
        </w:rPr>
      </w:pPr>
      <w:bookmarkStart w:name="_Toc529536760" w:id="6"/>
      <w:bookmarkStart w:name="_Toc42250849" w:id="7"/>
      <w:bookmarkStart w:name="_Toc94080376" w:id="8"/>
      <w:bookmarkStart w:name="_Toc95232095" w:id="9"/>
      <w:r w:rsidRPr="0046317C">
        <w:rPr>
          <w:rFonts w:eastAsia="Times New Roman"/>
        </w:rPr>
        <w:t>Background</w:t>
      </w:r>
      <w:bookmarkEnd w:id="6"/>
      <w:bookmarkEnd w:id="7"/>
      <w:bookmarkEnd w:id="8"/>
      <w:bookmarkEnd w:id="9"/>
    </w:p>
    <w:p w:rsidRPr="0046317C" w:rsidR="00BB7CF6" w:rsidP="00BB7CF6" w:rsidRDefault="00BB7CF6" w14:paraId="2DA7E4CB" w14:textId="77777777">
      <w:pPr>
        <w:pStyle w:val="Heading2"/>
      </w:pPr>
      <w:bookmarkStart w:name="_Toc94080377" w:id="10"/>
      <w:bookmarkStart w:name="_Toc95232096" w:id="11"/>
      <w:r w:rsidRPr="0046317C">
        <w:t>Procedural Background</w:t>
      </w:r>
      <w:bookmarkEnd w:id="10"/>
      <w:bookmarkEnd w:id="11"/>
    </w:p>
    <w:p w:rsidRPr="0046317C" w:rsidR="00BB7CF6" w:rsidP="00BB7CF6" w:rsidRDefault="00BB7CF6" w14:paraId="1D011278" w14:textId="77777777">
      <w:pPr>
        <w:rPr>
          <w:rFonts w:eastAsia="Times New Roman" w:cs="Times New Roman"/>
          <w:szCs w:val="20"/>
        </w:rPr>
      </w:pPr>
      <w:r w:rsidRPr="0046317C">
        <w:rPr>
          <w:rFonts w:eastAsia="Times New Roman" w:cs="Times New Roman"/>
          <w:szCs w:val="20"/>
        </w:rPr>
        <w:t>On October 7, 2021, the Commission issued the Order Instituting Rulemaking (OIR) to oversee the Resource Adequacy (RA) program, consider program reforms and refinements, and establish forward RA procurement obligations applicable to Commission-jurisdictional load-serving entities (LSEs).  This proceeding is the successor to Rulemaking (R.) 19-11-009, which addressed these topics over the preceding two years.  Additional information on the procedural history of this proceeding is provided in the OIR.</w:t>
      </w:r>
    </w:p>
    <w:p w:rsidRPr="0046317C" w:rsidR="00BB7CF6" w:rsidP="00BB7CF6" w:rsidRDefault="00BB7CF6" w14:paraId="4D2E4D73" w14:textId="77777777">
      <w:pPr>
        <w:rPr>
          <w:rFonts w:eastAsia="Times New Roman" w:cs="Times New Roman"/>
          <w:szCs w:val="20"/>
        </w:rPr>
      </w:pPr>
      <w:r w:rsidRPr="0046317C">
        <w:rPr>
          <w:rFonts w:eastAsia="Times New Roman" w:cs="Times New Roman"/>
          <w:szCs w:val="20"/>
        </w:rPr>
        <w:t xml:space="preserve">A Scoping Memo and Ruling (Scoping Memo) for this proceeding was issued on December 2, 2021.  The Scoping Memo identified the issues to be addressed in this proceeding, and set forth a schedule and process for addressing those issues.  In addition, the Scoping Memo established two tracks for this proceeding: </w:t>
      </w:r>
      <w:r>
        <w:rPr>
          <w:rFonts w:eastAsia="Times New Roman" w:cs="Times New Roman"/>
          <w:szCs w:val="20"/>
        </w:rPr>
        <w:t xml:space="preserve"> </w:t>
      </w:r>
      <w:r w:rsidRPr="0046317C">
        <w:rPr>
          <w:rFonts w:eastAsia="Times New Roman" w:cs="Times New Roman"/>
          <w:szCs w:val="20"/>
        </w:rPr>
        <w:t>the Implementation Track and the Reform Track.  Under the Implementation Track, the Scoping Memo divided the track into Phases 1, 2, and</w:t>
      </w:r>
      <w:r>
        <w:rPr>
          <w:rFonts w:eastAsia="Times New Roman" w:cs="Times New Roman"/>
          <w:szCs w:val="20"/>
        </w:rPr>
        <w:t> </w:t>
      </w:r>
      <w:r w:rsidRPr="0046317C">
        <w:rPr>
          <w:rFonts w:eastAsia="Times New Roman" w:cs="Times New Roman"/>
          <w:szCs w:val="20"/>
        </w:rPr>
        <w:t>3.  Phase 1 of the Implementation Track was scoped to consider critical modifications to the central procurement entity (CPE) structure and outlined a series of issues that may be addressed in Phase 1.</w:t>
      </w:r>
    </w:p>
    <w:p w:rsidRPr="0046317C" w:rsidR="00BB7CF6" w:rsidP="00BB7CF6" w:rsidRDefault="00BB7CF6" w14:paraId="045E160A" w14:textId="77777777">
      <w:pPr>
        <w:rPr>
          <w:rFonts w:eastAsia="Times New Roman" w:cs="Times New Roman"/>
          <w:szCs w:val="26"/>
        </w:rPr>
      </w:pPr>
      <w:r w:rsidRPr="0046317C">
        <w:rPr>
          <w:rFonts w:eastAsia="Times New Roman" w:cs="Times New Roman"/>
          <w:szCs w:val="26"/>
        </w:rPr>
        <w:lastRenderedPageBreak/>
        <w:t xml:space="preserve">Initial Phase 1 proposals were submitted on December 13, 2021 by: </w:t>
      </w:r>
      <w:r>
        <w:rPr>
          <w:rFonts w:eastAsia="Times New Roman" w:cs="Times New Roman"/>
          <w:szCs w:val="26"/>
        </w:rPr>
        <w:t xml:space="preserve"> </w:t>
      </w:r>
      <w:r w:rsidRPr="0046317C">
        <w:rPr>
          <w:rFonts w:eastAsia="Times New Roman" w:cs="Times New Roman"/>
          <w:szCs w:val="26"/>
        </w:rPr>
        <w:t>Alliance for Retail Energy Markets (AReM), California Community Choice Association (CalCCA), Calpine Corporation (Calpine), Pacific Gas and Electric Company (PG&amp;E), and Southern California Edison</w:t>
      </w:r>
      <w:r>
        <w:rPr>
          <w:rFonts w:eastAsia="Times New Roman" w:cs="Times New Roman"/>
          <w:szCs w:val="26"/>
        </w:rPr>
        <w:t xml:space="preserve"> Company</w:t>
      </w:r>
      <w:r w:rsidRPr="0046317C">
        <w:rPr>
          <w:rFonts w:eastAsia="Times New Roman" w:cs="Times New Roman"/>
          <w:szCs w:val="26"/>
        </w:rPr>
        <w:t xml:space="preserve"> (SCE).  Energy Division’s Phase 1 proposal was filed and served by an Administrative Law Judge (ALJ) ruling on December 13, 2021.</w:t>
      </w:r>
    </w:p>
    <w:p w:rsidRPr="0046317C" w:rsidR="00BB7CF6" w:rsidP="00BB7CF6" w:rsidRDefault="00BB7CF6" w14:paraId="28802845" w14:textId="77777777">
      <w:pPr>
        <w:rPr>
          <w:rFonts w:eastAsia="Times New Roman" w:cs="Times New Roman"/>
          <w:szCs w:val="26"/>
        </w:rPr>
      </w:pPr>
      <w:r w:rsidRPr="0046317C">
        <w:rPr>
          <w:rFonts w:eastAsia="Times New Roman" w:cs="Times New Roman"/>
          <w:szCs w:val="26"/>
        </w:rPr>
        <w:t xml:space="preserve">A workshop on Phase 1 proposals was held on December 14, 2021.  New or revised Phase 1 proposals were submitted on December 23, 2021 by: </w:t>
      </w:r>
      <w:r>
        <w:rPr>
          <w:rFonts w:eastAsia="Times New Roman" w:cs="Times New Roman"/>
          <w:szCs w:val="26"/>
        </w:rPr>
        <w:t xml:space="preserve"> </w:t>
      </w:r>
      <w:bookmarkStart w:name="_Hlk94189385" w:id="12"/>
      <w:r w:rsidRPr="0046317C">
        <w:rPr>
          <w:rFonts w:eastAsia="Times New Roman" w:cs="Times New Roman"/>
          <w:szCs w:val="26"/>
        </w:rPr>
        <w:t>California Independent System Operator</w:t>
      </w:r>
      <w:bookmarkEnd w:id="12"/>
      <w:r w:rsidRPr="0046317C">
        <w:rPr>
          <w:rFonts w:eastAsia="Times New Roman" w:cs="Times New Roman"/>
          <w:szCs w:val="26"/>
        </w:rPr>
        <w:t xml:space="preserve"> (CAISO), Middle River Power (MRP), PG&amp;E, and Western Power Trading Forum (WPTF).</w:t>
      </w:r>
    </w:p>
    <w:p w:rsidRPr="0046317C" w:rsidR="00BB7CF6" w:rsidP="00BB7CF6" w:rsidRDefault="00BB7CF6" w14:paraId="5795A01A" w14:textId="77777777">
      <w:pPr>
        <w:rPr>
          <w:rFonts w:eastAsia="Times New Roman" w:cs="Times New Roman"/>
          <w:szCs w:val="26"/>
        </w:rPr>
      </w:pPr>
      <w:r w:rsidRPr="0046317C">
        <w:rPr>
          <w:rFonts w:eastAsia="Times New Roman" w:cs="Times New Roman"/>
          <w:szCs w:val="26"/>
        </w:rPr>
        <w:t xml:space="preserve">Comments on proposals and the workshop were filed on January 4, 2022 by: </w:t>
      </w:r>
      <w:r>
        <w:rPr>
          <w:rFonts w:eastAsia="Times New Roman" w:cs="Times New Roman"/>
          <w:szCs w:val="26"/>
        </w:rPr>
        <w:t xml:space="preserve"> </w:t>
      </w:r>
      <w:r w:rsidRPr="0046317C">
        <w:rPr>
          <w:rFonts w:eastAsia="Times New Roman" w:cs="Times New Roman"/>
          <w:szCs w:val="26"/>
        </w:rPr>
        <w:t>AReM, CAISO, CalCCA, Calpine, California Environmental Justice Alliance (CEJA) and Union of Concerned Scientists (UCS), jointly, MRP, PG&amp;E, Public Advocates Office (Cal Advocates), SCE, and Shell Energy North America (US), L.P. (Shell).  PG&amp;E filed a Motion for Leave to File Confidential Materials in Opening Comments Under Seal.  The motion was granted on January 6, 2022.</w:t>
      </w:r>
    </w:p>
    <w:p w:rsidRPr="0046317C" w:rsidR="00BB7CF6" w:rsidP="00BB7CF6" w:rsidRDefault="00BB7CF6" w14:paraId="222BF8C3" w14:textId="77777777">
      <w:pPr>
        <w:rPr>
          <w:rFonts w:eastAsia="Times New Roman" w:cs="Times New Roman"/>
          <w:szCs w:val="26"/>
        </w:rPr>
      </w:pPr>
      <w:r w:rsidRPr="0046317C">
        <w:rPr>
          <w:rFonts w:eastAsia="Times New Roman" w:cs="Times New Roman"/>
          <w:szCs w:val="26"/>
        </w:rPr>
        <w:t xml:space="preserve">Reply comments were filed on January 13, 2022 by: </w:t>
      </w:r>
      <w:r>
        <w:rPr>
          <w:rFonts w:eastAsia="Times New Roman" w:cs="Times New Roman"/>
          <w:szCs w:val="26"/>
        </w:rPr>
        <w:t xml:space="preserve"> </w:t>
      </w:r>
      <w:r w:rsidRPr="0046317C">
        <w:rPr>
          <w:rFonts w:eastAsia="Times New Roman" w:cs="Times New Roman"/>
          <w:szCs w:val="26"/>
        </w:rPr>
        <w:t>AReM, CAISO, CalCCA, Cal Advocates, Green Power Institute, Independent Energy Producers Association, MRP, PG&amp;E, SCE, and WPTF.</w:t>
      </w:r>
    </w:p>
    <w:p w:rsidRPr="0046317C" w:rsidR="00BB7CF6" w:rsidP="00BB7CF6" w:rsidRDefault="00BB7CF6" w14:paraId="0BF31939" w14:textId="77777777">
      <w:pPr>
        <w:pStyle w:val="Heading2"/>
      </w:pPr>
      <w:bookmarkStart w:name="_Toc94080378" w:id="13"/>
      <w:bookmarkStart w:name="_Toc95232097" w:id="14"/>
      <w:r w:rsidRPr="0046317C">
        <w:t>Background on CPE Framework</w:t>
      </w:r>
      <w:bookmarkEnd w:id="13"/>
      <w:bookmarkEnd w:id="14"/>
    </w:p>
    <w:p w:rsidRPr="0046317C" w:rsidR="00BB7CF6" w:rsidP="00BB7CF6" w:rsidRDefault="00BB7CF6" w14:paraId="081B6505" w14:textId="77777777">
      <w:pPr>
        <w:rPr>
          <w:rFonts w:eastAsia="Times New Roman" w:cs="Times New Roman"/>
          <w:szCs w:val="20"/>
        </w:rPr>
      </w:pPr>
      <w:r w:rsidRPr="0046317C">
        <w:rPr>
          <w:rFonts w:eastAsia="Times New Roman" w:cs="Times New Roman"/>
          <w:szCs w:val="20"/>
        </w:rPr>
        <w:t>In Decision (D.) 20-06-002, the Commission adopted the CPE structure for procurement of local RA resources in PG&amp;E’s and SCE’s transmission access charge (TAC) areas.  PG&amp;E and SCE were identified as the CPEs for their respective distribution areas beginning in the 2023 RA compliance year.</w:t>
      </w:r>
      <w:r w:rsidRPr="0046317C">
        <w:rPr>
          <w:rFonts w:eastAsia="Times New Roman" w:cs="Times New Roman"/>
          <w:szCs w:val="20"/>
          <w:vertAlign w:val="superscript"/>
        </w:rPr>
        <w:footnoteReference w:id="2"/>
      </w:r>
      <w:r w:rsidRPr="0046317C">
        <w:rPr>
          <w:rFonts w:eastAsia="Times New Roman" w:cs="Times New Roman"/>
          <w:szCs w:val="20"/>
        </w:rPr>
        <w:t xml:space="preserve">  The </w:t>
      </w:r>
      <w:r w:rsidRPr="0046317C">
        <w:rPr>
          <w:rFonts w:eastAsia="Times New Roman" w:cs="Times New Roman"/>
          <w:szCs w:val="20"/>
        </w:rPr>
        <w:lastRenderedPageBreak/>
        <w:t xml:space="preserve">CPE framework was not adopted for the San Diego Gas &amp; Electric Company (SDG&amp;E) TAC area.  </w:t>
      </w:r>
    </w:p>
    <w:p w:rsidRPr="0046317C" w:rsidR="00BB7CF6" w:rsidP="00BB7CF6" w:rsidRDefault="00BB7CF6" w14:paraId="1DFF24F8" w14:textId="77777777">
      <w:pPr>
        <w:autoSpaceDE w:val="0"/>
        <w:autoSpaceDN w:val="0"/>
        <w:adjustRightInd w:val="0"/>
        <w:rPr>
          <w:rFonts w:cs="TimesNewRomanPSMT"/>
          <w:szCs w:val="26"/>
        </w:rPr>
      </w:pPr>
      <w:r w:rsidRPr="0046317C">
        <w:rPr>
          <w:rFonts w:cs="TimesNewRomanPSMT"/>
          <w:szCs w:val="26"/>
        </w:rPr>
        <w:t xml:space="preserve">In D.20-06-002, the Commission adopted a hybrid procurement structure </w:t>
      </w:r>
      <w:r w:rsidRPr="0046317C">
        <w:rPr>
          <w:rFonts w:cs="Times New Roman"/>
          <w:szCs w:val="20"/>
        </w:rPr>
        <w:t>in which the CPE would “secure a portfolio of the most effective local resources, use its purchasing power in constrained local areas, mitigate the need for costly backstop procurement in certain local areas, and ensure a least cost solution for customers and equitable cost allocation.”</w:t>
      </w:r>
      <w:r w:rsidRPr="0046317C">
        <w:rPr>
          <w:rFonts w:cs="Times New Roman"/>
          <w:szCs w:val="20"/>
          <w:vertAlign w:val="superscript"/>
        </w:rPr>
        <w:footnoteReference w:id="3"/>
      </w:r>
      <w:r w:rsidRPr="0046317C">
        <w:rPr>
          <w:rFonts w:cs="Times New Roman"/>
          <w:szCs w:val="20"/>
        </w:rPr>
        <w:t xml:space="preserve">  The hybrid framework allowed </w:t>
      </w:r>
      <w:r w:rsidRPr="0046317C">
        <w:rPr>
          <w:rFonts w:cs="TimesNewRomanPSMT"/>
          <w:szCs w:val="26"/>
        </w:rPr>
        <w:t xml:space="preserve">LSEs to voluntarily procure local resources to meet their system and/or flexible RA needs and count them towards the collective local RA requirements.  </w:t>
      </w:r>
      <w:r w:rsidRPr="0046317C">
        <w:rPr>
          <w:rFonts w:cs="Times New Roman"/>
          <w:szCs w:val="20"/>
        </w:rPr>
        <w:t>An</w:t>
      </w:r>
      <w:r w:rsidRPr="0046317C">
        <w:rPr>
          <w:rFonts w:cs="TimesNewRomanPSMT"/>
          <w:szCs w:val="26"/>
        </w:rPr>
        <w:t xml:space="preserve"> LSE that procures a resource that meets a local RA need may:</w:t>
      </w:r>
      <w:r>
        <w:rPr>
          <w:rFonts w:cs="TimesNewRomanPSMT"/>
          <w:szCs w:val="26"/>
        </w:rPr>
        <w:t xml:space="preserve"> </w:t>
      </w:r>
      <w:r w:rsidRPr="0046317C">
        <w:rPr>
          <w:rFonts w:cs="TimesNewRomanPSMT"/>
          <w:szCs w:val="26"/>
        </w:rPr>
        <w:t xml:space="preserve"> (1) self-show the resource to the CPE to reduce the CPE’s overall local procurement obligation and retain the resource to meet the LSE’s system or flexible RA needs, (2) bid the resource into the CPE’s solicitation, or (3) elect not to show or bid the resource to the CPE and only use the resource to meet its own system and flexible RA needs.</w:t>
      </w:r>
      <w:r w:rsidRPr="0046317C">
        <w:rPr>
          <w:rFonts w:cs="TimesNewRomanPSMT"/>
          <w:szCs w:val="26"/>
          <w:vertAlign w:val="superscript"/>
        </w:rPr>
        <w:footnoteReference w:id="4"/>
      </w:r>
      <w:r w:rsidRPr="0046317C">
        <w:rPr>
          <w:rFonts w:cs="TimesNewRomanPSMT"/>
          <w:szCs w:val="26"/>
        </w:rPr>
        <w:t xml:space="preserve">  The Commission also provided that the CPE shall have discretion to defer procurement of a local resource to the CAISO’s backstop mechanisms, rather than through the solicitation process, if bid costs are deemed unreasonably high.</w:t>
      </w:r>
      <w:r w:rsidRPr="0046317C">
        <w:rPr>
          <w:rFonts w:cs="ArialMT"/>
          <w:szCs w:val="26"/>
          <w:vertAlign w:val="superscript"/>
        </w:rPr>
        <w:footnoteReference w:id="5"/>
      </w:r>
    </w:p>
    <w:p w:rsidRPr="0046317C" w:rsidR="00BB7CF6" w:rsidP="00BB7CF6" w:rsidRDefault="00BB7CF6" w14:paraId="603A01C1" w14:textId="048EE3AE">
      <w:pPr>
        <w:rPr>
          <w:rFonts w:eastAsia="Times New Roman" w:cs="Times New Roman"/>
          <w:szCs w:val="20"/>
        </w:rPr>
      </w:pPr>
      <w:r w:rsidRPr="0046317C">
        <w:rPr>
          <w:rFonts w:eastAsia="Times New Roman" w:cs="Times New Roman"/>
          <w:szCs w:val="20"/>
        </w:rPr>
        <w:t xml:space="preserve">D.20-06-002 </w:t>
      </w:r>
      <w:r>
        <w:rPr>
          <w:rFonts w:eastAsia="Times New Roman" w:cs="Times New Roman"/>
          <w:szCs w:val="20"/>
        </w:rPr>
        <w:t xml:space="preserve">directed </w:t>
      </w:r>
      <w:r w:rsidRPr="0046317C">
        <w:rPr>
          <w:rFonts w:eastAsia="Times New Roman" w:cs="Times New Roman"/>
          <w:szCs w:val="20"/>
        </w:rPr>
        <w:t>the CPEs to begin procurement in 2021 for 100 percent of the 2023 local requirements and 50 percent of the 2024 local requirements.</w:t>
      </w:r>
      <w:r w:rsidRPr="0046317C">
        <w:rPr>
          <w:rFonts w:eastAsia="Times New Roman" w:cs="Times New Roman"/>
          <w:szCs w:val="20"/>
          <w:vertAlign w:val="superscript"/>
        </w:rPr>
        <w:footnoteReference w:id="6"/>
      </w:r>
      <w:r w:rsidRPr="0046317C">
        <w:rPr>
          <w:rFonts w:eastAsia="Times New Roman" w:cs="Times New Roman"/>
          <w:szCs w:val="20"/>
        </w:rPr>
        <w:t xml:space="preserve">  In 2022, the CPE </w:t>
      </w:r>
      <w:r>
        <w:rPr>
          <w:rFonts w:eastAsia="Times New Roman" w:cs="Times New Roman"/>
          <w:szCs w:val="20"/>
        </w:rPr>
        <w:t xml:space="preserve">is </w:t>
      </w:r>
      <w:r w:rsidRPr="0046317C">
        <w:rPr>
          <w:rFonts w:eastAsia="Times New Roman" w:cs="Times New Roman"/>
          <w:szCs w:val="20"/>
        </w:rPr>
        <w:t>responsible for procuring 100 percent of the three-year forward local requirements for 2023 – 202</w:t>
      </w:r>
      <w:r w:rsidR="002F3B9E">
        <w:rPr>
          <w:rFonts w:eastAsia="Times New Roman" w:cs="Times New Roman"/>
          <w:szCs w:val="20"/>
        </w:rPr>
        <w:t>4 and 50 percent of the three-year forward local requirement for 2025</w:t>
      </w:r>
      <w:r w:rsidRPr="0046317C">
        <w:rPr>
          <w:rFonts w:eastAsia="Times New Roman" w:cs="Times New Roman"/>
          <w:szCs w:val="20"/>
        </w:rPr>
        <w:t xml:space="preserve">. </w:t>
      </w:r>
    </w:p>
    <w:p w:rsidRPr="0046317C" w:rsidR="00BB7CF6" w:rsidP="00BB7CF6" w:rsidRDefault="00BB7CF6" w14:paraId="2C6223C7" w14:textId="77777777">
      <w:pPr>
        <w:rPr>
          <w:rFonts w:eastAsia="Times New Roman" w:cs="Times New Roman"/>
          <w:szCs w:val="20"/>
        </w:rPr>
      </w:pPr>
      <w:r w:rsidRPr="0046317C">
        <w:rPr>
          <w:rFonts w:eastAsia="Times New Roman" w:cs="Times New Roman"/>
          <w:szCs w:val="20"/>
        </w:rPr>
        <w:lastRenderedPageBreak/>
        <w:t xml:space="preserve">On November 1, 2021, PG&amp;E and SCE, acting as the CPEs, submitted their first Annual Compliance Reports via Advice Letter 6386-E and Advice Letter 4626-E, respectively. </w:t>
      </w:r>
      <w:r>
        <w:rPr>
          <w:rFonts w:eastAsia="Times New Roman" w:cs="Times New Roman"/>
          <w:szCs w:val="20"/>
        </w:rPr>
        <w:t xml:space="preserve"> </w:t>
      </w:r>
      <w:r w:rsidRPr="0046317C">
        <w:rPr>
          <w:rFonts w:eastAsia="Times New Roman" w:cs="Times New Roman"/>
          <w:szCs w:val="20"/>
        </w:rPr>
        <w:t>The Annual Compliance Reports summarized the CPEs</w:t>
      </w:r>
      <w:r>
        <w:rPr>
          <w:rFonts w:eastAsia="Times New Roman" w:cs="Times New Roman"/>
          <w:szCs w:val="20"/>
        </w:rPr>
        <w:t>’</w:t>
      </w:r>
      <w:r w:rsidRPr="0046317C">
        <w:rPr>
          <w:rFonts w:eastAsia="Times New Roman" w:cs="Times New Roman"/>
          <w:szCs w:val="20"/>
        </w:rPr>
        <w:t xml:space="preserve"> local RA purchase contracts and self-shown agreements.  On November 19, 2021, PG&amp;E’s CPE filed a Supplemental Annual Compliance Report that provided aggregate procurement for the 2023 and 2024 RA compliance years.  PG&amp;E’s Annual Compliance Report revealed that for the 2023 RA compliance year, the CPE’s monthly procurement in PG&amp;E’s TAC area was below the 100% local requirement by as low as 4,264 MW (or 37.6% of the local requirement) and up to 6,049 MW (or 53.4% of the local requirement).  SCE’s Annual Compliance Report reflected </w:t>
      </w:r>
      <w:r>
        <w:rPr>
          <w:rFonts w:eastAsia="Times New Roman" w:cs="Times New Roman"/>
          <w:szCs w:val="20"/>
        </w:rPr>
        <w:t xml:space="preserve">only </w:t>
      </w:r>
      <w:r w:rsidRPr="0046317C">
        <w:rPr>
          <w:rFonts w:eastAsia="Times New Roman" w:cs="Times New Roman"/>
          <w:szCs w:val="20"/>
        </w:rPr>
        <w:t>a small</w:t>
      </w:r>
      <w:r>
        <w:rPr>
          <w:rFonts w:eastAsia="Times New Roman" w:cs="Times New Roman"/>
          <w:szCs w:val="20"/>
        </w:rPr>
        <w:t xml:space="preserve"> </w:t>
      </w:r>
      <w:r w:rsidRPr="0046317C">
        <w:rPr>
          <w:rFonts w:eastAsia="Times New Roman" w:cs="Times New Roman"/>
          <w:szCs w:val="20"/>
        </w:rPr>
        <w:t xml:space="preserve">short position for a few months of the 2023 compliance year.  </w:t>
      </w:r>
    </w:p>
    <w:p w:rsidRPr="0046317C" w:rsidR="00BB7CF6" w:rsidP="00BB7CF6" w:rsidRDefault="00BB7CF6" w14:paraId="4C035AE4" w14:textId="77777777">
      <w:pPr>
        <w:pStyle w:val="Heading1"/>
        <w:rPr>
          <w:rFonts w:eastAsia="Times New Roman"/>
        </w:rPr>
      </w:pPr>
      <w:bookmarkStart w:name="_Toc94080379" w:id="15"/>
      <w:bookmarkStart w:name="_Toc95232098" w:id="16"/>
      <w:r w:rsidRPr="0046317C">
        <w:rPr>
          <w:rFonts w:eastAsia="Times New Roman"/>
        </w:rPr>
        <w:t>Issues Before the Commission</w:t>
      </w:r>
      <w:bookmarkEnd w:id="15"/>
      <w:bookmarkEnd w:id="16"/>
    </w:p>
    <w:p w:rsidRPr="0046317C" w:rsidR="00BB7CF6" w:rsidP="00BB7CF6" w:rsidRDefault="00BB7CF6" w14:paraId="37C2AF40" w14:textId="77777777">
      <w:pPr>
        <w:rPr>
          <w:rFonts w:eastAsia="Times New Roman" w:cs="Times New Roman"/>
          <w:szCs w:val="26"/>
        </w:rPr>
      </w:pPr>
      <w:r w:rsidRPr="0046317C">
        <w:rPr>
          <w:rFonts w:eastAsia="Times New Roman" w:cs="Times New Roman"/>
          <w:szCs w:val="26"/>
        </w:rPr>
        <w:t>The Scoping Memo identified the following issues as within the scope of Phase 1 of the Implementation Track:</w:t>
      </w:r>
    </w:p>
    <w:p w:rsidRPr="0046317C" w:rsidR="00BB7CF6" w:rsidP="00BB7CF6" w:rsidRDefault="00BB7CF6" w14:paraId="42C9FC99" w14:textId="77777777">
      <w:pPr>
        <w:numPr>
          <w:ilvl w:val="0"/>
          <w:numId w:val="19"/>
        </w:numPr>
        <w:autoSpaceDE w:val="0"/>
        <w:autoSpaceDN w:val="0"/>
        <w:adjustRightInd w:val="0"/>
        <w:spacing w:after="240" w:line="240" w:lineRule="auto"/>
        <w:ind w:left="1080" w:right="1440"/>
        <w:rPr>
          <w:rFonts w:cs="BookAntiqua"/>
          <w:szCs w:val="26"/>
        </w:rPr>
      </w:pPr>
      <w:r w:rsidRPr="0046317C">
        <w:rPr>
          <w:rFonts w:cs="BookAntiqua"/>
          <w:szCs w:val="26"/>
        </w:rPr>
        <w:t>Implementation details of the “shown” resource component of the hybrid framework;</w:t>
      </w:r>
    </w:p>
    <w:p w:rsidRPr="0046317C" w:rsidR="00BB7CF6" w:rsidP="00BB7CF6" w:rsidRDefault="00BB7CF6" w14:paraId="59EC44F5" w14:textId="77777777">
      <w:pPr>
        <w:numPr>
          <w:ilvl w:val="0"/>
          <w:numId w:val="19"/>
        </w:numPr>
        <w:autoSpaceDE w:val="0"/>
        <w:autoSpaceDN w:val="0"/>
        <w:adjustRightInd w:val="0"/>
        <w:spacing w:after="240" w:line="240" w:lineRule="auto"/>
        <w:ind w:left="1080" w:right="1440"/>
        <w:rPr>
          <w:rFonts w:cs="BookAntiqua"/>
          <w:szCs w:val="26"/>
        </w:rPr>
      </w:pPr>
      <w:r w:rsidRPr="0046317C">
        <w:rPr>
          <w:rFonts w:cs="BookAntiqua"/>
          <w:szCs w:val="26"/>
        </w:rPr>
        <w:t>Whether the CPE should be permitted to procure local resources outside of the annual all-source solicitation process set forth in D.20-06-002;</w:t>
      </w:r>
    </w:p>
    <w:p w:rsidRPr="0046317C" w:rsidR="00BB7CF6" w:rsidP="00BB7CF6" w:rsidRDefault="00BB7CF6" w14:paraId="581E60DD" w14:textId="77777777">
      <w:pPr>
        <w:numPr>
          <w:ilvl w:val="0"/>
          <w:numId w:val="19"/>
        </w:numPr>
        <w:autoSpaceDE w:val="0"/>
        <w:autoSpaceDN w:val="0"/>
        <w:adjustRightInd w:val="0"/>
        <w:spacing w:after="240" w:line="240" w:lineRule="auto"/>
        <w:ind w:left="1080" w:right="1440"/>
        <w:rPr>
          <w:rFonts w:cs="BookAntiqua"/>
          <w:szCs w:val="26"/>
        </w:rPr>
      </w:pPr>
      <w:r w:rsidRPr="0046317C">
        <w:rPr>
          <w:rFonts w:cs="BookAntiqua"/>
          <w:szCs w:val="26"/>
        </w:rPr>
        <w:t>Changes to the CPE timeline; and</w:t>
      </w:r>
    </w:p>
    <w:p w:rsidRPr="0046317C" w:rsidR="00BB7CF6" w:rsidP="00BB7CF6" w:rsidRDefault="00BB7CF6" w14:paraId="2076F3C6" w14:textId="77777777">
      <w:pPr>
        <w:numPr>
          <w:ilvl w:val="0"/>
          <w:numId w:val="19"/>
        </w:numPr>
        <w:autoSpaceDE w:val="0"/>
        <w:autoSpaceDN w:val="0"/>
        <w:adjustRightInd w:val="0"/>
        <w:spacing w:after="240" w:line="240" w:lineRule="auto"/>
        <w:ind w:left="1080" w:right="1440"/>
        <w:rPr>
          <w:rFonts w:cs="BookAntiqua"/>
          <w:szCs w:val="26"/>
        </w:rPr>
      </w:pPr>
      <w:r w:rsidRPr="0046317C">
        <w:rPr>
          <w:rFonts w:cs="BookAntiqua"/>
          <w:szCs w:val="26"/>
        </w:rPr>
        <w:t>Whether modifications are needed to the requirements that SCE and PG&amp;E (acting on behalf of their bundled load) bid their utility-owned generation and contracted resources into the CPE solicitation at their levelized fixed costs.</w:t>
      </w:r>
    </w:p>
    <w:p w:rsidRPr="0046317C" w:rsidR="00BB7CF6" w:rsidP="00BB7CF6" w:rsidRDefault="00BB7CF6" w14:paraId="0E72C594" w14:textId="77777777">
      <w:pPr>
        <w:autoSpaceDE w:val="0"/>
        <w:autoSpaceDN w:val="0"/>
        <w:adjustRightInd w:val="0"/>
        <w:rPr>
          <w:rFonts w:cs="Times New Roman"/>
          <w:szCs w:val="26"/>
        </w:rPr>
      </w:pPr>
      <w:r w:rsidRPr="0046317C">
        <w:rPr>
          <w:rFonts w:cs="Times New Roman"/>
          <w:szCs w:val="26"/>
        </w:rPr>
        <w:t xml:space="preserve">All proposals and comments submitted by parties were considered but given the number of parties and issues, some proposals and comments may </w:t>
      </w:r>
      <w:r w:rsidRPr="0046317C">
        <w:rPr>
          <w:rFonts w:cs="Times New Roman"/>
          <w:szCs w:val="26"/>
        </w:rPr>
        <w:lastRenderedPageBreak/>
        <w:t>receive little or no discussion in this decision.  Phase 1 was scoped to “consider critical modifications” to the CPE structure and therefore, the Commission has limited this decision to issues deemed critical modifications to the CPE framework.  Issues within the scope of the proceeding that are not addressed here, or only partially addressed, may be addressed in a later phase of this proceeding.</w:t>
      </w:r>
    </w:p>
    <w:p w:rsidRPr="0046317C" w:rsidR="00BB7CF6" w:rsidP="00BB7CF6" w:rsidRDefault="00BB7CF6" w14:paraId="64127FA7" w14:textId="77777777">
      <w:pPr>
        <w:pStyle w:val="Heading1"/>
        <w:rPr>
          <w:rFonts w:eastAsia="Times New Roman"/>
        </w:rPr>
      </w:pPr>
      <w:bookmarkStart w:name="_Toc94080380" w:id="17"/>
      <w:bookmarkStart w:name="_Toc95232099" w:id="18"/>
      <w:r w:rsidRPr="0046317C">
        <w:rPr>
          <w:rFonts w:eastAsia="Times New Roman"/>
        </w:rPr>
        <w:t>Discussion</w:t>
      </w:r>
      <w:bookmarkEnd w:id="17"/>
      <w:bookmarkEnd w:id="18"/>
    </w:p>
    <w:p w:rsidRPr="0046317C" w:rsidR="00BB7CF6" w:rsidP="00BB7CF6" w:rsidRDefault="00BB7CF6" w14:paraId="34B80F0C" w14:textId="77777777">
      <w:pPr>
        <w:pStyle w:val="Heading2"/>
      </w:pPr>
      <w:bookmarkStart w:name="_Toc94080381" w:id="19"/>
      <w:bookmarkStart w:name="_Toc95232100" w:id="20"/>
      <w:r w:rsidRPr="0046317C">
        <w:t>Requirements for Self-Shown Resources</w:t>
      </w:r>
      <w:bookmarkEnd w:id="19"/>
      <w:bookmarkEnd w:id="20"/>
      <w:r w:rsidRPr="0046317C">
        <w:t xml:space="preserve"> </w:t>
      </w:r>
    </w:p>
    <w:p w:rsidRPr="0046317C" w:rsidR="00BB7CF6" w:rsidP="00BB7CF6" w:rsidRDefault="00BB7CF6" w14:paraId="14260FFC" w14:textId="77777777">
      <w:pPr>
        <w:autoSpaceDE w:val="0"/>
        <w:autoSpaceDN w:val="0"/>
        <w:adjustRightInd w:val="0"/>
        <w:rPr>
          <w:rFonts w:cs="Times New Roman"/>
          <w:szCs w:val="20"/>
        </w:rPr>
      </w:pPr>
      <w:r w:rsidRPr="0046317C">
        <w:rPr>
          <w:rFonts w:cs="TimesNewRomanPSMT"/>
          <w:szCs w:val="26"/>
        </w:rPr>
        <w:t>Under the hybrid procurement framework adopted in D.20-06-002, if an LSE procures a resource that meets a local RA need, the LSE may elect to:  “(a)</w:t>
      </w:r>
      <w:r>
        <w:rPr>
          <w:rFonts w:cs="TimesNewRomanPSMT"/>
          <w:szCs w:val="26"/>
        </w:rPr>
        <w:t> </w:t>
      </w:r>
      <w:r w:rsidRPr="0046317C">
        <w:rPr>
          <w:rFonts w:cs="TimesNewRomanPSMT"/>
          <w:szCs w:val="26"/>
        </w:rPr>
        <w:t>show the resource to reduce the CPE’s overall local procurement obligation and retain the resource to meet its own system and flexible resource adequacy needs, (b) bid the resource into the CPE’s solicitation, or (c) elect not to show or bid the resource to the CPE and only use the resource to meet its own system and flexible resource adequacy needs.”</w:t>
      </w:r>
      <w:r w:rsidRPr="0046317C">
        <w:rPr>
          <w:rFonts w:cs="TimesNewRomanPSMT"/>
          <w:szCs w:val="26"/>
          <w:vertAlign w:val="superscript"/>
        </w:rPr>
        <w:footnoteReference w:id="7"/>
      </w:r>
      <w:r w:rsidRPr="0046317C">
        <w:rPr>
          <w:rFonts w:cs="TimesNewRomanPSMT"/>
          <w:szCs w:val="26"/>
        </w:rPr>
        <w:t xml:space="preserve">  In D.20-12-006, the Commission also adopted a financial credit mechanism - called the Local Capacity Requirement Reduction Compensation Mechanism (LCR RCM) – to incentivize LSE development of new preferred or energy storage resources in local areas to meet system or flexible RA requirements.</w:t>
      </w:r>
      <w:r w:rsidRPr="0046317C">
        <w:rPr>
          <w:rFonts w:cs="TimesNewRomanPSMT"/>
          <w:szCs w:val="26"/>
          <w:vertAlign w:val="superscript"/>
        </w:rPr>
        <w:footnoteReference w:id="8"/>
      </w:r>
      <w:r w:rsidRPr="0046317C">
        <w:rPr>
          <w:rFonts w:cs="TimesNewRomanPSMT"/>
          <w:szCs w:val="26"/>
        </w:rPr>
        <w:t xml:space="preserve">  The LCR RCM applies to new preferred or energy storage resources selected by the CPE. </w:t>
      </w:r>
    </w:p>
    <w:p w:rsidRPr="0046317C" w:rsidR="00BB7CF6" w:rsidP="00BB7CF6" w:rsidRDefault="00BB7CF6" w14:paraId="133FFB1C" w14:textId="77777777">
      <w:pPr>
        <w:rPr>
          <w:rFonts w:cs="Times New Roman"/>
          <w:szCs w:val="20"/>
        </w:rPr>
      </w:pPr>
      <w:r w:rsidRPr="0046317C">
        <w:rPr>
          <w:rFonts w:cs="Times New Roman"/>
          <w:szCs w:val="20"/>
        </w:rPr>
        <w:t>In Phase 1, some parties raise concerns about the lack of incentives for LSEs to self-show local resources to the CPE for no compensation.  In D.20</w:t>
      </w:r>
      <w:r>
        <w:rPr>
          <w:rFonts w:cs="Times New Roman"/>
          <w:szCs w:val="20"/>
        </w:rPr>
        <w:noBreakHyphen/>
      </w:r>
      <w:r w:rsidRPr="0046317C">
        <w:rPr>
          <w:rFonts w:cs="Times New Roman"/>
          <w:szCs w:val="20"/>
        </w:rPr>
        <w:t>12</w:t>
      </w:r>
      <w:r>
        <w:rPr>
          <w:rFonts w:cs="Times New Roman"/>
          <w:szCs w:val="20"/>
        </w:rPr>
        <w:noBreakHyphen/>
      </w:r>
      <w:r w:rsidRPr="0046317C">
        <w:rPr>
          <w:rFonts w:cs="Times New Roman"/>
          <w:szCs w:val="20"/>
        </w:rPr>
        <w:t xml:space="preserve">006, the Commission ordered that “[a] shown resource shall be documented on an agreement as determined by the CPE, which may include the </w:t>
      </w:r>
      <w:r w:rsidRPr="0046317C">
        <w:rPr>
          <w:rFonts w:cs="Times New Roman"/>
          <w:szCs w:val="20"/>
        </w:rPr>
        <w:lastRenderedPageBreak/>
        <w:t>Edison Electric Institute Master Agreement.”</w:t>
      </w:r>
      <w:r w:rsidRPr="0046317C">
        <w:rPr>
          <w:rFonts w:cs="Times New Roman"/>
          <w:szCs w:val="20"/>
          <w:vertAlign w:val="superscript"/>
        </w:rPr>
        <w:footnoteReference w:id="9"/>
      </w:r>
      <w:r w:rsidRPr="0046317C">
        <w:rPr>
          <w:rFonts w:cs="Times New Roman"/>
          <w:szCs w:val="20"/>
        </w:rPr>
        <w:t xml:space="preserve">  PG&amp;E and SCE argue that requiring LSEs to take on a contractual obligation with the CPE discourages self</w:t>
      </w:r>
      <w:r>
        <w:rPr>
          <w:rFonts w:cs="Times New Roman"/>
          <w:szCs w:val="20"/>
        </w:rPr>
        <w:noBreakHyphen/>
      </w:r>
      <w:r w:rsidRPr="0046317C">
        <w:rPr>
          <w:rFonts w:cs="Times New Roman"/>
          <w:szCs w:val="20"/>
        </w:rPr>
        <w:t>showing for no compensation due to the time-consuming and costly nature of contractual agreements.</w:t>
      </w:r>
      <w:r w:rsidRPr="0046317C">
        <w:rPr>
          <w:rFonts w:cs="Times New Roman"/>
          <w:szCs w:val="20"/>
          <w:vertAlign w:val="superscript"/>
        </w:rPr>
        <w:footnoteReference w:id="10"/>
      </w:r>
      <w:r w:rsidRPr="0046317C">
        <w:rPr>
          <w:rFonts w:cs="Times New Roman"/>
          <w:szCs w:val="20"/>
        </w:rPr>
        <w:t xml:space="preserve">  SCE and Calpine add that this is especially true if an LSE is outside the CPE’s service area and the LSE receives no benefit from self-showing via reduced CPE procurement costs.</w:t>
      </w:r>
      <w:r w:rsidRPr="0046317C">
        <w:rPr>
          <w:rFonts w:cs="Times New Roman"/>
          <w:szCs w:val="20"/>
          <w:vertAlign w:val="superscript"/>
        </w:rPr>
        <w:footnoteReference w:id="11"/>
      </w:r>
      <w:r w:rsidRPr="0046317C">
        <w:rPr>
          <w:rFonts w:cs="Times New Roman"/>
          <w:szCs w:val="20"/>
        </w:rPr>
        <w:t xml:space="preserve"> </w:t>
      </w:r>
    </w:p>
    <w:p w:rsidRPr="0046317C" w:rsidR="00BB7CF6" w:rsidP="00BB7CF6" w:rsidRDefault="00BB7CF6" w14:paraId="18911C5E" w14:textId="77777777">
      <w:pPr>
        <w:rPr>
          <w:rFonts w:cs="Times New Roman"/>
          <w:szCs w:val="20"/>
        </w:rPr>
      </w:pPr>
      <w:r w:rsidRPr="0077007B">
        <w:rPr>
          <w:rFonts w:cs="Times New Roman"/>
          <w:szCs w:val="20"/>
        </w:rPr>
        <w:t>PG&amp;E</w:t>
      </w:r>
      <w:r w:rsidRPr="0046317C">
        <w:rPr>
          <w:rFonts w:cs="Times New Roman"/>
          <w:szCs w:val="20"/>
        </w:rPr>
        <w:t xml:space="preserve"> expresses concern about the lack of consequences for an LSE with a self-shown local resource that fails to perform according to the established timeline.</w:t>
      </w:r>
      <w:r w:rsidRPr="0046317C">
        <w:rPr>
          <w:rFonts w:cs="Times New Roman"/>
          <w:szCs w:val="20"/>
          <w:vertAlign w:val="superscript"/>
        </w:rPr>
        <w:footnoteReference w:id="12"/>
      </w:r>
      <w:r w:rsidRPr="0046317C">
        <w:rPr>
          <w:rFonts w:cs="Times New Roman"/>
          <w:szCs w:val="20"/>
        </w:rPr>
        <w:t xml:space="preserve">  PG&amp;E asserts that the CPE has no control over whether a self-showing LSE </w:t>
      </w:r>
      <w:r>
        <w:rPr>
          <w:rFonts w:cs="Times New Roman"/>
          <w:szCs w:val="20"/>
        </w:rPr>
        <w:t xml:space="preserve">will </w:t>
      </w:r>
      <w:r w:rsidRPr="0046317C">
        <w:rPr>
          <w:rFonts w:cs="Times New Roman"/>
          <w:szCs w:val="20"/>
        </w:rPr>
        <w:t>submit the resource to the Commission and CAISO, or whether the resource will be available to CAISO</w:t>
      </w:r>
      <w:r>
        <w:rPr>
          <w:rFonts w:cs="Times New Roman"/>
          <w:szCs w:val="20"/>
        </w:rPr>
        <w:t xml:space="preserve"> when necessary</w:t>
      </w:r>
      <w:r w:rsidRPr="0046317C">
        <w:rPr>
          <w:rFonts w:cs="Times New Roman"/>
          <w:szCs w:val="20"/>
        </w:rPr>
        <w:t>.  Without assurances that the resource will perform, PG&amp;E states that the CPE cannot have an accurate picture of available resources, which impacts reliability and the success of the CPE construct.  SCE believes the potential liability associated with backstop procurement costs for a resource’s failure to perform further disincentivizes LSE self-showing.</w:t>
      </w:r>
      <w:r w:rsidRPr="0046317C">
        <w:rPr>
          <w:rFonts w:cs="Times New Roman"/>
          <w:szCs w:val="20"/>
          <w:vertAlign w:val="superscript"/>
        </w:rPr>
        <w:footnoteReference w:id="13"/>
      </w:r>
      <w:r w:rsidRPr="0046317C">
        <w:rPr>
          <w:rFonts w:cs="Times New Roman"/>
          <w:szCs w:val="20"/>
        </w:rPr>
        <w:t xml:space="preserve">  </w:t>
      </w:r>
    </w:p>
    <w:p w:rsidRPr="0046317C" w:rsidR="00BB7CF6" w:rsidP="00BB7CF6" w:rsidRDefault="00BB7CF6" w14:paraId="11FA08A9" w14:textId="77777777">
      <w:pPr>
        <w:rPr>
          <w:rFonts w:cs="Times New Roman"/>
          <w:szCs w:val="20"/>
        </w:rPr>
      </w:pPr>
      <w:r w:rsidRPr="0046317C">
        <w:rPr>
          <w:rFonts w:cs="Times New Roman"/>
          <w:szCs w:val="20"/>
        </w:rPr>
        <w:t>Parties raise several proposals to address these issues.</w:t>
      </w:r>
    </w:p>
    <w:p w:rsidRPr="0046317C" w:rsidR="00BB7CF6" w:rsidP="00BB7CF6" w:rsidRDefault="00BB7CF6" w14:paraId="402AEBF3" w14:textId="77777777">
      <w:pPr>
        <w:pStyle w:val="Heading3"/>
        <w:rPr>
          <w:rFonts w:eastAsia="Times New Roman"/>
        </w:rPr>
      </w:pPr>
      <w:bookmarkStart w:name="_Toc94080382" w:id="21"/>
      <w:bookmarkStart w:name="_Toc95232101" w:id="22"/>
      <w:r w:rsidRPr="0046317C">
        <w:rPr>
          <w:rFonts w:eastAsia="Times New Roman"/>
        </w:rPr>
        <w:lastRenderedPageBreak/>
        <w:t>PG&amp;E’s Proposal</w:t>
      </w:r>
      <w:bookmarkEnd w:id="21"/>
      <w:bookmarkEnd w:id="22"/>
    </w:p>
    <w:p w:rsidRPr="0046317C" w:rsidR="00BB7CF6" w:rsidP="00BB7CF6" w:rsidRDefault="00BB7CF6" w14:paraId="49AA97BA" w14:textId="77777777">
      <w:pPr>
        <w:rPr>
          <w:rFonts w:cs="Times New Roman"/>
          <w:szCs w:val="20"/>
        </w:rPr>
      </w:pPr>
      <w:r w:rsidRPr="0046317C">
        <w:rPr>
          <w:rFonts w:cs="Times New Roman"/>
          <w:szCs w:val="20"/>
        </w:rPr>
        <w:t xml:space="preserve">PG&amp;E proposes a </w:t>
      </w:r>
      <w:bookmarkStart w:name="_Hlk94191905" w:id="23"/>
      <w:r w:rsidRPr="0046317C">
        <w:rPr>
          <w:rFonts w:cs="Times New Roman"/>
          <w:szCs w:val="20"/>
        </w:rPr>
        <w:t xml:space="preserve">Cost Allocation Mechanism </w:t>
      </w:r>
      <w:bookmarkEnd w:id="23"/>
      <w:r w:rsidRPr="0046317C">
        <w:rPr>
          <w:rFonts w:cs="Times New Roman"/>
          <w:szCs w:val="20"/>
        </w:rPr>
        <w:t>(CAM)-based credit approach to address the issue of a self-shown resource’s failure to perform</w:t>
      </w:r>
      <w:r>
        <w:rPr>
          <w:rFonts w:cs="Times New Roman"/>
          <w:szCs w:val="20"/>
        </w:rPr>
        <w:t>, summarized as follows:</w:t>
      </w:r>
      <w:r w:rsidRPr="0046317C">
        <w:rPr>
          <w:rFonts w:cs="Times New Roman"/>
          <w:color w:val="000000"/>
          <w:szCs w:val="26"/>
          <w:vertAlign w:val="superscript"/>
        </w:rPr>
        <w:footnoteReference w:id="14"/>
      </w:r>
    </w:p>
    <w:p w:rsidRPr="0046317C" w:rsidR="00BB7CF6" w:rsidP="00BB7CF6" w:rsidRDefault="00BB7CF6" w14:paraId="308B9B3B" w14:textId="77777777">
      <w:pPr>
        <w:numPr>
          <w:ilvl w:val="0"/>
          <w:numId w:val="17"/>
        </w:numPr>
        <w:autoSpaceDE w:val="0"/>
        <w:autoSpaceDN w:val="0"/>
        <w:adjustRightInd w:val="0"/>
        <w:spacing w:after="240" w:line="240" w:lineRule="auto"/>
        <w:ind w:left="1080" w:right="1440"/>
        <w:rPr>
          <w:rFonts w:cs="Times New Roman"/>
          <w:color w:val="000000"/>
          <w:szCs w:val="26"/>
        </w:rPr>
      </w:pPr>
      <w:r w:rsidRPr="0046317C">
        <w:rPr>
          <w:rFonts w:cs="Times New Roman"/>
          <w:color w:val="000000"/>
          <w:szCs w:val="26"/>
        </w:rPr>
        <w:t>Step 1 –</w:t>
      </w:r>
      <w:r w:rsidRPr="0046317C">
        <w:rPr>
          <w:rFonts w:cs="Times New Roman"/>
          <w:b/>
          <w:bCs/>
          <w:color w:val="000000"/>
          <w:szCs w:val="26"/>
        </w:rPr>
        <w:t xml:space="preserve"> </w:t>
      </w:r>
      <w:r w:rsidRPr="0046317C">
        <w:rPr>
          <w:rFonts w:cs="Times New Roman"/>
          <w:color w:val="000000"/>
          <w:szCs w:val="26"/>
        </w:rPr>
        <w:t xml:space="preserve">LSEs commit self-shown resources to the CPE by May 31 through submission of a binding notice of intent. </w:t>
      </w:r>
    </w:p>
    <w:p w:rsidRPr="0046317C" w:rsidR="00BB7CF6" w:rsidP="00BB7CF6" w:rsidRDefault="00BB7CF6" w14:paraId="76CEE60B" w14:textId="77777777">
      <w:pPr>
        <w:numPr>
          <w:ilvl w:val="0"/>
          <w:numId w:val="17"/>
        </w:numPr>
        <w:autoSpaceDE w:val="0"/>
        <w:autoSpaceDN w:val="0"/>
        <w:adjustRightInd w:val="0"/>
        <w:spacing w:after="240" w:line="240" w:lineRule="auto"/>
        <w:ind w:left="1080" w:right="1440"/>
        <w:rPr>
          <w:rFonts w:cs="Times New Roman"/>
          <w:color w:val="000000"/>
          <w:szCs w:val="26"/>
        </w:rPr>
      </w:pPr>
      <w:r w:rsidRPr="0046317C">
        <w:rPr>
          <w:rFonts w:cs="Times New Roman"/>
          <w:color w:val="000000"/>
          <w:szCs w:val="26"/>
        </w:rPr>
        <w:t>Step 2 –</w:t>
      </w:r>
      <w:r w:rsidRPr="0046317C">
        <w:rPr>
          <w:rFonts w:cs="Times New Roman"/>
          <w:b/>
          <w:bCs/>
          <w:color w:val="000000"/>
          <w:szCs w:val="26"/>
        </w:rPr>
        <w:t xml:space="preserve"> </w:t>
      </w:r>
      <w:r w:rsidRPr="0046317C">
        <w:rPr>
          <w:rFonts w:cs="Times New Roman"/>
          <w:color w:val="000000"/>
          <w:szCs w:val="26"/>
        </w:rPr>
        <w:t xml:space="preserve">CPE submits its RA plan by September 15, including self-shown resources.  The submission will be used to determine CAM-based credits to allocate to LSEs. </w:t>
      </w:r>
    </w:p>
    <w:p w:rsidRPr="0046317C" w:rsidR="00BB7CF6" w:rsidP="00BB7CF6" w:rsidRDefault="00BB7CF6" w14:paraId="7A5C3C5D" w14:textId="77777777">
      <w:pPr>
        <w:numPr>
          <w:ilvl w:val="0"/>
          <w:numId w:val="18"/>
        </w:numPr>
        <w:autoSpaceDE w:val="0"/>
        <w:autoSpaceDN w:val="0"/>
        <w:adjustRightInd w:val="0"/>
        <w:spacing w:after="240" w:line="240" w:lineRule="auto"/>
        <w:ind w:left="1080" w:right="1440"/>
        <w:rPr>
          <w:rFonts w:ascii="Times New Roman" w:hAnsi="Times New Roman" w:cs="Times New Roman"/>
          <w:color w:val="000000"/>
          <w:sz w:val="24"/>
          <w:szCs w:val="24"/>
        </w:rPr>
      </w:pPr>
      <w:r w:rsidRPr="0046317C">
        <w:rPr>
          <w:rFonts w:cs="Times New Roman"/>
          <w:color w:val="000000"/>
          <w:szCs w:val="26"/>
        </w:rPr>
        <w:t xml:space="preserve">Step 3 – LSEs and/or suppliers must submit matching CAISO supply plans, with the CPE as the benefiting entity.  </w:t>
      </w:r>
    </w:p>
    <w:p w:rsidRPr="0046317C" w:rsidR="00BB7CF6" w:rsidP="00BB7CF6" w:rsidRDefault="00BB7CF6" w14:paraId="3F84AC1A" w14:textId="77777777">
      <w:pPr>
        <w:numPr>
          <w:ilvl w:val="0"/>
          <w:numId w:val="18"/>
        </w:numPr>
        <w:autoSpaceDE w:val="0"/>
        <w:autoSpaceDN w:val="0"/>
        <w:adjustRightInd w:val="0"/>
        <w:spacing w:after="240" w:line="240" w:lineRule="auto"/>
        <w:ind w:left="1080" w:right="1440"/>
        <w:rPr>
          <w:rFonts w:cs="Times New Roman"/>
          <w:color w:val="000000"/>
          <w:szCs w:val="26"/>
        </w:rPr>
      </w:pPr>
      <w:r w:rsidRPr="0046317C">
        <w:rPr>
          <w:rFonts w:cs="Times New Roman"/>
          <w:color w:val="000000"/>
          <w:szCs w:val="26"/>
        </w:rPr>
        <w:t xml:space="preserve">Step 4 – If a self-showing LSE does not perform, the LSE’s CAM credits will be revised.  The CPE will notify the Commission of an LSE’s failure to perform based on the binding notice. </w:t>
      </w:r>
    </w:p>
    <w:p w:rsidRPr="0046317C" w:rsidR="00BB7CF6" w:rsidP="00BB7CF6" w:rsidRDefault="00BB7CF6" w14:paraId="5FCB4613" w14:textId="77777777">
      <w:pPr>
        <w:numPr>
          <w:ilvl w:val="0"/>
          <w:numId w:val="18"/>
        </w:numPr>
        <w:autoSpaceDE w:val="0"/>
        <w:autoSpaceDN w:val="0"/>
        <w:adjustRightInd w:val="0"/>
        <w:spacing w:after="240" w:line="240" w:lineRule="auto"/>
        <w:ind w:left="1080" w:right="1440"/>
        <w:rPr>
          <w:rFonts w:cs="Times New Roman"/>
          <w:color w:val="000000"/>
          <w:szCs w:val="26"/>
        </w:rPr>
      </w:pPr>
      <w:r w:rsidRPr="0046317C">
        <w:rPr>
          <w:rFonts w:cs="Times New Roman"/>
          <w:color w:val="000000"/>
          <w:szCs w:val="26"/>
        </w:rPr>
        <w:t>Step 5 –</w:t>
      </w:r>
      <w:r w:rsidRPr="0046317C">
        <w:rPr>
          <w:rFonts w:cs="Times New Roman"/>
          <w:b/>
          <w:bCs/>
          <w:color w:val="000000"/>
          <w:szCs w:val="26"/>
        </w:rPr>
        <w:t xml:space="preserve"> </w:t>
      </w:r>
      <w:r w:rsidRPr="0046317C">
        <w:rPr>
          <w:rFonts w:cs="Times New Roman"/>
          <w:color w:val="000000"/>
          <w:szCs w:val="26"/>
        </w:rPr>
        <w:t xml:space="preserve">Costs associated with CAISO backstop procurement can be directly allocated to the non-performing LSE.  </w:t>
      </w:r>
    </w:p>
    <w:p w:rsidRPr="0046317C" w:rsidR="00BB7CF6" w:rsidP="00BB7CF6" w:rsidRDefault="00BB7CF6" w14:paraId="144C1E92" w14:textId="77777777">
      <w:pPr>
        <w:autoSpaceDE w:val="0"/>
        <w:autoSpaceDN w:val="0"/>
        <w:adjustRightInd w:val="0"/>
        <w:rPr>
          <w:rFonts w:cs="Times New Roman"/>
          <w:color w:val="000000"/>
          <w:szCs w:val="26"/>
        </w:rPr>
      </w:pPr>
      <w:r w:rsidRPr="0046317C">
        <w:rPr>
          <w:rFonts w:cs="Times New Roman"/>
          <w:szCs w:val="20"/>
        </w:rPr>
        <w:t xml:space="preserve">PG&amp;E recommends that a self-showing LSE </w:t>
      </w:r>
      <w:r w:rsidRPr="0046317C">
        <w:rPr>
          <w:rFonts w:cs="Times New Roman"/>
          <w:color w:val="000000"/>
          <w:szCs w:val="26"/>
        </w:rPr>
        <w:t>submit a binding notice of intent to the CPE</w:t>
      </w:r>
      <w:r w:rsidRPr="0046317C">
        <w:rPr>
          <w:rFonts w:cs="Times New Roman"/>
          <w:szCs w:val="20"/>
        </w:rPr>
        <w:t>, which eliminates the need for contractual agreements with the LSE</w:t>
      </w:r>
      <w:r w:rsidRPr="0046317C">
        <w:rPr>
          <w:rFonts w:cs="Times New Roman"/>
          <w:color w:val="000000"/>
          <w:szCs w:val="26"/>
        </w:rPr>
        <w:t xml:space="preserve">.  In addition, executed contracts would include termination provisions triggered upon submission of a binding notice by the LSE.  </w:t>
      </w:r>
    </w:p>
    <w:p w:rsidRPr="0046317C" w:rsidR="00BB7CF6" w:rsidP="00BB7CF6" w:rsidRDefault="00BB7CF6" w14:paraId="473D8E72" w14:textId="77777777">
      <w:pPr>
        <w:autoSpaceDE w:val="0"/>
        <w:autoSpaceDN w:val="0"/>
        <w:adjustRightInd w:val="0"/>
        <w:rPr>
          <w:rFonts w:cs="Times New Roman"/>
          <w:color w:val="000000"/>
          <w:szCs w:val="26"/>
        </w:rPr>
      </w:pPr>
      <w:r w:rsidRPr="0046317C">
        <w:rPr>
          <w:rFonts w:cs="Times New Roman"/>
          <w:color w:val="000000"/>
          <w:szCs w:val="26"/>
        </w:rPr>
        <w:t>AReM supports PG&amp;E’s proposal.</w:t>
      </w:r>
      <w:r w:rsidRPr="0046317C">
        <w:rPr>
          <w:rFonts w:cs="Times New Roman"/>
          <w:color w:val="000000"/>
          <w:szCs w:val="26"/>
          <w:vertAlign w:val="superscript"/>
        </w:rPr>
        <w:footnoteReference w:id="15"/>
      </w:r>
      <w:r w:rsidRPr="0046317C">
        <w:rPr>
          <w:rFonts w:cs="Times New Roman"/>
          <w:color w:val="000000"/>
          <w:szCs w:val="26"/>
        </w:rPr>
        <w:t xml:space="preserve">  Cal Advocates states that the binding notice proposal, or SCE’s attestation proposal, may mitigate concerns about contractual risks for self-shown resources and lead to more self-showing offers.</w:t>
      </w:r>
      <w:r w:rsidRPr="0046317C">
        <w:rPr>
          <w:rFonts w:cs="Times New Roman"/>
          <w:color w:val="000000"/>
          <w:szCs w:val="26"/>
          <w:vertAlign w:val="superscript"/>
        </w:rPr>
        <w:footnoteReference w:id="16"/>
      </w:r>
      <w:r w:rsidRPr="0046317C">
        <w:rPr>
          <w:rFonts w:cs="Times New Roman"/>
          <w:color w:val="000000"/>
          <w:szCs w:val="26"/>
        </w:rPr>
        <w:t xml:space="preserve">  </w:t>
      </w:r>
    </w:p>
    <w:p w:rsidRPr="0046317C" w:rsidR="00BB7CF6" w:rsidP="00BB7CF6" w:rsidRDefault="00BB7CF6" w14:paraId="1F8E893A" w14:textId="2862D190">
      <w:pPr>
        <w:autoSpaceDE w:val="0"/>
        <w:autoSpaceDN w:val="0"/>
        <w:adjustRightInd w:val="0"/>
        <w:rPr>
          <w:rFonts w:cs="Times New Roman"/>
          <w:color w:val="000000"/>
          <w:szCs w:val="26"/>
        </w:rPr>
      </w:pPr>
      <w:r w:rsidRPr="0046317C">
        <w:rPr>
          <w:rFonts w:cs="Times New Roman"/>
          <w:color w:val="000000"/>
          <w:szCs w:val="26"/>
        </w:rPr>
        <w:lastRenderedPageBreak/>
        <w:t>CalCCA opposes PG&amp;E’s proposal as further disincentivizing self</w:t>
      </w:r>
      <w:r w:rsidR="00284329">
        <w:rPr>
          <w:rFonts w:cs="Times New Roman"/>
          <w:color w:val="000000"/>
          <w:szCs w:val="26"/>
        </w:rPr>
        <w:noBreakHyphen/>
      </w:r>
      <w:r w:rsidRPr="0046317C">
        <w:rPr>
          <w:rFonts w:cs="Times New Roman"/>
          <w:color w:val="000000"/>
          <w:szCs w:val="26"/>
        </w:rPr>
        <w:t>showing since the LSE could face backstop costs if the resource goes on outage.</w:t>
      </w:r>
      <w:r w:rsidRPr="0046317C">
        <w:rPr>
          <w:rFonts w:cs="Times New Roman"/>
          <w:color w:val="000000"/>
          <w:szCs w:val="26"/>
          <w:vertAlign w:val="superscript"/>
        </w:rPr>
        <w:footnoteReference w:id="17"/>
      </w:r>
      <w:r w:rsidRPr="0046317C">
        <w:rPr>
          <w:rFonts w:cs="Times New Roman"/>
          <w:color w:val="000000"/>
          <w:szCs w:val="26"/>
        </w:rPr>
        <w:t xml:space="preserve">  CAISO and MRP oppose changes to CAISO’s cost allocation rules in a Commission proceeding, which requires changes to the CAISO tariff.</w:t>
      </w:r>
      <w:r w:rsidRPr="0046317C">
        <w:rPr>
          <w:rFonts w:cs="Times New Roman"/>
          <w:color w:val="000000"/>
          <w:szCs w:val="26"/>
          <w:vertAlign w:val="superscript"/>
        </w:rPr>
        <w:footnoteReference w:id="18"/>
      </w:r>
      <w:r w:rsidRPr="0046317C">
        <w:rPr>
          <w:rFonts w:cs="Times New Roman"/>
          <w:color w:val="000000"/>
          <w:szCs w:val="26"/>
        </w:rPr>
        <w:t xml:space="preserve">  </w:t>
      </w:r>
    </w:p>
    <w:p w:rsidRPr="00AE5F03" w:rsidR="00BB7CF6" w:rsidP="00BB7CF6" w:rsidRDefault="00BB7CF6" w14:paraId="3A33396E" w14:textId="77777777">
      <w:pPr>
        <w:pStyle w:val="Heading3"/>
        <w:rPr>
          <w:rFonts w:eastAsia="Times New Roman"/>
        </w:rPr>
      </w:pPr>
      <w:bookmarkStart w:name="_Toc94080383" w:id="24"/>
      <w:bookmarkStart w:name="_Toc95232102" w:id="25"/>
      <w:r w:rsidRPr="0046317C">
        <w:t>SCE’s Proposal</w:t>
      </w:r>
      <w:bookmarkEnd w:id="24"/>
      <w:bookmarkEnd w:id="25"/>
    </w:p>
    <w:p w:rsidRPr="0046317C" w:rsidR="00BB7CF6" w:rsidP="00BB7CF6" w:rsidRDefault="00BB7CF6" w14:paraId="5A2F161D" w14:textId="2831025B">
      <w:pPr>
        <w:autoSpaceDE w:val="0"/>
        <w:autoSpaceDN w:val="0"/>
        <w:adjustRightInd w:val="0"/>
        <w:rPr>
          <w:rFonts w:cs="Times New Roman"/>
          <w:color w:val="000000"/>
          <w:szCs w:val="26"/>
        </w:rPr>
      </w:pPr>
      <w:r w:rsidRPr="0046317C">
        <w:rPr>
          <w:rFonts w:cs="Times New Roman"/>
          <w:color w:val="000000"/>
          <w:szCs w:val="26"/>
        </w:rPr>
        <w:t>SCE offers several proposals to address potential disincentives for LSE self-showing.  SCE first proposes that any backstop costs due to non-performance of self-shown resources from a planned outage should be charged to the CPE and paid evenly by all LSEs in the CPE’s service area.</w:t>
      </w:r>
      <w:r w:rsidRPr="0046317C">
        <w:rPr>
          <w:rFonts w:cs="Times New Roman"/>
          <w:color w:val="000000"/>
          <w:szCs w:val="26"/>
          <w:vertAlign w:val="superscript"/>
        </w:rPr>
        <w:footnoteReference w:id="19"/>
      </w:r>
      <w:r w:rsidRPr="0046317C">
        <w:rPr>
          <w:rFonts w:cs="Times New Roman"/>
          <w:color w:val="000000"/>
          <w:szCs w:val="26"/>
        </w:rPr>
        <w:t xml:space="preserve">  SCE believes that LSEs need to account for planned outages without being charged backstop costs because generator contracts typically allow generators to take planned outages without being in default.  Further, LSEs are only required to replace system outages with system resources, which is much easier than a like-for-like resource in a local area, which may not exist in some local areas.  SCE posits that the benefit of increased self-showing and reducing overall CPE procurement costs, outweighs any backstop costs spread to all LSEs’ customers.  For deficiencies in the month-ahead process due to non-performance, other than planned outages, SCE recommends that CAISO charge backstop costs to the non</w:t>
      </w:r>
      <w:r w:rsidR="00284329">
        <w:rPr>
          <w:rFonts w:cs="Times New Roman"/>
          <w:color w:val="000000"/>
          <w:szCs w:val="26"/>
        </w:rPr>
        <w:noBreakHyphen/>
      </w:r>
      <w:r w:rsidRPr="0046317C">
        <w:rPr>
          <w:rFonts w:cs="Times New Roman"/>
          <w:color w:val="000000"/>
          <w:szCs w:val="26"/>
        </w:rPr>
        <w:t xml:space="preserve">performing LSE or its scheduling coordinator.  </w:t>
      </w:r>
    </w:p>
    <w:p w:rsidRPr="0046317C" w:rsidR="00BB7CF6" w:rsidP="00BB7CF6" w:rsidRDefault="00BB7CF6" w14:paraId="5B70389D" w14:textId="77777777">
      <w:pPr>
        <w:autoSpaceDE w:val="0"/>
        <w:autoSpaceDN w:val="0"/>
        <w:adjustRightInd w:val="0"/>
        <w:rPr>
          <w:rFonts w:cs="Times New Roman"/>
          <w:color w:val="000000"/>
          <w:szCs w:val="26"/>
        </w:rPr>
      </w:pPr>
      <w:r w:rsidRPr="0046317C">
        <w:rPr>
          <w:rFonts w:cs="Times New Roman"/>
          <w:color w:val="000000"/>
          <w:szCs w:val="26"/>
        </w:rPr>
        <w:t xml:space="preserve">SCE recommends that for an LSE outside the CPE’s service area, the LSE should not be subject to backstop costs for a self-shown resource’s non-performance, due to planned outage or otherwise.  SCE believes this is necessary </w:t>
      </w:r>
      <w:r w:rsidRPr="0046317C">
        <w:rPr>
          <w:rFonts w:cs="Times New Roman"/>
          <w:color w:val="000000"/>
          <w:szCs w:val="26"/>
        </w:rPr>
        <w:lastRenderedPageBreak/>
        <w:t xml:space="preserve">because the LSE is already disincentivized to self-show outside of its service area and being subject to backstop costs further deters the LSE.  </w:t>
      </w:r>
    </w:p>
    <w:p w:rsidRPr="0046317C" w:rsidR="00BB7CF6" w:rsidP="00BB7CF6" w:rsidRDefault="00BB7CF6" w14:paraId="7B38D651" w14:textId="1A22CA26">
      <w:pPr>
        <w:autoSpaceDE w:val="0"/>
        <w:autoSpaceDN w:val="0"/>
        <w:adjustRightInd w:val="0"/>
        <w:rPr>
          <w:rFonts w:cs="Times New Roman"/>
          <w:color w:val="000000"/>
          <w:szCs w:val="26"/>
        </w:rPr>
      </w:pPr>
      <w:r w:rsidRPr="0046317C">
        <w:rPr>
          <w:rFonts w:cs="Times New Roman"/>
          <w:color w:val="000000"/>
          <w:szCs w:val="26"/>
        </w:rPr>
        <w:t>SCE also proposes that if an LSE elects not to self-show</w:t>
      </w:r>
      <w:r>
        <w:rPr>
          <w:rFonts w:cs="Times New Roman"/>
          <w:color w:val="000000"/>
          <w:szCs w:val="26"/>
        </w:rPr>
        <w:t xml:space="preserve"> a local resource</w:t>
      </w:r>
      <w:r w:rsidRPr="0046317C">
        <w:rPr>
          <w:rFonts w:cs="Times New Roman"/>
          <w:color w:val="000000"/>
          <w:szCs w:val="26"/>
        </w:rPr>
        <w:t xml:space="preserve"> but shows on its year-ahead filing for system or flexible RA, the LSE should file a justification to explain why it did not bid or self-show to the CPE.  SCE reasons that it is important to understand why local resources are not being bid or self</w:t>
      </w:r>
      <w:r w:rsidR="00284329">
        <w:rPr>
          <w:rFonts w:cs="Times New Roman"/>
          <w:color w:val="000000"/>
          <w:szCs w:val="26"/>
        </w:rPr>
        <w:noBreakHyphen/>
      </w:r>
      <w:r w:rsidRPr="0046317C">
        <w:rPr>
          <w:rFonts w:cs="Times New Roman"/>
          <w:color w:val="000000"/>
          <w:szCs w:val="26"/>
        </w:rPr>
        <w:t>shown and make adjustments to the process as needed.  SCE notes that the justification is not intended as an enforcement mechanism but to improve the CPE framework.</w:t>
      </w:r>
    </w:p>
    <w:p w:rsidRPr="0046317C" w:rsidR="00BB7CF6" w:rsidP="00BB7CF6" w:rsidRDefault="00BB7CF6" w14:paraId="4E82E839" w14:textId="162B6759">
      <w:pPr>
        <w:autoSpaceDE w:val="0"/>
        <w:autoSpaceDN w:val="0"/>
        <w:adjustRightInd w:val="0"/>
        <w:rPr>
          <w:rFonts w:cs="Times New Roman"/>
          <w:color w:val="000000"/>
          <w:szCs w:val="26"/>
        </w:rPr>
      </w:pPr>
      <w:r w:rsidRPr="0046317C">
        <w:rPr>
          <w:rFonts w:cs="Times New Roman"/>
          <w:color w:val="000000"/>
          <w:szCs w:val="26"/>
        </w:rPr>
        <w:t xml:space="preserve">In addition, SCE recommends that the requirement for a contract between the CPE and self-showing LSE be eliminated.  Instead, prior to the CPE solicitation, LSEs would submit an attestation to the CPE and the Commission, providing that: </w:t>
      </w:r>
      <w:r>
        <w:rPr>
          <w:rFonts w:cs="Times New Roman"/>
          <w:color w:val="000000"/>
          <w:szCs w:val="26"/>
        </w:rPr>
        <w:t xml:space="preserve"> </w:t>
      </w:r>
      <w:r w:rsidRPr="0046317C">
        <w:rPr>
          <w:rFonts w:cs="Times New Roman"/>
          <w:color w:val="000000"/>
          <w:szCs w:val="26"/>
        </w:rPr>
        <w:t>(1) the LSE has the rights to the local RA for the period it is self</w:t>
      </w:r>
      <w:r w:rsidR="00284329">
        <w:rPr>
          <w:rFonts w:cs="Times New Roman"/>
          <w:color w:val="000000"/>
          <w:szCs w:val="26"/>
        </w:rPr>
        <w:noBreakHyphen/>
      </w:r>
      <w:r w:rsidRPr="0046317C">
        <w:rPr>
          <w:rFonts w:cs="Times New Roman"/>
          <w:color w:val="000000"/>
          <w:szCs w:val="26"/>
        </w:rPr>
        <w:t>showing, (2) the LSE plans on self-showing the resources on annual and monthly RA plans to satisfy system and/or flexible needs, and (3) the LSE agrees to provide the CPE with a notice of a planned outage at least 60 days prior to the showing month in which the outage is to occur.  If an LSE procures additional local capacity after the date it commits to self-show and elects to self-show</w:t>
      </w:r>
      <w:r>
        <w:rPr>
          <w:rFonts w:cs="Times New Roman"/>
          <w:color w:val="000000"/>
          <w:szCs w:val="26"/>
        </w:rPr>
        <w:t xml:space="preserve"> the additional resource</w:t>
      </w:r>
      <w:r w:rsidRPr="0046317C">
        <w:rPr>
          <w:rFonts w:cs="Times New Roman"/>
          <w:color w:val="000000"/>
          <w:szCs w:val="26"/>
        </w:rPr>
        <w:t>, SCE proposes the LSE notify the Commission and CPE by August 1 through an attestation.  SCE states that this process can</w:t>
      </w:r>
      <w:r>
        <w:rPr>
          <w:rFonts w:cs="Times New Roman"/>
          <w:color w:val="000000"/>
          <w:szCs w:val="26"/>
        </w:rPr>
        <w:t xml:space="preserve"> also</w:t>
      </w:r>
      <w:r w:rsidRPr="0046317C">
        <w:rPr>
          <w:rFonts w:cs="Times New Roman"/>
          <w:color w:val="000000"/>
          <w:szCs w:val="26"/>
        </w:rPr>
        <w:t xml:space="preserve"> be used for LSEs that bid into the solicitation but indicate that if the bid is not selected, they will self-show for no compensation.</w:t>
      </w:r>
    </w:p>
    <w:p w:rsidRPr="0046317C" w:rsidR="00BB7CF6" w:rsidP="00BB7CF6" w:rsidRDefault="00BB7CF6" w14:paraId="0F13A3DC" w14:textId="77777777">
      <w:pPr>
        <w:autoSpaceDE w:val="0"/>
        <w:autoSpaceDN w:val="0"/>
        <w:adjustRightInd w:val="0"/>
        <w:rPr>
          <w:rFonts w:cs="Times New Roman"/>
          <w:color w:val="000000"/>
          <w:szCs w:val="26"/>
        </w:rPr>
      </w:pPr>
      <w:r w:rsidRPr="0046317C">
        <w:rPr>
          <w:rFonts w:cs="Times New Roman"/>
          <w:color w:val="000000"/>
          <w:szCs w:val="26"/>
        </w:rPr>
        <w:t xml:space="preserve">Lastly, SCE recommends that an LSE’s self-shown resource for Year 1 should be firm but that LSEs may replace self-shown resources with other local </w:t>
      </w:r>
      <w:r w:rsidRPr="0046317C">
        <w:rPr>
          <w:rFonts w:cs="Times New Roman"/>
          <w:color w:val="000000"/>
          <w:szCs w:val="26"/>
        </w:rPr>
        <w:lastRenderedPageBreak/>
        <w:t>resources in the next year’s RA showing.</w:t>
      </w:r>
      <w:r w:rsidRPr="0046317C">
        <w:rPr>
          <w:rFonts w:cs="Times New Roman"/>
          <w:color w:val="000000"/>
          <w:szCs w:val="26"/>
          <w:vertAlign w:val="superscript"/>
        </w:rPr>
        <w:footnoteReference w:id="20"/>
      </w:r>
      <w:r w:rsidRPr="0046317C">
        <w:rPr>
          <w:rFonts w:cs="Times New Roman"/>
          <w:color w:val="000000"/>
          <w:szCs w:val="26"/>
        </w:rPr>
        <w:t xml:space="preserve">  For example, if an LSE self-shows a resource in 2022 for 2024, it could replace the local resource with another local resource in 2023.</w:t>
      </w:r>
    </w:p>
    <w:p w:rsidRPr="0046317C" w:rsidR="00BB7CF6" w:rsidP="00BB7CF6" w:rsidRDefault="00BB7CF6" w14:paraId="7F81D788" w14:textId="77777777">
      <w:pPr>
        <w:autoSpaceDE w:val="0"/>
        <w:autoSpaceDN w:val="0"/>
        <w:adjustRightInd w:val="0"/>
        <w:rPr>
          <w:rFonts w:cs="Times New Roman"/>
          <w:color w:val="000000"/>
          <w:szCs w:val="26"/>
        </w:rPr>
      </w:pPr>
      <w:r w:rsidRPr="0046317C">
        <w:rPr>
          <w:rFonts w:cs="Times New Roman"/>
          <w:color w:val="000000"/>
          <w:szCs w:val="26"/>
        </w:rPr>
        <w:t>AReM supports SCE’s proposal.</w:t>
      </w:r>
      <w:r w:rsidRPr="0046317C">
        <w:rPr>
          <w:rFonts w:cs="Times New Roman"/>
          <w:color w:val="000000"/>
          <w:szCs w:val="26"/>
          <w:vertAlign w:val="superscript"/>
        </w:rPr>
        <w:footnoteReference w:id="21"/>
      </w:r>
      <w:r w:rsidRPr="0046317C">
        <w:rPr>
          <w:rFonts w:cs="Times New Roman"/>
          <w:color w:val="000000"/>
          <w:szCs w:val="26"/>
        </w:rPr>
        <w:t xml:space="preserve">  Calpine states that SCE’s proposal partially addresses a disincentive for self-showing by eliminating exposure to backstop costs.</w:t>
      </w:r>
      <w:r w:rsidRPr="0046317C">
        <w:rPr>
          <w:rFonts w:cs="Times New Roman"/>
          <w:color w:val="000000"/>
          <w:szCs w:val="26"/>
          <w:vertAlign w:val="superscript"/>
        </w:rPr>
        <w:footnoteReference w:id="22"/>
      </w:r>
      <w:r w:rsidRPr="0046317C">
        <w:rPr>
          <w:rFonts w:cs="Times New Roman"/>
          <w:color w:val="000000"/>
          <w:szCs w:val="26"/>
        </w:rPr>
        <w:t xml:space="preserve">  Calpine asserts that the proposal does not address when an LSE may not be contractually permitted to self-show capacity procured for system RA as local RA but acknowledges the proposal may eventually encourage LSEs to renegotiate contracts to allow a self-showing.  CalCCA believes SCE’s proposal creates fewer disincentives for self-showing compared to PG&amp;E’s and CAISO’s proposals.</w:t>
      </w:r>
      <w:r w:rsidRPr="0046317C">
        <w:rPr>
          <w:rFonts w:cs="Times New Roman"/>
          <w:color w:val="000000"/>
          <w:szCs w:val="26"/>
          <w:vertAlign w:val="superscript"/>
        </w:rPr>
        <w:footnoteReference w:id="23"/>
      </w:r>
      <w:r w:rsidRPr="0046317C">
        <w:rPr>
          <w:rFonts w:cs="Times New Roman"/>
          <w:color w:val="000000"/>
          <w:szCs w:val="26"/>
        </w:rPr>
        <w:t xml:space="preserve">  CalCCA states that SCE should clarify if outages between annual and monthly RA showings without replacement, other than planned outages, would be charged to the LSE since CAISO accepts planned outages after monthly showings until seven days before the outage if substitute capacity is provided.  Cal Advocates supports SCE’s attestation proposal.</w:t>
      </w:r>
      <w:r w:rsidRPr="0046317C">
        <w:rPr>
          <w:rFonts w:cs="Times New Roman"/>
          <w:color w:val="000000"/>
          <w:szCs w:val="26"/>
          <w:vertAlign w:val="superscript"/>
        </w:rPr>
        <w:footnoteReference w:id="24"/>
      </w:r>
      <w:r w:rsidRPr="0046317C">
        <w:rPr>
          <w:rFonts w:cs="Times New Roman"/>
          <w:color w:val="000000"/>
          <w:szCs w:val="26"/>
        </w:rPr>
        <w:t xml:space="preserve">  </w:t>
      </w:r>
    </w:p>
    <w:p w:rsidRPr="0046317C" w:rsidR="00BB7CF6" w:rsidP="00BB7CF6" w:rsidRDefault="00BB7CF6" w14:paraId="3336677B" w14:textId="77777777">
      <w:pPr>
        <w:autoSpaceDE w:val="0"/>
        <w:autoSpaceDN w:val="0"/>
        <w:adjustRightInd w:val="0"/>
        <w:rPr>
          <w:rFonts w:cs="Times New Roman"/>
          <w:color w:val="000000"/>
          <w:szCs w:val="26"/>
        </w:rPr>
      </w:pPr>
      <w:r w:rsidRPr="0046317C">
        <w:rPr>
          <w:rFonts w:cs="Times New Roman"/>
          <w:color w:val="000000"/>
          <w:szCs w:val="26"/>
        </w:rPr>
        <w:t>PG&amp;E suggests modifying SCE’s proposal by requiring a justification from an LSE that either does not self-show or bid into the CPE solicitation.</w:t>
      </w:r>
      <w:r w:rsidRPr="0046317C">
        <w:rPr>
          <w:rFonts w:cs="Times New Roman"/>
          <w:color w:val="000000"/>
          <w:szCs w:val="26"/>
          <w:vertAlign w:val="superscript"/>
        </w:rPr>
        <w:footnoteReference w:id="25"/>
      </w:r>
      <w:r w:rsidRPr="0046317C">
        <w:rPr>
          <w:rFonts w:cs="Times New Roman"/>
          <w:color w:val="000000"/>
          <w:szCs w:val="26"/>
        </w:rPr>
        <w:t xml:space="preserve">  PG&amp;E points out that in its TAC area, </w:t>
      </w:r>
      <w:r>
        <w:rPr>
          <w:rFonts w:cs="Times New Roman"/>
          <w:color w:val="000000"/>
          <w:szCs w:val="26"/>
        </w:rPr>
        <w:t xml:space="preserve">for the </w:t>
      </w:r>
      <w:r w:rsidRPr="0046317C">
        <w:rPr>
          <w:rFonts w:cs="Times New Roman"/>
          <w:color w:val="000000"/>
          <w:szCs w:val="26"/>
        </w:rPr>
        <w:t>May – October 2023</w:t>
      </w:r>
      <w:r>
        <w:rPr>
          <w:rFonts w:cs="Times New Roman"/>
          <w:color w:val="000000"/>
          <w:szCs w:val="26"/>
        </w:rPr>
        <w:t xml:space="preserve"> period</w:t>
      </w:r>
      <w:r w:rsidRPr="0046317C">
        <w:rPr>
          <w:rFonts w:cs="Times New Roman"/>
          <w:color w:val="000000"/>
          <w:szCs w:val="26"/>
        </w:rPr>
        <w:t>, 70% of available local RA capacity participated in the CPE</w:t>
      </w:r>
      <w:r>
        <w:rPr>
          <w:rFonts w:cs="Times New Roman"/>
          <w:color w:val="000000"/>
          <w:szCs w:val="26"/>
        </w:rPr>
        <w:t>’s</w:t>
      </w:r>
      <w:r w:rsidRPr="0046317C">
        <w:rPr>
          <w:rFonts w:cs="Times New Roman"/>
          <w:color w:val="000000"/>
          <w:szCs w:val="26"/>
        </w:rPr>
        <w:t xml:space="preserve"> solicitation, while a minimum 85% of the available local RA is needed to meet allocated </w:t>
      </w:r>
      <w:r w:rsidRPr="0046317C">
        <w:rPr>
          <w:rFonts w:cs="Times New Roman"/>
          <w:color w:val="000000"/>
          <w:szCs w:val="26"/>
        </w:rPr>
        <w:lastRenderedPageBreak/>
        <w:t>requirements.</w:t>
      </w:r>
      <w:r w:rsidRPr="0046317C">
        <w:rPr>
          <w:rFonts w:cs="Times New Roman"/>
          <w:color w:val="000000"/>
          <w:szCs w:val="26"/>
          <w:vertAlign w:val="superscript"/>
        </w:rPr>
        <w:footnoteReference w:id="26"/>
      </w:r>
      <w:r w:rsidRPr="0046317C">
        <w:rPr>
          <w:rFonts w:cs="Times New Roman"/>
          <w:color w:val="000000"/>
          <w:szCs w:val="26"/>
        </w:rPr>
        <w:t xml:space="preserve">  </w:t>
      </w:r>
      <w:r>
        <w:rPr>
          <w:rFonts w:cs="Times New Roman"/>
          <w:color w:val="000000"/>
          <w:szCs w:val="26"/>
        </w:rPr>
        <w:t>For the</w:t>
      </w:r>
      <w:r w:rsidRPr="0046317C">
        <w:rPr>
          <w:rFonts w:cs="Times New Roman"/>
          <w:color w:val="000000"/>
          <w:szCs w:val="26"/>
        </w:rPr>
        <w:t xml:space="preserve"> August and September 2023</w:t>
      </w:r>
      <w:r>
        <w:rPr>
          <w:rFonts w:cs="Times New Roman"/>
          <w:color w:val="000000"/>
          <w:szCs w:val="26"/>
        </w:rPr>
        <w:t xml:space="preserve"> period</w:t>
      </w:r>
      <w:r w:rsidRPr="0046317C">
        <w:rPr>
          <w:rFonts w:cs="Times New Roman"/>
          <w:color w:val="000000"/>
          <w:szCs w:val="26"/>
        </w:rPr>
        <w:t>, the participation rate was 69% and 63% with a minimum 84% and 88% needed, respectively.  PG&amp;E states that the modified justification from LSEs would help address the participation issue.</w:t>
      </w:r>
    </w:p>
    <w:p w:rsidRPr="0046317C" w:rsidR="00BB7CF6" w:rsidP="00BB7CF6" w:rsidRDefault="00BB7CF6" w14:paraId="492CA2E3" w14:textId="77777777">
      <w:pPr>
        <w:autoSpaceDE w:val="0"/>
        <w:autoSpaceDN w:val="0"/>
        <w:adjustRightInd w:val="0"/>
        <w:rPr>
          <w:rFonts w:cs="Times New Roman"/>
          <w:color w:val="000000"/>
          <w:szCs w:val="26"/>
        </w:rPr>
      </w:pPr>
      <w:r w:rsidRPr="0046317C">
        <w:rPr>
          <w:rFonts w:cs="Times New Roman"/>
          <w:color w:val="000000"/>
          <w:szCs w:val="26"/>
        </w:rPr>
        <w:t>CAISO and MRP oppose changes to CAISO backstop cost allocation rules in a Commission proceeding, which require changes to the CAISO tariff.</w:t>
      </w:r>
      <w:r w:rsidRPr="0046317C">
        <w:rPr>
          <w:rFonts w:cs="Times New Roman"/>
          <w:color w:val="000000"/>
          <w:szCs w:val="26"/>
          <w:vertAlign w:val="superscript"/>
        </w:rPr>
        <w:footnoteReference w:id="27"/>
      </w:r>
      <w:r w:rsidRPr="0046317C">
        <w:rPr>
          <w:rFonts w:cs="Times New Roman"/>
          <w:color w:val="000000"/>
          <w:szCs w:val="26"/>
        </w:rPr>
        <w:t xml:space="preserve">  MRP states that SCE does not address why backstop costs due to non-performance unrelated to planned outages should be allocated differently and recommends workshops to develop a standard self-shown contract.  MRP adds that allowing LSEs to replace self-shown resources in future years’ showings requires further discussion, including considering changes to effectiveness for replaced resources.</w:t>
      </w:r>
    </w:p>
    <w:p w:rsidRPr="0046317C" w:rsidR="00BB7CF6" w:rsidP="00BB7CF6" w:rsidRDefault="00BB7CF6" w14:paraId="5071CA10" w14:textId="77777777">
      <w:pPr>
        <w:pStyle w:val="Heading3"/>
        <w:rPr>
          <w:rFonts w:eastAsia="Times New Roman"/>
        </w:rPr>
      </w:pPr>
      <w:bookmarkStart w:name="_Toc94080384" w:id="26"/>
      <w:bookmarkStart w:name="_Toc95232103" w:id="27"/>
      <w:r w:rsidRPr="0046317C">
        <w:rPr>
          <w:rFonts w:eastAsia="Times New Roman"/>
        </w:rPr>
        <w:t>CAISO’s Proposal</w:t>
      </w:r>
      <w:bookmarkEnd w:id="26"/>
      <w:bookmarkEnd w:id="27"/>
    </w:p>
    <w:p w:rsidRPr="0046317C" w:rsidR="00BB7CF6" w:rsidP="00BB7CF6" w:rsidRDefault="00BB7CF6" w14:paraId="38619B5C" w14:textId="77777777">
      <w:pPr>
        <w:autoSpaceDE w:val="0"/>
        <w:autoSpaceDN w:val="0"/>
        <w:adjustRightInd w:val="0"/>
        <w:rPr>
          <w:rFonts w:cs="Times New Roman"/>
          <w:color w:val="000000"/>
          <w:szCs w:val="26"/>
        </w:rPr>
      </w:pPr>
      <w:r w:rsidRPr="0046317C">
        <w:rPr>
          <w:rFonts w:cs="Times New Roman"/>
          <w:color w:val="000000"/>
          <w:szCs w:val="26"/>
        </w:rPr>
        <w:t>CAISO notes that if it identifies a deficiency and procures additional capacity under the Capacity Procurement Mechanism (CPM), CAISO allocates the costs of local CPM designations to deficient entities based on their ratio of local capacity area deficiency.</w:t>
      </w:r>
      <w:r w:rsidRPr="0046317C">
        <w:rPr>
          <w:rFonts w:cs="Times New Roman"/>
          <w:color w:val="000000"/>
          <w:szCs w:val="26"/>
          <w:vertAlign w:val="superscript"/>
        </w:rPr>
        <w:footnoteReference w:id="28"/>
      </w:r>
      <w:r w:rsidRPr="0046317C">
        <w:rPr>
          <w:rFonts w:cs="Times New Roman"/>
          <w:color w:val="000000"/>
          <w:szCs w:val="26"/>
        </w:rPr>
        <w:t xml:space="preserve">  Under the CPE framework, the Commission assigns local obligations directly to the CPEs and therefore, CAISO would assign CPM costs for an individual deficiency to the CPE, which would be responsible for the costs.  CAISO proposes the Commission assign local obligations to self</w:t>
      </w:r>
      <w:r>
        <w:rPr>
          <w:rFonts w:cs="Times New Roman"/>
          <w:color w:val="000000"/>
          <w:szCs w:val="26"/>
        </w:rPr>
        <w:noBreakHyphen/>
      </w:r>
      <w:r w:rsidRPr="0046317C">
        <w:rPr>
          <w:rFonts w:cs="Times New Roman"/>
          <w:color w:val="000000"/>
          <w:szCs w:val="26"/>
        </w:rPr>
        <w:t xml:space="preserve">showing LSEs with the amount of local capacity they agreed to show.  This allows CAISO to assign CPM costs to the LSE if the LSE failed to show a local resource it agreed to self-show. </w:t>
      </w:r>
    </w:p>
    <w:p w:rsidRPr="0046317C" w:rsidR="00BB7CF6" w:rsidP="00BB7CF6" w:rsidRDefault="00BB7CF6" w14:paraId="1391E035" w14:textId="77777777">
      <w:pPr>
        <w:autoSpaceDE w:val="0"/>
        <w:autoSpaceDN w:val="0"/>
        <w:adjustRightInd w:val="0"/>
        <w:rPr>
          <w:rFonts w:cs="Times New Roman"/>
          <w:color w:val="000000"/>
          <w:szCs w:val="26"/>
        </w:rPr>
      </w:pPr>
      <w:r w:rsidRPr="0046317C">
        <w:rPr>
          <w:rFonts w:cs="Times New Roman"/>
          <w:color w:val="000000"/>
          <w:szCs w:val="26"/>
        </w:rPr>
        <w:lastRenderedPageBreak/>
        <w:t>CalCCA, SCE, PG&amp;E, and MRP oppose CAISO’s proposal.  PG&amp;E and MRP contend that assigning local obligations to LSEs transforms the CPE structure into a residual procurement model, which is not permitted by the hybrid framework.</w:t>
      </w:r>
      <w:r w:rsidRPr="0046317C">
        <w:rPr>
          <w:rFonts w:cs="Times New Roman"/>
          <w:color w:val="000000"/>
          <w:szCs w:val="26"/>
          <w:vertAlign w:val="superscript"/>
        </w:rPr>
        <w:footnoteReference w:id="29"/>
      </w:r>
      <w:r w:rsidRPr="0046317C">
        <w:rPr>
          <w:rFonts w:cs="Times New Roman"/>
          <w:color w:val="000000"/>
          <w:szCs w:val="26"/>
        </w:rPr>
        <w:t xml:space="preserve">  CalCCA opposes the proposal because it may further disincentivize LSEs from self-showing if the LSE can face backstop costs if a resource goes on outage.</w:t>
      </w:r>
      <w:r w:rsidRPr="0046317C">
        <w:rPr>
          <w:rFonts w:cs="Times New Roman"/>
          <w:color w:val="000000"/>
          <w:szCs w:val="26"/>
          <w:vertAlign w:val="superscript"/>
        </w:rPr>
        <w:footnoteReference w:id="30"/>
      </w:r>
      <w:r w:rsidRPr="0046317C">
        <w:rPr>
          <w:rFonts w:cs="Times New Roman"/>
          <w:color w:val="000000"/>
          <w:szCs w:val="26"/>
        </w:rPr>
        <w:t xml:space="preserve">  SCE opposes the proposal unless it is modified to state that LSEs in the TAC area are charged for non-performance, except for failure due to a planned outage, and that LSEs outside the TAC area are exempt from all backstop procurement.</w:t>
      </w:r>
      <w:r w:rsidRPr="0046317C">
        <w:rPr>
          <w:rFonts w:cs="Times New Roman"/>
          <w:color w:val="000000"/>
          <w:szCs w:val="26"/>
          <w:vertAlign w:val="superscript"/>
        </w:rPr>
        <w:footnoteReference w:id="31"/>
      </w:r>
      <w:r w:rsidRPr="0046317C">
        <w:rPr>
          <w:rFonts w:cs="Times New Roman"/>
          <w:color w:val="000000"/>
          <w:szCs w:val="26"/>
        </w:rPr>
        <w:t xml:space="preserve">  AReM supports this proposal.</w:t>
      </w:r>
      <w:r w:rsidRPr="0046317C">
        <w:rPr>
          <w:rFonts w:cs="Times New Roman"/>
          <w:color w:val="000000"/>
          <w:szCs w:val="26"/>
          <w:vertAlign w:val="superscript"/>
        </w:rPr>
        <w:footnoteReference w:id="32"/>
      </w:r>
      <w:r w:rsidRPr="0046317C">
        <w:rPr>
          <w:rFonts w:cs="Times New Roman"/>
          <w:color w:val="000000"/>
          <w:szCs w:val="26"/>
        </w:rPr>
        <w:t xml:space="preserve">  </w:t>
      </w:r>
    </w:p>
    <w:p w:rsidRPr="0046317C" w:rsidR="00BB7CF6" w:rsidP="00BB7CF6" w:rsidRDefault="00BB7CF6" w14:paraId="5E53052D" w14:textId="77777777">
      <w:pPr>
        <w:pStyle w:val="Heading3"/>
        <w:rPr>
          <w:rFonts w:eastAsia="Times New Roman"/>
        </w:rPr>
      </w:pPr>
      <w:bookmarkStart w:name="_Toc94080385" w:id="28"/>
      <w:bookmarkStart w:name="_Toc95232104" w:id="29"/>
      <w:r w:rsidRPr="0046317C">
        <w:rPr>
          <w:rFonts w:eastAsia="Times New Roman"/>
        </w:rPr>
        <w:t>Discussion</w:t>
      </w:r>
      <w:bookmarkEnd w:id="28"/>
      <w:bookmarkEnd w:id="29"/>
    </w:p>
    <w:p w:rsidR="00BB7CF6" w:rsidP="00CD51D6" w:rsidRDefault="00BB7CF6" w14:paraId="31FA8AD5" w14:textId="77777777">
      <w:pPr>
        <w:rPr>
          <w:rFonts w:cs="Times New Roman"/>
          <w:szCs w:val="20"/>
        </w:rPr>
      </w:pPr>
      <w:r w:rsidRPr="0046317C">
        <w:rPr>
          <w:rFonts w:cs="Times New Roman"/>
          <w:szCs w:val="20"/>
        </w:rPr>
        <w:t>Based on the CPEs’ Annual Compliance Reports, the Commission recognizes that a limited amount of local resources were self-shown to the PG&amp;E CPE for no compensation.  In addition, in PG&amp;E’s TAC area, a lower</w:t>
      </w:r>
      <w:r>
        <w:rPr>
          <w:rFonts w:cs="Times New Roman"/>
          <w:szCs w:val="20"/>
        </w:rPr>
        <w:noBreakHyphen/>
      </w:r>
      <w:r w:rsidRPr="0046317C">
        <w:rPr>
          <w:rFonts w:cs="Times New Roman"/>
          <w:szCs w:val="20"/>
        </w:rPr>
        <w:t>than</w:t>
      </w:r>
      <w:r>
        <w:rPr>
          <w:rFonts w:cs="Times New Roman"/>
          <w:szCs w:val="20"/>
        </w:rPr>
        <w:noBreakHyphen/>
      </w:r>
      <w:r w:rsidRPr="0046317C">
        <w:rPr>
          <w:rFonts w:cs="Times New Roman"/>
          <w:szCs w:val="20"/>
        </w:rPr>
        <w:t xml:space="preserve">expected amount of the local resources were bid into the solicitation.  By self-showing local resources, LSEs can lower the overall amount of the CPE’s local RA obligation, which reduces the amount of local resources the CPE must procure and thus lowers procurement costs for ratepayers in the CPE’s service area.  Thus, it is important to address and eliminate barriers that may be unnecessarily disincentivizing LSEs from self-showing local resources to the CPE for no compensation.  The Commission agrees with parties that some disincentives for self-showing may include the burden and cost of executing a </w:t>
      </w:r>
      <w:r w:rsidRPr="0046317C">
        <w:rPr>
          <w:rFonts w:cs="Times New Roman"/>
          <w:szCs w:val="20"/>
        </w:rPr>
        <w:lastRenderedPageBreak/>
        <w:t xml:space="preserve">contract between a self-showing LSE and the CPE, and the exposure to backstop procurement costs if a self-shown resource fails to perform.  </w:t>
      </w:r>
    </w:p>
    <w:p w:rsidR="008C1078" w:rsidP="00BB7CF6" w:rsidRDefault="00BB7CF6" w14:paraId="27B1C6FC" w14:textId="2AEC4924">
      <w:pPr>
        <w:rPr>
          <w:rFonts w:cs="Times New Roman"/>
          <w:color w:val="000000"/>
          <w:szCs w:val="26"/>
        </w:rPr>
      </w:pPr>
      <w:r w:rsidRPr="0046317C">
        <w:rPr>
          <w:rFonts w:cs="Times New Roman"/>
          <w:szCs w:val="20"/>
        </w:rPr>
        <w:t>Considering the benefits and concerns of the proposals, the Commission finds that SCE’s proposal</w:t>
      </w:r>
      <w:r w:rsidR="008C1078">
        <w:rPr>
          <w:rFonts w:cs="Times New Roman"/>
          <w:szCs w:val="20"/>
        </w:rPr>
        <w:t>, with modifications,</w:t>
      </w:r>
      <w:r w:rsidRPr="0046317C">
        <w:rPr>
          <w:rFonts w:cs="Times New Roman"/>
          <w:szCs w:val="20"/>
        </w:rPr>
        <w:t xml:space="preserve"> mitigates several potential disincentives to LSE self</w:t>
      </w:r>
      <w:r>
        <w:rPr>
          <w:rFonts w:cs="Times New Roman"/>
          <w:szCs w:val="20"/>
        </w:rPr>
        <w:noBreakHyphen/>
      </w:r>
      <w:r w:rsidRPr="0046317C">
        <w:rPr>
          <w:rFonts w:cs="Times New Roman"/>
          <w:szCs w:val="20"/>
        </w:rPr>
        <w:t>showing.  The proposal requires backstop costs to be covered by ratepayers in the CPE’s service area if the resource fails to perform due to a planned outage, or for any reason if the self-showing LSE is outside the CPE’s service area.  By removing the potential exposure to backstop procurement costs, w</w:t>
      </w:r>
      <w:r w:rsidRPr="0046317C">
        <w:rPr>
          <w:rFonts w:cs="Times New Roman"/>
          <w:color w:val="000000"/>
          <w:szCs w:val="26"/>
        </w:rPr>
        <w:t xml:space="preserve">e are persuaded that the potential for increased self-showing by LSEs will further reduce overall CPE procurement costs, and outweigh the potential risk of backstop costs being spread to all LSEs’ customers.  </w:t>
      </w:r>
    </w:p>
    <w:p w:rsidR="003F08C3" w:rsidP="00BB7CF6" w:rsidRDefault="00A95D9F" w14:paraId="4DCD5649" w14:textId="3D501B04">
      <w:r>
        <w:rPr>
          <w:rFonts w:cs="Times New Roman"/>
          <w:szCs w:val="20"/>
        </w:rPr>
        <w:t xml:space="preserve">In comments </w:t>
      </w:r>
      <w:r w:rsidR="00B56337">
        <w:rPr>
          <w:rFonts w:cs="Times New Roman"/>
          <w:szCs w:val="20"/>
        </w:rPr>
        <w:t>to</w:t>
      </w:r>
      <w:r>
        <w:rPr>
          <w:rFonts w:cs="Times New Roman"/>
          <w:szCs w:val="20"/>
        </w:rPr>
        <w:t xml:space="preserve"> the proposed decision, CalCCA recommends that </w:t>
      </w:r>
      <w:r>
        <w:rPr>
          <w:rFonts w:cs="Times New Roman"/>
          <w:color w:val="000000"/>
          <w:szCs w:val="26"/>
        </w:rPr>
        <w:t xml:space="preserve">for an LSE in the CPE’s service area that fails to perform for reasons other than a planned outage, </w:t>
      </w:r>
      <w:r w:rsidR="00FC3314">
        <w:rPr>
          <w:rFonts w:cs="Times New Roman"/>
          <w:color w:val="000000"/>
          <w:szCs w:val="26"/>
        </w:rPr>
        <w:t>any backstop costs should be allocated pro-rata to all LSEs.  CalCCA states that when an LSE self-shows a local resource,</w:t>
      </w:r>
      <w:r w:rsidRPr="0046317C" w:rsidR="00BB7CF6">
        <w:rPr>
          <w:rFonts w:cs="Times New Roman"/>
          <w:szCs w:val="20"/>
        </w:rPr>
        <w:t xml:space="preserve"> </w:t>
      </w:r>
      <w:r w:rsidR="00B56337">
        <w:rPr>
          <w:rFonts w:cs="Times New Roman"/>
          <w:szCs w:val="20"/>
        </w:rPr>
        <w:t>the LSE</w:t>
      </w:r>
      <w:r w:rsidR="00FC3314">
        <w:rPr>
          <w:rFonts w:cs="Times New Roman"/>
          <w:szCs w:val="20"/>
        </w:rPr>
        <w:t xml:space="preserve"> only receives a reduction in CPE costs pro-rata based on its load share in the local area.  However, if the self-shown resource fails to perform</w:t>
      </w:r>
      <w:r w:rsidR="00B56337">
        <w:rPr>
          <w:rFonts w:cs="Times New Roman"/>
          <w:szCs w:val="20"/>
        </w:rPr>
        <w:t xml:space="preserve"> under SCE’s proposal</w:t>
      </w:r>
      <w:r w:rsidR="00FC3314">
        <w:rPr>
          <w:rFonts w:cs="Times New Roman"/>
          <w:szCs w:val="20"/>
        </w:rPr>
        <w:t xml:space="preserve">, the LSE </w:t>
      </w:r>
      <w:r w:rsidR="00764401">
        <w:rPr>
          <w:rFonts w:cs="Times New Roman"/>
          <w:szCs w:val="20"/>
        </w:rPr>
        <w:t xml:space="preserve">would </w:t>
      </w:r>
      <w:r w:rsidR="00FC3314">
        <w:rPr>
          <w:rFonts w:cs="Times New Roman"/>
          <w:szCs w:val="20"/>
        </w:rPr>
        <w:t>take on 100% of the CPM cost risk</w:t>
      </w:r>
      <w:r w:rsidR="00764401">
        <w:rPr>
          <w:rFonts w:cs="Times New Roman"/>
          <w:szCs w:val="20"/>
        </w:rPr>
        <w:t xml:space="preserve">, introducing additional </w:t>
      </w:r>
      <w:r w:rsidR="00B56337">
        <w:rPr>
          <w:rFonts w:cs="Times New Roman"/>
          <w:szCs w:val="20"/>
        </w:rPr>
        <w:t>disincentives</w:t>
      </w:r>
      <w:r w:rsidR="00764401">
        <w:rPr>
          <w:rFonts w:cs="Times New Roman"/>
          <w:szCs w:val="20"/>
        </w:rPr>
        <w:t xml:space="preserve"> to self-showing</w:t>
      </w:r>
      <w:r w:rsidR="00FC3314">
        <w:rPr>
          <w:rFonts w:cs="Times New Roman"/>
          <w:szCs w:val="20"/>
        </w:rPr>
        <w:t>.</w:t>
      </w:r>
      <w:r w:rsidR="00764401">
        <w:rPr>
          <w:rFonts w:cs="Times New Roman"/>
          <w:szCs w:val="20"/>
        </w:rPr>
        <w:t xml:space="preserve">  The Commission finds CalCCA’s </w:t>
      </w:r>
      <w:r w:rsidR="00B56337">
        <w:rPr>
          <w:rFonts w:cs="Times New Roman"/>
          <w:szCs w:val="20"/>
        </w:rPr>
        <w:t xml:space="preserve">modification to SCE’s proposal </w:t>
      </w:r>
      <w:r w:rsidR="00764401">
        <w:rPr>
          <w:rFonts w:cs="Times New Roman"/>
          <w:szCs w:val="20"/>
        </w:rPr>
        <w:t>to be reasonable</w:t>
      </w:r>
      <w:r w:rsidR="000B1C3D">
        <w:rPr>
          <w:rFonts w:cs="Times New Roman"/>
          <w:szCs w:val="20"/>
        </w:rPr>
        <w:t xml:space="preserve"> </w:t>
      </w:r>
      <w:r w:rsidR="000B1C3D">
        <w:t xml:space="preserve">in </w:t>
      </w:r>
      <w:r w:rsidR="00B56337">
        <w:t xml:space="preserve">that it </w:t>
      </w:r>
      <w:r w:rsidR="000B1C3D">
        <w:t>reduc</w:t>
      </w:r>
      <w:r w:rsidR="00B56337">
        <w:t>es</w:t>
      </w:r>
      <w:r w:rsidR="000B1C3D">
        <w:t xml:space="preserve"> </w:t>
      </w:r>
      <w:r w:rsidR="00484301">
        <w:t>a potential</w:t>
      </w:r>
      <w:r w:rsidR="00B56337">
        <w:t xml:space="preserve"> </w:t>
      </w:r>
      <w:r w:rsidR="000B1C3D">
        <w:t xml:space="preserve">disincentive to self-showing.  </w:t>
      </w:r>
    </w:p>
    <w:p w:rsidR="00BB7CF6" w:rsidP="00BB7CF6" w:rsidRDefault="003F08C3" w14:paraId="73ACCE0A" w14:textId="1A47F445">
      <w:pPr>
        <w:rPr>
          <w:rFonts w:cs="Times New Roman"/>
          <w:szCs w:val="20"/>
        </w:rPr>
      </w:pPr>
      <w:bookmarkStart w:name="_Hlk97900374" w:id="30"/>
      <w:r>
        <w:rPr>
          <w:rFonts w:cs="Times New Roman"/>
          <w:szCs w:val="20"/>
        </w:rPr>
        <w:t xml:space="preserve">CalCCA also recommends that a self-showing LSE </w:t>
      </w:r>
      <w:r w:rsidR="00144685">
        <w:rPr>
          <w:rFonts w:cs="Times New Roman"/>
          <w:szCs w:val="20"/>
        </w:rPr>
        <w:t xml:space="preserve">should </w:t>
      </w:r>
      <w:r>
        <w:rPr>
          <w:rFonts w:cs="Times New Roman"/>
          <w:szCs w:val="20"/>
        </w:rPr>
        <w:t xml:space="preserve">be allowed to substitute non-performing self-shown resources with another resource as the like-for-like local resource, and if there is no substitution, the CPE should be allowed to replace the non-performing resource.  It is unclear how the CPE can replace </w:t>
      </w:r>
      <w:r w:rsidR="00CF2A87">
        <w:rPr>
          <w:rFonts w:cs="Times New Roman"/>
          <w:szCs w:val="20"/>
        </w:rPr>
        <w:t>a</w:t>
      </w:r>
      <w:r>
        <w:rPr>
          <w:rFonts w:cs="Times New Roman"/>
          <w:szCs w:val="20"/>
        </w:rPr>
        <w:t xml:space="preserve"> non-performing resource, as the CPE makes its procurement ahead of </w:t>
      </w:r>
      <w:r>
        <w:rPr>
          <w:rFonts w:cs="Times New Roman"/>
          <w:szCs w:val="20"/>
        </w:rPr>
        <w:lastRenderedPageBreak/>
        <w:t xml:space="preserve">the year-ahead filing and does not manage replacement throughout the year.  </w:t>
      </w:r>
      <w:r w:rsidR="00CF2A87">
        <w:t>The Commission, however,</w:t>
      </w:r>
      <w:r>
        <w:t xml:space="preserve"> </w:t>
      </w:r>
      <w:r w:rsidR="000B1C3D">
        <w:t>find</w:t>
      </w:r>
      <w:r w:rsidR="00CF2A87">
        <w:t>s</w:t>
      </w:r>
      <w:r w:rsidR="000B1C3D">
        <w:t xml:space="preserve"> </w:t>
      </w:r>
      <w:r w:rsidR="00484301">
        <w:t xml:space="preserve">it reasonable to </w:t>
      </w:r>
      <w:r w:rsidR="000B1C3D">
        <w:t>allow an LSE to substitute</w:t>
      </w:r>
      <w:r w:rsidR="00CF2A87">
        <w:t xml:space="preserve"> for</w:t>
      </w:r>
      <w:r w:rsidR="000B1C3D">
        <w:t xml:space="preserve"> a non-performing local resource.  </w:t>
      </w:r>
      <w:bookmarkEnd w:id="30"/>
    </w:p>
    <w:p w:rsidR="00BB7CF6" w:rsidP="00BB7CF6" w:rsidRDefault="00BB7CF6" w14:paraId="47694C78" w14:textId="025E85A4">
      <w:pPr>
        <w:rPr>
          <w:rFonts w:cs="Times New Roman"/>
          <w:szCs w:val="20"/>
        </w:rPr>
      </w:pPr>
      <w:r w:rsidRPr="0046317C">
        <w:rPr>
          <w:rFonts w:cs="Times New Roman"/>
          <w:szCs w:val="20"/>
        </w:rPr>
        <w:t xml:space="preserve">We recognize parties’ concerns regarding changes to CAISO’s backstop allocation costs in this proceeding.  Therefore, any </w:t>
      </w:r>
      <w:r>
        <w:rPr>
          <w:rFonts w:cs="Times New Roman"/>
          <w:szCs w:val="20"/>
        </w:rPr>
        <w:t>CPM</w:t>
      </w:r>
      <w:r w:rsidRPr="0046317C">
        <w:rPr>
          <w:rFonts w:cs="Times New Roman"/>
          <w:szCs w:val="20"/>
        </w:rPr>
        <w:t xml:space="preserve"> costs associated with local RA deficiencies in the CPEs’ service areas will be allocated directly to the CPE, and the CPE will distribute those costs evenly to ratepayers</w:t>
      </w:r>
      <w:r>
        <w:rPr>
          <w:rFonts w:cs="Times New Roman"/>
          <w:szCs w:val="20"/>
        </w:rPr>
        <w:t xml:space="preserve"> through the CAM mechanism</w:t>
      </w:r>
      <w:r w:rsidRPr="0046317C">
        <w:rPr>
          <w:rFonts w:cs="Times New Roman"/>
          <w:szCs w:val="20"/>
        </w:rPr>
        <w:t xml:space="preserve">.  </w:t>
      </w:r>
      <w:r w:rsidR="00FD0E03">
        <w:rPr>
          <w:rFonts w:cs="Times New Roman"/>
          <w:szCs w:val="20"/>
        </w:rPr>
        <w:t xml:space="preserve">Any backstop procurement costs allocated to the CPE should be allocated to all LSEs in the TAC area on a load ratio share basis. </w:t>
      </w:r>
    </w:p>
    <w:p w:rsidR="00FC0C6A" w:rsidP="008304F5" w:rsidRDefault="00B00EE4" w14:paraId="035AE841" w14:textId="7F399B33">
      <w:pPr>
        <w:ind w:firstLine="0"/>
        <w:rPr>
          <w:rFonts w:cs="Times New Roman"/>
          <w:szCs w:val="20"/>
        </w:rPr>
      </w:pPr>
      <w:r>
        <w:rPr>
          <w:rFonts w:cs="Times New Roman"/>
          <w:szCs w:val="20"/>
        </w:rPr>
        <w:t>For existing executed self-shown resource contracts, the Commission finds it reasonable to adopt a modified version of PG&amp;E’s proposal to require such contracts to include a</w:t>
      </w:r>
      <w:r w:rsidR="00286278">
        <w:rPr>
          <w:rFonts w:cs="Times New Roman"/>
          <w:szCs w:val="20"/>
        </w:rPr>
        <w:t xml:space="preserve"> </w:t>
      </w:r>
      <w:r>
        <w:rPr>
          <w:rFonts w:cs="Times New Roman"/>
          <w:szCs w:val="20"/>
        </w:rPr>
        <w:t xml:space="preserve">provision </w:t>
      </w:r>
      <w:r w:rsidR="00286278">
        <w:rPr>
          <w:rFonts w:cs="Times New Roman"/>
          <w:szCs w:val="20"/>
        </w:rPr>
        <w:t>that results in automatic termination of the contract u</w:t>
      </w:r>
      <w:r>
        <w:rPr>
          <w:rFonts w:cs="Times New Roman"/>
          <w:szCs w:val="20"/>
        </w:rPr>
        <w:t>pon submission by the LSE to the CPE of a</w:t>
      </w:r>
      <w:r w:rsidR="00286278">
        <w:rPr>
          <w:rFonts w:cs="Times New Roman"/>
          <w:szCs w:val="20"/>
        </w:rPr>
        <w:t xml:space="preserve"> compliant </w:t>
      </w:r>
      <w:r>
        <w:rPr>
          <w:rFonts w:cs="Times New Roman"/>
          <w:szCs w:val="20"/>
        </w:rPr>
        <w:t>attestation.</w:t>
      </w:r>
    </w:p>
    <w:p w:rsidRPr="0046317C" w:rsidR="00BB7CF6" w:rsidP="00BB7CF6" w:rsidRDefault="00BB7CF6" w14:paraId="2DA774BB" w14:textId="56A14181">
      <w:pPr>
        <w:rPr>
          <w:rFonts w:cs="Times New Roman"/>
          <w:szCs w:val="20"/>
        </w:rPr>
      </w:pPr>
      <w:r>
        <w:rPr>
          <w:rFonts w:cs="Times New Roman"/>
          <w:szCs w:val="20"/>
        </w:rPr>
        <w:t>In response to Calpine’s comments that capacity procured as system RA may not be contractually allowed to show as local RA, we note that local RA is based on the location of the resource, not based on whether the LSE contracted to use the resource to meet local requirements.  In D.20-06-002, the Commission determined that RA attributes should remain bundled and LSEs should receive credits for any system or flexible capacity procured during the local RA or backstop processes.</w:t>
      </w:r>
      <w:r>
        <w:rPr>
          <w:rStyle w:val="FootnoteReference"/>
          <w:rFonts w:cs="Times New Roman"/>
          <w:szCs w:val="20"/>
        </w:rPr>
        <w:footnoteReference w:id="33"/>
      </w:r>
      <w:r>
        <w:rPr>
          <w:rFonts w:cs="Times New Roman"/>
          <w:szCs w:val="20"/>
        </w:rPr>
        <w:t xml:space="preserve">  Therefore, we find it reasonable to modify SCE’s attestation proposal to require that an LSE attest that it has the capacity rights to the RA resource, generally, not that the LSE has the capacity rights to the local RA resource, specifically.</w:t>
      </w:r>
    </w:p>
    <w:p w:rsidRPr="0046317C" w:rsidR="00BB7CF6" w:rsidP="00BB7CF6" w:rsidRDefault="00BB7CF6" w14:paraId="0C35FB4F" w14:textId="77777777">
      <w:pPr>
        <w:rPr>
          <w:rFonts w:cs="Times New Roman"/>
          <w:color w:val="000000"/>
          <w:szCs w:val="26"/>
        </w:rPr>
      </w:pPr>
      <w:r w:rsidRPr="0046317C">
        <w:rPr>
          <w:rFonts w:cs="Times New Roman"/>
          <w:color w:val="000000"/>
          <w:szCs w:val="26"/>
        </w:rPr>
        <w:lastRenderedPageBreak/>
        <w:t xml:space="preserve">Further, given the shortfalls in the PG&amp;E CPE’s procurement process and the low participation rates in the CPE solicitation process, it is critical to better understand why LSEs are electing not to bid or self-show resources to the CPE.  We agree with PG&amp;E’s modification that LSEs that decline to self-show or bid shall submit a justification with their year-ahead RA filing explaining their rationale.  We concur that this is not meant as an enforcement mechanism but to improve the CPE framework and make adjustments as necessary.  </w:t>
      </w:r>
    </w:p>
    <w:p w:rsidRPr="0046317C" w:rsidR="00BB7CF6" w:rsidP="00BB7CF6" w:rsidRDefault="00BB7CF6" w14:paraId="0DF6C338" w14:textId="6C557C03">
      <w:pPr>
        <w:autoSpaceDE w:val="0"/>
        <w:autoSpaceDN w:val="0"/>
        <w:adjustRightInd w:val="0"/>
        <w:rPr>
          <w:rFonts w:cs="Times New Roman"/>
          <w:color w:val="000000"/>
          <w:szCs w:val="26"/>
        </w:rPr>
      </w:pPr>
      <w:r w:rsidRPr="0046317C">
        <w:rPr>
          <w:rFonts w:cs="Times New Roman"/>
          <w:color w:val="000000"/>
          <w:szCs w:val="26"/>
        </w:rPr>
        <w:t xml:space="preserve">SCE recommends that while an LSE’s self-shown resource for Year 1 should be firm, LSEs can replace self-shown resources with other local resources in the subsequent year’s RA showing.  Because the CPE’s procurement amount is 100% for Years 1 and 2, we find it </w:t>
      </w:r>
      <w:r>
        <w:rPr>
          <w:rFonts w:cs="Times New Roman"/>
          <w:color w:val="000000"/>
          <w:szCs w:val="26"/>
        </w:rPr>
        <w:t>appropriate</w:t>
      </w:r>
      <w:r w:rsidRPr="0046317C">
        <w:rPr>
          <w:rFonts w:cs="Times New Roman"/>
          <w:color w:val="000000"/>
          <w:szCs w:val="26"/>
        </w:rPr>
        <w:t xml:space="preserve"> that LSEs’ self-showing commitment should be firm for two years, but LSEs may replace local resources shown for Year 3 with other local resources </w:t>
      </w:r>
      <w:r w:rsidR="000968B7">
        <w:rPr>
          <w:rFonts w:cs="Times New Roman"/>
          <w:color w:val="000000"/>
          <w:szCs w:val="26"/>
        </w:rPr>
        <w:t xml:space="preserve">located in the same local capacity area and at least equal to the capacity of the local resources being replaced </w:t>
      </w:r>
      <w:r w:rsidRPr="0046317C">
        <w:rPr>
          <w:rFonts w:cs="Times New Roman"/>
          <w:color w:val="000000"/>
          <w:szCs w:val="26"/>
        </w:rPr>
        <w:t>in the subsequent year’s showing.</w:t>
      </w:r>
    </w:p>
    <w:p w:rsidRPr="0046317C" w:rsidR="00BB7CF6" w:rsidP="00BB7CF6" w:rsidRDefault="00BB7CF6" w14:paraId="4EABF3B0" w14:textId="6003DD54">
      <w:pPr>
        <w:rPr>
          <w:rFonts w:cs="Times New Roman"/>
          <w:szCs w:val="20"/>
        </w:rPr>
      </w:pPr>
      <w:r w:rsidRPr="0046317C">
        <w:rPr>
          <w:rFonts w:cs="Times New Roman"/>
          <w:szCs w:val="20"/>
        </w:rPr>
        <w:t xml:space="preserve">Accordingly, </w:t>
      </w:r>
      <w:r w:rsidR="00484301">
        <w:rPr>
          <w:rFonts w:cs="Times New Roman"/>
          <w:szCs w:val="20"/>
        </w:rPr>
        <w:t>we</w:t>
      </w:r>
      <w:r w:rsidR="00E56254">
        <w:rPr>
          <w:rFonts w:cs="Times New Roman"/>
          <w:szCs w:val="20"/>
        </w:rPr>
        <w:t xml:space="preserve"> </w:t>
      </w:r>
      <w:r w:rsidR="00484301">
        <w:rPr>
          <w:rFonts w:cs="Times New Roman"/>
          <w:szCs w:val="20"/>
        </w:rPr>
        <w:t xml:space="preserve">adopt </w:t>
      </w:r>
      <w:r w:rsidR="00E56254">
        <w:rPr>
          <w:rFonts w:cs="Times New Roman"/>
          <w:szCs w:val="20"/>
        </w:rPr>
        <w:t>SCE’s proposal with CalCCA’s modifications</w:t>
      </w:r>
      <w:r w:rsidR="00484301">
        <w:rPr>
          <w:rFonts w:cs="Times New Roman"/>
          <w:szCs w:val="20"/>
        </w:rPr>
        <w:t>.</w:t>
      </w:r>
      <w:r w:rsidR="00E56254">
        <w:rPr>
          <w:rFonts w:cs="Times New Roman"/>
          <w:szCs w:val="20"/>
        </w:rPr>
        <w:t xml:space="preserve"> </w:t>
      </w:r>
      <w:r w:rsidR="00484301">
        <w:rPr>
          <w:rFonts w:cs="Times New Roman"/>
          <w:szCs w:val="20"/>
        </w:rPr>
        <w:t xml:space="preserve"> T</w:t>
      </w:r>
      <w:r w:rsidRPr="0046317C">
        <w:rPr>
          <w:rFonts w:cs="Times New Roman"/>
          <w:szCs w:val="20"/>
        </w:rPr>
        <w:t>he following requirements are adopted for non-performance of self-shown local resources:</w:t>
      </w:r>
    </w:p>
    <w:p w:rsidR="00FD0E03" w:rsidP="00BB7CF6" w:rsidRDefault="00FD0E03" w14:paraId="7BC3DF8C" w14:textId="22CC745C">
      <w:pPr>
        <w:numPr>
          <w:ilvl w:val="0"/>
          <w:numId w:val="21"/>
        </w:numPr>
        <w:spacing w:after="120" w:line="240" w:lineRule="auto"/>
        <w:ind w:right="1440"/>
        <w:rPr>
          <w:rFonts w:cs="Times New Roman"/>
          <w:szCs w:val="20"/>
        </w:rPr>
      </w:pPr>
      <w:r>
        <w:rPr>
          <w:rFonts w:cs="Times New Roman"/>
          <w:szCs w:val="20"/>
        </w:rPr>
        <w:t>Self-showing LSEs shall be allowed to provide a substitute resource as the like-for-like local resource to replace non-performing self-shown local resources.</w:t>
      </w:r>
    </w:p>
    <w:p w:rsidRPr="0046317C" w:rsidR="00BB7CF6" w:rsidP="00BB7CF6" w:rsidRDefault="00BB7CF6" w14:paraId="35B0978E" w14:textId="7D371DDC">
      <w:pPr>
        <w:numPr>
          <w:ilvl w:val="0"/>
          <w:numId w:val="21"/>
        </w:numPr>
        <w:spacing w:after="120" w:line="240" w:lineRule="auto"/>
        <w:ind w:right="1440"/>
        <w:rPr>
          <w:rFonts w:cs="Times New Roman"/>
          <w:szCs w:val="20"/>
        </w:rPr>
      </w:pPr>
      <w:r w:rsidRPr="0046317C">
        <w:rPr>
          <w:rFonts w:cs="Times New Roman"/>
          <w:color w:val="000000"/>
          <w:szCs w:val="26"/>
        </w:rPr>
        <w:t>If the CAISO makes a local CPM designation</w:t>
      </w:r>
      <w:r w:rsidR="00286278">
        <w:rPr>
          <w:rFonts w:cs="Times New Roman"/>
          <w:color w:val="000000"/>
          <w:szCs w:val="26"/>
        </w:rPr>
        <w:t xml:space="preserve"> for an individual deficiency</w:t>
      </w:r>
      <w:r w:rsidRPr="0046317C">
        <w:rPr>
          <w:rFonts w:cs="Times New Roman"/>
          <w:color w:val="000000"/>
          <w:szCs w:val="26"/>
        </w:rPr>
        <w:t>, the CPE shall be charged any associated CAISO backstop procurement costs, including for the non-performance of self-shown resources.</w:t>
      </w:r>
      <w:r w:rsidR="00FD0E03">
        <w:rPr>
          <w:rFonts w:cs="Times New Roman"/>
          <w:color w:val="000000"/>
          <w:szCs w:val="26"/>
        </w:rPr>
        <w:t xml:space="preserve">  Any backstop procurement costs allocated to the CPE shall be allocated </w:t>
      </w:r>
      <w:r w:rsidR="00861E9D">
        <w:rPr>
          <w:rFonts w:cs="Times New Roman"/>
          <w:color w:val="000000"/>
          <w:szCs w:val="26"/>
        </w:rPr>
        <w:t xml:space="preserve">to </w:t>
      </w:r>
      <w:r w:rsidR="00FD0E03">
        <w:rPr>
          <w:rFonts w:cs="Times New Roman"/>
          <w:color w:val="000000"/>
          <w:szCs w:val="26"/>
        </w:rPr>
        <w:t>all LSEs in the TAC area on a load ratio share basis.</w:t>
      </w:r>
    </w:p>
    <w:p w:rsidRPr="008304F5" w:rsidR="00377440" w:rsidP="008304F5" w:rsidRDefault="00377440" w14:paraId="33A684FD" w14:textId="77777777">
      <w:pPr>
        <w:autoSpaceDE w:val="0"/>
        <w:autoSpaceDN w:val="0"/>
        <w:adjustRightInd w:val="0"/>
        <w:spacing w:before="120" w:after="120" w:line="240" w:lineRule="auto"/>
        <w:ind w:right="1440" w:firstLine="0"/>
        <w:rPr>
          <w:rFonts w:cs="Times New Roman"/>
          <w:color w:val="000000"/>
          <w:szCs w:val="26"/>
        </w:rPr>
      </w:pPr>
    </w:p>
    <w:p w:rsidR="00BB7CF6" w:rsidP="00BB7CF6" w:rsidRDefault="00BB7CF6" w14:paraId="29DF7521" w14:textId="4EE7456B">
      <w:pPr>
        <w:autoSpaceDE w:val="0"/>
        <w:autoSpaceDN w:val="0"/>
        <w:adjustRightInd w:val="0"/>
        <w:spacing w:before="120"/>
        <w:rPr>
          <w:rFonts w:cs="Times New Roman"/>
          <w:color w:val="000000"/>
          <w:szCs w:val="26"/>
        </w:rPr>
      </w:pPr>
      <w:r>
        <w:rPr>
          <w:rFonts w:cs="Times New Roman"/>
          <w:color w:val="000000"/>
          <w:szCs w:val="26"/>
        </w:rPr>
        <w:lastRenderedPageBreak/>
        <w:t xml:space="preserve">For purposes of the above requirements, “non-performance” is defined as the failure to provide: (a) the Commission with an RA plan with the self-shown resource, and (b) the CAISO with a matching supply plan for the self-shown resource.  </w:t>
      </w:r>
    </w:p>
    <w:p w:rsidRPr="0046317C" w:rsidR="00BB7CF6" w:rsidP="00BB7CF6" w:rsidRDefault="00861E9D" w14:paraId="7C9D4255" w14:textId="3458963D">
      <w:pPr>
        <w:autoSpaceDE w:val="0"/>
        <w:autoSpaceDN w:val="0"/>
        <w:adjustRightInd w:val="0"/>
        <w:rPr>
          <w:rFonts w:cs="Times New Roman"/>
          <w:color w:val="000000"/>
          <w:szCs w:val="26"/>
        </w:rPr>
      </w:pPr>
      <w:r>
        <w:rPr>
          <w:rFonts w:cs="Times New Roman"/>
          <w:color w:val="000000"/>
          <w:szCs w:val="26"/>
        </w:rPr>
        <w:t>I</w:t>
      </w:r>
      <w:r w:rsidR="00484301">
        <w:rPr>
          <w:rFonts w:cs="Times New Roman"/>
          <w:color w:val="000000"/>
          <w:szCs w:val="26"/>
        </w:rPr>
        <w:t xml:space="preserve">n accordance with the </w:t>
      </w:r>
      <w:r w:rsidR="008B2202">
        <w:rPr>
          <w:rFonts w:cs="Times New Roman"/>
          <w:color w:val="000000"/>
          <w:szCs w:val="26"/>
        </w:rPr>
        <w:t xml:space="preserve">CPE </w:t>
      </w:r>
      <w:r w:rsidR="00484301">
        <w:rPr>
          <w:rFonts w:cs="Times New Roman"/>
          <w:color w:val="000000"/>
          <w:szCs w:val="26"/>
        </w:rPr>
        <w:t>timeline adopted in this decision</w:t>
      </w:r>
      <w:r w:rsidRPr="0046317C" w:rsidR="00BB7CF6">
        <w:rPr>
          <w:rFonts w:cs="Times New Roman"/>
          <w:color w:val="000000"/>
          <w:szCs w:val="26"/>
        </w:rPr>
        <w:t>, an LSE that elects to self-show a local resource to the CPE shall execute an attestation that provides</w:t>
      </w:r>
      <w:r w:rsidR="00BB7CF6">
        <w:rPr>
          <w:rFonts w:cs="Times New Roman"/>
          <w:color w:val="000000"/>
          <w:szCs w:val="26"/>
        </w:rPr>
        <w:t xml:space="preserve"> that</w:t>
      </w:r>
      <w:r w:rsidRPr="0046317C" w:rsidR="00BB7CF6">
        <w:rPr>
          <w:rFonts w:cs="Times New Roman"/>
          <w:color w:val="000000"/>
          <w:szCs w:val="26"/>
        </w:rPr>
        <w:t xml:space="preserve">: </w:t>
      </w:r>
    </w:p>
    <w:p w:rsidRPr="0046317C" w:rsidR="00BB7CF6" w:rsidP="00BB7CF6" w:rsidRDefault="00BB7CF6" w14:paraId="3806C4CB" w14:textId="77777777">
      <w:pPr>
        <w:numPr>
          <w:ilvl w:val="0"/>
          <w:numId w:val="22"/>
        </w:numPr>
        <w:autoSpaceDE w:val="0"/>
        <w:autoSpaceDN w:val="0"/>
        <w:adjustRightInd w:val="0"/>
        <w:spacing w:after="120" w:line="240" w:lineRule="auto"/>
        <w:ind w:right="1440"/>
        <w:rPr>
          <w:rFonts w:cs="Times New Roman"/>
          <w:color w:val="000000"/>
          <w:szCs w:val="20"/>
        </w:rPr>
      </w:pPr>
      <w:r w:rsidRPr="0046317C">
        <w:rPr>
          <w:rFonts w:cs="Times New Roman"/>
          <w:color w:val="000000" w:themeColor="text1"/>
          <w:szCs w:val="20"/>
        </w:rPr>
        <w:t xml:space="preserve">The LSE has the </w:t>
      </w:r>
      <w:r>
        <w:rPr>
          <w:rFonts w:cs="Times New Roman"/>
          <w:color w:val="000000" w:themeColor="text1"/>
          <w:szCs w:val="20"/>
        </w:rPr>
        <w:t xml:space="preserve">capacity </w:t>
      </w:r>
      <w:r w:rsidRPr="0046317C">
        <w:rPr>
          <w:rFonts w:cs="Times New Roman"/>
          <w:color w:val="000000" w:themeColor="text1"/>
          <w:szCs w:val="20"/>
        </w:rPr>
        <w:t>rights to the RA resource for the period it is self-showing;</w:t>
      </w:r>
    </w:p>
    <w:p w:rsidRPr="0046317C" w:rsidR="00BB7CF6" w:rsidP="00BB7CF6" w:rsidRDefault="00BB7CF6" w14:paraId="76B87AC8" w14:textId="7EFFEFBB">
      <w:pPr>
        <w:numPr>
          <w:ilvl w:val="0"/>
          <w:numId w:val="22"/>
        </w:numPr>
        <w:autoSpaceDE w:val="0"/>
        <w:autoSpaceDN w:val="0"/>
        <w:adjustRightInd w:val="0"/>
        <w:spacing w:after="120" w:line="240" w:lineRule="auto"/>
        <w:ind w:left="1094" w:right="1440" w:hanging="374"/>
        <w:rPr>
          <w:rFonts w:cs="Times New Roman"/>
          <w:color w:val="000000"/>
          <w:szCs w:val="26"/>
        </w:rPr>
      </w:pPr>
      <w:r w:rsidRPr="0046317C">
        <w:rPr>
          <w:rFonts w:cs="Times New Roman"/>
          <w:color w:val="000000"/>
          <w:szCs w:val="26"/>
        </w:rPr>
        <w:t xml:space="preserve">The LSE intends to self-show the RA resource on annual and monthly RA plans to satisfy its system and/or flexible RA needs; and </w:t>
      </w:r>
    </w:p>
    <w:p w:rsidRPr="00FF5C1C" w:rsidR="00484301" w:rsidP="00FF5C1C" w:rsidRDefault="00FF5C1C" w14:paraId="6D60D253" w14:textId="4CF82B2D">
      <w:pPr>
        <w:pStyle w:val="ALJOP"/>
        <w:numPr>
          <w:ilvl w:val="0"/>
          <w:numId w:val="22"/>
        </w:numPr>
        <w:spacing w:after="120" w:line="240" w:lineRule="auto"/>
        <w:ind w:right="1526"/>
        <w:rPr>
          <w:color w:val="000000"/>
        </w:rPr>
      </w:pPr>
      <w:r>
        <w:rPr>
          <w:color w:val="000000"/>
        </w:rPr>
        <w:t>If applicable, the resource that the LSE intends to self-show for compensation under the LCR RCM meets the eligibility requirements pursuant to D.20-12-006.</w:t>
      </w:r>
    </w:p>
    <w:p w:rsidR="00BB7CF6" w:rsidP="00BB7CF6" w:rsidRDefault="00BB7CF6" w14:paraId="47C0600C" w14:textId="77777777">
      <w:pPr>
        <w:autoSpaceDE w:val="0"/>
        <w:autoSpaceDN w:val="0"/>
        <w:adjustRightInd w:val="0"/>
        <w:rPr>
          <w:rFonts w:cs="Times New Roman"/>
          <w:color w:val="000000"/>
          <w:szCs w:val="26"/>
        </w:rPr>
      </w:pPr>
      <w:r w:rsidRPr="0046317C">
        <w:rPr>
          <w:rFonts w:cs="Times New Roman"/>
          <w:color w:val="000000"/>
          <w:szCs w:val="26"/>
        </w:rPr>
        <w:t>The attestation requirements, adopted here, replace the previous requirement that a shown resource must be documented on an agreement as determined by the CPE, as provided in Ordering Paragraph</w:t>
      </w:r>
      <w:r>
        <w:rPr>
          <w:rFonts w:cs="Times New Roman"/>
          <w:color w:val="000000"/>
          <w:szCs w:val="26"/>
        </w:rPr>
        <w:t xml:space="preserve"> </w:t>
      </w:r>
      <w:r w:rsidRPr="0046317C">
        <w:rPr>
          <w:rFonts w:cs="Times New Roman"/>
          <w:color w:val="000000"/>
          <w:szCs w:val="26"/>
        </w:rPr>
        <w:t>3 of D.20</w:t>
      </w:r>
      <w:r>
        <w:rPr>
          <w:rFonts w:cs="Times New Roman"/>
          <w:color w:val="000000"/>
          <w:szCs w:val="26"/>
        </w:rPr>
        <w:noBreakHyphen/>
      </w:r>
      <w:r w:rsidRPr="0046317C">
        <w:rPr>
          <w:rFonts w:cs="Times New Roman"/>
          <w:color w:val="000000"/>
          <w:szCs w:val="26"/>
        </w:rPr>
        <w:t>12</w:t>
      </w:r>
      <w:r>
        <w:rPr>
          <w:rFonts w:cs="Times New Roman"/>
          <w:color w:val="000000"/>
          <w:szCs w:val="26"/>
        </w:rPr>
        <w:noBreakHyphen/>
      </w:r>
      <w:r w:rsidRPr="0046317C">
        <w:rPr>
          <w:rFonts w:cs="Times New Roman"/>
          <w:color w:val="000000"/>
          <w:szCs w:val="26"/>
        </w:rPr>
        <w:t>006.</w:t>
      </w:r>
      <w:r>
        <w:rPr>
          <w:rFonts w:cs="Times New Roman"/>
          <w:color w:val="000000"/>
          <w:szCs w:val="26"/>
        </w:rPr>
        <w:t xml:space="preserve">  </w:t>
      </w:r>
    </w:p>
    <w:p w:rsidR="00FF5C1C" w:rsidP="00FF5C1C" w:rsidRDefault="00BB7CF6" w14:paraId="519B11CC" w14:textId="77777777">
      <w:pPr>
        <w:autoSpaceDE w:val="0"/>
        <w:autoSpaceDN w:val="0"/>
        <w:adjustRightInd w:val="0"/>
        <w:rPr>
          <w:rFonts w:cs="Times New Roman"/>
          <w:color w:val="000000"/>
          <w:szCs w:val="26"/>
        </w:rPr>
      </w:pPr>
      <w:r w:rsidRPr="0046317C">
        <w:rPr>
          <w:rFonts w:cs="Times New Roman"/>
          <w:color w:val="000000" w:themeColor="text1"/>
          <w:szCs w:val="20"/>
        </w:rPr>
        <w:t>This</w:t>
      </w:r>
      <w:r w:rsidRPr="0046317C">
        <w:rPr>
          <w:rFonts w:cs="Times New Roman"/>
          <w:color w:val="000000"/>
          <w:szCs w:val="26"/>
        </w:rPr>
        <w:t xml:space="preserve"> </w:t>
      </w:r>
      <w:r>
        <w:rPr>
          <w:rFonts w:cs="Times New Roman"/>
          <w:color w:val="000000"/>
          <w:szCs w:val="26"/>
        </w:rPr>
        <w:t xml:space="preserve">attestation </w:t>
      </w:r>
      <w:r w:rsidRPr="0046317C">
        <w:rPr>
          <w:rFonts w:cs="Times New Roman"/>
          <w:color w:val="000000"/>
          <w:szCs w:val="26"/>
        </w:rPr>
        <w:t>process shall also apply to an LSE that bids a local resource and states that if the bid is not selected, the LSE will self-show the local resource for no compensation.</w:t>
      </w:r>
      <w:r>
        <w:rPr>
          <w:rFonts w:cs="Times New Roman"/>
          <w:color w:val="000000"/>
          <w:szCs w:val="26"/>
        </w:rPr>
        <w:t xml:space="preserve">  This attestation shall be submitted at the time the LSE submits its bid into the CPE’s solicitation.</w:t>
      </w:r>
      <w:r w:rsidRPr="0046317C">
        <w:rPr>
          <w:rFonts w:cs="Times New Roman"/>
          <w:color w:val="000000"/>
          <w:szCs w:val="26"/>
        </w:rPr>
        <w:t xml:space="preserve">   </w:t>
      </w:r>
    </w:p>
    <w:p w:rsidR="00FF5C1C" w:rsidP="00FF5C1C" w:rsidRDefault="00FF5C1C" w14:paraId="6B77B83E" w14:textId="6807A1D9">
      <w:pPr>
        <w:autoSpaceDE w:val="0"/>
        <w:autoSpaceDN w:val="0"/>
        <w:adjustRightInd w:val="0"/>
        <w:rPr>
          <w:rFonts w:cs="Times New Roman"/>
          <w:color w:val="000000"/>
          <w:szCs w:val="26"/>
        </w:rPr>
      </w:pPr>
      <w:r>
        <w:t>For compensated self-shown resources under the LCR RCM, the CPE shall have discretion to require a self-showing LSE to either: (a) execute an agreement between the CPE and self-showing LSE that provides payment information and other relevant terms, or (b) submit an attestation that identifies the resource as a preferred resource and provides the LSE’s payment information.  For the latter, the CPE will then provide acknowledgement to the LSE with payment terms.</w:t>
      </w:r>
    </w:p>
    <w:p w:rsidRPr="0046317C" w:rsidR="00CB125D" w:rsidP="00BB7CF6" w:rsidRDefault="00CB125D" w14:paraId="4B67FF42" w14:textId="5E2919BF">
      <w:pPr>
        <w:autoSpaceDE w:val="0"/>
        <w:autoSpaceDN w:val="0"/>
        <w:adjustRightInd w:val="0"/>
        <w:rPr>
          <w:rFonts w:cs="Times New Roman"/>
          <w:color w:val="000000"/>
          <w:szCs w:val="26"/>
        </w:rPr>
      </w:pPr>
      <w:r>
        <w:rPr>
          <w:rFonts w:cs="Times New Roman"/>
          <w:color w:val="000000"/>
          <w:szCs w:val="26"/>
        </w:rPr>
        <w:lastRenderedPageBreak/>
        <w:t xml:space="preserve">For any existing self-shown resource contracts, the contract shall include, or be amended to include, a provision resulting in automatic termination of the self-shown contract without any further action of the parties upon submission by the LSE to the CPE of an attestation, provided that the attestation complies with the relevant requirements and conforms to the self-shown commitment originally entered into through the contract between the CPE and LSE.  Amendment and/or automatic termination of any existing self-shown resource contract for which a qualifying attestation is submitted is deemed reasonable and shall </w:t>
      </w:r>
      <w:r w:rsidR="00144EFE">
        <w:rPr>
          <w:rFonts w:cs="Times New Roman"/>
          <w:color w:val="000000"/>
          <w:szCs w:val="26"/>
        </w:rPr>
        <w:t>not</w:t>
      </w:r>
      <w:r>
        <w:rPr>
          <w:rFonts w:cs="Times New Roman"/>
          <w:color w:val="000000"/>
          <w:szCs w:val="26"/>
        </w:rPr>
        <w:t xml:space="preserve"> require contract management review as part of a regulatory proceeding.</w:t>
      </w:r>
    </w:p>
    <w:p w:rsidR="00BB7CF6" w:rsidP="00BB7CF6" w:rsidRDefault="00BB7CF6" w14:paraId="065F7BC9" w14:textId="48E830EE">
      <w:pPr>
        <w:autoSpaceDE w:val="0"/>
        <w:autoSpaceDN w:val="0"/>
        <w:adjustRightInd w:val="0"/>
        <w:rPr>
          <w:rFonts w:cs="Times New Roman"/>
          <w:color w:val="000000"/>
          <w:szCs w:val="26"/>
        </w:rPr>
      </w:pPr>
      <w:r>
        <w:rPr>
          <w:rFonts w:cs="Times New Roman"/>
          <w:color w:val="000000"/>
          <w:szCs w:val="26"/>
        </w:rPr>
        <w:t>I</w:t>
      </w:r>
      <w:r w:rsidRPr="0046317C">
        <w:rPr>
          <w:rFonts w:cs="Times New Roman"/>
          <w:color w:val="000000"/>
          <w:szCs w:val="26"/>
        </w:rPr>
        <w:t xml:space="preserve">f an LSE either: </w:t>
      </w:r>
      <w:r>
        <w:rPr>
          <w:rFonts w:cs="Times New Roman"/>
          <w:color w:val="000000"/>
          <w:szCs w:val="26"/>
        </w:rPr>
        <w:t xml:space="preserve"> </w:t>
      </w:r>
      <w:r w:rsidRPr="0046317C">
        <w:rPr>
          <w:rFonts w:cs="Times New Roman"/>
          <w:color w:val="000000"/>
          <w:szCs w:val="26"/>
        </w:rPr>
        <w:t>(a) declines to self-show a local resource to the CPE, or (b)</w:t>
      </w:r>
      <w:r w:rsidR="002E43C5">
        <w:rPr>
          <w:rFonts w:cs="Times New Roman"/>
          <w:color w:val="000000"/>
          <w:szCs w:val="26"/>
        </w:rPr>
        <w:t> </w:t>
      </w:r>
      <w:r w:rsidRPr="0046317C">
        <w:rPr>
          <w:rFonts w:cs="Times New Roman"/>
          <w:color w:val="000000"/>
          <w:szCs w:val="26"/>
        </w:rPr>
        <w:t xml:space="preserve">declines to bid a local resource into the CPE’s solicitation process, the LSE shall file a justification statement in its year-ahead RA filing explaining why the LSE declined to self-show or bid the local resource to the CPE. </w:t>
      </w:r>
    </w:p>
    <w:p w:rsidR="00BB7CF6" w:rsidP="00BB7CF6" w:rsidRDefault="00BB7CF6" w14:paraId="181C791B" w14:textId="0E0147E9">
      <w:pPr>
        <w:autoSpaceDE w:val="0"/>
        <w:autoSpaceDN w:val="0"/>
        <w:adjustRightInd w:val="0"/>
        <w:rPr>
          <w:rFonts w:cs="Times New Roman"/>
          <w:color w:val="000000"/>
          <w:szCs w:val="26"/>
        </w:rPr>
      </w:pPr>
      <w:r w:rsidRPr="0046317C">
        <w:rPr>
          <w:rFonts w:cs="Times New Roman"/>
          <w:color w:val="000000"/>
          <w:szCs w:val="26"/>
        </w:rPr>
        <w:t xml:space="preserve">Lastly, an LSE’s self-shown commitment must be firm for </w:t>
      </w:r>
      <w:r>
        <w:rPr>
          <w:rFonts w:cs="Times New Roman"/>
          <w:color w:val="000000"/>
          <w:szCs w:val="26"/>
        </w:rPr>
        <w:t>Years 1 and 2</w:t>
      </w:r>
      <w:r w:rsidRPr="0046317C">
        <w:rPr>
          <w:rFonts w:cs="Times New Roman"/>
          <w:color w:val="000000"/>
          <w:szCs w:val="26"/>
        </w:rPr>
        <w:t xml:space="preserve">.  LSEs may replace their self-shown local resources for Year 3 with other local resources </w:t>
      </w:r>
      <w:r w:rsidR="004607FD">
        <w:rPr>
          <w:rFonts w:cs="Times New Roman"/>
          <w:color w:val="000000"/>
          <w:szCs w:val="26"/>
        </w:rPr>
        <w:t xml:space="preserve">located in the same local capacity area and at least equal to the capacity of the local resources being replaced </w:t>
      </w:r>
      <w:r w:rsidRPr="0046317C">
        <w:rPr>
          <w:rFonts w:cs="Times New Roman"/>
          <w:color w:val="000000"/>
          <w:szCs w:val="26"/>
        </w:rPr>
        <w:t xml:space="preserve">in the subsequent year’s RA showing. </w:t>
      </w:r>
    </w:p>
    <w:p w:rsidRPr="0046317C" w:rsidR="00BB7CF6" w:rsidP="00BB7CF6" w:rsidRDefault="00BB7CF6" w14:paraId="175EC54C" w14:textId="77777777">
      <w:pPr>
        <w:pStyle w:val="Heading2"/>
      </w:pPr>
      <w:bookmarkStart w:name="_Toc94080386" w:id="31"/>
      <w:bookmarkStart w:name="_Toc95232105" w:id="32"/>
      <w:r w:rsidRPr="0046317C">
        <w:t>CPE Solicitation Selection Criteria</w:t>
      </w:r>
      <w:bookmarkEnd w:id="31"/>
      <w:bookmarkEnd w:id="32"/>
    </w:p>
    <w:p w:rsidRPr="0046317C" w:rsidR="00BB7CF6" w:rsidP="00BB7CF6" w:rsidRDefault="00BB7CF6" w14:paraId="29C3A8D6" w14:textId="77777777">
      <w:pPr>
        <w:ind w:firstLine="432"/>
        <w:rPr>
          <w:rFonts w:cs="Times New Roman"/>
          <w:szCs w:val="20"/>
        </w:rPr>
      </w:pPr>
      <w:r w:rsidRPr="0046317C">
        <w:rPr>
          <w:rFonts w:cs="Times New Roman"/>
          <w:szCs w:val="20"/>
        </w:rPr>
        <w:t>In D.20-06-002, the Commission set forth selection criteria for the CPE to use to guide the selection of local resources.  The Commission stated:</w:t>
      </w:r>
      <w:r w:rsidRPr="0046317C">
        <w:rPr>
          <w:rFonts w:cs="Times New Roman"/>
          <w:szCs w:val="20"/>
          <w:vertAlign w:val="superscript"/>
        </w:rPr>
        <w:footnoteReference w:id="34"/>
      </w:r>
      <w:r w:rsidRPr="0046317C">
        <w:rPr>
          <w:rFonts w:cs="Times New Roman"/>
          <w:szCs w:val="20"/>
        </w:rPr>
        <w:t xml:space="preserve"> </w:t>
      </w:r>
    </w:p>
    <w:p w:rsidRPr="0046317C" w:rsidR="00BB7CF6" w:rsidP="00BB7CF6" w:rsidRDefault="00BB7CF6" w14:paraId="5230E45F" w14:textId="77777777">
      <w:pPr>
        <w:spacing w:after="120" w:line="240" w:lineRule="auto"/>
        <w:ind w:left="720" w:right="1440" w:firstLine="0"/>
        <w:rPr>
          <w:rFonts w:cs="Times New Roman"/>
          <w:szCs w:val="26"/>
        </w:rPr>
      </w:pPr>
      <w:r w:rsidRPr="0046317C">
        <w:rPr>
          <w:rFonts w:cs="Times New Roman"/>
          <w:szCs w:val="26"/>
        </w:rPr>
        <w:t>To guide the selection of local resources procured by the central procurement entity (CPE), the CPE shall use the all</w:t>
      </w:r>
      <w:r>
        <w:rPr>
          <w:rFonts w:cs="Times New Roman"/>
          <w:szCs w:val="26"/>
        </w:rPr>
        <w:t>-</w:t>
      </w:r>
      <w:r w:rsidRPr="0046317C">
        <w:rPr>
          <w:rFonts w:cs="Times New Roman"/>
          <w:szCs w:val="26"/>
        </w:rPr>
        <w:t>source selection criteria, including the loading order, and least cost best fit methodology adopted in Decision (D.)</w:t>
      </w:r>
      <w:r>
        <w:rPr>
          <w:rFonts w:cs="Times New Roman"/>
          <w:szCs w:val="26"/>
        </w:rPr>
        <w:t> </w:t>
      </w:r>
      <w:r w:rsidRPr="0046317C">
        <w:rPr>
          <w:rFonts w:cs="Times New Roman"/>
          <w:szCs w:val="26"/>
        </w:rPr>
        <w:t>04</w:t>
      </w:r>
      <w:r>
        <w:rPr>
          <w:rFonts w:cs="Times New Roman"/>
          <w:szCs w:val="26"/>
        </w:rPr>
        <w:noBreakHyphen/>
      </w:r>
      <w:r w:rsidRPr="0046317C">
        <w:rPr>
          <w:rFonts w:cs="Times New Roman"/>
          <w:szCs w:val="26"/>
        </w:rPr>
        <w:t>07</w:t>
      </w:r>
      <w:r>
        <w:rPr>
          <w:rFonts w:cs="Times New Roman"/>
          <w:szCs w:val="26"/>
        </w:rPr>
        <w:noBreakHyphen/>
      </w:r>
      <w:r w:rsidRPr="0046317C">
        <w:rPr>
          <w:rFonts w:cs="Times New Roman"/>
          <w:szCs w:val="26"/>
        </w:rPr>
        <w:t>029.  The least cost best fit methodology employed shall also include the following selection criteria:</w:t>
      </w:r>
    </w:p>
    <w:p w:rsidRPr="0046317C" w:rsidR="00BB7CF6" w:rsidP="00BB7CF6" w:rsidRDefault="00BB7CF6" w14:paraId="38B5E70E" w14:textId="77777777">
      <w:pPr>
        <w:numPr>
          <w:ilvl w:val="0"/>
          <w:numId w:val="15"/>
        </w:numPr>
        <w:spacing w:after="120" w:line="240" w:lineRule="auto"/>
        <w:ind w:left="1440" w:right="1440"/>
        <w:rPr>
          <w:rFonts w:eastAsia="Times New Roman" w:cs="Times New Roman"/>
          <w:szCs w:val="26"/>
        </w:rPr>
      </w:pPr>
      <w:r w:rsidRPr="0046317C">
        <w:rPr>
          <w:rFonts w:eastAsia="Times New Roman" w:cs="Times New Roman"/>
          <w:szCs w:val="26"/>
        </w:rPr>
        <w:lastRenderedPageBreak/>
        <w:t>Future needs in local and sub-local areas;</w:t>
      </w:r>
    </w:p>
    <w:p w:rsidRPr="0046317C" w:rsidR="00BB7CF6" w:rsidP="00BB7CF6" w:rsidRDefault="00BB7CF6" w14:paraId="356DD60F" w14:textId="77777777">
      <w:pPr>
        <w:numPr>
          <w:ilvl w:val="0"/>
          <w:numId w:val="15"/>
        </w:numPr>
        <w:spacing w:after="120" w:line="240" w:lineRule="auto"/>
        <w:ind w:left="1440" w:right="1440"/>
        <w:rPr>
          <w:rFonts w:eastAsia="Times New Roman" w:cs="Times New Roman"/>
          <w:szCs w:val="26"/>
        </w:rPr>
      </w:pPr>
      <w:r w:rsidRPr="0046317C">
        <w:rPr>
          <w:rFonts w:eastAsia="Times New Roman" w:cs="Times New Roman"/>
          <w:szCs w:val="26"/>
        </w:rPr>
        <w:t>Local effectiveness factors, as published in the California Independent System Operator’s Local Capacity Requirement Technical Studies;</w:t>
      </w:r>
    </w:p>
    <w:p w:rsidRPr="0046317C" w:rsidR="00BB7CF6" w:rsidP="00BB7CF6" w:rsidRDefault="00BB7CF6" w14:paraId="51B9CC59" w14:textId="77777777">
      <w:pPr>
        <w:numPr>
          <w:ilvl w:val="0"/>
          <w:numId w:val="15"/>
        </w:numPr>
        <w:spacing w:after="120" w:line="240" w:lineRule="auto"/>
        <w:ind w:left="1440" w:right="1440"/>
        <w:rPr>
          <w:rFonts w:eastAsia="Times New Roman" w:cs="Times New Roman"/>
          <w:szCs w:val="26"/>
        </w:rPr>
      </w:pPr>
      <w:r w:rsidRPr="0046317C">
        <w:rPr>
          <w:rFonts w:eastAsia="Times New Roman" w:cs="Times New Roman"/>
          <w:szCs w:val="26"/>
        </w:rPr>
        <w:t>Resource costs;</w:t>
      </w:r>
    </w:p>
    <w:p w:rsidRPr="0046317C" w:rsidR="00BB7CF6" w:rsidP="00BB7CF6" w:rsidRDefault="00BB7CF6" w14:paraId="5FE1566F" w14:textId="77777777">
      <w:pPr>
        <w:numPr>
          <w:ilvl w:val="0"/>
          <w:numId w:val="15"/>
        </w:numPr>
        <w:spacing w:after="120" w:line="240" w:lineRule="auto"/>
        <w:ind w:left="1440" w:right="1440"/>
        <w:rPr>
          <w:rFonts w:eastAsia="Times New Roman" w:cs="Times New Roman"/>
          <w:szCs w:val="26"/>
        </w:rPr>
      </w:pPr>
      <w:r w:rsidRPr="0046317C">
        <w:rPr>
          <w:rFonts w:eastAsia="Times New Roman" w:cs="Times New Roman"/>
          <w:szCs w:val="26"/>
        </w:rPr>
        <w:t>Operational characteristics of the resources (efficiency, age, flexibility, facility type);</w:t>
      </w:r>
    </w:p>
    <w:p w:rsidRPr="0046317C" w:rsidR="00BB7CF6" w:rsidP="00BB7CF6" w:rsidRDefault="00BB7CF6" w14:paraId="62BDD3F0" w14:textId="77777777">
      <w:pPr>
        <w:numPr>
          <w:ilvl w:val="0"/>
          <w:numId w:val="15"/>
        </w:numPr>
        <w:spacing w:after="120" w:line="240" w:lineRule="auto"/>
        <w:ind w:left="1440" w:right="1440"/>
        <w:rPr>
          <w:rFonts w:eastAsia="Times New Roman" w:cs="Times New Roman"/>
          <w:szCs w:val="26"/>
        </w:rPr>
      </w:pPr>
      <w:r w:rsidRPr="0046317C">
        <w:rPr>
          <w:rFonts w:eastAsia="Times New Roman" w:cs="Times New Roman"/>
          <w:szCs w:val="26"/>
        </w:rPr>
        <w:t>Location of the facility (with consideration for environmental justice);</w:t>
      </w:r>
    </w:p>
    <w:p w:rsidRPr="0046317C" w:rsidR="00BB7CF6" w:rsidP="00BB7CF6" w:rsidRDefault="00BB7CF6" w14:paraId="27788272" w14:textId="77777777">
      <w:pPr>
        <w:numPr>
          <w:ilvl w:val="0"/>
          <w:numId w:val="15"/>
        </w:numPr>
        <w:spacing w:after="120" w:line="240" w:lineRule="auto"/>
        <w:ind w:left="1440" w:right="1440"/>
        <w:rPr>
          <w:rFonts w:eastAsia="Times New Roman" w:cs="Times New Roman"/>
          <w:szCs w:val="26"/>
        </w:rPr>
      </w:pPr>
      <w:r w:rsidRPr="0046317C">
        <w:rPr>
          <w:rFonts w:eastAsia="Times New Roman" w:cs="Times New Roman"/>
          <w:szCs w:val="26"/>
        </w:rPr>
        <w:t xml:space="preserve">Costs of potential alternatives; </w:t>
      </w:r>
    </w:p>
    <w:p w:rsidRPr="0046317C" w:rsidR="00BB7CF6" w:rsidP="00BB7CF6" w:rsidRDefault="00BB7CF6" w14:paraId="5531043D" w14:textId="77777777">
      <w:pPr>
        <w:numPr>
          <w:ilvl w:val="0"/>
          <w:numId w:val="15"/>
        </w:numPr>
        <w:spacing w:after="120" w:line="240" w:lineRule="auto"/>
        <w:ind w:left="1440" w:right="1440"/>
        <w:rPr>
          <w:szCs w:val="26"/>
        </w:rPr>
      </w:pPr>
      <w:r w:rsidRPr="0046317C">
        <w:rPr>
          <w:rFonts w:eastAsia="Times New Roman" w:cs="Times New Roman"/>
          <w:szCs w:val="26"/>
        </w:rPr>
        <w:t xml:space="preserve">Greenhouse Gas adders; </w:t>
      </w:r>
    </w:p>
    <w:p w:rsidRPr="0046317C" w:rsidR="00BB7CF6" w:rsidP="00BB7CF6" w:rsidRDefault="00BB7CF6" w14:paraId="547C742C" w14:textId="77777777">
      <w:pPr>
        <w:numPr>
          <w:ilvl w:val="0"/>
          <w:numId w:val="15"/>
        </w:numPr>
        <w:spacing w:after="120" w:line="240" w:lineRule="auto"/>
        <w:ind w:left="1440" w:right="1440"/>
        <w:rPr>
          <w:szCs w:val="26"/>
        </w:rPr>
      </w:pPr>
      <w:r w:rsidRPr="0046317C">
        <w:rPr>
          <w:rFonts w:eastAsia="Times New Roman" w:cs="Times New Roman"/>
          <w:szCs w:val="26"/>
        </w:rPr>
        <w:t>Energy-use limitations; and</w:t>
      </w:r>
    </w:p>
    <w:p w:rsidRPr="0046317C" w:rsidR="00BB7CF6" w:rsidP="00BB7CF6" w:rsidRDefault="00BB7CF6" w14:paraId="458197EC" w14:textId="77777777">
      <w:pPr>
        <w:numPr>
          <w:ilvl w:val="0"/>
          <w:numId w:val="15"/>
        </w:numPr>
        <w:spacing w:after="120" w:line="240" w:lineRule="auto"/>
        <w:ind w:left="1440" w:right="1440"/>
        <w:rPr>
          <w:szCs w:val="26"/>
        </w:rPr>
      </w:pPr>
      <w:r w:rsidRPr="0046317C">
        <w:rPr>
          <w:rFonts w:eastAsia="Times New Roman" w:cs="Times New Roman"/>
          <w:szCs w:val="26"/>
        </w:rPr>
        <w:t>Procurement of preferred resources and energy storage (to be prioritized over fossil generation).</w:t>
      </w:r>
    </w:p>
    <w:p w:rsidRPr="0046317C" w:rsidR="00BB7CF6" w:rsidP="00BB7CF6" w:rsidRDefault="00BB7CF6" w14:paraId="17AE0DB5" w14:textId="77777777">
      <w:pPr>
        <w:spacing w:before="40" w:after="120"/>
        <w:rPr>
          <w:szCs w:val="26"/>
        </w:rPr>
      </w:pPr>
      <w:r w:rsidRPr="0046317C">
        <w:rPr>
          <w:rFonts w:eastAsia="Times New Roman" w:cs="Times New Roman"/>
          <w:szCs w:val="26"/>
        </w:rPr>
        <w:t>Parties present several proposals to revise the CPE selection criteria and process.</w:t>
      </w:r>
    </w:p>
    <w:p w:rsidRPr="0046317C" w:rsidR="00BB7CF6" w:rsidP="00BB7CF6" w:rsidRDefault="00BB7CF6" w14:paraId="0B508B7C" w14:textId="77777777">
      <w:pPr>
        <w:pStyle w:val="Heading3"/>
      </w:pPr>
      <w:bookmarkStart w:name="_Toc94080387" w:id="33"/>
      <w:bookmarkStart w:name="_Toc95232106" w:id="34"/>
      <w:r w:rsidRPr="0046317C">
        <w:t xml:space="preserve">Proposals to Modify </w:t>
      </w:r>
      <w:r>
        <w:t xml:space="preserve">the </w:t>
      </w:r>
      <w:r w:rsidRPr="0046317C">
        <w:t>Selection Criteria</w:t>
      </w:r>
      <w:bookmarkEnd w:id="33"/>
      <w:bookmarkEnd w:id="34"/>
    </w:p>
    <w:p w:rsidRPr="0046317C" w:rsidR="00BB7CF6" w:rsidP="00BB7CF6" w:rsidRDefault="00BB7CF6" w14:paraId="2C03C666" w14:textId="77777777">
      <w:pPr>
        <w:rPr>
          <w:rFonts w:cs="Times New Roman"/>
          <w:szCs w:val="20"/>
        </w:rPr>
      </w:pPr>
      <w:r w:rsidRPr="0046317C">
        <w:rPr>
          <w:rFonts w:cs="Times New Roman"/>
          <w:szCs w:val="20"/>
        </w:rPr>
        <w:t>PG&amp;E proposes to remove the local effectiveness factors (LEF) (Criteria b) from the selection criteria because the LEF</w:t>
      </w:r>
      <w:r>
        <w:rPr>
          <w:rFonts w:cs="Times New Roman"/>
          <w:szCs w:val="20"/>
        </w:rPr>
        <w:t>s</w:t>
      </w:r>
      <w:r w:rsidRPr="0046317C">
        <w:rPr>
          <w:rFonts w:cs="Times New Roman"/>
          <w:szCs w:val="20"/>
        </w:rPr>
        <w:t xml:space="preserve"> are dynamic and based on assumptions that may not apply year to year.</w:t>
      </w:r>
      <w:r w:rsidRPr="0046317C">
        <w:rPr>
          <w:rFonts w:cs="Times New Roman"/>
          <w:szCs w:val="20"/>
          <w:vertAlign w:val="superscript"/>
        </w:rPr>
        <w:footnoteReference w:id="35"/>
      </w:r>
      <w:r w:rsidRPr="0046317C">
        <w:rPr>
          <w:rFonts w:cs="Times New Roman"/>
          <w:szCs w:val="20"/>
        </w:rPr>
        <w:t xml:space="preserve">  PG&amp;E notes that the LEF</w:t>
      </w:r>
      <w:r>
        <w:rPr>
          <w:rFonts w:cs="Times New Roman"/>
          <w:szCs w:val="20"/>
        </w:rPr>
        <w:t>s</w:t>
      </w:r>
      <w:r w:rsidRPr="0046317C">
        <w:rPr>
          <w:rFonts w:cs="Times New Roman"/>
          <w:szCs w:val="20"/>
        </w:rPr>
        <w:t xml:space="preserve"> may be of limited value in selecting a portfolio since CAISO bases the LEF</w:t>
      </w:r>
      <w:r>
        <w:rPr>
          <w:rFonts w:cs="Times New Roman"/>
          <w:szCs w:val="20"/>
        </w:rPr>
        <w:t>s</w:t>
      </w:r>
      <w:r w:rsidRPr="0046317C">
        <w:rPr>
          <w:rFonts w:cs="Times New Roman"/>
          <w:szCs w:val="20"/>
        </w:rPr>
        <w:t xml:space="preserve"> on the most stringent contingency to meet North American Electric Reliability Corporation standards and a local resource may be much less effective at addressing the second most stringent contingency compared to another local resource.  PG&amp;E posits that a LEF is unlikely to be a functional metric for local </w:t>
      </w:r>
      <w:r w:rsidRPr="0046317C">
        <w:rPr>
          <w:rFonts w:cs="Times New Roman"/>
          <w:szCs w:val="20"/>
        </w:rPr>
        <w:lastRenderedPageBreak/>
        <w:t>resources and some local resources (including new resources) do not have a published LEF.</w:t>
      </w:r>
    </w:p>
    <w:p w:rsidRPr="0046317C" w:rsidR="00BB7CF6" w:rsidP="00BB7CF6" w:rsidRDefault="00BB7CF6" w14:paraId="27DF134B" w14:textId="77777777">
      <w:pPr>
        <w:rPr>
          <w:rFonts w:cs="Times New Roman"/>
          <w:szCs w:val="26"/>
        </w:rPr>
      </w:pPr>
      <w:r w:rsidRPr="0046317C">
        <w:rPr>
          <w:rFonts w:cs="Times New Roman"/>
          <w:szCs w:val="20"/>
        </w:rPr>
        <w:t xml:space="preserve">PG&amp;E recommends eliminating aspects of Criteria (d), </w:t>
      </w:r>
      <w:r w:rsidRPr="0046317C">
        <w:rPr>
          <w:rFonts w:cs="Times New Roman"/>
          <w:szCs w:val="26"/>
        </w:rPr>
        <w:t>operational characteristics of the resource (efficiency, age, and flexibility), and removing the data submittal requirements for “facility age, heat rate, start-up time, and ramp rate,” from O</w:t>
      </w:r>
      <w:r>
        <w:rPr>
          <w:rFonts w:cs="Times New Roman"/>
          <w:szCs w:val="26"/>
        </w:rPr>
        <w:t>rdering Paragraph</w:t>
      </w:r>
      <w:r w:rsidRPr="0046317C">
        <w:rPr>
          <w:rFonts w:cs="Times New Roman"/>
          <w:szCs w:val="26"/>
        </w:rPr>
        <w:t xml:space="preserve"> 15 of D.20-06-002.</w:t>
      </w:r>
      <w:r w:rsidRPr="0046317C">
        <w:rPr>
          <w:rFonts w:cs="Times New Roman"/>
          <w:szCs w:val="26"/>
          <w:vertAlign w:val="superscript"/>
        </w:rPr>
        <w:footnoteReference w:id="36"/>
      </w:r>
      <w:r w:rsidRPr="0046317C">
        <w:rPr>
          <w:rFonts w:cs="Times New Roman"/>
          <w:szCs w:val="26"/>
        </w:rPr>
        <w:t xml:space="preserve">  PG&amp;E asserts that some parties have indicated that operational characteristic data is not accessible to LSEs, creating barriers to LSE participation.  PG&amp;E adds that other criteria </w:t>
      </w:r>
      <w:r>
        <w:rPr>
          <w:rFonts w:cs="Times New Roman"/>
          <w:szCs w:val="26"/>
        </w:rPr>
        <w:t xml:space="preserve">in Ordering Paragraph 15 </w:t>
      </w:r>
      <w:r w:rsidRPr="0046317C">
        <w:rPr>
          <w:rFonts w:cs="Times New Roman"/>
          <w:szCs w:val="26"/>
        </w:rPr>
        <w:t xml:space="preserve">can be more useful to evaluate portfolio effectiveness, such as future needs in local areas, energy-use limitations, and operational characteristics, such as facility type.  </w:t>
      </w:r>
      <w:r>
        <w:rPr>
          <w:rFonts w:cs="Times New Roman"/>
          <w:szCs w:val="26"/>
        </w:rPr>
        <w:t>PG&amp;E notes that r</w:t>
      </w:r>
      <w:r w:rsidRPr="0046317C">
        <w:rPr>
          <w:rFonts w:cs="Times New Roman"/>
          <w:szCs w:val="26"/>
        </w:rPr>
        <w:t>emoving these criteria will give the CPE flexibility to define attributes for operational characteristics that mitigate barriers for participation (</w:t>
      </w:r>
      <w:r w:rsidRPr="00417E2B">
        <w:rPr>
          <w:rFonts w:cs="Times New Roman"/>
          <w:i/>
          <w:iCs/>
          <w:szCs w:val="26"/>
        </w:rPr>
        <w:t>e.g.</w:t>
      </w:r>
      <w:r w:rsidRPr="0046317C">
        <w:rPr>
          <w:rFonts w:cs="Times New Roman"/>
          <w:szCs w:val="26"/>
        </w:rPr>
        <w:t>, using dispatchability versus non-dispatchability, resource type/fuel source, availability during hours of the day).</w:t>
      </w:r>
    </w:p>
    <w:p w:rsidRPr="0046317C" w:rsidR="00BB7CF6" w:rsidP="00BB7CF6" w:rsidRDefault="00BB7CF6" w14:paraId="33F3EEBA" w14:textId="77777777">
      <w:pPr>
        <w:rPr>
          <w:rFonts w:cs="Times New Roman"/>
          <w:szCs w:val="26"/>
        </w:rPr>
      </w:pPr>
      <w:r w:rsidRPr="0046317C">
        <w:rPr>
          <w:rFonts w:cs="Times New Roman"/>
          <w:szCs w:val="26"/>
        </w:rPr>
        <w:t>CalCCA and Calpine generally support PG&amp;E’s proposal.</w:t>
      </w:r>
      <w:r w:rsidRPr="0046317C">
        <w:rPr>
          <w:rFonts w:cs="Times New Roman"/>
          <w:szCs w:val="26"/>
          <w:vertAlign w:val="superscript"/>
        </w:rPr>
        <w:footnoteReference w:id="37"/>
      </w:r>
      <w:r w:rsidRPr="0046317C">
        <w:rPr>
          <w:rFonts w:cs="Times New Roman"/>
          <w:szCs w:val="26"/>
        </w:rPr>
        <w:t xml:space="preserve">  Calpine supports </w:t>
      </w:r>
      <w:r>
        <w:rPr>
          <w:rFonts w:cs="Times New Roman"/>
          <w:szCs w:val="26"/>
        </w:rPr>
        <w:t xml:space="preserve">giving </w:t>
      </w:r>
      <w:r w:rsidRPr="0046317C">
        <w:rPr>
          <w:rFonts w:cs="Times New Roman"/>
          <w:szCs w:val="26"/>
        </w:rPr>
        <w:t>the CPE discretion on operational characteristics so long as the CPE provides transparency about how the characteristics will be considered and market participants have an opportunity to comment.  Cal Advocates recommends keeping the heat rate requirement, as it provides information relevant to the state’s emission reduction goals and the CEC maintains a public database of heat rates so LSEs have access to this information.</w:t>
      </w:r>
      <w:r w:rsidRPr="0046317C">
        <w:rPr>
          <w:rFonts w:cs="Times New Roman"/>
          <w:szCs w:val="26"/>
          <w:vertAlign w:val="superscript"/>
        </w:rPr>
        <w:footnoteReference w:id="38"/>
      </w:r>
      <w:r w:rsidRPr="0046317C">
        <w:rPr>
          <w:rFonts w:cs="Times New Roman"/>
          <w:szCs w:val="26"/>
        </w:rPr>
        <w:t xml:space="preserve">  </w:t>
      </w:r>
    </w:p>
    <w:p w:rsidRPr="0046317C" w:rsidR="00BB7CF6" w:rsidP="00BB7CF6" w:rsidRDefault="00BB7CF6" w14:paraId="301A1E2D" w14:textId="77777777">
      <w:pPr>
        <w:autoSpaceDE w:val="0"/>
        <w:autoSpaceDN w:val="0"/>
        <w:adjustRightInd w:val="0"/>
        <w:rPr>
          <w:rFonts w:cs="Times New Roman"/>
          <w:color w:val="000000"/>
          <w:szCs w:val="26"/>
        </w:rPr>
      </w:pPr>
      <w:r w:rsidRPr="0046317C">
        <w:rPr>
          <w:rFonts w:cs="Times New Roman"/>
          <w:color w:val="000000"/>
          <w:szCs w:val="26"/>
        </w:rPr>
        <w:lastRenderedPageBreak/>
        <w:t xml:space="preserve">Calpine </w:t>
      </w:r>
      <w:r>
        <w:rPr>
          <w:rFonts w:cs="Times New Roman"/>
          <w:color w:val="000000"/>
          <w:szCs w:val="26"/>
        </w:rPr>
        <w:t xml:space="preserve">also </w:t>
      </w:r>
      <w:r w:rsidRPr="0046317C">
        <w:rPr>
          <w:rFonts w:cs="Times New Roman"/>
          <w:color w:val="000000"/>
          <w:szCs w:val="26"/>
        </w:rPr>
        <w:t>proposes discouraging the CPEs from requiring “detailed data on unit operating characteristics for shown capacity.”</w:t>
      </w:r>
      <w:r w:rsidRPr="0046317C">
        <w:rPr>
          <w:rFonts w:cs="Times New Roman"/>
          <w:color w:val="000000"/>
          <w:szCs w:val="26"/>
          <w:vertAlign w:val="superscript"/>
        </w:rPr>
        <w:footnoteReference w:id="39"/>
      </w:r>
      <w:r w:rsidRPr="0046317C">
        <w:rPr>
          <w:rFonts w:cs="Times New Roman"/>
          <w:color w:val="000000"/>
          <w:szCs w:val="26"/>
        </w:rPr>
        <w:t xml:space="preserve">  Calpine argues that it is not clear that such information is useful for bid evaluation and is not typically included in RA-only transactions, forcing LSEs to obtain data from suppliers.  MRP and AReM support Calpine’s proposal.</w:t>
      </w:r>
      <w:r w:rsidRPr="0046317C">
        <w:rPr>
          <w:rFonts w:cs="Times New Roman"/>
          <w:color w:val="000000"/>
          <w:szCs w:val="26"/>
          <w:vertAlign w:val="superscript"/>
        </w:rPr>
        <w:footnoteReference w:id="40"/>
      </w:r>
    </w:p>
    <w:p w:rsidRPr="0046317C" w:rsidR="00BB7CF6" w:rsidP="00BB7CF6" w:rsidRDefault="00BB7CF6" w14:paraId="75047E8F" w14:textId="77777777">
      <w:pPr>
        <w:pStyle w:val="Heading3"/>
        <w:rPr>
          <w:rFonts w:eastAsia="Times New Roman"/>
        </w:rPr>
      </w:pPr>
      <w:bookmarkStart w:name="_Toc94080388" w:id="35"/>
      <w:bookmarkStart w:name="_Toc95232107" w:id="36"/>
      <w:r w:rsidRPr="0046317C">
        <w:rPr>
          <w:rFonts w:eastAsia="Times New Roman"/>
        </w:rPr>
        <w:t>Proposals on CPE Selection Process</w:t>
      </w:r>
      <w:bookmarkEnd w:id="35"/>
      <w:bookmarkEnd w:id="36"/>
    </w:p>
    <w:p w:rsidRPr="0046317C" w:rsidR="00BB7CF6" w:rsidP="00BB7CF6" w:rsidRDefault="00BB7CF6" w14:paraId="48782876" w14:textId="77777777">
      <w:pPr>
        <w:autoSpaceDE w:val="0"/>
        <w:autoSpaceDN w:val="0"/>
        <w:adjustRightInd w:val="0"/>
        <w:rPr>
          <w:rFonts w:cs="Times New Roman"/>
          <w:color w:val="000000"/>
          <w:szCs w:val="26"/>
        </w:rPr>
      </w:pPr>
      <w:r w:rsidRPr="0046317C">
        <w:rPr>
          <w:rFonts w:cs="Times New Roman"/>
          <w:color w:val="000000"/>
          <w:szCs w:val="26"/>
        </w:rPr>
        <w:t>Calpine recommends that the CPEs should not include restrictions on terms that are not required by D.20-06-002, such as restrictions on long-term contracts.</w:t>
      </w:r>
      <w:r w:rsidRPr="0046317C">
        <w:rPr>
          <w:rFonts w:cs="Times New Roman"/>
          <w:color w:val="000000"/>
          <w:szCs w:val="26"/>
          <w:vertAlign w:val="superscript"/>
        </w:rPr>
        <w:footnoteReference w:id="41"/>
      </w:r>
      <w:r w:rsidRPr="0046317C">
        <w:rPr>
          <w:rFonts w:cs="Times New Roman"/>
          <w:color w:val="000000"/>
          <w:szCs w:val="26"/>
        </w:rPr>
        <w:t xml:space="preserve">  Calpine states that the CPE should be encouraged to negotiate long</w:t>
      </w:r>
      <w:r>
        <w:rPr>
          <w:rFonts w:cs="Times New Roman"/>
          <w:color w:val="000000"/>
          <w:szCs w:val="26"/>
        </w:rPr>
        <w:noBreakHyphen/>
      </w:r>
      <w:r w:rsidRPr="0046317C">
        <w:rPr>
          <w:rFonts w:cs="Times New Roman"/>
          <w:color w:val="000000"/>
          <w:szCs w:val="26"/>
        </w:rPr>
        <w:t xml:space="preserve">term contracts bilaterally and obtain approval through an advice letter. </w:t>
      </w:r>
    </w:p>
    <w:p w:rsidRPr="0046317C" w:rsidR="00BB7CF6" w:rsidP="00BB7CF6" w:rsidRDefault="00BB7CF6" w14:paraId="44B52217" w14:textId="77777777">
      <w:pPr>
        <w:autoSpaceDE w:val="0"/>
        <w:autoSpaceDN w:val="0"/>
        <w:adjustRightInd w:val="0"/>
        <w:rPr>
          <w:rFonts w:cs="Times New Roman"/>
          <w:color w:val="000000"/>
          <w:szCs w:val="26"/>
        </w:rPr>
      </w:pPr>
      <w:r w:rsidRPr="0046317C">
        <w:rPr>
          <w:rFonts w:cs="Times New Roman"/>
          <w:color w:val="000000"/>
          <w:szCs w:val="26"/>
        </w:rPr>
        <w:t>MRP and Cal Advocates support Calpine’s proposal.</w:t>
      </w:r>
      <w:r w:rsidRPr="0046317C">
        <w:rPr>
          <w:rFonts w:cs="Times New Roman"/>
          <w:color w:val="000000"/>
          <w:szCs w:val="26"/>
          <w:vertAlign w:val="superscript"/>
        </w:rPr>
        <w:footnoteReference w:id="42"/>
      </w:r>
      <w:r w:rsidRPr="0046317C">
        <w:rPr>
          <w:rFonts w:cs="Times New Roman"/>
          <w:color w:val="000000"/>
          <w:szCs w:val="26"/>
        </w:rPr>
        <w:t xml:space="preserve">  Cal Advocates reasons that overly prescriptive requirements may discourage LSE offers and recommends requiring the CPE to consider bids of any length greater than or equal to one month.  SCE supports allowing the CPE to bilaterally contract resources if needed but notes that executing contracts of five years or more requires a Tier 3 Advice Letter, which would not be approved in time for the CPE’s showing.</w:t>
      </w:r>
      <w:r w:rsidRPr="0046317C">
        <w:rPr>
          <w:rFonts w:cs="Times New Roman"/>
          <w:color w:val="000000"/>
          <w:szCs w:val="26"/>
          <w:vertAlign w:val="superscript"/>
        </w:rPr>
        <w:footnoteReference w:id="43"/>
      </w:r>
      <w:r w:rsidRPr="0046317C">
        <w:rPr>
          <w:rFonts w:cs="Times New Roman"/>
          <w:color w:val="000000"/>
          <w:szCs w:val="26"/>
        </w:rPr>
        <w:t xml:space="preserve">  PG&amp;E opposes Calpine’s proposal and states that the CPE should have discretion to determine appropriate term lengths to best meet procurement obligations.</w:t>
      </w:r>
      <w:r w:rsidRPr="0046317C">
        <w:rPr>
          <w:rFonts w:cs="Times New Roman"/>
          <w:color w:val="000000"/>
          <w:szCs w:val="26"/>
          <w:vertAlign w:val="superscript"/>
        </w:rPr>
        <w:footnoteReference w:id="44"/>
      </w:r>
      <w:r w:rsidRPr="0046317C">
        <w:rPr>
          <w:rFonts w:cs="Times New Roman"/>
          <w:color w:val="000000"/>
          <w:szCs w:val="26"/>
        </w:rPr>
        <w:t xml:space="preserve">  </w:t>
      </w:r>
    </w:p>
    <w:p w:rsidRPr="0046317C" w:rsidR="00BB7CF6" w:rsidP="00BB7CF6" w:rsidRDefault="00BB7CF6" w14:paraId="73E9A36B" w14:textId="77777777">
      <w:pPr>
        <w:rPr>
          <w:rFonts w:cs="Times New Roman"/>
          <w:szCs w:val="26"/>
        </w:rPr>
      </w:pPr>
      <w:r w:rsidRPr="0046317C">
        <w:rPr>
          <w:rFonts w:cs="Times New Roman"/>
          <w:szCs w:val="26"/>
        </w:rPr>
        <w:lastRenderedPageBreak/>
        <w:t>CalCCA proposes that the Commission neutrally review and compare bid and self-showing contracts executed by the CPE to determine if certain requirements inhibited LSEs from self-showing.</w:t>
      </w:r>
      <w:r w:rsidRPr="0046317C">
        <w:rPr>
          <w:rFonts w:cs="Times New Roman"/>
          <w:szCs w:val="26"/>
          <w:vertAlign w:val="superscript"/>
        </w:rPr>
        <w:footnoteReference w:id="45"/>
      </w:r>
      <w:r w:rsidRPr="0046317C">
        <w:rPr>
          <w:rFonts w:cs="Times New Roman"/>
          <w:szCs w:val="26"/>
        </w:rPr>
        <w:t xml:space="preserve">  CalCCA recommends the Commission identify discrepancies between each CPE’s requirements and determined whether those requirements are necessary.</w:t>
      </w:r>
    </w:p>
    <w:p w:rsidRPr="0046317C" w:rsidR="00BB7CF6" w:rsidP="00BB7CF6" w:rsidRDefault="00BB7CF6" w14:paraId="652F429E" w14:textId="77777777">
      <w:pPr>
        <w:pStyle w:val="Heading3"/>
      </w:pPr>
      <w:bookmarkStart w:name="_Toc94080389" w:id="37"/>
      <w:bookmarkStart w:name="_Toc95232108" w:id="38"/>
      <w:r w:rsidRPr="0046317C">
        <w:t>Discussion</w:t>
      </w:r>
      <w:bookmarkEnd w:id="37"/>
      <w:bookmarkEnd w:id="38"/>
    </w:p>
    <w:p w:rsidR="00BD7382" w:rsidP="00BD7382" w:rsidRDefault="00BB7CF6" w14:paraId="7AFBD182" w14:textId="13DF8F2F">
      <w:pPr>
        <w:rPr>
          <w:rFonts w:cs="Times New Roman"/>
          <w:szCs w:val="20"/>
        </w:rPr>
      </w:pPr>
      <w:r w:rsidRPr="0046317C">
        <w:rPr>
          <w:rFonts w:cs="Times New Roman"/>
          <w:szCs w:val="20"/>
        </w:rPr>
        <w:t xml:space="preserve">Considering the lower-than-expected participation among LSEs that bid into the CPEs’ solicitation, it is important to address barriers that may be unnecessarily disincentivizing LSEs from bidding or self-showing resources into the solicitation process.  The Commission finds that PG&amp;E’s proposal to modify the selection criteria and data requirements is reasonable in removing some potential barriers.  We are persuaded that the </w:t>
      </w:r>
      <w:r>
        <w:rPr>
          <w:rFonts w:cs="Times New Roman"/>
          <w:szCs w:val="20"/>
        </w:rPr>
        <w:t>LEF</w:t>
      </w:r>
      <w:r w:rsidRPr="0046317C">
        <w:rPr>
          <w:rFonts w:cs="Times New Roman"/>
          <w:szCs w:val="20"/>
        </w:rPr>
        <w:t xml:space="preserve"> may not be a useful metric for local resource</w:t>
      </w:r>
      <w:r>
        <w:rPr>
          <w:rFonts w:cs="Times New Roman"/>
          <w:szCs w:val="20"/>
        </w:rPr>
        <w:t xml:space="preserve"> procurement</w:t>
      </w:r>
      <w:r w:rsidRPr="0046317C">
        <w:rPr>
          <w:rFonts w:cs="Times New Roman"/>
          <w:szCs w:val="20"/>
        </w:rPr>
        <w:t xml:space="preserve">s </w:t>
      </w:r>
      <w:r>
        <w:rPr>
          <w:rFonts w:cs="Times New Roman"/>
          <w:szCs w:val="20"/>
        </w:rPr>
        <w:t xml:space="preserve">because LEFs can change from year to year based on transmission assumptions.  Additionally, some local resources </w:t>
      </w:r>
      <w:r w:rsidRPr="0046317C">
        <w:rPr>
          <w:rFonts w:cs="Times New Roman"/>
          <w:szCs w:val="20"/>
        </w:rPr>
        <w:t xml:space="preserve">do not have a LEF, which could unfairly advantage </w:t>
      </w:r>
      <w:r>
        <w:rPr>
          <w:rFonts w:cs="Times New Roman"/>
          <w:szCs w:val="20"/>
        </w:rPr>
        <w:t>other</w:t>
      </w:r>
      <w:r w:rsidRPr="0046317C">
        <w:rPr>
          <w:rFonts w:cs="Times New Roman"/>
          <w:szCs w:val="20"/>
        </w:rPr>
        <w:t xml:space="preserve"> resources in the selection process.  We also concur that requiring certain operational characteristics </w:t>
      </w:r>
      <w:r w:rsidRPr="0046317C">
        <w:rPr>
          <w:rFonts w:cs="Times New Roman"/>
          <w:szCs w:val="26"/>
        </w:rPr>
        <w:t>(efficiency, age, and flexibility)</w:t>
      </w:r>
      <w:r w:rsidRPr="0046317C">
        <w:rPr>
          <w:rFonts w:cs="Times New Roman"/>
          <w:szCs w:val="20"/>
        </w:rPr>
        <w:t xml:space="preserve"> may be hindering LSE participation due to the difficulty in obtaining this information.  </w:t>
      </w:r>
      <w:r>
        <w:rPr>
          <w:rFonts w:cs="Times New Roman"/>
          <w:szCs w:val="20"/>
        </w:rPr>
        <w:t xml:space="preserve">To the extent that LEFs are a useful metric, we encourage the CPEs to consider LEFs in deliberations as appropriate.  </w:t>
      </w:r>
    </w:p>
    <w:p w:rsidRPr="0046317C" w:rsidR="009322F2" w:rsidP="009322F2" w:rsidRDefault="00BB7CF6" w14:paraId="4CEFC343" w14:textId="0284B7FF">
      <w:pPr>
        <w:rPr>
          <w:rFonts w:cs="Times New Roman"/>
          <w:szCs w:val="20"/>
        </w:rPr>
      </w:pPr>
      <w:r w:rsidRPr="0046317C">
        <w:rPr>
          <w:rFonts w:cs="Times New Roman"/>
          <w:szCs w:val="20"/>
        </w:rPr>
        <w:t>The Commission also agrees with removing heat rate from the data submittal requirements and encourages the CPE to utilize publicly</w:t>
      </w:r>
      <w:r w:rsidR="00175A8E">
        <w:rPr>
          <w:rFonts w:cs="Times New Roman"/>
          <w:szCs w:val="20"/>
        </w:rPr>
        <w:t xml:space="preserve"> </w:t>
      </w:r>
      <w:r w:rsidRPr="0046317C">
        <w:rPr>
          <w:rFonts w:cs="Times New Roman"/>
          <w:szCs w:val="20"/>
        </w:rPr>
        <w:t>available information, including heat rate, in deliberations as appropriate.</w:t>
      </w:r>
      <w:r w:rsidR="009322F2">
        <w:rPr>
          <w:rFonts w:cs="Times New Roman"/>
          <w:szCs w:val="20"/>
        </w:rPr>
        <w:t xml:space="preserve">  O</w:t>
      </w:r>
      <w:r w:rsidRPr="003F209A" w:rsidR="009322F2">
        <w:rPr>
          <w:rFonts w:cs="Times New Roman"/>
          <w:szCs w:val="20"/>
        </w:rPr>
        <w:t xml:space="preserve">ther selection criteria, </w:t>
      </w:r>
      <w:r w:rsidR="009322F2">
        <w:rPr>
          <w:rFonts w:cs="Times New Roman"/>
          <w:szCs w:val="20"/>
        </w:rPr>
        <w:t xml:space="preserve">such as </w:t>
      </w:r>
      <w:r w:rsidRPr="003F209A" w:rsidR="009322F2">
        <w:rPr>
          <w:rFonts w:cs="Times New Roman"/>
          <w:szCs w:val="20"/>
        </w:rPr>
        <w:t xml:space="preserve">prioritizing procurement of preferred resources, will provide information necessary for the CPE to evaluate procurement that advances the </w:t>
      </w:r>
      <w:r w:rsidRPr="003F209A" w:rsidR="009322F2">
        <w:rPr>
          <w:rFonts w:cs="Times New Roman"/>
          <w:szCs w:val="20"/>
        </w:rPr>
        <w:lastRenderedPageBreak/>
        <w:t>state’s clean energy goals.  Moreover, LSEs are required to comply with the Renewable</w:t>
      </w:r>
      <w:r w:rsidR="00AA7F18">
        <w:rPr>
          <w:rFonts w:cs="Times New Roman"/>
          <w:szCs w:val="20"/>
        </w:rPr>
        <w:t>s</w:t>
      </w:r>
      <w:r w:rsidRPr="003F209A" w:rsidR="009322F2">
        <w:rPr>
          <w:rFonts w:cs="Times New Roman"/>
          <w:szCs w:val="20"/>
        </w:rPr>
        <w:t xml:space="preserve"> Portfolio Standard (RPS) procurement requirements, as well as the recently approved 35 million metric ton electric sector greenhouse gas planning target</w:t>
      </w:r>
      <w:r w:rsidR="00AA7F18">
        <w:rPr>
          <w:rFonts w:cs="Times New Roman"/>
          <w:szCs w:val="20"/>
        </w:rPr>
        <w:t xml:space="preserve"> by 2032</w:t>
      </w:r>
      <w:r w:rsidR="009322F2">
        <w:rPr>
          <w:rFonts w:cs="Times New Roman"/>
          <w:szCs w:val="20"/>
        </w:rPr>
        <w:t xml:space="preserve">, </w:t>
      </w:r>
      <w:r w:rsidRPr="003F209A" w:rsidR="009322F2">
        <w:rPr>
          <w:rFonts w:cs="Times New Roman"/>
          <w:szCs w:val="20"/>
        </w:rPr>
        <w:t>which equates to a portfolio with 73 percent RPS resources and 86 percent greenhouse gas-free resources by 2032.</w:t>
      </w:r>
      <w:r w:rsidR="009322F2">
        <w:rPr>
          <w:rStyle w:val="FootnoteReference"/>
          <w:rFonts w:cs="Times New Roman"/>
          <w:szCs w:val="20"/>
        </w:rPr>
        <w:footnoteReference w:id="46"/>
      </w:r>
      <w:r w:rsidRPr="003F209A" w:rsidR="009322F2">
        <w:rPr>
          <w:rFonts w:cs="Times New Roman"/>
          <w:szCs w:val="20"/>
        </w:rPr>
        <w:t xml:space="preserve">  Thus, the pool of resources that LSEs bid into the CPEs’ solicitation</w:t>
      </w:r>
      <w:r w:rsidR="008E79A7">
        <w:rPr>
          <w:rFonts w:cs="Times New Roman"/>
          <w:szCs w:val="20"/>
        </w:rPr>
        <w:t>s</w:t>
      </w:r>
      <w:r w:rsidRPr="003F209A" w:rsidR="009322F2">
        <w:rPr>
          <w:rFonts w:cs="Times New Roman"/>
          <w:szCs w:val="20"/>
        </w:rPr>
        <w:t xml:space="preserve"> should mirror the state’s transition to clean energy.  To the extent that heat rate information is not publicly available or u</w:t>
      </w:r>
      <w:r w:rsidR="008E79A7">
        <w:rPr>
          <w:rFonts w:cs="Times New Roman"/>
          <w:szCs w:val="20"/>
        </w:rPr>
        <w:t>pdated</w:t>
      </w:r>
      <w:r w:rsidRPr="003F209A" w:rsidR="009322F2">
        <w:rPr>
          <w:rFonts w:cs="Times New Roman"/>
          <w:szCs w:val="20"/>
        </w:rPr>
        <w:t xml:space="preserve">, the CPE </w:t>
      </w:r>
      <w:r w:rsidR="009322F2">
        <w:rPr>
          <w:rFonts w:cs="Times New Roman"/>
          <w:szCs w:val="20"/>
        </w:rPr>
        <w:t>is encouraged to consult</w:t>
      </w:r>
      <w:r w:rsidRPr="003F209A" w:rsidR="009322F2">
        <w:rPr>
          <w:rFonts w:cs="Times New Roman"/>
          <w:szCs w:val="20"/>
        </w:rPr>
        <w:t xml:space="preserve"> with Energy Division </w:t>
      </w:r>
      <w:r w:rsidR="009322F2">
        <w:rPr>
          <w:rFonts w:cs="Times New Roman"/>
          <w:szCs w:val="20"/>
        </w:rPr>
        <w:t>and</w:t>
      </w:r>
      <w:r w:rsidRPr="003F209A" w:rsidR="009322F2">
        <w:rPr>
          <w:rFonts w:cs="Times New Roman"/>
          <w:szCs w:val="20"/>
        </w:rPr>
        <w:t xml:space="preserve"> the </w:t>
      </w:r>
      <w:r w:rsidR="0038347B">
        <w:rPr>
          <w:rFonts w:cs="Times New Roman"/>
          <w:szCs w:val="20"/>
        </w:rPr>
        <w:t xml:space="preserve">CAM </w:t>
      </w:r>
      <w:r w:rsidRPr="003F209A" w:rsidR="009322F2">
        <w:rPr>
          <w:rFonts w:cs="Times New Roman"/>
          <w:szCs w:val="20"/>
        </w:rPr>
        <w:t>PRG to develop a proxy for heat rate information.</w:t>
      </w:r>
    </w:p>
    <w:p w:rsidRPr="0046317C" w:rsidR="00BB7CF6" w:rsidP="00BB7CF6" w:rsidRDefault="00BB7CF6" w14:paraId="4C3A64C1" w14:textId="77777777">
      <w:pPr>
        <w:rPr>
          <w:rFonts w:cs="Times New Roman"/>
          <w:szCs w:val="20"/>
        </w:rPr>
      </w:pPr>
      <w:r w:rsidRPr="0046317C">
        <w:rPr>
          <w:rFonts w:cs="Times New Roman"/>
          <w:szCs w:val="20"/>
        </w:rPr>
        <w:t>For these reasons, we adopt PG&amp;E’s proposal to revise the selection criteria and data submittal requirements.  Accordingly, the selection criteria in O</w:t>
      </w:r>
      <w:r>
        <w:rPr>
          <w:rFonts w:cs="Times New Roman"/>
          <w:szCs w:val="20"/>
        </w:rPr>
        <w:t>rdering Paragraph</w:t>
      </w:r>
      <w:r w:rsidRPr="0046317C">
        <w:rPr>
          <w:rFonts w:cs="Times New Roman"/>
          <w:szCs w:val="20"/>
        </w:rPr>
        <w:t xml:space="preserve"> 14 of D.20-06-002 </w:t>
      </w:r>
      <w:r>
        <w:rPr>
          <w:rFonts w:cs="Times New Roman"/>
          <w:szCs w:val="20"/>
        </w:rPr>
        <w:t>are</w:t>
      </w:r>
      <w:r w:rsidRPr="0046317C">
        <w:rPr>
          <w:rFonts w:cs="Times New Roman"/>
          <w:szCs w:val="20"/>
        </w:rPr>
        <w:t xml:space="preserve"> replaced with the following criteria:</w:t>
      </w:r>
    </w:p>
    <w:p w:rsidRPr="0046317C" w:rsidR="00BB7CF6" w:rsidP="00BB7CF6" w:rsidRDefault="00BB7CF6" w14:paraId="77382E08"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Future needs in local and sub-local areas;</w:t>
      </w:r>
    </w:p>
    <w:p w:rsidRPr="0046317C" w:rsidR="00BB7CF6" w:rsidP="00BB7CF6" w:rsidRDefault="00BB7CF6" w14:paraId="414AD4A7"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Resource costs;</w:t>
      </w:r>
    </w:p>
    <w:p w:rsidRPr="0046317C" w:rsidR="00BB7CF6" w:rsidP="00BB7CF6" w:rsidRDefault="00BB7CF6" w14:paraId="6ECCEC4C"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Operational characteristics of the resources (facility type);</w:t>
      </w:r>
    </w:p>
    <w:p w:rsidRPr="0046317C" w:rsidR="00BB7CF6" w:rsidP="00BB7CF6" w:rsidRDefault="00BB7CF6" w14:paraId="46921373"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Location of the facility (with consideration for environmental justice);</w:t>
      </w:r>
    </w:p>
    <w:p w:rsidRPr="0046317C" w:rsidR="00BB7CF6" w:rsidP="00BB7CF6" w:rsidRDefault="00BB7CF6" w14:paraId="6D00F5B8"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 xml:space="preserve">Costs of potential alternatives; </w:t>
      </w:r>
    </w:p>
    <w:p w:rsidRPr="0046317C" w:rsidR="00BB7CF6" w:rsidP="00BB7CF6" w:rsidRDefault="00BB7CF6" w14:paraId="58DF96F8"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 xml:space="preserve">Greenhouse Gas adders; </w:t>
      </w:r>
    </w:p>
    <w:p w:rsidRPr="00025F37" w:rsidR="00BB7CF6" w:rsidP="00BB7CF6" w:rsidRDefault="00BB7CF6" w14:paraId="14AF7D24"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Energy-use limitations; and</w:t>
      </w:r>
    </w:p>
    <w:p w:rsidRPr="00025F37" w:rsidR="00BB7CF6" w:rsidP="00BB7CF6" w:rsidRDefault="00BB7CF6" w14:paraId="2B6087C6" w14:textId="77777777">
      <w:pPr>
        <w:numPr>
          <w:ilvl w:val="0"/>
          <w:numId w:val="20"/>
        </w:numPr>
        <w:spacing w:before="40" w:after="120" w:line="240" w:lineRule="auto"/>
        <w:ind w:left="1080" w:right="1440" w:hanging="360"/>
        <w:rPr>
          <w:rFonts w:eastAsia="Times New Roman" w:cs="Times New Roman"/>
          <w:szCs w:val="26"/>
        </w:rPr>
      </w:pPr>
      <w:r w:rsidRPr="0046317C">
        <w:rPr>
          <w:rFonts w:eastAsia="Times New Roman" w:cs="Times New Roman"/>
          <w:szCs w:val="26"/>
        </w:rPr>
        <w:t>Procurement of preferred resources and energy storage (to</w:t>
      </w:r>
      <w:r>
        <w:rPr>
          <w:rFonts w:eastAsia="Times New Roman" w:cs="Times New Roman"/>
          <w:szCs w:val="26"/>
        </w:rPr>
        <w:t> </w:t>
      </w:r>
      <w:r w:rsidRPr="0046317C">
        <w:rPr>
          <w:rFonts w:eastAsia="Times New Roman" w:cs="Times New Roman"/>
          <w:szCs w:val="26"/>
        </w:rPr>
        <w:t>be prioritized over fossil generation).</w:t>
      </w:r>
    </w:p>
    <w:p w:rsidRPr="0046317C" w:rsidR="00BB7CF6" w:rsidP="00BB7CF6" w:rsidRDefault="00BB7CF6" w14:paraId="31458B86" w14:textId="77777777">
      <w:pPr>
        <w:rPr>
          <w:rFonts w:cs="Times New Roman"/>
          <w:szCs w:val="26"/>
        </w:rPr>
      </w:pPr>
      <w:r w:rsidRPr="0046317C">
        <w:rPr>
          <w:rFonts w:cs="Times New Roman"/>
          <w:szCs w:val="26"/>
        </w:rPr>
        <w:t>The CPE shall have discretion to define attributes for the operational characteristics</w:t>
      </w:r>
      <w:r>
        <w:rPr>
          <w:rFonts w:cs="Times New Roman"/>
          <w:szCs w:val="26"/>
        </w:rPr>
        <w:t>,</w:t>
      </w:r>
      <w:r w:rsidRPr="0046317C">
        <w:rPr>
          <w:rFonts w:cs="Times New Roman"/>
          <w:szCs w:val="26"/>
        </w:rPr>
        <w:t xml:space="preserve"> and such attributes shall be provided to market participants in the CPE’s bidders’ conference.</w:t>
      </w:r>
    </w:p>
    <w:p w:rsidRPr="0046317C" w:rsidR="00BB7CF6" w:rsidP="00BB7CF6" w:rsidRDefault="00BB7CF6" w14:paraId="5406704A" w14:textId="77777777">
      <w:pPr>
        <w:rPr>
          <w:rFonts w:cs="Times New Roman"/>
          <w:szCs w:val="26"/>
        </w:rPr>
      </w:pPr>
      <w:r w:rsidRPr="0046317C">
        <w:rPr>
          <w:rFonts w:cs="Times New Roman"/>
          <w:szCs w:val="20"/>
        </w:rPr>
        <w:lastRenderedPageBreak/>
        <w:t>Accordingly, O</w:t>
      </w:r>
      <w:r>
        <w:rPr>
          <w:rFonts w:cs="Times New Roman"/>
          <w:szCs w:val="20"/>
        </w:rPr>
        <w:t>rdering Paragraph</w:t>
      </w:r>
      <w:r w:rsidRPr="0046317C">
        <w:rPr>
          <w:rFonts w:cs="Times New Roman"/>
          <w:szCs w:val="20"/>
        </w:rPr>
        <w:t xml:space="preserve"> 15 of D.20-06-002 is modified as follows: </w:t>
      </w:r>
      <w:r>
        <w:rPr>
          <w:rFonts w:cs="Times New Roman"/>
          <w:szCs w:val="20"/>
        </w:rPr>
        <w:t xml:space="preserve"> </w:t>
      </w:r>
      <w:r w:rsidRPr="0046317C">
        <w:rPr>
          <w:rFonts w:cs="Times New Roman"/>
          <w:szCs w:val="20"/>
        </w:rPr>
        <w:t xml:space="preserve">“In its solicitation, the central procurement entity shall direct bidders to include the CalEnviroScreen score of the resource location (or if unavailable, the pollution burden of the resource location).”  </w:t>
      </w:r>
    </w:p>
    <w:p w:rsidRPr="0046317C" w:rsidR="00BB7CF6" w:rsidP="00BB7CF6" w:rsidRDefault="00BB7CF6" w14:paraId="160EB435" w14:textId="77777777">
      <w:pPr>
        <w:autoSpaceDE w:val="0"/>
        <w:autoSpaceDN w:val="0"/>
        <w:adjustRightInd w:val="0"/>
        <w:rPr>
          <w:rFonts w:cs="Times New Roman"/>
          <w:color w:val="000000"/>
          <w:szCs w:val="26"/>
        </w:rPr>
      </w:pPr>
      <w:r w:rsidRPr="0046317C">
        <w:rPr>
          <w:rFonts w:cs="Times New Roman"/>
          <w:color w:val="000000"/>
          <w:szCs w:val="26"/>
        </w:rPr>
        <w:t xml:space="preserve">In addition, we agree with Calpine and other parties that the CPE should not include restrictions on the length of contract terms in its solicitation, as such restrictions are not authorized by the Commission and may unnecessarily deter LSE participation in the solicitation process.  </w:t>
      </w:r>
      <w:r>
        <w:rPr>
          <w:color w:val="000000"/>
          <w:szCs w:val="26"/>
        </w:rPr>
        <w:t>Accordingly</w:t>
      </w:r>
      <w:r w:rsidRPr="0046317C">
        <w:rPr>
          <w:rFonts w:cs="Times New Roman"/>
          <w:color w:val="000000"/>
          <w:szCs w:val="26"/>
        </w:rPr>
        <w:t xml:space="preserve">, in its solicitation process, the CPE shall consider bids of any contract term length greater than or equal to one month.  </w:t>
      </w:r>
    </w:p>
    <w:p w:rsidRPr="0046317C" w:rsidR="00BB7CF6" w:rsidP="00BB7CF6" w:rsidRDefault="00BB7CF6" w14:paraId="4D240941" w14:textId="77777777">
      <w:pPr>
        <w:pStyle w:val="Heading2"/>
      </w:pPr>
      <w:bookmarkStart w:name="_Toc94080390" w:id="39"/>
      <w:bookmarkStart w:name="_Toc95232109" w:id="40"/>
      <w:r w:rsidRPr="0046317C">
        <w:t>CPE Procurement Outside of Annual RA Solicitation</w:t>
      </w:r>
      <w:bookmarkEnd w:id="39"/>
      <w:bookmarkEnd w:id="40"/>
      <w:r w:rsidRPr="0046317C">
        <w:t xml:space="preserve"> </w:t>
      </w:r>
    </w:p>
    <w:p w:rsidRPr="0046317C" w:rsidR="00BB7CF6" w:rsidP="00BB7CF6" w:rsidRDefault="00BB7CF6" w14:paraId="7A83DEB2" w14:textId="77777777">
      <w:pPr>
        <w:rPr>
          <w:rFonts w:cs="Times New Roman"/>
          <w:szCs w:val="20"/>
        </w:rPr>
      </w:pPr>
      <w:r w:rsidRPr="0046317C">
        <w:rPr>
          <w:rFonts w:cs="Times New Roman"/>
          <w:szCs w:val="20"/>
        </w:rPr>
        <w:t>Both PG&amp;E and SCE assert that the CPE should be granted authority to procure outside of the all-source solicitation.  PG&amp;E states that the CPE is best positioned to evaluate the entire portfolio of local resources but that if the CPE’s authority is expanded, the Commission should provide clear, narrowly defined parameters for the authority.</w:t>
      </w:r>
      <w:r w:rsidRPr="0046317C">
        <w:rPr>
          <w:rFonts w:cs="Times New Roman"/>
          <w:szCs w:val="20"/>
          <w:vertAlign w:val="superscript"/>
        </w:rPr>
        <w:footnoteReference w:id="47"/>
      </w:r>
      <w:r w:rsidRPr="0046317C">
        <w:rPr>
          <w:rFonts w:cs="Times New Roman"/>
          <w:szCs w:val="20"/>
        </w:rPr>
        <w:t xml:space="preserve">  </w:t>
      </w:r>
    </w:p>
    <w:p w:rsidR="00BB7CF6" w:rsidP="00BB7CF6" w:rsidRDefault="00BB7CF6" w14:paraId="30035BEF" w14:textId="77777777">
      <w:pPr>
        <w:rPr>
          <w:rFonts w:cs="Times New Roman"/>
          <w:szCs w:val="20"/>
        </w:rPr>
      </w:pPr>
      <w:r w:rsidRPr="0046317C">
        <w:rPr>
          <w:rFonts w:cs="Times New Roman"/>
          <w:szCs w:val="20"/>
        </w:rPr>
        <w:t>SCE advocates for the CPE’s authority to be expanded to procure outside of the annual solicitation for targeted technologies to meet specific needs.</w:t>
      </w:r>
      <w:r w:rsidRPr="0046317C">
        <w:rPr>
          <w:rFonts w:cs="Times New Roman"/>
          <w:szCs w:val="20"/>
          <w:vertAlign w:val="superscript"/>
        </w:rPr>
        <w:footnoteReference w:id="48"/>
      </w:r>
      <w:r w:rsidRPr="0046317C">
        <w:rPr>
          <w:rFonts w:cs="Times New Roman"/>
          <w:szCs w:val="20"/>
        </w:rPr>
        <w:t xml:space="preserve">  SCE proposes that this should include procurement through other means, such as broker market</w:t>
      </w:r>
      <w:r>
        <w:rPr>
          <w:rFonts w:cs="Times New Roman"/>
          <w:szCs w:val="20"/>
        </w:rPr>
        <w:t>s</w:t>
      </w:r>
      <w:r w:rsidRPr="0046317C">
        <w:rPr>
          <w:rFonts w:cs="Times New Roman"/>
          <w:szCs w:val="20"/>
        </w:rPr>
        <w:t xml:space="preserve"> or bilateral transactions and on timelines other than the typical timeline.  SCE proposes that the CPE use the least cost best fit methodology and, if applicable, the selection criteria adopted in D.20-06-002.  </w:t>
      </w:r>
    </w:p>
    <w:p w:rsidRPr="0046317C" w:rsidR="00E90F14" w:rsidP="00E90F14" w:rsidRDefault="00BB7CF6" w14:paraId="1EA58CFD" w14:textId="5BE516F9">
      <w:pPr>
        <w:rPr>
          <w:rFonts w:cs="Times New Roman"/>
          <w:szCs w:val="20"/>
        </w:rPr>
      </w:pPr>
      <w:r w:rsidRPr="0046317C">
        <w:rPr>
          <w:rFonts w:cs="Times New Roman"/>
          <w:szCs w:val="20"/>
        </w:rPr>
        <w:lastRenderedPageBreak/>
        <w:t xml:space="preserve">For contracts that exceed a five-year term, the CPE would submit a Tier 3 Advice Letter for approval.  For contracts with terms </w:t>
      </w:r>
      <w:r>
        <w:rPr>
          <w:rFonts w:cs="Times New Roman"/>
          <w:szCs w:val="20"/>
        </w:rPr>
        <w:t xml:space="preserve">of </w:t>
      </w:r>
      <w:r w:rsidRPr="0046317C">
        <w:rPr>
          <w:rFonts w:cs="Times New Roman"/>
          <w:szCs w:val="20"/>
        </w:rPr>
        <w:t>less than five years, SCE recommends that, similar to O</w:t>
      </w:r>
      <w:r>
        <w:rPr>
          <w:rFonts w:cs="Times New Roman"/>
          <w:szCs w:val="20"/>
        </w:rPr>
        <w:t>rdering Paragraph</w:t>
      </w:r>
      <w:r w:rsidRPr="0046317C">
        <w:rPr>
          <w:rFonts w:cs="Times New Roman"/>
          <w:szCs w:val="20"/>
        </w:rPr>
        <w:t xml:space="preserve"> 22 of D.20-06-002, the contract should be deemed reasonable and preapproved provided that these conditions are met:</w:t>
      </w:r>
      <w:r>
        <w:rPr>
          <w:rFonts w:cs="Times New Roman"/>
          <w:szCs w:val="20"/>
        </w:rPr>
        <w:t xml:space="preserve"> </w:t>
      </w:r>
      <w:r w:rsidRPr="0046317C">
        <w:rPr>
          <w:rFonts w:cs="Times New Roman"/>
          <w:szCs w:val="20"/>
        </w:rPr>
        <w:t xml:space="preserve"> (1) the resource meets the local capacity needs identified by CAISO’s </w:t>
      </w:r>
      <w:bookmarkStart w:name="_Hlk94191513" w:id="41"/>
      <w:r w:rsidRPr="0046317C">
        <w:rPr>
          <w:rFonts w:cs="Times New Roman"/>
          <w:szCs w:val="20"/>
        </w:rPr>
        <w:t>Local Capacity Requirements Technical Study</w:t>
      </w:r>
      <w:bookmarkEnd w:id="41"/>
      <w:r w:rsidRPr="0046317C">
        <w:rPr>
          <w:rFonts w:cs="Times New Roman"/>
          <w:szCs w:val="20"/>
        </w:rPr>
        <w:t xml:space="preserve"> (LCRTS), (2) the CAM Procurement Review Group (PRG) was properly consulted, and (3) procurement was deemed by the independent evaluator </w:t>
      </w:r>
      <w:r>
        <w:rPr>
          <w:rFonts w:cs="Times New Roman"/>
          <w:szCs w:val="20"/>
        </w:rPr>
        <w:t xml:space="preserve">(IE) </w:t>
      </w:r>
      <w:r w:rsidRPr="0046317C">
        <w:rPr>
          <w:rFonts w:cs="Times New Roman"/>
          <w:szCs w:val="20"/>
        </w:rPr>
        <w:t>to have followed all relevant Commission guidance, including the least cost best fit methodology and other selection criteria.</w:t>
      </w:r>
      <w:r w:rsidR="00E90F14">
        <w:rPr>
          <w:rFonts w:cs="Times New Roman"/>
          <w:szCs w:val="20"/>
        </w:rPr>
        <w:t xml:space="preserve">  </w:t>
      </w:r>
    </w:p>
    <w:p w:rsidRPr="0046317C" w:rsidR="00BB7CF6" w:rsidP="00BB7CF6" w:rsidRDefault="00BB7CF6" w14:paraId="45888FF3" w14:textId="77777777">
      <w:pPr>
        <w:rPr>
          <w:rFonts w:cs="Times New Roman"/>
          <w:szCs w:val="20"/>
        </w:rPr>
      </w:pPr>
      <w:r w:rsidRPr="0046317C">
        <w:rPr>
          <w:rFonts w:cs="Times New Roman"/>
          <w:szCs w:val="20"/>
        </w:rPr>
        <w:t>CalCCA supports allowing the CPE to procure outside the annual solicitation, but the procurement must be completed in June to allow sufficient time for LSE procurement.</w:t>
      </w:r>
      <w:r w:rsidRPr="0046317C">
        <w:rPr>
          <w:rFonts w:cs="Times New Roman"/>
          <w:szCs w:val="20"/>
          <w:vertAlign w:val="superscript"/>
        </w:rPr>
        <w:footnoteReference w:id="49"/>
      </w:r>
      <w:r w:rsidRPr="0046317C">
        <w:rPr>
          <w:rFonts w:cs="Times New Roman"/>
          <w:szCs w:val="20"/>
        </w:rPr>
        <w:t xml:space="preserve">  </w:t>
      </w:r>
      <w:r>
        <w:rPr>
          <w:rFonts w:cs="Times New Roman"/>
          <w:szCs w:val="20"/>
        </w:rPr>
        <w:t>CalCCA states that p</w:t>
      </w:r>
      <w:r w:rsidRPr="0046317C">
        <w:rPr>
          <w:rFonts w:cs="Times New Roman"/>
          <w:szCs w:val="20"/>
        </w:rPr>
        <w:t>rocurement outside of the annual solicitation should be communicated in supplemental compliance reports in June.  MRP opposes PG&amp;E</w:t>
      </w:r>
      <w:r>
        <w:rPr>
          <w:rFonts w:cs="Times New Roman"/>
          <w:szCs w:val="20"/>
        </w:rPr>
        <w:t>’s</w:t>
      </w:r>
      <w:r w:rsidRPr="0046317C">
        <w:rPr>
          <w:rFonts w:cs="Times New Roman"/>
          <w:szCs w:val="20"/>
        </w:rPr>
        <w:t xml:space="preserve"> and SCE’s proposals</w:t>
      </w:r>
      <w:r>
        <w:rPr>
          <w:rFonts w:cs="Times New Roman"/>
          <w:szCs w:val="20"/>
        </w:rPr>
        <w:t>,</w:t>
      </w:r>
      <w:r w:rsidRPr="0046317C">
        <w:rPr>
          <w:rFonts w:cs="Times New Roman"/>
          <w:szCs w:val="20"/>
        </w:rPr>
        <w:t xml:space="preserve"> not</w:t>
      </w:r>
      <w:r>
        <w:rPr>
          <w:rFonts w:cs="Times New Roman"/>
          <w:szCs w:val="20"/>
        </w:rPr>
        <w:t>ing</w:t>
      </w:r>
      <w:r w:rsidRPr="0046317C">
        <w:rPr>
          <w:rFonts w:cs="Times New Roman"/>
          <w:szCs w:val="20"/>
        </w:rPr>
        <w:t xml:space="preserve"> the challenges </w:t>
      </w:r>
      <w:r>
        <w:rPr>
          <w:rFonts w:cs="Times New Roman"/>
          <w:szCs w:val="20"/>
        </w:rPr>
        <w:t>the</w:t>
      </w:r>
      <w:r w:rsidRPr="0046317C">
        <w:rPr>
          <w:rFonts w:cs="Times New Roman"/>
          <w:szCs w:val="20"/>
        </w:rPr>
        <w:t xml:space="preserve"> CPEs faced in meeting local requirements for 2023 and 2024.</w:t>
      </w:r>
      <w:r w:rsidRPr="0046317C">
        <w:rPr>
          <w:rFonts w:cs="Times New Roman"/>
          <w:szCs w:val="20"/>
          <w:vertAlign w:val="superscript"/>
        </w:rPr>
        <w:footnoteReference w:id="50"/>
      </w:r>
      <w:r w:rsidRPr="0046317C">
        <w:rPr>
          <w:rFonts w:cs="Times New Roman"/>
          <w:szCs w:val="20"/>
        </w:rPr>
        <w:t xml:space="preserve">  MRP believes that if technology-specific procurement is needed, the Commission may authorize it as needed, such as was done in the Emergency Reliability Rulemaking.</w:t>
      </w:r>
    </w:p>
    <w:p w:rsidRPr="0046317C" w:rsidR="00BB7CF6" w:rsidP="00BB7CF6" w:rsidRDefault="00BB7CF6" w14:paraId="23073279" w14:textId="77777777">
      <w:pPr>
        <w:pStyle w:val="Heading3"/>
        <w:rPr>
          <w:rFonts w:eastAsia="Times New Roman"/>
        </w:rPr>
      </w:pPr>
      <w:bookmarkStart w:name="_Toc94080391" w:id="42"/>
      <w:bookmarkStart w:name="_Toc95232110" w:id="43"/>
      <w:r w:rsidRPr="0046317C">
        <w:rPr>
          <w:rFonts w:eastAsia="Times New Roman"/>
        </w:rPr>
        <w:t>Discussion</w:t>
      </w:r>
      <w:bookmarkEnd w:id="42"/>
      <w:bookmarkEnd w:id="43"/>
      <w:r w:rsidRPr="0046317C">
        <w:rPr>
          <w:rFonts w:eastAsia="Times New Roman"/>
        </w:rPr>
        <w:t xml:space="preserve"> </w:t>
      </w:r>
    </w:p>
    <w:p w:rsidRPr="0046317C" w:rsidR="00BB7CF6" w:rsidP="00BB7CF6" w:rsidRDefault="00BB7CF6" w14:paraId="66281396" w14:textId="0BF3A02F">
      <w:pPr>
        <w:rPr>
          <w:rFonts w:cs="Times New Roman"/>
          <w:szCs w:val="20"/>
        </w:rPr>
      </w:pPr>
      <w:r w:rsidRPr="0046317C">
        <w:rPr>
          <w:rFonts w:cs="Times New Roman"/>
          <w:szCs w:val="20"/>
        </w:rPr>
        <w:t xml:space="preserve">In the event of procurement shortfalls following the </w:t>
      </w:r>
      <w:r w:rsidR="00D110B2">
        <w:rPr>
          <w:rFonts w:cs="Times New Roman"/>
          <w:szCs w:val="20"/>
        </w:rPr>
        <w:t xml:space="preserve">CPE’s </w:t>
      </w:r>
      <w:r w:rsidRPr="0046317C">
        <w:rPr>
          <w:rFonts w:cs="Times New Roman"/>
          <w:szCs w:val="20"/>
        </w:rPr>
        <w:t xml:space="preserve">annual solicitation, the Commission agrees that the CPE is in the best position to evaluate the entire local portfolio and consider what additional resources are needed.  Therefore, we agree that the CPE should have authority to procure </w:t>
      </w:r>
      <w:r w:rsidRPr="0046317C">
        <w:rPr>
          <w:rFonts w:cs="Times New Roman"/>
          <w:szCs w:val="20"/>
        </w:rPr>
        <w:lastRenderedPageBreak/>
        <w:t xml:space="preserve">outside of the annual solicitation process in certain situations.  Such outside procurement should only occur, however, if there are deficiencies following the CPEs’ annual solicitation and only to cover those deficiencies.  </w:t>
      </w:r>
      <w:r w:rsidR="002715CE">
        <w:rPr>
          <w:rFonts w:cs="Times New Roman"/>
          <w:szCs w:val="20"/>
        </w:rPr>
        <w:t xml:space="preserve">The CPE is still permitted to conduct </w:t>
      </w:r>
      <w:r w:rsidR="00BD15A8">
        <w:rPr>
          <w:rFonts w:cs="Times New Roman"/>
          <w:szCs w:val="20"/>
        </w:rPr>
        <w:t>additional</w:t>
      </w:r>
      <w:r w:rsidR="002715CE">
        <w:rPr>
          <w:rFonts w:cs="Times New Roman"/>
          <w:szCs w:val="20"/>
        </w:rPr>
        <w:t xml:space="preserve"> solicitations </w:t>
      </w:r>
      <w:r w:rsidR="00BD15A8">
        <w:rPr>
          <w:rFonts w:cs="Times New Roman"/>
          <w:szCs w:val="20"/>
        </w:rPr>
        <w:t xml:space="preserve">following </w:t>
      </w:r>
      <w:r w:rsidR="00A56A94">
        <w:rPr>
          <w:rFonts w:cs="Times New Roman"/>
          <w:szCs w:val="20"/>
        </w:rPr>
        <w:t>its</w:t>
      </w:r>
      <w:r w:rsidR="00BD15A8">
        <w:rPr>
          <w:rFonts w:cs="Times New Roman"/>
          <w:szCs w:val="20"/>
        </w:rPr>
        <w:t xml:space="preserve"> annual solicitation</w:t>
      </w:r>
      <w:r w:rsidR="00812665">
        <w:rPr>
          <w:rFonts w:cs="Times New Roman"/>
          <w:szCs w:val="20"/>
        </w:rPr>
        <w:t>, as provided in D.20-06-002.</w:t>
      </w:r>
      <w:r w:rsidRPr="0046317C" w:rsidR="002715CE">
        <w:rPr>
          <w:rFonts w:cs="Times New Roman"/>
          <w:szCs w:val="20"/>
        </w:rPr>
        <w:t xml:space="preserve">  </w:t>
      </w:r>
      <w:r w:rsidRPr="0046317C">
        <w:rPr>
          <w:rFonts w:cs="Times New Roman"/>
          <w:szCs w:val="20"/>
        </w:rPr>
        <w:t xml:space="preserve">We encourage the CPEs to fill their positions </w:t>
      </w:r>
      <w:r>
        <w:rPr>
          <w:rFonts w:cs="Times New Roman"/>
          <w:szCs w:val="20"/>
        </w:rPr>
        <w:t>to the extent</w:t>
      </w:r>
      <w:r w:rsidRPr="0046317C">
        <w:rPr>
          <w:rFonts w:cs="Times New Roman"/>
          <w:szCs w:val="20"/>
        </w:rPr>
        <w:t xml:space="preserve"> possible prior to initial RA allocations in July.</w:t>
      </w:r>
      <w:r w:rsidR="002715CE">
        <w:rPr>
          <w:rFonts w:cs="Times New Roman"/>
          <w:szCs w:val="20"/>
        </w:rPr>
        <w:t xml:space="preserve">  </w:t>
      </w:r>
    </w:p>
    <w:p w:rsidRPr="0046317C" w:rsidR="00BB7CF6" w:rsidP="00BB7CF6" w:rsidRDefault="00BB7CF6" w14:paraId="2A845436" w14:textId="7FB3CFD7">
      <w:pPr>
        <w:rPr>
          <w:rFonts w:cs="Times New Roman"/>
          <w:szCs w:val="20"/>
        </w:rPr>
      </w:pPr>
      <w:r w:rsidRPr="0046317C">
        <w:rPr>
          <w:rFonts w:cs="Times New Roman"/>
          <w:szCs w:val="20"/>
        </w:rPr>
        <w:t xml:space="preserve">Accordingly, in the event that the CPE does not procure sufficient resources to meet its multi-year local requirements following </w:t>
      </w:r>
      <w:r w:rsidR="0097311B">
        <w:rPr>
          <w:rFonts w:cs="Times New Roman"/>
          <w:szCs w:val="20"/>
        </w:rPr>
        <w:t>its</w:t>
      </w:r>
      <w:r w:rsidRPr="0046317C">
        <w:rPr>
          <w:rFonts w:cs="Times New Roman"/>
          <w:szCs w:val="20"/>
        </w:rPr>
        <w:t xml:space="preserve"> annual all</w:t>
      </w:r>
      <w:r>
        <w:rPr>
          <w:rFonts w:cs="Times New Roman"/>
          <w:szCs w:val="20"/>
        </w:rPr>
        <w:noBreakHyphen/>
      </w:r>
      <w:r w:rsidRPr="0046317C">
        <w:rPr>
          <w:rFonts w:cs="Times New Roman"/>
          <w:szCs w:val="20"/>
        </w:rPr>
        <w:t xml:space="preserve">source solicitation, the CPE is granted authority to procure additional local RA resources outside of </w:t>
      </w:r>
      <w:r w:rsidR="00E90F14">
        <w:rPr>
          <w:rFonts w:cs="Times New Roman"/>
          <w:szCs w:val="20"/>
        </w:rPr>
        <w:t>its</w:t>
      </w:r>
      <w:r w:rsidRPr="0046317C">
        <w:rPr>
          <w:rFonts w:cs="Times New Roman"/>
          <w:szCs w:val="20"/>
        </w:rPr>
        <w:t xml:space="preserve"> annual solicitation process.  The CPE is authorized to use broker market</w:t>
      </w:r>
      <w:r>
        <w:rPr>
          <w:rFonts w:cs="Times New Roman"/>
          <w:szCs w:val="20"/>
        </w:rPr>
        <w:t>s</w:t>
      </w:r>
      <w:r w:rsidRPr="0046317C">
        <w:rPr>
          <w:rFonts w:cs="Times New Roman"/>
          <w:szCs w:val="20"/>
        </w:rPr>
        <w:t xml:space="preserve"> or bilateral transactions to fill short positions for any deficiencies in the three-year forward period.  </w:t>
      </w:r>
      <w:r w:rsidR="00622D02">
        <w:t>The CPE shall consult with the CAM PRG on plans for conducting procurement outside of its all-source solicitation, including opportunities it plans to pursue and criteria with which it plans to evaluate offers.</w:t>
      </w:r>
    </w:p>
    <w:p w:rsidRPr="0046317C" w:rsidR="00BB7CF6" w:rsidP="00D110B2" w:rsidRDefault="00BB7CF6" w14:paraId="319F529E" w14:textId="1E003CE5">
      <w:pPr>
        <w:rPr>
          <w:rFonts w:cs="Times New Roman"/>
          <w:szCs w:val="20"/>
        </w:rPr>
      </w:pPr>
      <w:r w:rsidRPr="0046317C">
        <w:rPr>
          <w:rFonts w:cs="Times New Roman"/>
          <w:szCs w:val="20"/>
        </w:rPr>
        <w:t>The CPE shall use the least cost best fit methodology and, if applicable for the procurement being undertaken, consider the selection criteria set forth in D.20-06-002, as modified in this decision.  For contracts that exceed a five-year term,</w:t>
      </w:r>
      <w:r w:rsidR="00D110B2">
        <w:rPr>
          <w:rFonts w:cs="Times New Roman"/>
          <w:szCs w:val="20"/>
        </w:rPr>
        <w:t xml:space="preserve"> including bilateral or broker contracts,</w:t>
      </w:r>
      <w:r w:rsidRPr="0046317C">
        <w:rPr>
          <w:rFonts w:cs="Times New Roman"/>
          <w:szCs w:val="20"/>
        </w:rPr>
        <w:t xml:space="preserve"> the CPE shall submit a Tier 3 Advice Letter for approval.  </w:t>
      </w:r>
      <w:r>
        <w:rPr>
          <w:rFonts w:cs="Times New Roman"/>
          <w:szCs w:val="20"/>
        </w:rPr>
        <w:t>F</w:t>
      </w:r>
      <w:r w:rsidRPr="0046317C">
        <w:rPr>
          <w:rFonts w:cs="Times New Roman"/>
          <w:szCs w:val="20"/>
        </w:rPr>
        <w:t xml:space="preserve">or contracts with terms </w:t>
      </w:r>
      <w:r>
        <w:rPr>
          <w:rFonts w:cs="Times New Roman"/>
          <w:szCs w:val="20"/>
        </w:rPr>
        <w:t>of</w:t>
      </w:r>
      <w:r w:rsidRPr="0046317C">
        <w:rPr>
          <w:rFonts w:cs="Times New Roman"/>
          <w:szCs w:val="20"/>
        </w:rPr>
        <w:t xml:space="preserve"> five</w:t>
      </w:r>
      <w:r>
        <w:rPr>
          <w:rFonts w:cs="Times New Roman"/>
          <w:szCs w:val="20"/>
        </w:rPr>
        <w:t> </w:t>
      </w:r>
      <w:r w:rsidRPr="0046317C">
        <w:rPr>
          <w:rFonts w:cs="Times New Roman"/>
          <w:szCs w:val="20"/>
        </w:rPr>
        <w:t>years</w:t>
      </w:r>
      <w:r>
        <w:rPr>
          <w:rFonts w:cs="Times New Roman"/>
          <w:szCs w:val="20"/>
        </w:rPr>
        <w:t xml:space="preserve"> or less</w:t>
      </w:r>
      <w:r w:rsidRPr="0046317C">
        <w:rPr>
          <w:rFonts w:cs="Times New Roman"/>
          <w:szCs w:val="20"/>
        </w:rPr>
        <w:t>, the contract should be deemed reasonable and preapproved provided that these conditions are met:</w:t>
      </w:r>
      <w:r>
        <w:rPr>
          <w:rFonts w:cs="Times New Roman"/>
          <w:szCs w:val="20"/>
        </w:rPr>
        <w:t xml:space="preserve"> </w:t>
      </w:r>
      <w:r w:rsidRPr="0046317C">
        <w:rPr>
          <w:rFonts w:cs="Times New Roman"/>
          <w:szCs w:val="20"/>
        </w:rPr>
        <w:t xml:space="preserve"> (1) the resource meets the local capacity needs identified by CAISO’s LCRTS, (2)</w:t>
      </w:r>
      <w:r>
        <w:rPr>
          <w:rFonts w:cs="Times New Roman"/>
          <w:szCs w:val="20"/>
        </w:rPr>
        <w:t> </w:t>
      </w:r>
      <w:r w:rsidRPr="0046317C">
        <w:rPr>
          <w:rFonts w:cs="Times New Roman"/>
          <w:szCs w:val="20"/>
        </w:rPr>
        <w:t>the CAM PRG was properly consulted</w:t>
      </w:r>
      <w:r>
        <w:rPr>
          <w:rFonts w:cs="Times New Roman"/>
          <w:szCs w:val="20"/>
        </w:rPr>
        <w:t>, as directed in Ordering Paragraph 13 of D.20-06-002</w:t>
      </w:r>
      <w:r w:rsidRPr="0046317C">
        <w:rPr>
          <w:rFonts w:cs="Times New Roman"/>
          <w:szCs w:val="20"/>
        </w:rPr>
        <w:t>, and (3)</w:t>
      </w:r>
      <w:r>
        <w:rPr>
          <w:rFonts w:cs="Times New Roman"/>
          <w:szCs w:val="20"/>
        </w:rPr>
        <w:t> </w:t>
      </w:r>
      <w:r w:rsidRPr="0046317C">
        <w:rPr>
          <w:rFonts w:cs="Times New Roman"/>
          <w:szCs w:val="20"/>
        </w:rPr>
        <w:t>procurement was deemed by the</w:t>
      </w:r>
      <w:r>
        <w:rPr>
          <w:rFonts w:cs="Times New Roman"/>
          <w:szCs w:val="20"/>
        </w:rPr>
        <w:t xml:space="preserve"> IE</w:t>
      </w:r>
      <w:r w:rsidRPr="0046317C">
        <w:rPr>
          <w:rFonts w:cs="Times New Roman"/>
          <w:szCs w:val="20"/>
        </w:rPr>
        <w:t xml:space="preserve"> to have followed all relevant Commission guidance, including the least cost best fit methodology and other selection criteria.</w:t>
      </w:r>
      <w:r w:rsidR="00D110B2">
        <w:rPr>
          <w:rFonts w:cs="Times New Roman"/>
          <w:szCs w:val="20"/>
        </w:rPr>
        <w:t xml:space="preserve">  </w:t>
      </w:r>
      <w:r w:rsidRPr="00E90F14" w:rsidR="00D110B2">
        <w:t xml:space="preserve">For reasonable and preapproved </w:t>
      </w:r>
      <w:r w:rsidRPr="00E90F14" w:rsidR="00D110B2">
        <w:lastRenderedPageBreak/>
        <w:t>broker or bilateral contracts with a term of five</w:t>
      </w:r>
      <w:r w:rsidR="0081243A">
        <w:t xml:space="preserve"> </w:t>
      </w:r>
      <w:r w:rsidRPr="00E90F14" w:rsidR="00D110B2">
        <w:t>years or less, the CPE shall notify the CAM PRG as soon as practicable after the execution of the broker or bilateral transaction</w:t>
      </w:r>
      <w:r w:rsidR="00D110B2">
        <w:t>.</w:t>
      </w:r>
      <w:r w:rsidR="00622D02">
        <w:t xml:space="preserve">  </w:t>
      </w:r>
    </w:p>
    <w:p w:rsidRPr="0046317C" w:rsidR="00BB7CF6" w:rsidP="00BB7CF6" w:rsidRDefault="00BB7CF6" w14:paraId="48313750" w14:textId="77777777">
      <w:pPr>
        <w:pStyle w:val="Heading2"/>
      </w:pPr>
      <w:bookmarkStart w:name="_Toc94080392" w:id="44"/>
      <w:bookmarkStart w:name="_Toc95232111" w:id="45"/>
      <w:r w:rsidRPr="0046317C">
        <w:t>CPE Procurement Timeline</w:t>
      </w:r>
      <w:bookmarkEnd w:id="44"/>
      <w:bookmarkEnd w:id="45"/>
    </w:p>
    <w:p w:rsidRPr="0046317C" w:rsidR="00BB7CF6" w:rsidP="00BB7CF6" w:rsidRDefault="00BB7CF6" w14:paraId="2323CF95" w14:textId="77777777">
      <w:pPr>
        <w:rPr>
          <w:rFonts w:cs="Times New Roman"/>
          <w:szCs w:val="20"/>
        </w:rPr>
      </w:pPr>
      <w:r w:rsidRPr="0046317C">
        <w:rPr>
          <w:rFonts w:cs="Times New Roman"/>
          <w:szCs w:val="20"/>
        </w:rPr>
        <w:t>In D.20-06-002, the following timeline was adopted for CPE procurement:</w:t>
      </w:r>
      <w:r w:rsidRPr="0046317C">
        <w:rPr>
          <w:rFonts w:cs="Times New Roman"/>
          <w:szCs w:val="20"/>
          <w:vertAlign w:val="superscript"/>
        </w:rPr>
        <w:footnoteReference w:id="51"/>
      </w:r>
    </w:p>
    <w:p w:rsidRPr="0046317C" w:rsidR="00BB7CF6" w:rsidP="00BB7CF6" w:rsidRDefault="00BB7CF6" w14:paraId="2FDF409A" w14:textId="77777777">
      <w:pPr>
        <w:numPr>
          <w:ilvl w:val="0"/>
          <w:numId w:val="13"/>
        </w:numPr>
        <w:spacing w:after="120" w:line="240" w:lineRule="auto"/>
        <w:ind w:right="1440"/>
        <w:rPr>
          <w:rFonts w:cs="Times New Roman"/>
          <w:szCs w:val="20"/>
        </w:rPr>
      </w:pPr>
      <w:r w:rsidRPr="0046317C">
        <w:rPr>
          <w:rFonts w:cs="Times New Roman"/>
          <w:b/>
          <w:szCs w:val="20"/>
        </w:rPr>
        <w:t>April-May 2021</w:t>
      </w:r>
      <w:r w:rsidRPr="0046317C">
        <w:rPr>
          <w:rFonts w:cs="Times New Roman"/>
          <w:szCs w:val="20"/>
        </w:rPr>
        <w:t xml:space="preserve">:  </w:t>
      </w:r>
    </w:p>
    <w:p w:rsidRPr="0046317C" w:rsidR="00BB7CF6" w:rsidP="00BB7CF6" w:rsidRDefault="00BB7CF6" w14:paraId="22BE13A3" w14:textId="77777777">
      <w:pPr>
        <w:numPr>
          <w:ilvl w:val="1"/>
          <w:numId w:val="13"/>
        </w:numPr>
        <w:spacing w:after="120" w:line="240" w:lineRule="auto"/>
        <w:ind w:left="1440" w:right="1440"/>
        <w:rPr>
          <w:rFonts w:cs="Times New Roman"/>
          <w:szCs w:val="20"/>
        </w:rPr>
      </w:pPr>
      <w:r w:rsidRPr="0046317C">
        <w:rPr>
          <w:rFonts w:cs="Times New Roman"/>
          <w:szCs w:val="20"/>
        </w:rPr>
        <w:t>The CAISO files draft and final Local Capacity Requirements (LCR) one- and five-year ahead studies.  LCR studies will include any CAISO</w:t>
      </w:r>
      <w:r w:rsidRPr="0046317C">
        <w:rPr>
          <w:rFonts w:cs="Times New Roman"/>
          <w:szCs w:val="20"/>
        </w:rPr>
        <w:noBreakHyphen/>
        <w:t xml:space="preserve">approved transmission upgrades from the </w:t>
      </w:r>
      <w:bookmarkStart w:name="_Hlk94191756" w:id="46"/>
      <w:r w:rsidRPr="0046317C">
        <w:rPr>
          <w:rFonts w:cs="Times New Roman"/>
          <w:szCs w:val="20"/>
        </w:rPr>
        <w:t>Transmission Planning Process</w:t>
      </w:r>
      <w:bookmarkEnd w:id="46"/>
      <w:r w:rsidRPr="0046317C">
        <w:rPr>
          <w:rFonts w:cs="Times New Roman"/>
          <w:szCs w:val="20"/>
        </w:rPr>
        <w:t xml:space="preserve"> (TPP) LCR study.</w:t>
      </w:r>
    </w:p>
    <w:p w:rsidRPr="0046317C" w:rsidR="00BB7CF6" w:rsidP="00BB7CF6" w:rsidRDefault="00BB7CF6" w14:paraId="710416D3" w14:textId="77777777">
      <w:pPr>
        <w:numPr>
          <w:ilvl w:val="1"/>
          <w:numId w:val="13"/>
        </w:numPr>
        <w:spacing w:after="120" w:line="240" w:lineRule="auto"/>
        <w:ind w:left="1440" w:right="1440"/>
        <w:rPr>
          <w:rFonts w:cs="Times New Roman"/>
          <w:szCs w:val="20"/>
        </w:rPr>
      </w:pPr>
      <w:r w:rsidRPr="0046317C">
        <w:rPr>
          <w:rFonts w:cs="Times New Roman"/>
          <w:szCs w:val="20"/>
        </w:rPr>
        <w:t>LSEs in SCE and PG&amp;E TAC areas commit to CPE to show self</w:t>
      </w:r>
      <w:r w:rsidRPr="0046317C">
        <w:rPr>
          <w:rFonts w:cs="Times New Roman"/>
          <w:szCs w:val="20"/>
        </w:rPr>
        <w:noBreakHyphen/>
        <w:t>procured local resources in RA filing for 2023 and 2024.</w:t>
      </w:r>
    </w:p>
    <w:p w:rsidRPr="0046317C" w:rsidR="00BB7CF6" w:rsidP="00BB7CF6" w:rsidRDefault="00BB7CF6" w14:paraId="44EC88D9" w14:textId="77777777">
      <w:pPr>
        <w:numPr>
          <w:ilvl w:val="1"/>
          <w:numId w:val="13"/>
        </w:numPr>
        <w:spacing w:after="120" w:line="240" w:lineRule="auto"/>
        <w:ind w:left="1440" w:right="1440"/>
        <w:rPr>
          <w:rFonts w:cs="Times New Roman"/>
          <w:szCs w:val="20"/>
        </w:rPr>
      </w:pPr>
      <w:r w:rsidRPr="0046317C">
        <w:rPr>
          <w:rFonts w:cs="Times New Roman"/>
          <w:szCs w:val="20"/>
        </w:rPr>
        <w:t>Parties file comments on draft and final LCR studies.</w:t>
      </w:r>
    </w:p>
    <w:p w:rsidRPr="0046317C" w:rsidR="00BB7CF6" w:rsidP="00BB7CF6" w:rsidRDefault="00BB7CF6" w14:paraId="414AD1C3" w14:textId="77777777">
      <w:pPr>
        <w:keepNext/>
        <w:keepLines/>
        <w:numPr>
          <w:ilvl w:val="0"/>
          <w:numId w:val="13"/>
        </w:numPr>
        <w:spacing w:after="120" w:line="240" w:lineRule="auto"/>
        <w:ind w:right="1440"/>
        <w:rPr>
          <w:rFonts w:cs="Times New Roman"/>
          <w:szCs w:val="20"/>
        </w:rPr>
      </w:pPr>
      <w:r w:rsidRPr="0046317C">
        <w:rPr>
          <w:rFonts w:cs="Times New Roman"/>
          <w:b/>
          <w:szCs w:val="20"/>
        </w:rPr>
        <w:t>June 2021</w:t>
      </w:r>
      <w:r w:rsidRPr="0046317C">
        <w:rPr>
          <w:rFonts w:cs="Times New Roman"/>
          <w:szCs w:val="20"/>
        </w:rPr>
        <w:t xml:space="preserve">:  </w:t>
      </w:r>
    </w:p>
    <w:p w:rsidRPr="0046317C" w:rsidR="00BB7CF6" w:rsidP="00BB7CF6" w:rsidRDefault="00BB7CF6" w14:paraId="6E5DF303" w14:textId="77777777">
      <w:pPr>
        <w:numPr>
          <w:ilvl w:val="1"/>
          <w:numId w:val="13"/>
        </w:numPr>
        <w:spacing w:after="120" w:line="240" w:lineRule="auto"/>
        <w:ind w:left="1440" w:right="1440"/>
        <w:rPr>
          <w:rFonts w:cs="Times New Roman"/>
          <w:szCs w:val="20"/>
        </w:rPr>
      </w:pPr>
      <w:r w:rsidRPr="0046317C">
        <w:rPr>
          <w:rFonts w:cs="Times New Roman"/>
          <w:szCs w:val="20"/>
        </w:rPr>
        <w:t>The Commission adopts multi-year local RA requirements for the 2022-2024 compliance years as part of its June decision.</w:t>
      </w:r>
    </w:p>
    <w:p w:rsidRPr="0046317C" w:rsidR="00BB7CF6" w:rsidP="00BB7CF6" w:rsidRDefault="00BB7CF6" w14:paraId="2540BDBE" w14:textId="77777777">
      <w:pPr>
        <w:numPr>
          <w:ilvl w:val="1"/>
          <w:numId w:val="13"/>
        </w:numPr>
        <w:spacing w:after="120" w:line="240" w:lineRule="auto"/>
        <w:ind w:left="1440" w:right="1440"/>
        <w:rPr>
          <w:rFonts w:cs="Times New Roman"/>
          <w:szCs w:val="20"/>
        </w:rPr>
      </w:pPr>
      <w:r w:rsidRPr="0046317C">
        <w:rPr>
          <w:rFonts w:cs="Times New Roman"/>
          <w:szCs w:val="20"/>
        </w:rPr>
        <w:t>CPE receives total jurisdictional share of multi-year local RA requirements for 2022-2024 compliance years.</w:t>
      </w:r>
    </w:p>
    <w:p w:rsidRPr="0046317C" w:rsidR="00BB7CF6" w:rsidP="00BB7CF6" w:rsidRDefault="00BB7CF6" w14:paraId="3FBBDB0B" w14:textId="77777777">
      <w:pPr>
        <w:numPr>
          <w:ilvl w:val="0"/>
          <w:numId w:val="13"/>
        </w:numPr>
        <w:spacing w:after="120" w:line="240" w:lineRule="auto"/>
        <w:ind w:right="1440"/>
        <w:rPr>
          <w:rFonts w:cs="Times New Roman"/>
          <w:szCs w:val="20"/>
        </w:rPr>
      </w:pPr>
      <w:r w:rsidRPr="0046317C">
        <w:rPr>
          <w:rFonts w:cs="Times New Roman"/>
          <w:b/>
          <w:szCs w:val="20"/>
        </w:rPr>
        <w:t>July 2021</w:t>
      </w:r>
      <w:r w:rsidRPr="0046317C">
        <w:rPr>
          <w:rFonts w:cs="Times New Roman"/>
          <w:szCs w:val="20"/>
        </w:rPr>
        <w:t xml:space="preserve">: </w:t>
      </w:r>
    </w:p>
    <w:p w:rsidRPr="0046317C" w:rsidR="00BB7CF6" w:rsidP="00BB7CF6" w:rsidRDefault="00BB7CF6" w14:paraId="24CF179B" w14:textId="77777777">
      <w:pPr>
        <w:numPr>
          <w:ilvl w:val="1"/>
          <w:numId w:val="13"/>
        </w:numPr>
        <w:spacing w:after="120" w:line="240" w:lineRule="auto"/>
        <w:ind w:left="1440" w:right="1440"/>
        <w:rPr>
          <w:rFonts w:cs="Times New Roman"/>
          <w:szCs w:val="20"/>
        </w:rPr>
      </w:pPr>
      <w:r w:rsidRPr="0046317C">
        <w:rPr>
          <w:rFonts w:cs="Times New Roman"/>
          <w:szCs w:val="20"/>
        </w:rPr>
        <w:t xml:space="preserve">For the SCE and PG&amp;E TAC areas, LSEs receive initial RA allocations, including CAM credits and system, flexible, and local requirements for 2022 (but are not allocated local requirements for 2023 and 2024). </w:t>
      </w:r>
    </w:p>
    <w:p w:rsidRPr="0046317C" w:rsidR="00BB7CF6" w:rsidP="00BB7CF6" w:rsidRDefault="00BB7CF6" w14:paraId="37C94A49" w14:textId="77777777">
      <w:pPr>
        <w:numPr>
          <w:ilvl w:val="0"/>
          <w:numId w:val="13"/>
        </w:numPr>
        <w:spacing w:after="120" w:line="240" w:lineRule="auto"/>
        <w:ind w:right="1440"/>
        <w:rPr>
          <w:rFonts w:cs="Times New Roman"/>
          <w:szCs w:val="20"/>
        </w:rPr>
      </w:pPr>
      <w:r w:rsidRPr="0046317C">
        <w:rPr>
          <w:rFonts w:cs="Times New Roman"/>
          <w:b/>
          <w:szCs w:val="20"/>
        </w:rPr>
        <w:t xml:space="preserve">Late September 2021:  </w:t>
      </w:r>
      <w:r w:rsidRPr="0046317C">
        <w:rPr>
          <w:rFonts w:cs="Times New Roman"/>
          <w:szCs w:val="20"/>
        </w:rPr>
        <w:t xml:space="preserve">CPE and LSEs that voluntarily committed local resources to the CPE make local RA showing to the Commission and the CAISO. </w:t>
      </w:r>
    </w:p>
    <w:p w:rsidRPr="0046317C" w:rsidR="00BB7CF6" w:rsidP="00BB7CF6" w:rsidRDefault="00BB7CF6" w14:paraId="4033961B" w14:textId="77777777">
      <w:pPr>
        <w:numPr>
          <w:ilvl w:val="0"/>
          <w:numId w:val="13"/>
        </w:numPr>
        <w:spacing w:after="120" w:line="240" w:lineRule="auto"/>
        <w:ind w:right="1440"/>
        <w:rPr>
          <w:rFonts w:cs="Times New Roman"/>
          <w:szCs w:val="20"/>
        </w:rPr>
      </w:pPr>
      <w:r w:rsidRPr="0046317C">
        <w:rPr>
          <w:rFonts w:cs="Times New Roman"/>
          <w:b/>
          <w:szCs w:val="20"/>
        </w:rPr>
        <w:lastRenderedPageBreak/>
        <w:t xml:space="preserve">Late September/early October 2021:  </w:t>
      </w:r>
      <w:r w:rsidRPr="0046317C">
        <w:rPr>
          <w:rFonts w:cs="Times New Roman"/>
          <w:szCs w:val="20"/>
        </w:rPr>
        <w:t>For PG&amp;E and SCE’s TAC areas,</w:t>
      </w:r>
      <w:r w:rsidRPr="0046317C">
        <w:rPr>
          <w:rFonts w:cs="Times New Roman"/>
          <w:b/>
          <w:szCs w:val="20"/>
        </w:rPr>
        <w:t xml:space="preserve"> </w:t>
      </w:r>
      <w:r w:rsidRPr="0046317C">
        <w:rPr>
          <w:rFonts w:cs="Times New Roman"/>
          <w:szCs w:val="20"/>
        </w:rPr>
        <w:t>LSEs are allocated final CAM credits (based on coincident peak load shares) for any system and flexible capacity that was procured by the CPE during the local RA procurement process or by CAISO through its RMR process.</w:t>
      </w:r>
    </w:p>
    <w:p w:rsidRPr="0046317C" w:rsidR="00BB7CF6" w:rsidP="00BB7CF6" w:rsidRDefault="00BB7CF6" w14:paraId="16125D82" w14:textId="77777777">
      <w:pPr>
        <w:numPr>
          <w:ilvl w:val="0"/>
          <w:numId w:val="13"/>
        </w:numPr>
        <w:spacing w:after="240" w:line="240" w:lineRule="auto"/>
        <w:ind w:right="1440"/>
        <w:rPr>
          <w:rFonts w:cs="Times New Roman"/>
          <w:szCs w:val="20"/>
        </w:rPr>
      </w:pPr>
      <w:r w:rsidRPr="0046317C">
        <w:rPr>
          <w:rFonts w:cs="Times New Roman"/>
          <w:b/>
          <w:szCs w:val="20"/>
        </w:rPr>
        <w:t xml:space="preserve">End of October 2021:  </w:t>
      </w:r>
      <w:r w:rsidRPr="0046317C">
        <w:rPr>
          <w:rFonts w:cs="Times New Roman"/>
          <w:szCs w:val="20"/>
        </w:rPr>
        <w:t>LSEs in PG&amp;E and SCE TACs make local showing only for 2022, as well as 2022 year ahead system and flexible showings.</w:t>
      </w:r>
    </w:p>
    <w:p w:rsidRPr="0046317C" w:rsidR="00BB7CF6" w:rsidP="00BB7CF6" w:rsidRDefault="00BB7CF6" w14:paraId="5999F394" w14:textId="77777777">
      <w:pPr>
        <w:rPr>
          <w:rFonts w:cs="Times New Roman"/>
          <w:szCs w:val="20"/>
        </w:rPr>
      </w:pPr>
      <w:r w:rsidRPr="0046317C">
        <w:rPr>
          <w:rFonts w:cs="Times New Roman"/>
          <w:szCs w:val="20"/>
        </w:rPr>
        <w:t xml:space="preserve">Parties and Energy Division offer several proposals to revise the timeline. </w:t>
      </w:r>
    </w:p>
    <w:p w:rsidRPr="0046317C" w:rsidR="00BB7CF6" w:rsidP="00BB7CF6" w:rsidRDefault="00BB7CF6" w14:paraId="02226D2E" w14:textId="77777777">
      <w:pPr>
        <w:pStyle w:val="Heading3"/>
        <w:rPr>
          <w:rFonts w:eastAsia="Times New Roman"/>
        </w:rPr>
      </w:pPr>
      <w:bookmarkStart w:name="_Toc94080393" w:id="47"/>
      <w:bookmarkStart w:name="_Toc95232112" w:id="48"/>
      <w:r w:rsidRPr="0046317C">
        <w:rPr>
          <w:rFonts w:eastAsia="Times New Roman"/>
        </w:rPr>
        <w:t>Energy Division’s Proposal</w:t>
      </w:r>
      <w:bookmarkEnd w:id="47"/>
      <w:bookmarkEnd w:id="48"/>
      <w:r w:rsidRPr="0046317C">
        <w:rPr>
          <w:rFonts w:eastAsia="Times New Roman"/>
        </w:rPr>
        <w:t xml:space="preserve"> </w:t>
      </w:r>
    </w:p>
    <w:p w:rsidRPr="0046317C" w:rsidR="00BB7CF6" w:rsidP="00BB7CF6" w:rsidRDefault="00BB7CF6" w14:paraId="7DC32D36" w14:textId="77777777">
      <w:pPr>
        <w:rPr>
          <w:rFonts w:cs="Times New Roman"/>
          <w:szCs w:val="20"/>
        </w:rPr>
      </w:pPr>
      <w:r w:rsidRPr="0046317C">
        <w:rPr>
          <w:rFonts w:cs="Times New Roman"/>
          <w:szCs w:val="20"/>
        </w:rPr>
        <w:t>Energy Division states that the current timeline accounts for CPE CAM credits being distributed in late September/early October, following the CPE’s procurement filings in late September.</w:t>
      </w:r>
      <w:r w:rsidRPr="0046317C">
        <w:rPr>
          <w:rFonts w:cs="Times New Roman"/>
          <w:szCs w:val="20"/>
          <w:vertAlign w:val="superscript"/>
        </w:rPr>
        <w:footnoteReference w:id="52"/>
      </w:r>
      <w:r w:rsidRPr="0046317C">
        <w:rPr>
          <w:rFonts w:cs="Times New Roman"/>
          <w:szCs w:val="20"/>
        </w:rPr>
        <w:t xml:space="preserve">  Because LSEs are dependent on these allocations to finalize year-ahead RA positions, Energy Division states that the timeline does not provide sufficient time for LSEs to manage their portfolios.  Energy Division proposes to no longer require LSEs to commit self-shown resources in April – May, and to move the CPE’s finalized procurement to late July.  The proposed revisions are as follows:</w:t>
      </w:r>
    </w:p>
    <w:p w:rsidRPr="0046317C" w:rsidR="00BB7CF6" w:rsidP="00BB7CF6" w:rsidRDefault="00BB7CF6" w14:paraId="43AA76F7" w14:textId="77777777">
      <w:pPr>
        <w:numPr>
          <w:ilvl w:val="0"/>
          <w:numId w:val="16"/>
        </w:numPr>
        <w:autoSpaceDE w:val="0"/>
        <w:autoSpaceDN w:val="0"/>
        <w:adjustRightInd w:val="0"/>
        <w:spacing w:after="120" w:line="240" w:lineRule="auto"/>
        <w:ind w:left="1080" w:right="1440"/>
        <w:rPr>
          <w:rFonts w:cs="Calibri"/>
          <w:color w:val="000000"/>
          <w:szCs w:val="26"/>
        </w:rPr>
      </w:pPr>
      <w:r w:rsidRPr="0046317C">
        <w:rPr>
          <w:rFonts w:cs="Calibri"/>
          <w:color w:val="000000"/>
          <w:szCs w:val="26"/>
        </w:rPr>
        <w:t>Late July:  CPE procurement is finalized.  LSEs that self</w:t>
      </w:r>
      <w:r>
        <w:rPr>
          <w:rFonts w:cs="Calibri"/>
          <w:color w:val="000000"/>
          <w:szCs w:val="26"/>
        </w:rPr>
        <w:noBreakHyphen/>
      </w:r>
      <w:r w:rsidRPr="0046317C">
        <w:rPr>
          <w:rFonts w:cs="Calibri"/>
          <w:color w:val="000000"/>
          <w:szCs w:val="26"/>
        </w:rPr>
        <w:t xml:space="preserve">show local resources make local RA showings to the Commission.  Initial year-ahead allocations in July will not include CAM credits but will include CPE procurement completed in prior years. </w:t>
      </w:r>
    </w:p>
    <w:p w:rsidRPr="0046317C" w:rsidR="00BB7CF6" w:rsidP="00BB7CF6" w:rsidRDefault="00BB7CF6" w14:paraId="7DA2C65B" w14:textId="77777777">
      <w:pPr>
        <w:numPr>
          <w:ilvl w:val="0"/>
          <w:numId w:val="16"/>
        </w:numPr>
        <w:autoSpaceDE w:val="0"/>
        <w:autoSpaceDN w:val="0"/>
        <w:adjustRightInd w:val="0"/>
        <w:spacing w:after="120" w:line="240" w:lineRule="auto"/>
        <w:ind w:left="1080" w:right="1440"/>
        <w:rPr>
          <w:rFonts w:cs="Calibri"/>
          <w:color w:val="000000"/>
          <w:szCs w:val="26"/>
        </w:rPr>
      </w:pPr>
      <w:r w:rsidRPr="0046317C">
        <w:rPr>
          <w:rFonts w:cs="Calibri"/>
          <w:color w:val="000000"/>
          <w:szCs w:val="26"/>
        </w:rPr>
        <w:t>Mid-August:  Preliminary CPE allocations are sent to LSEs based on initial load forecast load ratios and CPE procurement filings in late July.</w:t>
      </w:r>
    </w:p>
    <w:p w:rsidRPr="0046317C" w:rsidR="00BB7CF6" w:rsidP="00BB7CF6" w:rsidRDefault="00BB7CF6" w14:paraId="68A08F16" w14:textId="77777777">
      <w:pPr>
        <w:numPr>
          <w:ilvl w:val="0"/>
          <w:numId w:val="16"/>
        </w:numPr>
        <w:autoSpaceDE w:val="0"/>
        <w:autoSpaceDN w:val="0"/>
        <w:adjustRightInd w:val="0"/>
        <w:spacing w:after="120" w:line="240" w:lineRule="auto"/>
        <w:ind w:left="1080" w:right="1440"/>
        <w:rPr>
          <w:rFonts w:cs="Calibri"/>
          <w:color w:val="000000"/>
          <w:szCs w:val="26"/>
        </w:rPr>
      </w:pPr>
      <w:r w:rsidRPr="0046317C">
        <w:rPr>
          <w:rFonts w:cs="Calibri"/>
          <w:color w:val="000000"/>
          <w:szCs w:val="26"/>
        </w:rPr>
        <w:t>Mid-September:  Final CPE allocations are sent to LSEs as part of the final year</w:t>
      </w:r>
      <w:r>
        <w:rPr>
          <w:rFonts w:cs="Calibri"/>
          <w:color w:val="000000"/>
          <w:szCs w:val="26"/>
        </w:rPr>
        <w:t>-</w:t>
      </w:r>
      <w:r w:rsidRPr="0046317C">
        <w:rPr>
          <w:rFonts w:cs="Calibri"/>
          <w:color w:val="000000"/>
          <w:szCs w:val="26"/>
        </w:rPr>
        <w:t xml:space="preserve">ahead LSE allocations.  Final </w:t>
      </w:r>
      <w:r w:rsidRPr="0046317C">
        <w:rPr>
          <w:rFonts w:cs="Calibri"/>
          <w:color w:val="000000"/>
          <w:szCs w:val="26"/>
        </w:rPr>
        <w:lastRenderedPageBreak/>
        <w:t>allocations will be based on revised load ratios provided by the August LSE load forecast revisions.</w:t>
      </w:r>
    </w:p>
    <w:p w:rsidRPr="0046317C" w:rsidR="00BB7CF6" w:rsidP="00BB7CF6" w:rsidRDefault="00BB7CF6" w14:paraId="729E2CE9" w14:textId="77777777">
      <w:pPr>
        <w:numPr>
          <w:ilvl w:val="0"/>
          <w:numId w:val="16"/>
        </w:numPr>
        <w:autoSpaceDE w:val="0"/>
        <w:autoSpaceDN w:val="0"/>
        <w:adjustRightInd w:val="0"/>
        <w:spacing w:after="120" w:line="240" w:lineRule="auto"/>
        <w:ind w:left="1080" w:right="1440"/>
        <w:rPr>
          <w:rFonts w:cs="Calibri"/>
          <w:color w:val="000000"/>
          <w:szCs w:val="26"/>
        </w:rPr>
      </w:pPr>
      <w:r w:rsidRPr="0046317C">
        <w:rPr>
          <w:rFonts w:cs="Calibri"/>
          <w:color w:val="000000"/>
          <w:szCs w:val="26"/>
        </w:rPr>
        <w:t xml:space="preserve">End of October:  </w:t>
      </w:r>
      <w:r>
        <w:rPr>
          <w:rFonts w:cs="Calibri"/>
          <w:color w:val="000000"/>
          <w:szCs w:val="26"/>
        </w:rPr>
        <w:t xml:space="preserve">The </w:t>
      </w:r>
      <w:r w:rsidRPr="0046317C">
        <w:rPr>
          <w:rFonts w:cs="Calibri"/>
          <w:color w:val="000000"/>
          <w:szCs w:val="26"/>
        </w:rPr>
        <w:t xml:space="preserve">CPE and LSEs make year-ahead showings to the Commission and CAISO, including showings for self-shown resources provided to the CPE. </w:t>
      </w:r>
    </w:p>
    <w:p w:rsidRPr="0046317C" w:rsidR="00BB7CF6" w:rsidP="00BB7CF6" w:rsidRDefault="00BB7CF6" w14:paraId="392DD264" w14:textId="77777777">
      <w:pPr>
        <w:rPr>
          <w:rFonts w:cs="Times New Roman"/>
          <w:szCs w:val="20"/>
        </w:rPr>
      </w:pPr>
      <w:r w:rsidRPr="0046317C">
        <w:rPr>
          <w:rFonts w:cs="Times New Roman"/>
          <w:szCs w:val="20"/>
        </w:rPr>
        <w:t>AReM and CAISO support the proposal as it gives LSEs additional time to manage system and flexible positions.</w:t>
      </w:r>
      <w:r w:rsidRPr="0046317C">
        <w:rPr>
          <w:rFonts w:cs="Times New Roman"/>
          <w:szCs w:val="20"/>
          <w:vertAlign w:val="superscript"/>
        </w:rPr>
        <w:footnoteReference w:id="53"/>
      </w:r>
      <w:r w:rsidRPr="0046317C">
        <w:rPr>
          <w:rFonts w:cs="Times New Roman"/>
          <w:szCs w:val="20"/>
        </w:rPr>
        <w:t xml:space="preserve">  </w:t>
      </w:r>
    </w:p>
    <w:p w:rsidRPr="0046317C" w:rsidR="00BB7CF6" w:rsidP="00BB7CF6" w:rsidRDefault="00BB7CF6" w14:paraId="2DED27F6" w14:textId="77777777">
      <w:pPr>
        <w:rPr>
          <w:rFonts w:cs="Times New Roman"/>
          <w:szCs w:val="20"/>
        </w:rPr>
      </w:pPr>
      <w:r w:rsidRPr="0046317C">
        <w:rPr>
          <w:rFonts w:cs="Times New Roman"/>
          <w:szCs w:val="20"/>
        </w:rPr>
        <w:t>Several parties oppose Energy Division’s timeline, including PG&amp;E, SCE, and Shell.  PG&amp;E opposes moving the CPEs’ RA showing to late July as that gives the CPE less than four weeks for procurement after receiving final requirements.</w:t>
      </w:r>
      <w:r w:rsidRPr="0046317C">
        <w:rPr>
          <w:rFonts w:cs="Times New Roman"/>
          <w:szCs w:val="20"/>
          <w:vertAlign w:val="superscript"/>
        </w:rPr>
        <w:footnoteReference w:id="54"/>
      </w:r>
      <w:r w:rsidRPr="0046317C">
        <w:rPr>
          <w:rFonts w:cs="Times New Roman"/>
          <w:szCs w:val="20"/>
        </w:rPr>
        <w:t xml:space="preserve">  PG&amp;E opposes eliminating the April-May deadline for self-showing because the CPE needs a clear understanding of committed self-shown capacity at the time of the solicitation to prevent inefficient procurement.  PG&amp;E supports including a deadline for LSEs to receive a preliminary update to the system and flexible allocations from </w:t>
      </w:r>
      <w:r>
        <w:rPr>
          <w:rFonts w:cs="Times New Roman"/>
          <w:szCs w:val="20"/>
        </w:rPr>
        <w:t xml:space="preserve">the </w:t>
      </w:r>
      <w:r w:rsidRPr="0046317C">
        <w:rPr>
          <w:rFonts w:cs="Times New Roman"/>
          <w:szCs w:val="20"/>
        </w:rPr>
        <w:t>CPE.</w:t>
      </w:r>
    </w:p>
    <w:p w:rsidRPr="0046317C" w:rsidR="00BB7CF6" w:rsidP="00BB7CF6" w:rsidRDefault="00BB7CF6" w14:paraId="7E22D5D7" w14:textId="77777777">
      <w:pPr>
        <w:rPr>
          <w:rFonts w:cs="Times New Roman"/>
          <w:szCs w:val="20"/>
        </w:rPr>
      </w:pPr>
      <w:r w:rsidRPr="0046317C">
        <w:rPr>
          <w:rFonts w:cs="Times New Roman"/>
          <w:szCs w:val="20"/>
        </w:rPr>
        <w:t>SCE states that implementing Energy Division’s revisions for 2022 is impractical because SCE must launch the solicitation prior to a Phase 1 final decision.</w:t>
      </w:r>
      <w:r w:rsidRPr="0046317C">
        <w:rPr>
          <w:rFonts w:cs="Times New Roman"/>
          <w:szCs w:val="20"/>
          <w:vertAlign w:val="superscript"/>
        </w:rPr>
        <w:footnoteReference w:id="55"/>
      </w:r>
      <w:r w:rsidRPr="0046317C">
        <w:rPr>
          <w:rFonts w:cs="Times New Roman"/>
          <w:szCs w:val="20"/>
        </w:rPr>
        <w:t xml:space="preserve">  The proposal contemplates the CPE will begin procurement before the CAISO LCR study results are adopted, which may lead to inefficient procurement.  If the CPE final allocations are provided in early July, the CPE cannot finalize negotiations to meet the July 31 deadline.  Shell argues that Energy Division’s proposal still does not give LSEs sufficient time for </w:t>
      </w:r>
      <w:r w:rsidRPr="0046317C">
        <w:rPr>
          <w:rFonts w:cs="Times New Roman"/>
          <w:szCs w:val="20"/>
        </w:rPr>
        <w:lastRenderedPageBreak/>
        <w:t>procurement and that LSEs should have at least four months from the CPEs’ credit allocation to conduct final procurement for system and flexible RA.</w:t>
      </w:r>
      <w:r w:rsidRPr="0046317C">
        <w:rPr>
          <w:rFonts w:cs="Times New Roman"/>
          <w:szCs w:val="20"/>
          <w:vertAlign w:val="superscript"/>
        </w:rPr>
        <w:footnoteReference w:id="56"/>
      </w:r>
    </w:p>
    <w:p w:rsidRPr="0046317C" w:rsidR="00BB7CF6" w:rsidP="00BB7CF6" w:rsidRDefault="00BB7CF6" w14:paraId="19729244" w14:textId="77777777">
      <w:pPr>
        <w:pStyle w:val="Heading3"/>
      </w:pPr>
      <w:bookmarkStart w:name="_Toc94080394" w:id="49"/>
      <w:bookmarkStart w:name="_Toc95232113" w:id="50"/>
      <w:r w:rsidRPr="0046317C">
        <w:t>PG&amp;E’s Proposal</w:t>
      </w:r>
      <w:bookmarkEnd w:id="49"/>
      <w:bookmarkEnd w:id="50"/>
    </w:p>
    <w:p w:rsidRPr="0046317C" w:rsidR="00BB7CF6" w:rsidP="00BB7CF6" w:rsidRDefault="00BB7CF6" w14:paraId="5B62099A" w14:textId="77777777">
      <w:pPr>
        <w:rPr>
          <w:rFonts w:cs="Times New Roman"/>
          <w:szCs w:val="20"/>
        </w:rPr>
      </w:pPr>
      <w:r w:rsidRPr="0046317C">
        <w:rPr>
          <w:rFonts w:cs="Times New Roman"/>
          <w:szCs w:val="20"/>
        </w:rPr>
        <w:t>PG&amp;E offers a proposal intended to give LSEs more time to incorporate CPE procurement results and give the CPE sufficient time to finalize procurement.</w:t>
      </w:r>
      <w:r w:rsidRPr="0046317C">
        <w:rPr>
          <w:rFonts w:cs="Times New Roman"/>
          <w:szCs w:val="20"/>
          <w:vertAlign w:val="superscript"/>
        </w:rPr>
        <w:footnoteReference w:id="57"/>
      </w:r>
      <w:r w:rsidRPr="0046317C">
        <w:rPr>
          <w:rFonts w:cs="Times New Roman"/>
          <w:szCs w:val="20"/>
        </w:rPr>
        <w:t xml:space="preserve">  The proposal gives the CPE and LSEs a similar amount of time to complete necessary procurement (within 6-8 weeks) after receiving allocations.  The proposed revisions are as follows:</w:t>
      </w:r>
    </w:p>
    <w:p w:rsidRPr="0046317C" w:rsidR="00BB7CF6" w:rsidP="00BB7CF6" w:rsidRDefault="00BB7CF6" w14:paraId="5B173D0C" w14:textId="77777777">
      <w:pPr>
        <w:numPr>
          <w:ilvl w:val="0"/>
          <w:numId w:val="23"/>
        </w:numPr>
        <w:spacing w:after="240" w:line="240" w:lineRule="auto"/>
        <w:ind w:left="1080" w:right="1440"/>
        <w:rPr>
          <w:rFonts w:cs="Times New Roman"/>
          <w:bCs/>
          <w:szCs w:val="20"/>
        </w:rPr>
      </w:pPr>
      <w:r w:rsidRPr="0046317C">
        <w:rPr>
          <w:rFonts w:cs="Times New Roman"/>
          <w:bCs/>
          <w:szCs w:val="20"/>
        </w:rPr>
        <w:t>No Later than Mid-May:  LSEs in SCE and PG&amp;E TAC areas make self-shown commitment of local resources to the CPE for relevant compliance years.</w:t>
      </w:r>
    </w:p>
    <w:p w:rsidRPr="0046317C" w:rsidR="00BB7CF6" w:rsidP="00BB7CF6" w:rsidRDefault="00BB7CF6" w14:paraId="258DE8FA" w14:textId="77777777">
      <w:pPr>
        <w:keepNext/>
        <w:keepLines/>
        <w:numPr>
          <w:ilvl w:val="0"/>
          <w:numId w:val="13"/>
        </w:numPr>
        <w:spacing w:after="120" w:line="240" w:lineRule="auto"/>
        <w:ind w:right="1440"/>
        <w:rPr>
          <w:rFonts w:cs="Times New Roman"/>
          <w:bCs/>
          <w:szCs w:val="20"/>
        </w:rPr>
      </w:pPr>
      <w:r w:rsidRPr="0046317C">
        <w:rPr>
          <w:rFonts w:cs="Times New Roman"/>
          <w:bCs/>
          <w:szCs w:val="20"/>
        </w:rPr>
        <w:t>No Later Than Early July:  CPE receives share of multi-year local RA requirements for applicable compliance years.</w:t>
      </w:r>
    </w:p>
    <w:p w:rsidRPr="0046317C" w:rsidR="00BB7CF6" w:rsidP="00BB7CF6" w:rsidRDefault="00BB7CF6" w14:paraId="502F7CB6" w14:textId="77777777">
      <w:pPr>
        <w:numPr>
          <w:ilvl w:val="0"/>
          <w:numId w:val="13"/>
        </w:numPr>
        <w:spacing w:after="120" w:line="240" w:lineRule="auto"/>
        <w:ind w:right="1440"/>
        <w:rPr>
          <w:rFonts w:cs="Times New Roman"/>
          <w:bCs/>
          <w:szCs w:val="20"/>
        </w:rPr>
      </w:pPr>
      <w:r w:rsidRPr="0046317C">
        <w:rPr>
          <w:rFonts w:cs="Times New Roman"/>
          <w:bCs/>
          <w:szCs w:val="20"/>
        </w:rPr>
        <w:t>July:  For the SCE and PG&amp;E TAC areas, LSEs receive initial RA allocations, including CAM credits from CPE</w:t>
      </w:r>
      <w:r>
        <w:rPr>
          <w:rFonts w:cs="Times New Roman"/>
          <w:bCs/>
          <w:szCs w:val="20"/>
        </w:rPr>
        <w:t>-</w:t>
      </w:r>
      <w:r w:rsidRPr="0046317C">
        <w:rPr>
          <w:rFonts w:cs="Times New Roman"/>
          <w:bCs/>
          <w:szCs w:val="20"/>
        </w:rPr>
        <w:t xml:space="preserve">procured system and flexible capacity from the prior year. </w:t>
      </w:r>
    </w:p>
    <w:p w:rsidRPr="0046317C" w:rsidR="00BB7CF6" w:rsidP="00BB7CF6" w:rsidRDefault="00BB7CF6" w14:paraId="48D02D4E" w14:textId="77777777">
      <w:pPr>
        <w:numPr>
          <w:ilvl w:val="0"/>
          <w:numId w:val="13"/>
        </w:numPr>
        <w:spacing w:after="120" w:line="240" w:lineRule="auto"/>
        <w:ind w:right="1440"/>
        <w:rPr>
          <w:rFonts w:cs="Times New Roman"/>
          <w:bCs/>
          <w:szCs w:val="20"/>
        </w:rPr>
      </w:pPr>
      <w:r w:rsidRPr="0046317C">
        <w:rPr>
          <w:rFonts w:cs="Times New Roman"/>
          <w:bCs/>
          <w:szCs w:val="20"/>
        </w:rPr>
        <w:t>Mid-August:  CPE makes local RA showing to the Commission.</w:t>
      </w:r>
    </w:p>
    <w:p w:rsidRPr="0046317C" w:rsidR="00BB7CF6" w:rsidP="00BB7CF6" w:rsidRDefault="00BB7CF6" w14:paraId="7566E558" w14:textId="77777777">
      <w:pPr>
        <w:numPr>
          <w:ilvl w:val="0"/>
          <w:numId w:val="13"/>
        </w:numPr>
        <w:spacing w:after="120" w:line="240" w:lineRule="auto"/>
        <w:ind w:right="1440"/>
        <w:rPr>
          <w:rFonts w:cs="Times New Roman"/>
          <w:bCs/>
          <w:szCs w:val="26"/>
        </w:rPr>
      </w:pPr>
      <w:r w:rsidRPr="0046317C">
        <w:rPr>
          <w:rFonts w:cs="Times New Roman"/>
          <w:bCs/>
          <w:szCs w:val="26"/>
        </w:rPr>
        <w:t xml:space="preserve">End of August:  </w:t>
      </w:r>
      <w:r w:rsidRPr="0046317C">
        <w:rPr>
          <w:rFonts w:cs="Times New Roman"/>
          <w:bCs/>
          <w:color w:val="000000"/>
          <w:szCs w:val="26"/>
        </w:rPr>
        <w:t xml:space="preserve">LSEs in the SCE and PG&amp;E TAC areas receive updated CAM credits for multi-year system/flexible capacity that was procured by the CPE as a result of the CPE’s multi-year local RA showing to the Commission in Mid-August. </w:t>
      </w:r>
    </w:p>
    <w:p w:rsidRPr="0046317C" w:rsidR="00BB7CF6" w:rsidP="00BB7CF6" w:rsidRDefault="00BB7CF6" w14:paraId="07796346" w14:textId="77777777">
      <w:pPr>
        <w:numPr>
          <w:ilvl w:val="0"/>
          <w:numId w:val="13"/>
        </w:numPr>
        <w:spacing w:after="120" w:line="240" w:lineRule="auto"/>
        <w:ind w:right="1440"/>
        <w:rPr>
          <w:rFonts w:cs="Times New Roman"/>
          <w:bCs/>
          <w:szCs w:val="20"/>
        </w:rPr>
      </w:pPr>
      <w:r w:rsidRPr="0046317C">
        <w:rPr>
          <w:rFonts w:cs="Times New Roman"/>
          <w:bCs/>
          <w:szCs w:val="20"/>
        </w:rPr>
        <w:t xml:space="preserve">September:  For PG&amp;E and SCE’s TAC areas, LSEs are allocated final year-ahead system and flexible RA allocations. </w:t>
      </w:r>
    </w:p>
    <w:p w:rsidRPr="0046317C" w:rsidR="00BB7CF6" w:rsidP="00BB7CF6" w:rsidRDefault="00BB7CF6" w14:paraId="56E2231C" w14:textId="77777777">
      <w:pPr>
        <w:numPr>
          <w:ilvl w:val="0"/>
          <w:numId w:val="13"/>
        </w:numPr>
        <w:spacing w:after="120" w:line="240" w:lineRule="auto"/>
        <w:ind w:right="1440"/>
        <w:rPr>
          <w:rFonts w:cs="Times New Roman"/>
          <w:bCs/>
          <w:szCs w:val="20"/>
        </w:rPr>
      </w:pPr>
      <w:r w:rsidRPr="0046317C">
        <w:rPr>
          <w:rFonts w:cs="Times New Roman"/>
          <w:bCs/>
          <w:szCs w:val="20"/>
        </w:rPr>
        <w:lastRenderedPageBreak/>
        <w:t>End of October:  LSEs in PG&amp;E and SCE TACs make year</w:t>
      </w:r>
      <w:r>
        <w:rPr>
          <w:rFonts w:cs="Times New Roman"/>
          <w:bCs/>
          <w:szCs w:val="20"/>
        </w:rPr>
        <w:noBreakHyphen/>
      </w:r>
      <w:r w:rsidRPr="0046317C">
        <w:rPr>
          <w:rFonts w:cs="Times New Roman"/>
          <w:bCs/>
          <w:szCs w:val="20"/>
        </w:rPr>
        <w:t xml:space="preserve">ahead system and flexible showings.  </w:t>
      </w:r>
      <w:r w:rsidRPr="0046317C">
        <w:rPr>
          <w:rFonts w:cs="Times New Roman"/>
          <w:bCs/>
          <w:color w:val="000000"/>
          <w:szCs w:val="26"/>
        </w:rPr>
        <w:t>CPE makes year-ahead showing to CAISO.</w:t>
      </w:r>
    </w:p>
    <w:p w:rsidRPr="0046317C" w:rsidR="00BB7CF6" w:rsidP="00BB7CF6" w:rsidRDefault="00BB7CF6" w14:paraId="3C69C93B" w14:textId="77777777">
      <w:pPr>
        <w:rPr>
          <w:rFonts w:cs="Times New Roman"/>
          <w:szCs w:val="20"/>
        </w:rPr>
      </w:pPr>
      <w:r w:rsidRPr="0046317C">
        <w:rPr>
          <w:rFonts w:cs="Times New Roman"/>
          <w:szCs w:val="20"/>
        </w:rPr>
        <w:t>CAISO supports this timeline and the modification that early showings only apply to the Commission, as CAISO’s process does not require early showings.</w:t>
      </w:r>
      <w:r w:rsidRPr="0046317C">
        <w:rPr>
          <w:rFonts w:cs="Times New Roman"/>
          <w:szCs w:val="20"/>
          <w:vertAlign w:val="superscript"/>
        </w:rPr>
        <w:footnoteReference w:id="58"/>
      </w:r>
      <w:r w:rsidRPr="0046317C">
        <w:rPr>
          <w:rFonts w:cs="Times New Roman"/>
          <w:szCs w:val="20"/>
        </w:rPr>
        <w:t xml:space="preserve">  SCE supports PG&amp;E’s timeline provided that the CPE has until end of August to make its RA showing and in early September, LSEs receive updated CAM credits for capacity procured by the CPE in the most recent solicitation.</w:t>
      </w:r>
      <w:r w:rsidRPr="0046317C">
        <w:rPr>
          <w:rFonts w:cs="Times New Roman"/>
          <w:szCs w:val="20"/>
          <w:vertAlign w:val="superscript"/>
        </w:rPr>
        <w:footnoteReference w:id="59"/>
      </w:r>
      <w:r w:rsidRPr="0046317C">
        <w:rPr>
          <w:rFonts w:cs="Times New Roman"/>
          <w:szCs w:val="20"/>
        </w:rPr>
        <w:t xml:space="preserve">  </w:t>
      </w:r>
    </w:p>
    <w:p w:rsidRPr="0046317C" w:rsidR="00BB7CF6" w:rsidP="00BB7CF6" w:rsidRDefault="00BB7CF6" w14:paraId="4159B107" w14:textId="77777777">
      <w:pPr>
        <w:contextualSpacing/>
        <w:rPr>
          <w:rFonts w:cs="Times New Roman"/>
          <w:szCs w:val="20"/>
        </w:rPr>
      </w:pPr>
      <w:r w:rsidRPr="0046317C">
        <w:rPr>
          <w:rFonts w:cs="Times New Roman"/>
          <w:szCs w:val="20"/>
        </w:rPr>
        <w:t>AReM opposes PG&amp;E’s timeline as it delays finalizing CPE procurement by several weeks and does not have a specific deadline for allocating CAM credits to LSEs.</w:t>
      </w:r>
      <w:r w:rsidRPr="0046317C">
        <w:rPr>
          <w:rFonts w:cs="Times New Roman"/>
          <w:szCs w:val="20"/>
          <w:vertAlign w:val="superscript"/>
        </w:rPr>
        <w:footnoteReference w:id="60"/>
      </w:r>
      <w:r w:rsidRPr="0046317C">
        <w:rPr>
          <w:rFonts w:cs="Times New Roman"/>
          <w:szCs w:val="20"/>
        </w:rPr>
        <w:t xml:space="preserve">  CalCCA opposes the timeline as it does not give LSEs enough time to effectively plan for year-ahead obligations.</w:t>
      </w:r>
      <w:r w:rsidRPr="0046317C">
        <w:rPr>
          <w:rFonts w:cs="Times New Roman"/>
          <w:szCs w:val="20"/>
          <w:vertAlign w:val="superscript"/>
        </w:rPr>
        <w:footnoteReference w:id="61"/>
      </w:r>
    </w:p>
    <w:p w:rsidRPr="0046317C" w:rsidR="00BB7CF6" w:rsidP="00BB7CF6" w:rsidRDefault="00BB7CF6" w14:paraId="28E93628" w14:textId="77777777">
      <w:pPr>
        <w:pStyle w:val="Heading3"/>
        <w:keepNext w:val="0"/>
        <w:keepLines w:val="0"/>
        <w:spacing w:after="0" w:line="360" w:lineRule="auto"/>
      </w:pPr>
      <w:bookmarkStart w:name="_Toc94080395" w:id="51"/>
      <w:bookmarkStart w:name="_Toc95232114" w:id="52"/>
      <w:r w:rsidRPr="0046317C">
        <w:t>CalCCA’s Proposal</w:t>
      </w:r>
      <w:bookmarkEnd w:id="51"/>
      <w:bookmarkEnd w:id="52"/>
      <w:r w:rsidRPr="0046317C">
        <w:t xml:space="preserve"> </w:t>
      </w:r>
    </w:p>
    <w:p w:rsidRPr="0046317C" w:rsidR="00BB7CF6" w:rsidP="00BB7CF6" w:rsidRDefault="00BB7CF6" w14:paraId="15CF637E" w14:textId="77777777">
      <w:pPr>
        <w:rPr>
          <w:rFonts w:cs="Times New Roman"/>
          <w:szCs w:val="20"/>
        </w:rPr>
      </w:pPr>
      <w:r w:rsidRPr="0046317C">
        <w:rPr>
          <w:rFonts w:cs="Times New Roman"/>
          <w:szCs w:val="20"/>
        </w:rPr>
        <w:t>CalCCA states that when LSEs begin procurement for 2023 RA obligations, LSEs should not compete for the same resources that the CPE is trying to procure, which may lead to over-procurement.</w:t>
      </w:r>
      <w:r w:rsidRPr="0046317C">
        <w:rPr>
          <w:rFonts w:cs="Times New Roman"/>
          <w:szCs w:val="20"/>
          <w:vertAlign w:val="superscript"/>
        </w:rPr>
        <w:footnoteReference w:id="62"/>
      </w:r>
      <w:r w:rsidRPr="0046317C">
        <w:rPr>
          <w:rFonts w:cs="Times New Roman"/>
          <w:szCs w:val="20"/>
        </w:rPr>
        <w:t xml:space="preserve">  CalCCA recommends the CPE complete procurement by October two years before the operational year.  For 2023, CalCCA recommends allowing expedited additional procurement to meet 2023 PG&amp;E local needs by June 2022.  This gives LSEs five months to complete procurement to meet obligations by October 2022.  CalCCA also recommends that CPEs provide additional information in an updated compliance report, </w:t>
      </w:r>
      <w:r w:rsidRPr="0046317C">
        <w:rPr>
          <w:rFonts w:cs="Times New Roman"/>
          <w:szCs w:val="20"/>
        </w:rPr>
        <w:lastRenderedPageBreak/>
        <w:t xml:space="preserve">specifying allocations of system and flexible RA as a result of incremental procurement and providing reasons for procurement deferred to backstop. </w:t>
      </w:r>
    </w:p>
    <w:p w:rsidRPr="0046317C" w:rsidR="00BB7CF6" w:rsidP="00BB7CF6" w:rsidRDefault="00BB7CF6" w14:paraId="50288CC6" w14:textId="2A1C337D">
      <w:pPr>
        <w:rPr>
          <w:rFonts w:cs="Times New Roman"/>
          <w:szCs w:val="20"/>
        </w:rPr>
      </w:pPr>
      <w:r w:rsidRPr="0046317C">
        <w:rPr>
          <w:rFonts w:cs="Times New Roman"/>
          <w:szCs w:val="20"/>
        </w:rPr>
        <w:t xml:space="preserve">CalCCA recommends the Commission and CAISO consider </w:t>
      </w:r>
      <w:r>
        <w:rPr>
          <w:rFonts w:cs="Times New Roman"/>
          <w:szCs w:val="20"/>
        </w:rPr>
        <w:t xml:space="preserve">under what conditions CAISO would undertake </w:t>
      </w:r>
      <w:r w:rsidRPr="0046317C">
        <w:rPr>
          <w:rFonts w:cs="Times New Roman"/>
          <w:szCs w:val="20"/>
        </w:rPr>
        <w:t xml:space="preserve">backstop </w:t>
      </w:r>
      <w:r>
        <w:rPr>
          <w:rFonts w:cs="Times New Roman"/>
          <w:szCs w:val="20"/>
        </w:rPr>
        <w:t xml:space="preserve">procurement after the year-ahead RA showings since it is unclear </w:t>
      </w:r>
      <w:r w:rsidRPr="0046317C">
        <w:rPr>
          <w:rFonts w:cs="Times New Roman"/>
          <w:szCs w:val="20"/>
        </w:rPr>
        <w:t>if local resources shown as system RA on year</w:t>
      </w:r>
      <w:r w:rsidR="002E43C5">
        <w:rPr>
          <w:rFonts w:cs="Times New Roman"/>
          <w:szCs w:val="20"/>
        </w:rPr>
        <w:noBreakHyphen/>
      </w:r>
      <w:r w:rsidRPr="0046317C">
        <w:rPr>
          <w:rFonts w:cs="Times New Roman"/>
          <w:szCs w:val="20"/>
        </w:rPr>
        <w:t>ahead filings</w:t>
      </w:r>
      <w:r>
        <w:rPr>
          <w:rFonts w:cs="Times New Roman"/>
          <w:szCs w:val="20"/>
        </w:rPr>
        <w:t>, which</w:t>
      </w:r>
      <w:r w:rsidRPr="0046317C">
        <w:rPr>
          <w:rFonts w:cs="Times New Roman"/>
          <w:szCs w:val="20"/>
        </w:rPr>
        <w:t xml:space="preserve"> are not required to be shown each month</w:t>
      </w:r>
      <w:r>
        <w:rPr>
          <w:rFonts w:cs="Times New Roman"/>
          <w:szCs w:val="20"/>
        </w:rPr>
        <w:t>, would be satisfactory to CAISO</w:t>
      </w:r>
      <w:r w:rsidRPr="0046317C">
        <w:rPr>
          <w:rFonts w:cs="Times New Roman"/>
          <w:szCs w:val="20"/>
        </w:rPr>
        <w:t>.  CalCCA proposes that if the CPE fails to meet full procurement needs by June, system and flexible RA waivers should be considered for LSEs whose procurement was impacted by the shortfalls.</w:t>
      </w:r>
    </w:p>
    <w:p w:rsidRPr="0046317C" w:rsidR="00BB7CF6" w:rsidP="00BB7CF6" w:rsidRDefault="00BB7CF6" w14:paraId="3EAD6404" w14:textId="77777777">
      <w:pPr>
        <w:widowControl w:val="0"/>
        <w:rPr>
          <w:rFonts w:cs="Times New Roman"/>
          <w:szCs w:val="20"/>
        </w:rPr>
      </w:pPr>
      <w:r w:rsidRPr="0046317C">
        <w:rPr>
          <w:rFonts w:cs="Times New Roman"/>
          <w:szCs w:val="20"/>
        </w:rPr>
        <w:t>CalCCA’s revisions to the existing RA timeline are as follows:</w:t>
      </w:r>
    </w:p>
    <w:p w:rsidRPr="0046317C" w:rsidR="00BB7CF6" w:rsidP="00BB7CF6" w:rsidRDefault="00BB7CF6" w14:paraId="1CE2D05C" w14:textId="77777777">
      <w:pPr>
        <w:widowControl w:val="0"/>
        <w:numPr>
          <w:ilvl w:val="1"/>
          <w:numId w:val="13"/>
        </w:numPr>
        <w:spacing w:after="120" w:line="240" w:lineRule="auto"/>
        <w:ind w:left="1080" w:right="1440"/>
        <w:rPr>
          <w:rFonts w:cs="Times New Roman"/>
          <w:bCs/>
          <w:szCs w:val="20"/>
        </w:rPr>
      </w:pPr>
      <w:r w:rsidRPr="0046317C">
        <w:rPr>
          <w:rFonts w:cs="Times New Roman"/>
          <w:bCs/>
          <w:szCs w:val="20"/>
        </w:rPr>
        <w:t xml:space="preserve">February – May 2022:  CPE conducts additional all-source solicitations for 2023.  </w:t>
      </w:r>
    </w:p>
    <w:p w:rsidRPr="0046317C" w:rsidR="00BB7CF6" w:rsidP="00BB7CF6" w:rsidRDefault="00BB7CF6" w14:paraId="44602A45" w14:textId="77777777">
      <w:pPr>
        <w:numPr>
          <w:ilvl w:val="1"/>
          <w:numId w:val="13"/>
        </w:numPr>
        <w:spacing w:after="120" w:line="240" w:lineRule="auto"/>
        <w:ind w:left="1080" w:right="1440"/>
        <w:rPr>
          <w:rFonts w:cs="Times New Roman"/>
          <w:bCs/>
          <w:szCs w:val="20"/>
        </w:rPr>
      </w:pPr>
      <w:r w:rsidRPr="0046317C">
        <w:rPr>
          <w:rFonts w:cs="Times New Roman"/>
          <w:bCs/>
          <w:szCs w:val="20"/>
        </w:rPr>
        <w:t>June 2022</w:t>
      </w:r>
      <w:r w:rsidRPr="0046317C">
        <w:rPr>
          <w:rFonts w:cs="Times New Roman"/>
          <w:szCs w:val="20"/>
        </w:rPr>
        <w:t xml:space="preserve">:  The Commission adopts multi-year local RA requirements for the 2023-2025 compliance years as part of its June decision.  CPE receives share of multi-year local RA requirements for 2023-2025 compliance years.  </w:t>
      </w:r>
      <w:r w:rsidRPr="0046317C">
        <w:rPr>
          <w:rFonts w:cs="Times New Roman"/>
          <w:bCs/>
          <w:color w:val="000000"/>
          <w:szCs w:val="26"/>
        </w:rPr>
        <w:t xml:space="preserve">CPE completes all-source solicitations for 2023 and submits updated compliance report. </w:t>
      </w:r>
    </w:p>
    <w:p w:rsidRPr="0046317C" w:rsidR="00BB7CF6" w:rsidP="00BB7CF6" w:rsidRDefault="00BB7CF6" w14:paraId="38427288" w14:textId="77777777">
      <w:pPr>
        <w:rPr>
          <w:rFonts w:cs="Times New Roman"/>
          <w:szCs w:val="20"/>
        </w:rPr>
      </w:pPr>
      <w:r w:rsidRPr="0046317C">
        <w:rPr>
          <w:rFonts w:cs="Times New Roman"/>
          <w:szCs w:val="20"/>
        </w:rPr>
        <w:t>Shell supports CalCCA’s proposed timeline.</w:t>
      </w:r>
      <w:r w:rsidRPr="0046317C">
        <w:rPr>
          <w:rFonts w:cs="Times New Roman"/>
          <w:szCs w:val="20"/>
          <w:vertAlign w:val="superscript"/>
        </w:rPr>
        <w:footnoteReference w:id="63"/>
      </w:r>
    </w:p>
    <w:p w:rsidRPr="0046317C" w:rsidR="00BB7CF6" w:rsidP="00BB7CF6" w:rsidRDefault="00BB7CF6" w14:paraId="6830A099" w14:textId="77777777">
      <w:pPr>
        <w:rPr>
          <w:rFonts w:cs="Times New Roman"/>
          <w:szCs w:val="20"/>
        </w:rPr>
      </w:pPr>
      <w:r w:rsidRPr="0046317C">
        <w:rPr>
          <w:rFonts w:cs="Times New Roman"/>
          <w:szCs w:val="20"/>
        </w:rPr>
        <w:t>Several parties oppose CalCCA’s proposal, including PG&amp;E, AReM, SCE, and Cal Advocates.  PG&amp;E states that moving CPE procurement results to June is untenable, unnecessary, and will constrain efficient procurement.</w:t>
      </w:r>
      <w:r w:rsidRPr="0046317C">
        <w:rPr>
          <w:rFonts w:cs="Times New Roman"/>
          <w:szCs w:val="20"/>
          <w:vertAlign w:val="superscript"/>
        </w:rPr>
        <w:footnoteReference w:id="64"/>
      </w:r>
      <w:r w:rsidRPr="0046317C">
        <w:rPr>
          <w:rFonts w:cs="Times New Roman"/>
          <w:szCs w:val="20"/>
        </w:rPr>
        <w:t xml:space="preserve">  Cal</w:t>
      </w:r>
      <w:r>
        <w:rPr>
          <w:rFonts w:cs="Times New Roman"/>
          <w:szCs w:val="20"/>
        </w:rPr>
        <w:t> </w:t>
      </w:r>
      <w:r w:rsidRPr="0046317C">
        <w:rPr>
          <w:rFonts w:cs="Times New Roman"/>
          <w:szCs w:val="20"/>
        </w:rPr>
        <w:t xml:space="preserve">Advocates likewise opposes moving CPE procurement to June since local requirements are not finalized until June and requiring the CPE to complete procurement based on an uncertain target may result in over-procurement and </w:t>
      </w:r>
      <w:r w:rsidRPr="0046317C">
        <w:rPr>
          <w:rFonts w:cs="Times New Roman"/>
          <w:szCs w:val="20"/>
        </w:rPr>
        <w:lastRenderedPageBreak/>
        <w:t>unnecessary ratepayer costs.</w:t>
      </w:r>
      <w:r w:rsidRPr="0046317C">
        <w:rPr>
          <w:rFonts w:cs="Times New Roman"/>
          <w:szCs w:val="20"/>
          <w:vertAlign w:val="superscript"/>
        </w:rPr>
        <w:footnoteReference w:id="65"/>
      </w:r>
      <w:r w:rsidRPr="0046317C">
        <w:rPr>
          <w:rFonts w:cs="Times New Roman"/>
          <w:szCs w:val="20"/>
        </w:rPr>
        <w:t xml:space="preserve">  SCE opposes requiring the CPE to conduct an additional solicitation in February 2022 because the SCE CPE largely met its procurement targets for 2023 and the small residual amount left to procure can be met in the next solicitation.</w:t>
      </w:r>
      <w:r w:rsidRPr="0046317C">
        <w:rPr>
          <w:rFonts w:cs="Times New Roman"/>
          <w:szCs w:val="20"/>
          <w:vertAlign w:val="superscript"/>
        </w:rPr>
        <w:footnoteReference w:id="66"/>
      </w:r>
      <w:r w:rsidRPr="0046317C">
        <w:rPr>
          <w:rFonts w:cs="Times New Roman"/>
          <w:szCs w:val="20"/>
        </w:rPr>
        <w:t xml:space="preserve">  AReM opposes CalCCA’s timeline because it does not set specific deadlines for finalizing procurement and issuing final CAM credits to LSEs.</w:t>
      </w:r>
      <w:r w:rsidRPr="0046317C">
        <w:rPr>
          <w:rFonts w:cs="Times New Roman"/>
          <w:szCs w:val="20"/>
          <w:vertAlign w:val="superscript"/>
        </w:rPr>
        <w:footnoteReference w:id="67"/>
      </w:r>
      <w:r w:rsidRPr="0046317C">
        <w:rPr>
          <w:rFonts w:cs="Times New Roman"/>
          <w:szCs w:val="20"/>
        </w:rPr>
        <w:t xml:space="preserve">    </w:t>
      </w:r>
    </w:p>
    <w:p w:rsidRPr="0046317C" w:rsidR="00BB7CF6" w:rsidP="00BB7CF6" w:rsidRDefault="00BB7CF6" w14:paraId="2C8DFB94" w14:textId="77777777">
      <w:pPr>
        <w:pStyle w:val="Heading3"/>
      </w:pPr>
      <w:bookmarkStart w:name="_Toc94080396" w:id="53"/>
      <w:bookmarkStart w:name="_Toc95232115" w:id="54"/>
      <w:r w:rsidRPr="0046317C">
        <w:t>Discussion</w:t>
      </w:r>
      <w:bookmarkEnd w:id="53"/>
      <w:bookmarkEnd w:id="54"/>
    </w:p>
    <w:p w:rsidRPr="0046317C" w:rsidR="00BB7CF6" w:rsidP="00BB7CF6" w:rsidRDefault="00BB7CF6" w14:paraId="5DF9291E" w14:textId="77777777">
      <w:pPr>
        <w:rPr>
          <w:rFonts w:cs="Times New Roman"/>
          <w:szCs w:val="20"/>
        </w:rPr>
      </w:pPr>
      <w:bookmarkStart w:name="_Hlk97723674" w:id="55"/>
      <w:r w:rsidRPr="0046317C">
        <w:rPr>
          <w:rFonts w:cs="Times New Roman"/>
          <w:szCs w:val="20"/>
        </w:rPr>
        <w:t xml:space="preserve">In considering revisions to the CPE procurement timeline, the Commission must balance the need for LSEs to have sufficient time to incorporate the CPE’s procurement actions into their system and flexible RA portfolio planning, with the need for the CPEs to have adequate time to complete an effective all-source solicitation that accounts for self-shown resources and the procurement review process required by D.20-06-002.  </w:t>
      </w:r>
    </w:p>
    <w:p w:rsidRPr="0046317C" w:rsidR="00BB7CF6" w:rsidP="00BB7CF6" w:rsidRDefault="00BB7CF6" w14:paraId="3AAB4142" w14:textId="77777777">
      <w:pPr>
        <w:rPr>
          <w:rFonts w:cs="Times New Roman"/>
          <w:szCs w:val="20"/>
        </w:rPr>
      </w:pPr>
      <w:bookmarkStart w:name="_Hlk97723650" w:id="56"/>
      <w:bookmarkEnd w:id="55"/>
      <w:r w:rsidRPr="0046317C">
        <w:rPr>
          <w:rFonts w:cs="Times New Roman"/>
          <w:szCs w:val="20"/>
        </w:rPr>
        <w:t xml:space="preserve">Weighing the benefits and concerns raised for each proposal, the Commission finds that PG&amp;E’s proposal strikes a reasonable balance between the competing needs of LSEs and the CPEs in that it gives both LSEs and the CPEs a similar amount of time (6-8 weeks) to complete necessary procurement after receiving allocations.  </w:t>
      </w:r>
      <w:bookmarkEnd w:id="56"/>
      <w:r w:rsidRPr="0046317C">
        <w:rPr>
          <w:rFonts w:cs="Times New Roman"/>
          <w:szCs w:val="20"/>
        </w:rPr>
        <w:t xml:space="preserve">Under PG&amp;E’s proposal, CPE allocations will be sent to LSEs at the end of August to assign LSEs in managing their system and flexible positions.  As discussed in </w:t>
      </w:r>
      <w:r w:rsidRPr="00417E2B">
        <w:rPr>
          <w:rFonts w:cs="Times New Roman"/>
          <w:szCs w:val="20"/>
        </w:rPr>
        <w:t>Section 3.3,</w:t>
      </w:r>
      <w:r w:rsidRPr="0046317C">
        <w:rPr>
          <w:rFonts w:cs="Times New Roman"/>
          <w:szCs w:val="20"/>
        </w:rPr>
        <w:t xml:space="preserve"> the CPE is authorized to procure outside of the annual all-source solicitation if there are any deficiencies in meeting the CPE’s multi-year local requirements after the annual solicitation process.</w:t>
      </w:r>
    </w:p>
    <w:p w:rsidRPr="0046317C" w:rsidR="00BB7CF6" w:rsidP="00BB7CF6" w:rsidRDefault="00BB7CF6" w14:paraId="56F36741" w14:textId="77777777">
      <w:pPr>
        <w:rPr>
          <w:rFonts w:cs="Times New Roman"/>
          <w:szCs w:val="20"/>
        </w:rPr>
      </w:pPr>
      <w:r w:rsidRPr="0046317C">
        <w:rPr>
          <w:rFonts w:cs="Times New Roman"/>
          <w:szCs w:val="20"/>
        </w:rPr>
        <w:lastRenderedPageBreak/>
        <w:t>Accordingly, the following timeline is adopted for CPE procurement and replaces the timeline adopted in O</w:t>
      </w:r>
      <w:r>
        <w:rPr>
          <w:rFonts w:cs="Times New Roman"/>
          <w:szCs w:val="20"/>
        </w:rPr>
        <w:t>rdering Paragraph</w:t>
      </w:r>
      <w:r w:rsidRPr="0046317C">
        <w:rPr>
          <w:rFonts w:cs="Times New Roman"/>
          <w:szCs w:val="20"/>
        </w:rPr>
        <w:t xml:space="preserve"> 28 of D.20-06-002:</w:t>
      </w:r>
    </w:p>
    <w:p w:rsidRPr="0046317C" w:rsidR="00BB7CF6" w:rsidP="00BB7CF6" w:rsidRDefault="00BB7CF6" w14:paraId="52CD0021" w14:textId="77777777">
      <w:pPr>
        <w:numPr>
          <w:ilvl w:val="0"/>
          <w:numId w:val="13"/>
        </w:numPr>
        <w:spacing w:after="120" w:line="240" w:lineRule="auto"/>
        <w:ind w:right="1440"/>
        <w:rPr>
          <w:rFonts w:cs="Times New Roman"/>
          <w:szCs w:val="20"/>
        </w:rPr>
      </w:pPr>
      <w:r w:rsidRPr="0046317C">
        <w:rPr>
          <w:rFonts w:cs="Times New Roman"/>
          <w:b/>
          <w:szCs w:val="20"/>
        </w:rPr>
        <w:t>April-May</w:t>
      </w:r>
      <w:r w:rsidRPr="0046317C">
        <w:rPr>
          <w:rFonts w:cs="Times New Roman"/>
          <w:szCs w:val="20"/>
        </w:rPr>
        <w:t>:  The CAISO files draft and final LCR one- and five-year ahead studies.  LCR studies will include any CAISO</w:t>
      </w:r>
      <w:r w:rsidRPr="0046317C">
        <w:rPr>
          <w:rFonts w:cs="Times New Roman"/>
          <w:szCs w:val="20"/>
        </w:rPr>
        <w:noBreakHyphen/>
        <w:t>approved transmission upgrades from the TPP LCR study.  Parties file comments on draft and final LCR studies.</w:t>
      </w:r>
    </w:p>
    <w:p w:rsidRPr="0046317C" w:rsidR="00BB7CF6" w:rsidP="00BB7CF6" w:rsidRDefault="00BB7CF6" w14:paraId="1D8AD1D3" w14:textId="77777777">
      <w:pPr>
        <w:numPr>
          <w:ilvl w:val="0"/>
          <w:numId w:val="13"/>
        </w:numPr>
        <w:spacing w:after="120" w:line="240" w:lineRule="auto"/>
        <w:ind w:right="1440"/>
        <w:rPr>
          <w:rFonts w:cs="Times New Roman"/>
          <w:b/>
          <w:bCs/>
          <w:szCs w:val="20"/>
        </w:rPr>
      </w:pPr>
      <w:r w:rsidRPr="0046317C">
        <w:rPr>
          <w:rFonts w:cs="Times New Roman"/>
          <w:b/>
          <w:bCs/>
          <w:szCs w:val="20"/>
        </w:rPr>
        <w:t xml:space="preserve">No Later Than Mid-May:  </w:t>
      </w:r>
      <w:r w:rsidRPr="0046317C">
        <w:rPr>
          <w:rFonts w:cs="Times New Roman"/>
          <w:szCs w:val="20"/>
        </w:rPr>
        <w:t>LSEs in SCE and PG&amp;E TAC areas make self-shown commitment of local resources to the CPE for the applicable RA years.</w:t>
      </w:r>
    </w:p>
    <w:p w:rsidRPr="0046317C" w:rsidR="00BB7CF6" w:rsidP="00BB7CF6" w:rsidRDefault="00BB7CF6" w14:paraId="71A04B57" w14:textId="77777777">
      <w:pPr>
        <w:keepNext/>
        <w:keepLines/>
        <w:numPr>
          <w:ilvl w:val="0"/>
          <w:numId w:val="13"/>
        </w:numPr>
        <w:spacing w:after="120" w:line="240" w:lineRule="auto"/>
        <w:ind w:right="1440"/>
        <w:rPr>
          <w:rFonts w:cs="Times New Roman"/>
          <w:szCs w:val="20"/>
        </w:rPr>
      </w:pPr>
      <w:r w:rsidRPr="0046317C">
        <w:rPr>
          <w:rFonts w:cs="Times New Roman"/>
          <w:b/>
          <w:szCs w:val="20"/>
        </w:rPr>
        <w:t>No Later than June</w:t>
      </w:r>
      <w:r w:rsidRPr="0046317C">
        <w:rPr>
          <w:rFonts w:cs="Times New Roman"/>
          <w:szCs w:val="20"/>
        </w:rPr>
        <w:t>:  The Commission adopts multi-year local RA requirements for the applicable compliance years as part of its June decision.</w:t>
      </w:r>
    </w:p>
    <w:p w:rsidRPr="0046317C" w:rsidR="00BB7CF6" w:rsidP="00BB7CF6" w:rsidRDefault="00BB7CF6" w14:paraId="2D773195" w14:textId="77777777">
      <w:pPr>
        <w:widowControl w:val="0"/>
        <w:numPr>
          <w:ilvl w:val="0"/>
          <w:numId w:val="13"/>
        </w:numPr>
        <w:spacing w:after="120" w:line="240" w:lineRule="auto"/>
        <w:ind w:right="1440"/>
        <w:rPr>
          <w:rFonts w:cs="Times New Roman"/>
          <w:bCs/>
          <w:szCs w:val="20"/>
        </w:rPr>
      </w:pPr>
      <w:r w:rsidRPr="0046317C">
        <w:rPr>
          <w:rFonts w:cs="Times New Roman"/>
          <w:b/>
          <w:szCs w:val="20"/>
        </w:rPr>
        <w:t>No Later Than Early July</w:t>
      </w:r>
      <w:r w:rsidRPr="0046317C">
        <w:rPr>
          <w:rFonts w:cs="Times New Roman"/>
          <w:bCs/>
          <w:szCs w:val="20"/>
        </w:rPr>
        <w:t>:  CPE receives total jurisdictional share of multi-year local RA requirements for the applicable compliance years.</w:t>
      </w:r>
    </w:p>
    <w:p w:rsidRPr="0046317C" w:rsidR="00BB7CF6" w:rsidP="00BB7CF6" w:rsidRDefault="00BB7CF6" w14:paraId="50B5E709" w14:textId="77777777">
      <w:pPr>
        <w:keepNext/>
        <w:keepLines/>
        <w:numPr>
          <w:ilvl w:val="0"/>
          <w:numId w:val="13"/>
        </w:numPr>
        <w:spacing w:after="120" w:line="240" w:lineRule="auto"/>
        <w:ind w:right="1440"/>
        <w:rPr>
          <w:rFonts w:cs="Times New Roman"/>
          <w:bCs/>
          <w:szCs w:val="20"/>
        </w:rPr>
      </w:pPr>
      <w:r w:rsidRPr="0046317C">
        <w:rPr>
          <w:rFonts w:cs="Times New Roman"/>
          <w:b/>
          <w:szCs w:val="20"/>
        </w:rPr>
        <w:t>July</w:t>
      </w:r>
      <w:r w:rsidRPr="0046317C">
        <w:rPr>
          <w:rFonts w:cs="Times New Roman"/>
          <w:bCs/>
          <w:szCs w:val="20"/>
        </w:rPr>
        <w:t xml:space="preserve">:  </w:t>
      </w:r>
    </w:p>
    <w:p w:rsidRPr="0046317C" w:rsidR="00BB7CF6" w:rsidP="00BB7CF6" w:rsidRDefault="00BB7CF6" w14:paraId="6D6D302A" w14:textId="77777777">
      <w:pPr>
        <w:keepNext/>
        <w:keepLines/>
        <w:numPr>
          <w:ilvl w:val="1"/>
          <w:numId w:val="13"/>
        </w:numPr>
        <w:spacing w:after="120" w:line="240" w:lineRule="auto"/>
        <w:ind w:left="1440" w:right="1440"/>
        <w:rPr>
          <w:rFonts w:cs="Times New Roman"/>
          <w:bCs/>
          <w:szCs w:val="20"/>
        </w:rPr>
      </w:pPr>
      <w:r w:rsidRPr="0046317C">
        <w:rPr>
          <w:rFonts w:cs="Times New Roman"/>
          <w:bCs/>
          <w:szCs w:val="20"/>
        </w:rPr>
        <w:t>For the SCE and PG&amp;E TAC areas, LSEs receive initial RA allocations, including CAM credits from CPE</w:t>
      </w:r>
      <w:r>
        <w:rPr>
          <w:rFonts w:cs="Times New Roman"/>
          <w:bCs/>
          <w:szCs w:val="20"/>
        </w:rPr>
        <w:t>-</w:t>
      </w:r>
      <w:r w:rsidRPr="0046317C">
        <w:rPr>
          <w:rFonts w:cs="Times New Roman"/>
          <w:bCs/>
          <w:szCs w:val="20"/>
        </w:rPr>
        <w:t xml:space="preserve">procured system and flexible capacity from the prior year and any bilateral contracts. </w:t>
      </w:r>
    </w:p>
    <w:p w:rsidRPr="0046317C" w:rsidR="00BB7CF6" w:rsidP="00BB7CF6" w:rsidRDefault="00BB7CF6" w14:paraId="10DDAAAE" w14:textId="77777777">
      <w:pPr>
        <w:numPr>
          <w:ilvl w:val="1"/>
          <w:numId w:val="13"/>
        </w:numPr>
        <w:spacing w:after="120" w:line="240" w:lineRule="auto"/>
        <w:ind w:left="1440" w:right="1440"/>
        <w:rPr>
          <w:rFonts w:cs="Times New Roman"/>
          <w:bCs/>
          <w:szCs w:val="20"/>
        </w:rPr>
      </w:pPr>
      <w:r w:rsidRPr="0046317C">
        <w:rPr>
          <w:rFonts w:cs="Times New Roman"/>
          <w:bCs/>
          <w:szCs w:val="20"/>
        </w:rPr>
        <w:t xml:space="preserve">For </w:t>
      </w:r>
      <w:r>
        <w:rPr>
          <w:rFonts w:cs="Times New Roman"/>
          <w:bCs/>
          <w:szCs w:val="20"/>
        </w:rPr>
        <w:t xml:space="preserve">the </w:t>
      </w:r>
      <w:r w:rsidRPr="0046317C">
        <w:rPr>
          <w:rFonts w:cs="Times New Roman"/>
          <w:bCs/>
          <w:szCs w:val="20"/>
        </w:rPr>
        <w:t>SDG&amp;E TAC area, LSEs receive initial RA allocations (system, flexible, local requirements) and CAM credits.</w:t>
      </w:r>
    </w:p>
    <w:p w:rsidRPr="0046317C" w:rsidR="00BB7CF6" w:rsidP="00BB7CF6" w:rsidRDefault="00BB7CF6" w14:paraId="22E98C96" w14:textId="77777777">
      <w:pPr>
        <w:numPr>
          <w:ilvl w:val="0"/>
          <w:numId w:val="13"/>
        </w:numPr>
        <w:spacing w:after="120" w:line="240" w:lineRule="auto"/>
        <w:ind w:right="1440"/>
        <w:rPr>
          <w:rFonts w:cs="Times New Roman"/>
          <w:bCs/>
          <w:szCs w:val="20"/>
        </w:rPr>
      </w:pPr>
      <w:r w:rsidRPr="0046317C">
        <w:rPr>
          <w:rFonts w:cs="Times New Roman"/>
          <w:b/>
          <w:szCs w:val="20"/>
        </w:rPr>
        <w:t>Mid-August</w:t>
      </w:r>
      <w:r w:rsidRPr="0046317C">
        <w:rPr>
          <w:rFonts w:cs="Times New Roman"/>
          <w:bCs/>
          <w:szCs w:val="20"/>
        </w:rPr>
        <w:t>:  CPE makes local RA showing to the Commission.</w:t>
      </w:r>
    </w:p>
    <w:p w:rsidRPr="0046317C" w:rsidR="00BB7CF6" w:rsidP="00BB7CF6" w:rsidRDefault="00BB7CF6" w14:paraId="74C312E2" w14:textId="77777777">
      <w:pPr>
        <w:numPr>
          <w:ilvl w:val="0"/>
          <w:numId w:val="13"/>
        </w:numPr>
        <w:spacing w:after="120" w:line="240" w:lineRule="auto"/>
        <w:ind w:right="1440"/>
        <w:rPr>
          <w:rFonts w:cs="Times New Roman"/>
          <w:bCs/>
          <w:szCs w:val="26"/>
        </w:rPr>
      </w:pPr>
      <w:r w:rsidRPr="0046317C">
        <w:rPr>
          <w:rFonts w:cs="Times New Roman"/>
          <w:b/>
          <w:szCs w:val="26"/>
        </w:rPr>
        <w:t>End of August</w:t>
      </w:r>
      <w:r w:rsidRPr="0046317C">
        <w:rPr>
          <w:rFonts w:cs="Times New Roman"/>
          <w:bCs/>
          <w:szCs w:val="26"/>
        </w:rPr>
        <w:t xml:space="preserve">:  </w:t>
      </w:r>
      <w:r w:rsidRPr="0046317C">
        <w:rPr>
          <w:rFonts w:cs="Times New Roman"/>
          <w:bCs/>
          <w:color w:val="000000"/>
          <w:szCs w:val="26"/>
        </w:rPr>
        <w:t xml:space="preserve">LSEs in the SCE and PG&amp;E TAC areas receive updated CAM credits for multi-year system/flexible capacity that was procured by the CPE as a result of the CPE’s multi-year local RA showing to the Commission in Mid-August. </w:t>
      </w:r>
    </w:p>
    <w:p w:rsidRPr="0046317C" w:rsidR="00BB7CF6" w:rsidP="00BB7CF6" w:rsidRDefault="00BB7CF6" w14:paraId="7AB8515F" w14:textId="77777777">
      <w:pPr>
        <w:numPr>
          <w:ilvl w:val="0"/>
          <w:numId w:val="13"/>
        </w:numPr>
        <w:spacing w:after="120" w:line="240" w:lineRule="auto"/>
        <w:ind w:right="1440"/>
        <w:rPr>
          <w:rFonts w:cs="Times New Roman"/>
          <w:bCs/>
          <w:szCs w:val="20"/>
        </w:rPr>
      </w:pPr>
      <w:r w:rsidRPr="0046317C">
        <w:rPr>
          <w:rFonts w:cs="Times New Roman"/>
          <w:b/>
          <w:szCs w:val="20"/>
        </w:rPr>
        <w:t>September</w:t>
      </w:r>
      <w:r w:rsidRPr="0046317C">
        <w:rPr>
          <w:rFonts w:cs="Times New Roman"/>
          <w:bCs/>
          <w:szCs w:val="20"/>
        </w:rPr>
        <w:t xml:space="preserve">:  </w:t>
      </w:r>
    </w:p>
    <w:p w:rsidRPr="005E2B6E" w:rsidR="00BB7CF6" w:rsidP="00BB7CF6" w:rsidRDefault="00BB7CF6" w14:paraId="0C16B1A9" w14:textId="77777777">
      <w:pPr>
        <w:numPr>
          <w:ilvl w:val="1"/>
          <w:numId w:val="13"/>
        </w:numPr>
        <w:spacing w:after="120" w:line="240" w:lineRule="auto"/>
        <w:ind w:left="1440" w:right="1440"/>
        <w:rPr>
          <w:rFonts w:cs="Times New Roman"/>
          <w:szCs w:val="20"/>
        </w:rPr>
      </w:pPr>
      <w:r w:rsidRPr="005E2B6E">
        <w:rPr>
          <w:rFonts w:cs="Times New Roman"/>
          <w:szCs w:val="20"/>
        </w:rPr>
        <w:t xml:space="preserve">For PG&amp;E and SCE’s TAC areas, LSEs are allocated final year-ahead system and flexible RA allocations, </w:t>
      </w:r>
      <w:r w:rsidRPr="005E2B6E">
        <w:rPr>
          <w:rFonts w:cs="Times New Roman"/>
          <w:szCs w:val="20"/>
        </w:rPr>
        <w:lastRenderedPageBreak/>
        <w:t>including CAM credits from CPE-procured system and flexible RA capacity based on revised year-ahead load forecast load ratios.</w:t>
      </w:r>
    </w:p>
    <w:p w:rsidRPr="005E2B6E" w:rsidR="00BB7CF6" w:rsidP="00BB7CF6" w:rsidRDefault="00BB7CF6" w14:paraId="5DAA5584" w14:textId="77777777">
      <w:pPr>
        <w:numPr>
          <w:ilvl w:val="1"/>
          <w:numId w:val="13"/>
        </w:numPr>
        <w:spacing w:after="120" w:line="240" w:lineRule="auto"/>
        <w:ind w:left="1440" w:right="1440"/>
        <w:rPr>
          <w:rFonts w:cs="Times New Roman"/>
          <w:szCs w:val="20"/>
        </w:rPr>
      </w:pPr>
      <w:r w:rsidRPr="005E2B6E">
        <w:rPr>
          <w:rFonts w:cs="Times New Roman"/>
          <w:szCs w:val="20"/>
        </w:rPr>
        <w:t xml:space="preserve">For the SDG&amp;E TAC area, LSEs receive final RA allocations (system, flexible, local requirements) and CAM credits. </w:t>
      </w:r>
    </w:p>
    <w:p w:rsidRPr="0046317C" w:rsidR="00BB7CF6" w:rsidP="00BB7CF6" w:rsidRDefault="00BB7CF6" w14:paraId="6A9FA0D6" w14:textId="77777777">
      <w:pPr>
        <w:numPr>
          <w:ilvl w:val="0"/>
          <w:numId w:val="13"/>
        </w:numPr>
        <w:spacing w:after="120" w:line="240" w:lineRule="auto"/>
        <w:ind w:right="1440"/>
        <w:rPr>
          <w:rFonts w:cs="Times New Roman"/>
          <w:bCs/>
          <w:szCs w:val="20"/>
        </w:rPr>
      </w:pPr>
      <w:r w:rsidRPr="0046317C">
        <w:rPr>
          <w:rFonts w:cs="Times New Roman"/>
          <w:b/>
          <w:szCs w:val="20"/>
        </w:rPr>
        <w:t>End of October</w:t>
      </w:r>
      <w:r w:rsidRPr="0046317C">
        <w:rPr>
          <w:rFonts w:cs="Times New Roman"/>
          <w:bCs/>
          <w:szCs w:val="20"/>
        </w:rPr>
        <w:t xml:space="preserve">:  </w:t>
      </w:r>
    </w:p>
    <w:p w:rsidRPr="005E2B6E" w:rsidR="00BB7CF6" w:rsidP="00BB7CF6" w:rsidRDefault="00BB7CF6" w14:paraId="08EA2390" w14:textId="13D79C2B">
      <w:pPr>
        <w:numPr>
          <w:ilvl w:val="1"/>
          <w:numId w:val="13"/>
        </w:numPr>
        <w:spacing w:after="120" w:line="240" w:lineRule="auto"/>
        <w:ind w:left="1440" w:right="1440"/>
        <w:rPr>
          <w:rFonts w:cs="Times New Roman"/>
          <w:szCs w:val="20"/>
        </w:rPr>
      </w:pPr>
      <w:r w:rsidRPr="005E2B6E">
        <w:rPr>
          <w:rFonts w:cs="Times New Roman"/>
          <w:szCs w:val="20"/>
        </w:rPr>
        <w:t xml:space="preserve">LSEs in SDG&amp;E TACs make system, flexible, and </w:t>
      </w:r>
      <w:r>
        <w:rPr>
          <w:rFonts w:cs="Times New Roman"/>
          <w:szCs w:val="20"/>
        </w:rPr>
        <w:t>three</w:t>
      </w:r>
      <w:r w:rsidR="002E43C5">
        <w:rPr>
          <w:rFonts w:cs="Times New Roman"/>
          <w:szCs w:val="20"/>
        </w:rPr>
        <w:noBreakHyphen/>
      </w:r>
      <w:r w:rsidRPr="005E2B6E">
        <w:rPr>
          <w:rFonts w:cs="Times New Roman"/>
          <w:szCs w:val="20"/>
        </w:rPr>
        <w:t xml:space="preserve">year local RA showing.  </w:t>
      </w:r>
    </w:p>
    <w:p w:rsidRPr="005E2B6E" w:rsidR="00BB7CF6" w:rsidP="00BB7CF6" w:rsidRDefault="00BB7CF6" w14:paraId="1962FB6B" w14:textId="77777777">
      <w:pPr>
        <w:numPr>
          <w:ilvl w:val="1"/>
          <w:numId w:val="13"/>
        </w:numPr>
        <w:spacing w:after="120" w:line="240" w:lineRule="auto"/>
        <w:ind w:left="1440" w:right="1440"/>
        <w:rPr>
          <w:rFonts w:cs="Times New Roman"/>
          <w:szCs w:val="20"/>
        </w:rPr>
      </w:pPr>
      <w:r w:rsidRPr="005E2B6E">
        <w:rPr>
          <w:rFonts w:cs="Times New Roman"/>
          <w:szCs w:val="20"/>
        </w:rPr>
        <w:t>LSEs in PG&amp;E and SCE TACs make year-ahead system and flexible showings, and provide applicable justification statements for local resources not self</w:t>
      </w:r>
      <w:r>
        <w:rPr>
          <w:rFonts w:cs="Times New Roman"/>
          <w:szCs w:val="20"/>
        </w:rPr>
        <w:noBreakHyphen/>
      </w:r>
      <w:r w:rsidRPr="005E2B6E">
        <w:rPr>
          <w:rFonts w:cs="Times New Roman"/>
          <w:szCs w:val="20"/>
        </w:rPr>
        <w:t>shown or bid to the CPE.</w:t>
      </w:r>
    </w:p>
    <w:p w:rsidR="00BB7CF6" w:rsidP="00BB7CF6" w:rsidRDefault="00BB7CF6" w14:paraId="055402E1" w14:textId="5C91D298">
      <w:pPr>
        <w:numPr>
          <w:ilvl w:val="1"/>
          <w:numId w:val="13"/>
        </w:numPr>
        <w:spacing w:after="120" w:line="240" w:lineRule="auto"/>
        <w:ind w:left="1440" w:right="1440"/>
        <w:rPr>
          <w:rFonts w:cs="Times New Roman"/>
          <w:szCs w:val="20"/>
        </w:rPr>
      </w:pPr>
      <w:r w:rsidRPr="005E2B6E">
        <w:rPr>
          <w:rFonts w:cs="Times New Roman"/>
          <w:szCs w:val="20"/>
        </w:rPr>
        <w:t>CPE</w:t>
      </w:r>
      <w:r>
        <w:rPr>
          <w:rFonts w:cs="Times New Roman"/>
          <w:szCs w:val="20"/>
        </w:rPr>
        <w:t>s</w:t>
      </w:r>
      <w:r w:rsidRPr="005E2B6E">
        <w:rPr>
          <w:rFonts w:cs="Times New Roman"/>
          <w:szCs w:val="20"/>
        </w:rPr>
        <w:t xml:space="preserve"> </w:t>
      </w:r>
      <w:r>
        <w:rPr>
          <w:rFonts w:cs="Times New Roman"/>
          <w:szCs w:val="20"/>
        </w:rPr>
        <w:t xml:space="preserve">and LSEs that committed to self-show </w:t>
      </w:r>
      <w:r w:rsidRPr="005E2B6E">
        <w:rPr>
          <w:rFonts w:cs="Times New Roman"/>
          <w:szCs w:val="20"/>
        </w:rPr>
        <w:t>make year</w:t>
      </w:r>
      <w:r w:rsidR="002E43C5">
        <w:rPr>
          <w:rFonts w:cs="Times New Roman"/>
          <w:szCs w:val="20"/>
        </w:rPr>
        <w:noBreakHyphen/>
      </w:r>
      <w:r w:rsidRPr="005E2B6E">
        <w:rPr>
          <w:rFonts w:cs="Times New Roman"/>
          <w:szCs w:val="20"/>
        </w:rPr>
        <w:t>ahead showing to CAISO.</w:t>
      </w:r>
    </w:p>
    <w:p w:rsidRPr="005E2B6E" w:rsidR="0081243A" w:rsidP="00212A0B" w:rsidRDefault="00525010" w14:paraId="6C38957C" w14:textId="1BB77641">
      <w:pPr>
        <w:spacing w:after="120"/>
        <w:rPr>
          <w:rFonts w:cs="Times New Roman"/>
          <w:szCs w:val="20"/>
        </w:rPr>
      </w:pPr>
      <w:r w:rsidRPr="008966DB">
        <w:t xml:space="preserve">Given the procurement shortfalls in the PG&amp;E TAC area for the 2023 RA compliance year, we find it reasonable to give LSEs in the PG&amp;E TAC area additional flexibility in securing their year-ahead system and flexible RA portfolios.  </w:t>
      </w:r>
      <w:r w:rsidRPr="008966DB" w:rsidR="0081243A">
        <w:t xml:space="preserve">As such, for 2023 </w:t>
      </w:r>
      <w:r w:rsidR="00C0540D">
        <w:t xml:space="preserve">year-ahead </w:t>
      </w:r>
      <w:r w:rsidRPr="008966DB" w:rsidR="0081243A">
        <w:t xml:space="preserve">RA compliance only, Energy Division </w:t>
      </w:r>
      <w:r w:rsidRPr="008966DB" w:rsidR="00212A0B">
        <w:t>will</w:t>
      </w:r>
      <w:r w:rsidRPr="008966DB" w:rsidR="0081243A">
        <w:t xml:space="preserve"> not send deficiency notices to LSEs </w:t>
      </w:r>
      <w:r w:rsidR="00C0540D">
        <w:t xml:space="preserve">serving load </w:t>
      </w:r>
      <w:r w:rsidRPr="008966DB" w:rsidR="0081243A">
        <w:t>in the PG&amp;E TAC area earlier than January 1 following the year-ahead showing deadline.</w:t>
      </w:r>
      <w:r w:rsidR="0081243A">
        <w:t xml:space="preserve">  </w:t>
      </w:r>
    </w:p>
    <w:p w:rsidRPr="0046317C" w:rsidR="00BB7CF6" w:rsidP="00BB7CF6" w:rsidRDefault="00BB7CF6" w14:paraId="02FF1E66" w14:textId="77777777">
      <w:pPr>
        <w:pStyle w:val="Heading2"/>
      </w:pPr>
      <w:bookmarkStart w:name="_Toc95232116" w:id="57"/>
      <w:r>
        <w:t>Local Capacity Requirement Reduction Compensation Mechanism (</w:t>
      </w:r>
      <w:r w:rsidRPr="0046317C">
        <w:t>LCR RCM</w:t>
      </w:r>
      <w:r>
        <w:t>)</w:t>
      </w:r>
      <w:bookmarkEnd w:id="57"/>
    </w:p>
    <w:p w:rsidRPr="0046317C" w:rsidR="00BB7CF6" w:rsidP="00BB7CF6" w:rsidRDefault="00BB7CF6" w14:paraId="103DEC6D" w14:textId="77777777">
      <w:pPr>
        <w:rPr>
          <w:rFonts w:eastAsia="Times New Roman" w:cs="Times New Roman"/>
          <w:szCs w:val="20"/>
        </w:rPr>
      </w:pPr>
      <w:r w:rsidRPr="0046317C">
        <w:rPr>
          <w:rFonts w:eastAsia="Times New Roman" w:cs="Times New Roman"/>
          <w:szCs w:val="20"/>
        </w:rPr>
        <w:t>In D.20-12-006, the Commission adopted the LCR RCM for new preferred resources and new energy resources that are selected by the CPE.  To calculate the pre-determined local price, the Commission directed that:</w:t>
      </w:r>
      <w:r w:rsidRPr="0046317C">
        <w:rPr>
          <w:rFonts w:eastAsia="Times New Roman" w:cs="Times New Roman"/>
          <w:szCs w:val="20"/>
          <w:vertAlign w:val="superscript"/>
        </w:rPr>
        <w:footnoteReference w:id="68"/>
      </w:r>
    </w:p>
    <w:p w:rsidRPr="0046317C" w:rsidR="00BB7CF6" w:rsidP="00BB7CF6" w:rsidRDefault="00BB7CF6" w14:paraId="32A3BC03" w14:textId="77777777">
      <w:pPr>
        <w:spacing w:after="240" w:line="240" w:lineRule="auto"/>
        <w:ind w:left="1080" w:right="1440" w:firstLine="0"/>
        <w:rPr>
          <w:rFonts w:eastAsia="Times New Roman" w:cs="Times New Roman"/>
          <w:szCs w:val="20"/>
        </w:rPr>
      </w:pPr>
      <w:r w:rsidRPr="0046317C">
        <w:rPr>
          <w:rFonts w:eastAsia="Times New Roman" w:cs="Times New Roman"/>
          <w:szCs w:val="20"/>
        </w:rPr>
        <w:t>If selected, the LSE shall be paid the showing price (pre</w:t>
      </w:r>
      <w:r>
        <w:rPr>
          <w:rFonts w:eastAsia="Times New Roman" w:cs="Times New Roman"/>
          <w:szCs w:val="20"/>
        </w:rPr>
        <w:noBreakHyphen/>
      </w:r>
      <w:r w:rsidRPr="0046317C">
        <w:rPr>
          <w:rFonts w:eastAsia="Times New Roman" w:cs="Times New Roman"/>
          <w:szCs w:val="20"/>
        </w:rPr>
        <w:t xml:space="preserve">determined or below) without annual adjustment for </w:t>
      </w:r>
      <w:r w:rsidRPr="0046317C">
        <w:rPr>
          <w:rFonts w:eastAsia="Times New Roman" w:cs="Times New Roman"/>
          <w:szCs w:val="20"/>
        </w:rPr>
        <w:lastRenderedPageBreak/>
        <w:t>effectiveness.  The showing price shall no</w:t>
      </w:r>
      <w:r>
        <w:rPr>
          <w:rFonts w:eastAsia="Times New Roman" w:cs="Times New Roman"/>
          <w:szCs w:val="20"/>
        </w:rPr>
        <w:t>t</w:t>
      </w:r>
      <w:r w:rsidRPr="0046317C">
        <w:rPr>
          <w:rFonts w:eastAsia="Times New Roman" w:cs="Times New Roman"/>
          <w:szCs w:val="20"/>
        </w:rPr>
        <w:t xml:space="preserve"> exceed the pre</w:t>
      </w:r>
      <w:r>
        <w:rPr>
          <w:rFonts w:eastAsia="Times New Roman" w:cs="Times New Roman"/>
          <w:szCs w:val="20"/>
        </w:rPr>
        <w:noBreakHyphen/>
      </w:r>
      <w:r w:rsidRPr="0046317C">
        <w:rPr>
          <w:rFonts w:eastAsia="Times New Roman" w:cs="Times New Roman"/>
          <w:szCs w:val="20"/>
        </w:rPr>
        <w:t>determined local price, which is calculated as follows:</w:t>
      </w:r>
    </w:p>
    <w:p w:rsidRPr="0046317C" w:rsidR="00BB7CF6" w:rsidP="00BB7CF6" w:rsidRDefault="00BB7CF6" w14:paraId="4E70823A" w14:textId="77777777">
      <w:pPr>
        <w:numPr>
          <w:ilvl w:val="0"/>
          <w:numId w:val="24"/>
        </w:numPr>
        <w:spacing w:after="120" w:line="240" w:lineRule="auto"/>
        <w:ind w:right="1440"/>
        <w:rPr>
          <w:rFonts w:eastAsia="Times New Roman" w:cs="Times New Roman"/>
          <w:szCs w:val="20"/>
        </w:rPr>
      </w:pPr>
      <w:r w:rsidRPr="0046317C">
        <w:rPr>
          <w:rFonts w:eastAsia="Times New Roman" w:cs="Times New Roman"/>
          <w:szCs w:val="20"/>
          <w:u w:val="single"/>
        </w:rPr>
        <w:t>Year 1</w:t>
      </w:r>
      <w:r w:rsidRPr="0046317C">
        <w:rPr>
          <w:rFonts w:eastAsia="Times New Roman" w:cs="Times New Roman"/>
          <w:szCs w:val="20"/>
        </w:rPr>
        <w:t xml:space="preserve">: Use the weighted average price from the last four quarters of the Energy Division Power Charge Indifference Adjustment (PCIA) responses for system and local RA; subtract system RA price from local RA price.  </w:t>
      </w:r>
    </w:p>
    <w:p w:rsidRPr="0046317C" w:rsidR="00BB7CF6" w:rsidP="00BB7CF6" w:rsidRDefault="00BB7CF6" w14:paraId="4D40BB51" w14:textId="77777777">
      <w:pPr>
        <w:numPr>
          <w:ilvl w:val="0"/>
          <w:numId w:val="24"/>
        </w:numPr>
        <w:spacing w:after="120" w:line="240" w:lineRule="auto"/>
        <w:ind w:right="1440"/>
        <w:rPr>
          <w:rFonts w:eastAsia="Times New Roman" w:cs="Times New Roman"/>
          <w:szCs w:val="20"/>
        </w:rPr>
      </w:pPr>
      <w:r w:rsidRPr="0046317C">
        <w:rPr>
          <w:rFonts w:eastAsia="Times New Roman" w:cs="Times New Roman"/>
          <w:szCs w:val="20"/>
          <w:u w:val="single"/>
        </w:rPr>
        <w:t>Subsequent Years</w:t>
      </w:r>
      <w:r w:rsidRPr="0046317C">
        <w:rPr>
          <w:rFonts w:eastAsia="Times New Roman" w:cs="Times New Roman"/>
          <w:szCs w:val="20"/>
        </w:rPr>
        <w:t>:  Use the weighted average price from the last four quarters of Energy Division PCIA responses for system RA and the most recent weighted average price reported in the CPE solicitation results (prior year’s results) for local RA; subtract system RA price from local RA price.</w:t>
      </w:r>
    </w:p>
    <w:p w:rsidRPr="0046317C" w:rsidR="00BB7CF6" w:rsidP="00BB7CF6" w:rsidRDefault="00BB7CF6" w14:paraId="475F00DF" w14:textId="77777777">
      <w:pPr>
        <w:rPr>
          <w:rFonts w:eastAsia="Times New Roman" w:cs="Times New Roman"/>
          <w:szCs w:val="20"/>
        </w:rPr>
      </w:pPr>
      <w:r w:rsidRPr="0046317C">
        <w:rPr>
          <w:rFonts w:eastAsia="Times New Roman" w:cs="Times New Roman"/>
          <w:szCs w:val="20"/>
        </w:rPr>
        <w:t xml:space="preserve">Energy Division and Calpine put forth proposals to modify the LCR RCM calculation.  </w:t>
      </w:r>
    </w:p>
    <w:p w:rsidRPr="0046317C" w:rsidR="00BB7CF6" w:rsidP="00BB7CF6" w:rsidRDefault="00BB7CF6" w14:paraId="22B13AD0" w14:textId="77777777">
      <w:pPr>
        <w:rPr>
          <w:rFonts w:eastAsia="Times New Roman" w:cs="Times New Roman"/>
          <w:szCs w:val="20"/>
        </w:rPr>
      </w:pPr>
      <w:r w:rsidRPr="0046317C">
        <w:rPr>
          <w:rFonts w:eastAsia="Times New Roman" w:cs="Times New Roman"/>
          <w:szCs w:val="26"/>
        </w:rPr>
        <w:t>After reviewing the CPEs’ Annual Compliance Reports, Energy Division observes that for the 2023 compliance year, the CPEs procured a very limited number of RA-only contracts.  Energy Division states that “due to the LSE self</w:t>
      </w:r>
      <w:r>
        <w:rPr>
          <w:rFonts w:eastAsia="Times New Roman" w:cs="Times New Roman"/>
          <w:szCs w:val="26"/>
        </w:rPr>
        <w:noBreakHyphen/>
      </w:r>
      <w:r w:rsidRPr="0046317C">
        <w:rPr>
          <w:rFonts w:eastAsia="Times New Roman" w:cs="Times New Roman"/>
          <w:szCs w:val="26"/>
        </w:rPr>
        <w:t>shown resources, contracts that include energy settlement, and the need for additional CPE procurement in PG&amp;E’s service area for 2023, certain local areas did not have any RA-only contracts executed by the CPE.”</w:t>
      </w:r>
      <w:r w:rsidRPr="0046317C">
        <w:rPr>
          <w:rFonts w:eastAsia="Times New Roman" w:cs="Times New Roman"/>
          <w:szCs w:val="26"/>
          <w:vertAlign w:val="superscript"/>
        </w:rPr>
        <w:footnoteReference w:id="69"/>
      </w:r>
      <w:r w:rsidRPr="0046317C">
        <w:rPr>
          <w:rFonts w:eastAsia="Times New Roman" w:cs="Times New Roman"/>
          <w:szCs w:val="26"/>
        </w:rPr>
        <w:t xml:space="preserve">  As a result, Energy Division believes it is not possible to implement the LCR RCM calculation for subsequent years at the local-area level, as directed in D.20-12-006.  </w:t>
      </w:r>
    </w:p>
    <w:p w:rsidRPr="0046317C" w:rsidR="00BB7CF6" w:rsidP="00BB7CF6" w:rsidRDefault="00BB7CF6" w14:paraId="042A0233" w14:textId="77777777">
      <w:pPr>
        <w:rPr>
          <w:rFonts w:cs="Times New Roman"/>
          <w:szCs w:val="26"/>
        </w:rPr>
      </w:pPr>
      <w:r w:rsidRPr="0046317C">
        <w:rPr>
          <w:rFonts w:cs="Times New Roman"/>
          <w:szCs w:val="26"/>
        </w:rPr>
        <w:t xml:space="preserve">Energy Division recommends that rather than basing the local RA price calculation on “the most recent weighted average price reported in the CPE solicitation results,” the local price should be calculated as the weighted average price from the last four quarters of Energy Division PCIA responses for local RA.  </w:t>
      </w:r>
      <w:r w:rsidRPr="0046317C">
        <w:rPr>
          <w:rFonts w:cs="Times New Roman"/>
          <w:szCs w:val="26"/>
        </w:rPr>
        <w:lastRenderedPageBreak/>
        <w:t>In other words, apply the calculation for Year 1 of the LCR RCM to subsequent years.  Energy Division states that the PCIA data includes RA-only contracts reported by the CPE</w:t>
      </w:r>
      <w:r>
        <w:rPr>
          <w:rFonts w:cs="Times New Roman"/>
          <w:szCs w:val="26"/>
        </w:rPr>
        <w:t>s</w:t>
      </w:r>
      <w:r w:rsidRPr="0046317C">
        <w:rPr>
          <w:rFonts w:cs="Times New Roman"/>
          <w:szCs w:val="26"/>
        </w:rPr>
        <w:t>, as well as other LSE contracts for local resources.  The LCR RCM would continue to be the difference between the system RA and local RA prices.</w:t>
      </w:r>
    </w:p>
    <w:p w:rsidRPr="0046317C" w:rsidR="00BB7CF6" w:rsidP="00BB7CF6" w:rsidRDefault="00BB7CF6" w14:paraId="5AA320B0" w14:textId="77777777">
      <w:pPr>
        <w:rPr>
          <w:rFonts w:cs="Times New Roman"/>
          <w:szCs w:val="26"/>
        </w:rPr>
      </w:pPr>
      <w:r w:rsidRPr="0046317C">
        <w:rPr>
          <w:rFonts w:cs="Times New Roman"/>
          <w:szCs w:val="26"/>
        </w:rPr>
        <w:t>SCE agrees with Energy Division’s proposal.</w:t>
      </w:r>
      <w:r w:rsidRPr="0046317C">
        <w:rPr>
          <w:rFonts w:cs="Times New Roman"/>
          <w:szCs w:val="26"/>
          <w:vertAlign w:val="superscript"/>
        </w:rPr>
        <w:footnoteReference w:id="70"/>
      </w:r>
      <w:r w:rsidRPr="0046317C">
        <w:rPr>
          <w:rFonts w:cs="Times New Roman"/>
          <w:szCs w:val="26"/>
        </w:rPr>
        <w:t xml:space="preserve">  Calpine believes PCIA data includes transactions for local resources that have not necessarily been contracted for local capacity and Energy Division’s proposal would understate the premium for local RA unless the calculation to derive local premia were limited transactions for local capacity.</w:t>
      </w:r>
      <w:r w:rsidRPr="0046317C">
        <w:rPr>
          <w:rFonts w:cs="Times New Roman"/>
          <w:szCs w:val="26"/>
          <w:vertAlign w:val="superscript"/>
        </w:rPr>
        <w:footnoteReference w:id="71"/>
      </w:r>
      <w:r w:rsidRPr="0046317C">
        <w:rPr>
          <w:rFonts w:cs="Times New Roman"/>
          <w:szCs w:val="26"/>
        </w:rPr>
        <w:t xml:space="preserve">  Calpine recommends limiting the calculation of local premia to transactions for local RA capacity, including bilateral and CPE transactions.  If there is insufficient data for specific local areas, Calpine recommends calculating premia for aggregations of local areas.  </w:t>
      </w:r>
    </w:p>
    <w:p w:rsidRPr="0046317C" w:rsidR="00BB7CF6" w:rsidP="00BB7CF6" w:rsidRDefault="00BB7CF6" w14:paraId="3F29E8B0" w14:textId="77777777">
      <w:pPr>
        <w:rPr>
          <w:rFonts w:cs="Times New Roman"/>
          <w:szCs w:val="26"/>
        </w:rPr>
      </w:pPr>
      <w:r w:rsidRPr="0046317C">
        <w:rPr>
          <w:rFonts w:cs="Times New Roman"/>
          <w:szCs w:val="26"/>
        </w:rPr>
        <w:t>Calpine also offers a proposal to revise the LCR RCM calculation, as the methodology reflects the difference between MW-weighted average system and local prices.</w:t>
      </w:r>
      <w:r w:rsidRPr="0046317C">
        <w:rPr>
          <w:rFonts w:cs="Times New Roman"/>
          <w:szCs w:val="26"/>
          <w:vertAlign w:val="superscript"/>
        </w:rPr>
        <w:footnoteReference w:id="72"/>
      </w:r>
      <w:r w:rsidRPr="0046317C">
        <w:rPr>
          <w:rFonts w:cs="Times New Roman"/>
          <w:szCs w:val="26"/>
        </w:rPr>
        <w:t xml:space="preserve">  Calpine states the MW-weighted system price overestimates the highest demand months and underestimates the local premium, and proposes that the premium be calculated month-by-month.  SCE opposes changing the LCR RCM calculation since there was insufficient contract pricing from the CPEs’ first year solicitations to update the calculation.</w:t>
      </w:r>
      <w:r w:rsidRPr="0046317C">
        <w:rPr>
          <w:rFonts w:cs="Times New Roman"/>
          <w:szCs w:val="26"/>
          <w:vertAlign w:val="superscript"/>
        </w:rPr>
        <w:footnoteReference w:id="73"/>
      </w:r>
    </w:p>
    <w:p w:rsidRPr="0046317C" w:rsidR="00BB7CF6" w:rsidP="00BB7CF6" w:rsidRDefault="00BB7CF6" w14:paraId="45D07F3B" w14:textId="77777777">
      <w:pPr>
        <w:pStyle w:val="Heading3"/>
      </w:pPr>
      <w:bookmarkStart w:name="_Toc94080398" w:id="58"/>
      <w:bookmarkStart w:name="_Toc95232117" w:id="59"/>
      <w:r w:rsidRPr="0046317C">
        <w:lastRenderedPageBreak/>
        <w:t>Discussion</w:t>
      </w:r>
      <w:bookmarkEnd w:id="58"/>
      <w:bookmarkEnd w:id="59"/>
    </w:p>
    <w:p w:rsidRPr="0046317C" w:rsidR="00BB7CF6" w:rsidP="00BB7CF6" w:rsidRDefault="00BB7CF6" w14:paraId="6AADC55C" w14:textId="77777777">
      <w:pPr>
        <w:rPr>
          <w:rFonts w:cs="Times New Roman"/>
          <w:szCs w:val="20"/>
        </w:rPr>
      </w:pPr>
      <w:r w:rsidRPr="0046317C">
        <w:rPr>
          <w:rFonts w:cs="Times New Roman"/>
          <w:szCs w:val="20"/>
        </w:rPr>
        <w:t>Given the limited number of RA-only contracts procured for the 2023 compliance year</w:t>
      </w:r>
      <w:r>
        <w:rPr>
          <w:rFonts w:cs="Times New Roman"/>
          <w:szCs w:val="20"/>
        </w:rPr>
        <w:t xml:space="preserve"> by the CPEs</w:t>
      </w:r>
      <w:r w:rsidRPr="0046317C">
        <w:rPr>
          <w:rFonts w:cs="Times New Roman"/>
          <w:szCs w:val="20"/>
        </w:rPr>
        <w:t xml:space="preserve">, the Commission agrees that the calculation for the LCR RCM in subsequent years cannot be applied.  We find Energy Division’s proposal to apply the calculation for Year 1 to subsequent years to be reasonable, and we adopt it here. </w:t>
      </w:r>
    </w:p>
    <w:p w:rsidRPr="0046317C" w:rsidR="00BB7CF6" w:rsidP="00BB7CF6" w:rsidRDefault="00BB7CF6" w14:paraId="27794CD7" w14:textId="77777777">
      <w:pPr>
        <w:rPr>
          <w:rFonts w:cs="Times New Roman"/>
          <w:szCs w:val="20"/>
        </w:rPr>
      </w:pPr>
      <w:r w:rsidRPr="0046317C">
        <w:rPr>
          <w:rFonts w:cs="Times New Roman"/>
          <w:szCs w:val="20"/>
        </w:rPr>
        <w:t>Accordingly, O</w:t>
      </w:r>
      <w:r>
        <w:rPr>
          <w:rFonts w:cs="Times New Roman"/>
          <w:szCs w:val="20"/>
        </w:rPr>
        <w:t>rdering Paragraph</w:t>
      </w:r>
      <w:r w:rsidRPr="0046317C">
        <w:rPr>
          <w:rFonts w:cs="Times New Roman"/>
          <w:szCs w:val="20"/>
        </w:rPr>
        <w:t xml:space="preserve"> 3 of D.20-12-006 is modified as follows:</w:t>
      </w:r>
    </w:p>
    <w:p w:rsidRPr="0046317C" w:rsidR="00BB7CF6" w:rsidP="00BB7CF6" w:rsidRDefault="00BB7CF6" w14:paraId="73859597" w14:textId="77777777">
      <w:pPr>
        <w:spacing w:after="120" w:line="240" w:lineRule="auto"/>
        <w:ind w:left="1080" w:right="1440" w:firstLine="0"/>
        <w:rPr>
          <w:rFonts w:eastAsia="Times New Roman" w:cs="Times New Roman"/>
          <w:szCs w:val="20"/>
        </w:rPr>
      </w:pPr>
      <w:r w:rsidRPr="0046317C">
        <w:rPr>
          <w:rFonts w:eastAsia="Times New Roman" w:cs="Times New Roman"/>
          <w:szCs w:val="20"/>
        </w:rPr>
        <w:t>If selected, the LSE shall be paid the showing price (pre</w:t>
      </w:r>
      <w:r>
        <w:rPr>
          <w:rFonts w:eastAsia="Times New Roman" w:cs="Times New Roman"/>
          <w:szCs w:val="20"/>
        </w:rPr>
        <w:noBreakHyphen/>
      </w:r>
      <w:r w:rsidRPr="0046317C">
        <w:rPr>
          <w:rFonts w:eastAsia="Times New Roman" w:cs="Times New Roman"/>
          <w:szCs w:val="20"/>
        </w:rPr>
        <w:t>determined or below) without annual adjustment for effectiveness.  The showing price shall no</w:t>
      </w:r>
      <w:r>
        <w:rPr>
          <w:rFonts w:eastAsia="Times New Roman" w:cs="Times New Roman"/>
          <w:szCs w:val="20"/>
        </w:rPr>
        <w:t>t</w:t>
      </w:r>
      <w:r w:rsidRPr="0046317C">
        <w:rPr>
          <w:rFonts w:eastAsia="Times New Roman" w:cs="Times New Roman"/>
          <w:szCs w:val="20"/>
        </w:rPr>
        <w:t xml:space="preserve"> exceed the pre</w:t>
      </w:r>
      <w:r>
        <w:rPr>
          <w:rFonts w:eastAsia="Times New Roman" w:cs="Times New Roman"/>
          <w:szCs w:val="20"/>
        </w:rPr>
        <w:noBreakHyphen/>
      </w:r>
      <w:r w:rsidRPr="0046317C">
        <w:rPr>
          <w:rFonts w:eastAsia="Times New Roman" w:cs="Times New Roman"/>
          <w:szCs w:val="20"/>
        </w:rPr>
        <w:t>determined local price, which is calculated as follows:</w:t>
      </w:r>
    </w:p>
    <w:p w:rsidRPr="0046317C" w:rsidR="00BB7CF6" w:rsidP="00BB7CF6" w:rsidRDefault="00BB7CF6" w14:paraId="66C8B89D" w14:textId="77777777">
      <w:pPr>
        <w:numPr>
          <w:ilvl w:val="0"/>
          <w:numId w:val="24"/>
        </w:numPr>
        <w:spacing w:after="240" w:line="240" w:lineRule="auto"/>
        <w:ind w:right="1440"/>
        <w:rPr>
          <w:rFonts w:eastAsia="Times New Roman" w:cs="Times New Roman"/>
          <w:szCs w:val="20"/>
        </w:rPr>
      </w:pPr>
      <w:r w:rsidRPr="0046317C">
        <w:rPr>
          <w:rFonts w:eastAsia="Times New Roman" w:cs="Times New Roman"/>
          <w:szCs w:val="20"/>
        </w:rPr>
        <w:t xml:space="preserve">Use the weighted average price from the last four quarters of the Energy Division PCIA responses for system and local RA; subtract system RA price from local RA price.  </w:t>
      </w:r>
    </w:p>
    <w:p w:rsidRPr="0046317C" w:rsidR="00BB7CF6" w:rsidP="00BB7CF6" w:rsidRDefault="00BB7CF6" w14:paraId="3D5F5B7E" w14:textId="77777777">
      <w:pPr>
        <w:rPr>
          <w:rFonts w:cs="Times New Roman"/>
          <w:szCs w:val="20"/>
        </w:rPr>
      </w:pPr>
      <w:r w:rsidRPr="0046317C">
        <w:rPr>
          <w:rFonts w:cs="Times New Roman"/>
          <w:szCs w:val="20"/>
        </w:rPr>
        <w:t xml:space="preserve">With respect to Calpine’s proposal, the Commission agrees with parties that there is insufficient contract pricing data to consider changes to the LCR RCM calculation at this time, and we decline to </w:t>
      </w:r>
      <w:r>
        <w:rPr>
          <w:rFonts w:cs="Times New Roman"/>
          <w:szCs w:val="20"/>
        </w:rPr>
        <w:t>adopt</w:t>
      </w:r>
      <w:r w:rsidRPr="0046317C">
        <w:rPr>
          <w:rFonts w:cs="Times New Roman"/>
          <w:szCs w:val="20"/>
        </w:rPr>
        <w:t xml:space="preserve"> further modifications.</w:t>
      </w:r>
    </w:p>
    <w:p w:rsidRPr="0046317C" w:rsidR="00BB7CF6" w:rsidP="00BB7CF6" w:rsidRDefault="00BB7CF6" w14:paraId="0E45BF4D" w14:textId="77777777">
      <w:pPr>
        <w:rPr>
          <w:rFonts w:cs="Times New Roman"/>
          <w:szCs w:val="20"/>
        </w:rPr>
      </w:pPr>
      <w:r>
        <w:rPr>
          <w:rFonts w:cs="Times New Roman"/>
          <w:szCs w:val="20"/>
        </w:rPr>
        <w:t>T</w:t>
      </w:r>
      <w:r w:rsidRPr="0046317C">
        <w:rPr>
          <w:rFonts w:cs="Times New Roman"/>
          <w:szCs w:val="20"/>
        </w:rPr>
        <w:t>he Commission recognizes that some parties raise proposals to modify the LCR RCM to apply to either gas resources or existing preferred resources.</w:t>
      </w:r>
      <w:r w:rsidRPr="0046317C">
        <w:rPr>
          <w:rFonts w:cs="Times New Roman"/>
          <w:szCs w:val="20"/>
          <w:vertAlign w:val="superscript"/>
        </w:rPr>
        <w:footnoteReference w:id="74"/>
      </w:r>
      <w:r w:rsidRPr="0046317C">
        <w:rPr>
          <w:rFonts w:cs="Times New Roman"/>
          <w:szCs w:val="20"/>
        </w:rPr>
        <w:t xml:space="preserve">  We note that these topics were raised and considered by the Commission prior to the issuance of D.20-06-002 and D.20-12-006.  The LCR RCM was specifically designed to incentivize self-showing of new preferred or energy storage resources.  In D.20-12-006, the Commission stated:</w:t>
      </w:r>
    </w:p>
    <w:p w:rsidRPr="0046317C" w:rsidR="00BB7CF6" w:rsidP="00BB7CF6" w:rsidRDefault="00BB7CF6" w14:paraId="24C8AE3D" w14:textId="77777777">
      <w:pPr>
        <w:spacing w:after="240" w:line="240" w:lineRule="auto"/>
        <w:ind w:left="720" w:right="1440" w:firstLine="0"/>
        <w:rPr>
          <w:rFonts w:cs="TimesNewRomanPSMT"/>
          <w:szCs w:val="26"/>
        </w:rPr>
      </w:pPr>
      <w:r w:rsidRPr="0046317C">
        <w:rPr>
          <w:rFonts w:cs="Times New Roman"/>
          <w:szCs w:val="26"/>
        </w:rPr>
        <w:t xml:space="preserve">The Commission’s original rationale </w:t>
      </w:r>
      <w:r w:rsidRPr="0046317C">
        <w:rPr>
          <w:rFonts w:cs="TimesNewRomanPSMT"/>
          <w:szCs w:val="26"/>
        </w:rPr>
        <w:t xml:space="preserve">for considering a potential LCR RCM was to incentivize, or at the very least not allow the CPE framework to discourage, LSE development of </w:t>
      </w:r>
      <w:r w:rsidRPr="0046317C">
        <w:rPr>
          <w:rFonts w:cs="TimesNewRomanPSMT"/>
          <w:szCs w:val="26"/>
        </w:rPr>
        <w:lastRenderedPageBreak/>
        <w:t>new preferred or energy storage resources in local areas to meet their system or flexible RA requirements.</w:t>
      </w:r>
      <w:r w:rsidRPr="0046317C">
        <w:rPr>
          <w:rFonts w:cs="TimesNewRomanPSMT"/>
          <w:szCs w:val="26"/>
          <w:vertAlign w:val="superscript"/>
        </w:rPr>
        <w:footnoteReference w:id="75"/>
      </w:r>
      <w:r w:rsidRPr="0046317C">
        <w:rPr>
          <w:rFonts w:cs="TimesNewRomanPSMT"/>
          <w:szCs w:val="26"/>
        </w:rPr>
        <w:t xml:space="preserve">  </w:t>
      </w:r>
    </w:p>
    <w:p w:rsidRPr="0046317C" w:rsidR="00BB7CF6" w:rsidP="00BB7CF6" w:rsidRDefault="00BB7CF6" w14:paraId="41D115A7" w14:textId="14E054F7">
      <w:pPr>
        <w:rPr>
          <w:rFonts w:cs="Times New Roman"/>
          <w:szCs w:val="20"/>
        </w:rPr>
      </w:pPr>
      <w:r w:rsidRPr="0046317C">
        <w:rPr>
          <w:rFonts w:cs="Times New Roman"/>
          <w:szCs w:val="20"/>
        </w:rPr>
        <w:t>The Commission declines to relitigate these issues here.  In D.20-06-002, Energy Division was directed to submit a report by 2025 assessing the effectiveness of the CPE structure and such evaluation will consider the effectiveness of the LCR RCM.</w:t>
      </w:r>
      <w:r w:rsidRPr="0046317C">
        <w:rPr>
          <w:rFonts w:cs="Times New Roman"/>
          <w:szCs w:val="20"/>
          <w:vertAlign w:val="superscript"/>
        </w:rPr>
        <w:footnoteReference w:id="76"/>
      </w:r>
      <w:r w:rsidR="00627420">
        <w:rPr>
          <w:rFonts w:cs="Times New Roman"/>
          <w:szCs w:val="20"/>
        </w:rPr>
        <w:t xml:space="preserve">  </w:t>
      </w:r>
      <w:r w:rsidR="00B42DD2">
        <w:rPr>
          <w:rFonts w:cs="Times New Roman"/>
          <w:szCs w:val="20"/>
        </w:rPr>
        <w:t>As discussed below,</w:t>
      </w:r>
      <w:r w:rsidR="00627420">
        <w:rPr>
          <w:rFonts w:cs="Times New Roman"/>
          <w:szCs w:val="20"/>
        </w:rPr>
        <w:t xml:space="preserve"> Energy Division </w:t>
      </w:r>
      <w:r w:rsidR="00B42DD2">
        <w:rPr>
          <w:rFonts w:cs="Times New Roman"/>
          <w:szCs w:val="20"/>
        </w:rPr>
        <w:t xml:space="preserve">is directed </w:t>
      </w:r>
      <w:r w:rsidR="00627420">
        <w:rPr>
          <w:rFonts w:cs="Times New Roman"/>
          <w:szCs w:val="20"/>
        </w:rPr>
        <w:t xml:space="preserve">to submit this report in 2024. </w:t>
      </w:r>
      <w:r w:rsidRPr="0046317C">
        <w:rPr>
          <w:rFonts w:cs="Times New Roman"/>
          <w:szCs w:val="20"/>
        </w:rPr>
        <w:t xml:space="preserve">    </w:t>
      </w:r>
    </w:p>
    <w:p w:rsidRPr="0046317C" w:rsidR="00BB7CF6" w:rsidP="00BB7CF6" w:rsidRDefault="00BB7CF6" w14:paraId="0D388A0D" w14:textId="77777777">
      <w:pPr>
        <w:pStyle w:val="Heading2"/>
      </w:pPr>
      <w:bookmarkStart w:name="_Toc94080399" w:id="60"/>
      <w:bookmarkStart w:name="_Toc95232118" w:id="61"/>
      <w:r>
        <w:t>I</w:t>
      </w:r>
      <w:r w:rsidRPr="007A05DB">
        <w:t>nvestor-</w:t>
      </w:r>
      <w:r>
        <w:t>O</w:t>
      </w:r>
      <w:r w:rsidRPr="007A05DB">
        <w:t xml:space="preserve">wned </w:t>
      </w:r>
      <w:r>
        <w:t>U</w:t>
      </w:r>
      <w:r w:rsidRPr="007A05DB">
        <w:t>tility</w:t>
      </w:r>
      <w:r>
        <w:t xml:space="preserve"> </w:t>
      </w:r>
      <w:r w:rsidRPr="0046317C">
        <w:t>Bidding at Levelized Fixed Costs</w:t>
      </w:r>
      <w:bookmarkEnd w:id="60"/>
      <w:bookmarkEnd w:id="61"/>
    </w:p>
    <w:p w:rsidRPr="0046317C" w:rsidR="00BB7CF6" w:rsidP="00BB7CF6" w:rsidRDefault="00BB7CF6" w14:paraId="4D14DB28" w14:textId="77777777">
      <w:pPr>
        <w:rPr>
          <w:rFonts w:cs="Times New Roman"/>
          <w:szCs w:val="20"/>
        </w:rPr>
      </w:pPr>
      <w:r w:rsidRPr="0046317C">
        <w:rPr>
          <w:rFonts w:cs="Times New Roman"/>
          <w:szCs w:val="20"/>
        </w:rPr>
        <w:t>In D.20-06-002, the Commission directed that the IOU “bid its own resources, that are not already allocated to all benefiting customers, into the solicitation process at their levelized fixed costs.”</w:t>
      </w:r>
      <w:r w:rsidRPr="0046317C">
        <w:rPr>
          <w:rFonts w:cs="Times New Roman"/>
          <w:szCs w:val="20"/>
          <w:vertAlign w:val="superscript"/>
        </w:rPr>
        <w:footnoteReference w:id="77"/>
      </w:r>
      <w:r w:rsidRPr="0046317C">
        <w:rPr>
          <w:rFonts w:cs="Times New Roman"/>
          <w:szCs w:val="20"/>
        </w:rPr>
        <w:t xml:space="preserve">  Levelized fixed costs refer to “the annual revenue requirement for utility-owned resources or the PPA price for contracted resources.”</w:t>
      </w:r>
      <w:r w:rsidRPr="0046317C">
        <w:rPr>
          <w:rFonts w:cs="Times New Roman"/>
          <w:szCs w:val="20"/>
          <w:vertAlign w:val="superscript"/>
        </w:rPr>
        <w:footnoteReference w:id="78"/>
      </w:r>
      <w:r w:rsidRPr="0046317C">
        <w:rPr>
          <w:rFonts w:cs="Times New Roman"/>
          <w:szCs w:val="20"/>
        </w:rPr>
        <w:t xml:space="preserve">  PG&amp;E and SCE put forth two proposals on the levelized fixed cost requirement.</w:t>
      </w:r>
    </w:p>
    <w:p w:rsidRPr="0046317C" w:rsidR="00BB7CF6" w:rsidP="00BB7CF6" w:rsidRDefault="00BB7CF6" w14:paraId="34285D7B" w14:textId="77777777">
      <w:pPr>
        <w:rPr>
          <w:rFonts w:cs="Times New Roman"/>
          <w:szCs w:val="20"/>
        </w:rPr>
      </w:pPr>
      <w:r w:rsidRPr="0046317C">
        <w:rPr>
          <w:rFonts w:cs="Times New Roman"/>
          <w:szCs w:val="20"/>
        </w:rPr>
        <w:t>PG&amp;E asserts that the fixed cost requirement is incompatible with the products/attributes procured by the CPE and how the bundled procurement arm’s portfolio is comprised.</w:t>
      </w:r>
      <w:r w:rsidRPr="0046317C">
        <w:rPr>
          <w:rFonts w:cs="Times New Roman"/>
          <w:szCs w:val="20"/>
          <w:vertAlign w:val="superscript"/>
        </w:rPr>
        <w:footnoteReference w:id="79"/>
      </w:r>
      <w:r w:rsidRPr="0046317C">
        <w:rPr>
          <w:rFonts w:cs="Times New Roman"/>
          <w:szCs w:val="20"/>
        </w:rPr>
        <w:t xml:space="preserve">  PG&amp;E states that, for example, a resource’s contracted price may contain all product attributes, such as renewable energy and renewable energy credits, and components of the contracted price cannot be parsed out.  PG&amp;E states that the CPE has no clear authority to procure all product attributes and CAM does not allocate renewable energy credits to </w:t>
      </w:r>
      <w:r w:rsidRPr="0046317C">
        <w:rPr>
          <w:rFonts w:cs="Times New Roman"/>
          <w:szCs w:val="20"/>
        </w:rPr>
        <w:lastRenderedPageBreak/>
        <w:t xml:space="preserve">benefiting customers.  PG&amp;E </w:t>
      </w:r>
      <w:r>
        <w:rPr>
          <w:rFonts w:cs="Times New Roman"/>
          <w:szCs w:val="20"/>
        </w:rPr>
        <w:t xml:space="preserve">also </w:t>
      </w:r>
      <w:r w:rsidRPr="0046317C">
        <w:rPr>
          <w:rFonts w:cs="Times New Roman"/>
          <w:szCs w:val="20"/>
        </w:rPr>
        <w:t xml:space="preserve">argues that the fixed cost requirement creates barriers for IOU participation in the CPE process and recommends removing the requirement.  Rather, PG&amp;E proposes that the IOU’s bundled procurement arm file a Tier 2 Advice Letter proposing a methodology for bidding </w:t>
      </w:r>
      <w:r>
        <w:rPr>
          <w:rFonts w:cs="Times New Roman"/>
          <w:szCs w:val="20"/>
        </w:rPr>
        <w:t>utility-owned generation (</w:t>
      </w:r>
      <w:r w:rsidRPr="0046317C">
        <w:rPr>
          <w:rFonts w:cs="Times New Roman"/>
          <w:szCs w:val="20"/>
        </w:rPr>
        <w:t>UOG</w:t>
      </w:r>
      <w:r>
        <w:rPr>
          <w:rFonts w:cs="Times New Roman"/>
          <w:szCs w:val="20"/>
        </w:rPr>
        <w:t>)</w:t>
      </w:r>
      <w:r w:rsidRPr="0046317C">
        <w:rPr>
          <w:rFonts w:cs="Times New Roman"/>
          <w:szCs w:val="20"/>
        </w:rPr>
        <w:t xml:space="preserve"> and other contracted resources into the CPE process.</w:t>
      </w:r>
    </w:p>
    <w:p w:rsidRPr="0046317C" w:rsidR="00BB7CF6" w:rsidP="00BB7CF6" w:rsidRDefault="00BB7CF6" w14:paraId="0B970A42" w14:textId="77777777">
      <w:pPr>
        <w:rPr>
          <w:rFonts w:cs="Times New Roman"/>
          <w:szCs w:val="20"/>
        </w:rPr>
      </w:pPr>
      <w:r w:rsidRPr="0046317C">
        <w:rPr>
          <w:rFonts w:cs="Times New Roman"/>
          <w:szCs w:val="20"/>
        </w:rPr>
        <w:t>SCE likewise advocates for removing the levelized cost requirement because it puts IOUs acting as the CPE at a disadvantage by not allowing them to bid at market prices like other LSEs.</w:t>
      </w:r>
      <w:r w:rsidRPr="0046317C">
        <w:rPr>
          <w:rFonts w:cs="Times New Roman"/>
          <w:szCs w:val="20"/>
          <w:vertAlign w:val="superscript"/>
        </w:rPr>
        <w:footnoteReference w:id="80"/>
      </w:r>
      <w:r w:rsidRPr="0046317C">
        <w:rPr>
          <w:rFonts w:cs="Times New Roman"/>
          <w:szCs w:val="20"/>
        </w:rPr>
        <w:t xml:space="preserve">  SCE argues that it prevents IOUs from bidding competitively, which may result in the CPE procuring resources at higher premiums and socializing that cost to all customers.  SCE notes that any concerns about unfair competitive advantage by IOUs are unfounded and that any potential unfair competitive advantage is covered by layers of protection </w:t>
      </w:r>
      <w:r>
        <w:rPr>
          <w:rFonts w:cs="Times New Roman"/>
          <w:szCs w:val="20"/>
        </w:rPr>
        <w:t>established in</w:t>
      </w:r>
      <w:r w:rsidRPr="0046317C">
        <w:rPr>
          <w:rFonts w:cs="Times New Roman"/>
          <w:szCs w:val="20"/>
        </w:rPr>
        <w:t xml:space="preserve"> D.20-06-002 (</w:t>
      </w:r>
      <w:r w:rsidRPr="0046317C">
        <w:rPr>
          <w:rFonts w:cs="Times New Roman"/>
          <w:i/>
          <w:iCs/>
          <w:szCs w:val="20"/>
        </w:rPr>
        <w:t>e.g.</w:t>
      </w:r>
      <w:r w:rsidRPr="0046317C">
        <w:rPr>
          <w:rFonts w:cs="Times New Roman"/>
          <w:szCs w:val="20"/>
        </w:rPr>
        <w:t>, competitive neutrality rules and code of conduct, IE</w:t>
      </w:r>
      <w:r>
        <w:rPr>
          <w:rFonts w:cs="Times New Roman"/>
          <w:szCs w:val="20"/>
        </w:rPr>
        <w:t xml:space="preserve"> </w:t>
      </w:r>
      <w:r w:rsidRPr="0046317C">
        <w:rPr>
          <w:rFonts w:cs="Times New Roman"/>
          <w:szCs w:val="20"/>
        </w:rPr>
        <w:t xml:space="preserve">monitoring, bid submission to the CAM PRG and IE, internal firewalls).  </w:t>
      </w:r>
    </w:p>
    <w:p w:rsidRPr="0046317C" w:rsidR="00BB7CF6" w:rsidP="00BB7CF6" w:rsidRDefault="00BB7CF6" w14:paraId="3C713FE6" w14:textId="77777777">
      <w:pPr>
        <w:rPr>
          <w:rFonts w:cs="Times New Roman"/>
          <w:szCs w:val="20"/>
        </w:rPr>
      </w:pPr>
      <w:r w:rsidRPr="0046317C">
        <w:rPr>
          <w:rFonts w:cs="Times New Roman"/>
          <w:szCs w:val="20"/>
        </w:rPr>
        <w:t>Cal Advocates supports PG&amp;E’s proposal and states that if the IOU resource’s price calculation includes products the CPE does not use or re</w:t>
      </w:r>
      <w:r>
        <w:rPr>
          <w:rFonts w:cs="Times New Roman"/>
          <w:szCs w:val="20"/>
        </w:rPr>
        <w:noBreakHyphen/>
      </w:r>
      <w:r w:rsidRPr="0046317C">
        <w:rPr>
          <w:rFonts w:cs="Times New Roman"/>
          <w:szCs w:val="20"/>
        </w:rPr>
        <w:t>distribute, ratepayers are harmed by the inefficiencies and improper pricing.</w:t>
      </w:r>
      <w:r w:rsidRPr="0046317C">
        <w:rPr>
          <w:rFonts w:cs="Times New Roman"/>
          <w:szCs w:val="20"/>
          <w:vertAlign w:val="superscript"/>
        </w:rPr>
        <w:footnoteReference w:id="81"/>
      </w:r>
      <w:r w:rsidRPr="0046317C">
        <w:rPr>
          <w:rFonts w:cs="Times New Roman"/>
          <w:szCs w:val="20"/>
        </w:rPr>
        <w:t xml:space="preserve">  Cal Advocates recommends that changes to the fixed cost requirement should apply to both CPEs in the same manner and the IOUs should jointly file a Tier 2 Advice Letter proposing changes.  In reply comments, PG&amp;E opposes standardizing IOUs’ bid methodologies because each IOU has different portfolios and contracts, and requiring the same methodology is not in the best interest of customers and potentially </w:t>
      </w:r>
      <w:r>
        <w:rPr>
          <w:rFonts w:cs="Times New Roman"/>
          <w:szCs w:val="20"/>
        </w:rPr>
        <w:t>implicates</w:t>
      </w:r>
      <w:r w:rsidRPr="0046317C">
        <w:rPr>
          <w:rFonts w:cs="Times New Roman"/>
          <w:szCs w:val="20"/>
        </w:rPr>
        <w:t xml:space="preserve"> antitrust laws.</w:t>
      </w:r>
      <w:r w:rsidRPr="0046317C">
        <w:rPr>
          <w:rFonts w:cs="Times New Roman"/>
          <w:szCs w:val="20"/>
          <w:vertAlign w:val="superscript"/>
        </w:rPr>
        <w:footnoteReference w:id="82"/>
      </w:r>
      <w:r w:rsidRPr="0046317C">
        <w:rPr>
          <w:rFonts w:cs="Times New Roman"/>
          <w:szCs w:val="20"/>
        </w:rPr>
        <w:t xml:space="preserve">  SCE </w:t>
      </w:r>
      <w:r>
        <w:rPr>
          <w:rFonts w:cs="Times New Roman"/>
          <w:szCs w:val="20"/>
        </w:rPr>
        <w:t>supports</w:t>
      </w:r>
      <w:r w:rsidRPr="0046317C">
        <w:rPr>
          <w:rFonts w:cs="Times New Roman"/>
          <w:szCs w:val="20"/>
        </w:rPr>
        <w:t xml:space="preserve"> </w:t>
      </w:r>
      <w:r w:rsidRPr="0046317C">
        <w:rPr>
          <w:rFonts w:cs="Times New Roman"/>
          <w:szCs w:val="20"/>
        </w:rPr>
        <w:lastRenderedPageBreak/>
        <w:t>PG&amp;E’s proposal.</w:t>
      </w:r>
      <w:r w:rsidRPr="0046317C">
        <w:rPr>
          <w:rFonts w:cs="Times New Roman"/>
          <w:szCs w:val="20"/>
          <w:vertAlign w:val="superscript"/>
        </w:rPr>
        <w:footnoteReference w:id="83"/>
      </w:r>
      <w:r w:rsidRPr="0046317C">
        <w:rPr>
          <w:rFonts w:cs="Times New Roman"/>
          <w:szCs w:val="20"/>
        </w:rPr>
        <w:t xml:space="preserve">  Alternatively, SCE states that the CPE should be permitted to bid in a monthly shaped price, which would allow more competitive offers as compared to other LSEs.</w:t>
      </w:r>
    </w:p>
    <w:p w:rsidRPr="0046317C" w:rsidR="00BB7CF6" w:rsidP="00BB7CF6" w:rsidRDefault="00BB7CF6" w14:paraId="5FAD1DB0" w14:textId="77777777">
      <w:pPr>
        <w:rPr>
          <w:rFonts w:cs="Times New Roman"/>
          <w:szCs w:val="20"/>
        </w:rPr>
      </w:pPr>
      <w:r w:rsidRPr="0046317C">
        <w:rPr>
          <w:rFonts w:cs="Times New Roman"/>
          <w:szCs w:val="20"/>
        </w:rPr>
        <w:t>MRP and CalCCA oppose removing the fixed cost requirement.</w:t>
      </w:r>
      <w:r w:rsidRPr="0046317C">
        <w:rPr>
          <w:rFonts w:cs="Times New Roman"/>
          <w:szCs w:val="20"/>
          <w:vertAlign w:val="superscript"/>
        </w:rPr>
        <w:footnoteReference w:id="84"/>
      </w:r>
      <w:r w:rsidRPr="0046317C">
        <w:rPr>
          <w:rFonts w:cs="Times New Roman"/>
          <w:szCs w:val="20"/>
        </w:rPr>
        <w:t xml:space="preserve">  MRP states that IOUs are not like other market participants because IOUs have the PCIA for resources regardless of </w:t>
      </w:r>
      <w:r>
        <w:rPr>
          <w:rFonts w:cs="Times New Roman"/>
          <w:szCs w:val="20"/>
        </w:rPr>
        <w:t xml:space="preserve">the </w:t>
      </w:r>
      <w:r w:rsidRPr="0046317C">
        <w:rPr>
          <w:rFonts w:cs="Times New Roman"/>
          <w:szCs w:val="20"/>
        </w:rPr>
        <w:t>bid price offered.  MRP states that if the CPE accepts the levelized fixed cost bid, costs are allocated to customers through CAM; if the CPE does not accept the fixed cost bid, customers of certain vintages pay the difference through the PCIA.  MRP opposes removing the requirement without further discussion to understand the impact on PCIA and CAM costs.  CalCCA similarly argues that allowing IOUs to bid resources at a value other than the levelized fixed cost means allowing IOUs to charge CAM customers at a different cost than the cost charged to PCIA customers</w:t>
      </w:r>
      <w:r>
        <w:rPr>
          <w:rFonts w:cs="Times New Roman"/>
          <w:szCs w:val="20"/>
        </w:rPr>
        <w:t>,</w:t>
      </w:r>
      <w:r w:rsidRPr="0046317C">
        <w:rPr>
          <w:rFonts w:cs="Times New Roman"/>
          <w:szCs w:val="20"/>
        </w:rPr>
        <w:t xml:space="preserve"> effectively transferring costs from one set of customers to another.  </w:t>
      </w:r>
    </w:p>
    <w:p w:rsidRPr="0046317C" w:rsidR="00BB7CF6" w:rsidP="00BB7CF6" w:rsidRDefault="00BB7CF6" w14:paraId="0F58DF8D" w14:textId="77777777">
      <w:pPr>
        <w:rPr>
          <w:rFonts w:cs="Times New Roman"/>
          <w:szCs w:val="20"/>
        </w:rPr>
      </w:pPr>
      <w:r w:rsidRPr="0046317C">
        <w:rPr>
          <w:rFonts w:cs="Times New Roman"/>
          <w:szCs w:val="20"/>
        </w:rPr>
        <w:t>In reply comments, SCE disagrees with MRP and CalCCA and states that it is not true that allowing the IOUs to bid resources at market prices would produce a cost shift.</w:t>
      </w:r>
      <w:r w:rsidRPr="0046317C">
        <w:rPr>
          <w:rFonts w:cs="Times New Roman"/>
          <w:szCs w:val="20"/>
          <w:vertAlign w:val="superscript"/>
        </w:rPr>
        <w:footnoteReference w:id="85"/>
      </w:r>
      <w:r w:rsidRPr="0046317C">
        <w:rPr>
          <w:rFonts w:cs="Times New Roman"/>
          <w:szCs w:val="20"/>
        </w:rPr>
        <w:t xml:space="preserve">  SCE states that the revenue from IOU sales would offset the cost of PCIA contracts in the same way other IOU sales of Renewable Energy Credits and RA do while providing LSEs with CAM credits for resources competitively procured by the CPE.</w:t>
      </w:r>
    </w:p>
    <w:p w:rsidRPr="0046317C" w:rsidR="00BB7CF6" w:rsidP="00BB7CF6" w:rsidRDefault="00BB7CF6" w14:paraId="5F84EC4D" w14:textId="77777777">
      <w:pPr>
        <w:pStyle w:val="Heading3"/>
      </w:pPr>
      <w:bookmarkStart w:name="_Toc94080400" w:id="62"/>
      <w:bookmarkStart w:name="_Toc95232119" w:id="63"/>
      <w:r w:rsidRPr="0046317C">
        <w:t>Discussion</w:t>
      </w:r>
      <w:bookmarkEnd w:id="62"/>
      <w:bookmarkEnd w:id="63"/>
    </w:p>
    <w:p w:rsidRPr="0046317C" w:rsidR="00BB7CF6" w:rsidP="00BB7CF6" w:rsidRDefault="00BB7CF6" w14:paraId="096A3C23" w14:textId="77777777">
      <w:pPr>
        <w:rPr>
          <w:rFonts w:cs="Times New Roman"/>
          <w:szCs w:val="20"/>
        </w:rPr>
      </w:pPr>
      <w:r w:rsidRPr="0046317C">
        <w:rPr>
          <w:rFonts w:cs="Times New Roman"/>
          <w:szCs w:val="20"/>
        </w:rPr>
        <w:t xml:space="preserve">Parties raise concerns that if the levelized fixed cost requirement results in inefficient and improper pricing of IOU resources, this can result in </w:t>
      </w:r>
      <w:r w:rsidRPr="0046317C">
        <w:rPr>
          <w:rFonts w:cs="Times New Roman"/>
          <w:szCs w:val="20"/>
        </w:rPr>
        <w:lastRenderedPageBreak/>
        <w:t>disincentivizing IOUs from participating in the CPE’s solicitation or result in the CPE procuring IOU resources at costs that do not reflect market rates.  The Commission is persuaded that these concerns favor removing the levelized fixed cost requirement.  We also agree that there are numerous layers of protection in place to address unfair competitive advantage concerns with IOUs bidding as the CPE, such as the IOUs’ submission of bids to the CAM PRG and IE in advance of other market participants’ bids and the IE monitoring the CPE solicitation process.  With respect to parties’ concerns regarding the PCIA, we agree with SCE that sales of PCIA resources to the CPE through a competitive process should not result in an unfair cost shift.</w:t>
      </w:r>
    </w:p>
    <w:p w:rsidRPr="0046317C" w:rsidR="00BB7CF6" w:rsidP="00BB7CF6" w:rsidRDefault="00BB7CF6" w14:paraId="4B91CF59" w14:textId="77777777">
      <w:pPr>
        <w:rPr>
          <w:rFonts w:cs="Times New Roman"/>
          <w:szCs w:val="20"/>
        </w:rPr>
      </w:pPr>
      <w:r w:rsidRPr="0046317C">
        <w:rPr>
          <w:rFonts w:cs="Times New Roman"/>
          <w:szCs w:val="20"/>
        </w:rPr>
        <w:t>As such, the Commission deems that the levelized fixed cost requirement should be removed and IOUs should be permitted to bid their resources into the CPE’s solicitation at competitive market prices.  As directed in D.20-06-002, IOU bids will be subject to review by the IE and CAM PRG.  Accordingly, the levelized fixed cost requirement adopted in O</w:t>
      </w:r>
      <w:r>
        <w:rPr>
          <w:rFonts w:cs="Times New Roman"/>
          <w:szCs w:val="20"/>
        </w:rPr>
        <w:t>rdering Paragraph</w:t>
      </w:r>
      <w:r w:rsidRPr="0046317C">
        <w:rPr>
          <w:rFonts w:cs="Times New Roman"/>
          <w:szCs w:val="20"/>
        </w:rPr>
        <w:t xml:space="preserve"> 11 of D.20</w:t>
      </w:r>
      <w:r>
        <w:rPr>
          <w:rFonts w:cs="Times New Roman"/>
          <w:szCs w:val="20"/>
        </w:rPr>
        <w:noBreakHyphen/>
      </w:r>
      <w:r w:rsidRPr="0046317C">
        <w:rPr>
          <w:rFonts w:cs="Times New Roman"/>
          <w:szCs w:val="20"/>
        </w:rPr>
        <w:t>06</w:t>
      </w:r>
      <w:r>
        <w:rPr>
          <w:rFonts w:cs="Times New Roman"/>
          <w:szCs w:val="20"/>
        </w:rPr>
        <w:noBreakHyphen/>
      </w:r>
      <w:r w:rsidRPr="0046317C">
        <w:rPr>
          <w:rFonts w:cs="Times New Roman"/>
          <w:szCs w:val="20"/>
        </w:rPr>
        <w:t xml:space="preserve">002 is eliminated.  </w:t>
      </w:r>
    </w:p>
    <w:p w:rsidRPr="0046317C" w:rsidR="00BB7CF6" w:rsidP="00BB7CF6" w:rsidRDefault="00BB7CF6" w14:paraId="33CC71DC" w14:textId="77777777">
      <w:pPr>
        <w:pStyle w:val="Heading2"/>
      </w:pPr>
      <w:bookmarkStart w:name="_Toc94080401" w:id="64"/>
      <w:bookmarkStart w:name="_Toc95232120" w:id="65"/>
      <w:r w:rsidRPr="0046317C">
        <w:t>Additional Reporting Requirements</w:t>
      </w:r>
      <w:bookmarkEnd w:id="64"/>
      <w:bookmarkEnd w:id="65"/>
    </w:p>
    <w:p w:rsidRPr="0046317C" w:rsidR="00BB7CF6" w:rsidP="00BB7CF6" w:rsidRDefault="00BB7CF6" w14:paraId="4538C74F" w14:textId="77777777">
      <w:pPr>
        <w:rPr>
          <w:rFonts w:cs="Times New Roman"/>
          <w:szCs w:val="20"/>
        </w:rPr>
      </w:pPr>
      <w:r w:rsidRPr="0046317C">
        <w:rPr>
          <w:rFonts w:cs="Times New Roman"/>
          <w:szCs w:val="20"/>
        </w:rPr>
        <w:t>Several parties, including MRP, WPTF, and CalCCA, have concerns about the lack of transparency and information about the CPE procurement process, particularly given the PG&amp;E CPE’s procurement shortfalls for 2023 and 2024.  These parties generally state that the information provided by the PG&amp;E CPE, through the Annual Compliance report and supplemental responses, does not sufficiently explain the reasons behind the procurement shortfalls, including why self-shown capacity or bids were rejected by the CPE.</w:t>
      </w:r>
      <w:r w:rsidRPr="0046317C">
        <w:rPr>
          <w:rFonts w:cs="Times New Roman"/>
          <w:szCs w:val="20"/>
          <w:vertAlign w:val="superscript"/>
        </w:rPr>
        <w:footnoteReference w:id="86"/>
      </w:r>
    </w:p>
    <w:p w:rsidRPr="0046317C" w:rsidR="00BB7CF6" w:rsidP="00BB7CF6" w:rsidRDefault="00BB7CF6" w14:paraId="2E42F8FE" w14:textId="77777777">
      <w:pPr>
        <w:rPr>
          <w:rFonts w:cs="Times New Roman"/>
          <w:szCs w:val="20"/>
        </w:rPr>
      </w:pPr>
      <w:r w:rsidRPr="0046317C">
        <w:rPr>
          <w:rFonts w:cs="Times New Roman"/>
          <w:szCs w:val="20"/>
        </w:rPr>
        <w:lastRenderedPageBreak/>
        <w:t>MRP and WPTF propose that Energy Division prepare a report on the CPE structure’s effectiveness given the outcome of the initial CPE procurement.  WPTF recommends a report on reasons behind the PG&amp;E and SCE CPE’s procurement shortfalls to be submitted in February 2022.</w:t>
      </w:r>
      <w:r w:rsidRPr="0046317C">
        <w:rPr>
          <w:rFonts w:cs="Times New Roman"/>
          <w:szCs w:val="20"/>
          <w:vertAlign w:val="superscript"/>
        </w:rPr>
        <w:footnoteReference w:id="87"/>
      </w:r>
      <w:r w:rsidRPr="0046317C">
        <w:rPr>
          <w:rFonts w:cs="Times New Roman"/>
          <w:szCs w:val="20"/>
        </w:rPr>
        <w:t xml:space="preserve">  MRP recommends a report in 2022 on why resources did not participate in the solicitation, why the CPE rejected self-shown capacity, and whether lack of penalties or risk of backstop in 2021 resulted in lower CPE procurement.</w:t>
      </w:r>
      <w:r w:rsidRPr="0046317C">
        <w:rPr>
          <w:rFonts w:cs="Times New Roman"/>
          <w:szCs w:val="20"/>
          <w:vertAlign w:val="superscript"/>
        </w:rPr>
        <w:footnoteReference w:id="88"/>
      </w:r>
      <w:r w:rsidRPr="0046317C">
        <w:rPr>
          <w:rFonts w:cs="Times New Roman"/>
          <w:szCs w:val="20"/>
        </w:rPr>
        <w:t xml:space="preserve">  </w:t>
      </w:r>
    </w:p>
    <w:p w:rsidRPr="0046317C" w:rsidR="00BB7CF6" w:rsidP="00BB7CF6" w:rsidRDefault="00BB7CF6" w14:paraId="5A56F333" w14:textId="77777777">
      <w:pPr>
        <w:rPr>
          <w:rFonts w:cs="Times New Roman"/>
          <w:szCs w:val="20"/>
        </w:rPr>
      </w:pPr>
      <w:r w:rsidRPr="0046317C">
        <w:rPr>
          <w:rFonts w:cs="Times New Roman"/>
          <w:szCs w:val="20"/>
        </w:rPr>
        <w:t>In addition, CalCCA, MRP, and WPTF propose that the CPEs submit additional information in their Compliance Reports.  CalCCA proposes that the CPEs file updated Compliance Reports requiring the following:</w:t>
      </w:r>
      <w:r w:rsidRPr="0046317C">
        <w:rPr>
          <w:rFonts w:cs="Times New Roman"/>
          <w:szCs w:val="20"/>
          <w:vertAlign w:val="superscript"/>
        </w:rPr>
        <w:footnoteReference w:id="89"/>
      </w:r>
    </w:p>
    <w:p w:rsidRPr="0046317C" w:rsidR="00BB7CF6" w:rsidP="00BB7CF6" w:rsidRDefault="00BB7CF6" w14:paraId="54BCDDF1" w14:textId="77777777">
      <w:pPr>
        <w:numPr>
          <w:ilvl w:val="0"/>
          <w:numId w:val="24"/>
        </w:numPr>
        <w:spacing w:after="120" w:line="240" w:lineRule="auto"/>
        <w:ind w:left="1080" w:right="1440"/>
        <w:rPr>
          <w:rFonts w:cs="Times New Roman"/>
          <w:szCs w:val="20"/>
        </w:rPr>
      </w:pPr>
      <w:r w:rsidRPr="0046317C">
        <w:rPr>
          <w:rFonts w:cs="Times New Roman"/>
          <w:color w:val="000000"/>
          <w:szCs w:val="26"/>
        </w:rPr>
        <w:t xml:space="preserve">The amount of local RA self-shown to the CPE, with resources shown for no compensation and under the LCR RCM; </w:t>
      </w:r>
    </w:p>
    <w:p w:rsidRPr="0046317C" w:rsidR="00BB7CF6" w:rsidP="00BB7CF6" w:rsidRDefault="00BB7CF6" w14:paraId="6C9B4E66" w14:textId="77777777">
      <w:pPr>
        <w:numPr>
          <w:ilvl w:val="0"/>
          <w:numId w:val="24"/>
        </w:numPr>
        <w:spacing w:after="120" w:line="240" w:lineRule="auto"/>
        <w:ind w:left="1080" w:right="1440"/>
        <w:rPr>
          <w:rFonts w:cs="Times New Roman"/>
          <w:szCs w:val="20"/>
        </w:rPr>
      </w:pPr>
      <w:r w:rsidRPr="0046317C">
        <w:rPr>
          <w:rFonts w:cs="Times New Roman"/>
          <w:color w:val="000000"/>
          <w:szCs w:val="26"/>
        </w:rPr>
        <w:t xml:space="preserve">The amount of local RA bid as a bundled product in the CPE solicitation; </w:t>
      </w:r>
    </w:p>
    <w:p w:rsidRPr="0046317C" w:rsidR="00BB7CF6" w:rsidP="00BB7CF6" w:rsidRDefault="00BB7CF6" w14:paraId="1D1B95D2" w14:textId="77777777">
      <w:pPr>
        <w:numPr>
          <w:ilvl w:val="0"/>
          <w:numId w:val="24"/>
        </w:numPr>
        <w:spacing w:after="120" w:line="240" w:lineRule="auto"/>
        <w:ind w:left="1080" w:right="1440"/>
        <w:rPr>
          <w:rFonts w:cs="Times New Roman"/>
          <w:szCs w:val="20"/>
        </w:rPr>
      </w:pPr>
      <w:r w:rsidRPr="0046317C">
        <w:rPr>
          <w:rFonts w:cs="Times New Roman"/>
          <w:color w:val="000000"/>
          <w:szCs w:val="26"/>
        </w:rPr>
        <w:t xml:space="preserve">The amount of local RA procured by the CPE, with the amount procured through self-showing and bids; </w:t>
      </w:r>
    </w:p>
    <w:p w:rsidRPr="0046317C" w:rsidR="00BB7CF6" w:rsidP="00BB7CF6" w:rsidRDefault="00BB7CF6" w14:paraId="464F4905" w14:textId="470C1AC7">
      <w:pPr>
        <w:numPr>
          <w:ilvl w:val="0"/>
          <w:numId w:val="24"/>
        </w:numPr>
        <w:spacing w:after="120" w:line="240" w:lineRule="auto"/>
        <w:ind w:left="1080" w:right="1440"/>
        <w:rPr>
          <w:rFonts w:cs="Times New Roman"/>
          <w:szCs w:val="20"/>
        </w:rPr>
      </w:pPr>
      <w:r w:rsidRPr="0046317C">
        <w:rPr>
          <w:rFonts w:cs="Times New Roman"/>
          <w:color w:val="000000"/>
          <w:szCs w:val="26"/>
        </w:rPr>
        <w:t>Reasons for rejecting or withdrawing bids or self-showing offers for each category of procurement; an</w:t>
      </w:r>
      <w:r w:rsidR="002E43C5">
        <w:rPr>
          <w:rFonts w:cs="Times New Roman"/>
          <w:color w:val="000000"/>
          <w:szCs w:val="26"/>
        </w:rPr>
        <w:t> </w:t>
      </w:r>
    </w:p>
    <w:p w:rsidRPr="0046317C" w:rsidR="00BB7CF6" w:rsidP="00BB7CF6" w:rsidRDefault="00BB7CF6" w14:paraId="6AB11357" w14:textId="77777777">
      <w:pPr>
        <w:numPr>
          <w:ilvl w:val="0"/>
          <w:numId w:val="24"/>
        </w:numPr>
        <w:spacing w:after="120" w:line="240" w:lineRule="auto"/>
        <w:ind w:left="1080" w:right="1440"/>
        <w:rPr>
          <w:rFonts w:cs="Times New Roman"/>
          <w:szCs w:val="20"/>
        </w:rPr>
      </w:pPr>
      <w:r w:rsidRPr="0046317C">
        <w:rPr>
          <w:rFonts w:cs="Times New Roman"/>
          <w:color w:val="000000"/>
          <w:szCs w:val="26"/>
        </w:rPr>
        <w:t>Of the resources not procured, the nature of the entity that controls the asset (i.e., generator, LSE, marketer).</w:t>
      </w:r>
    </w:p>
    <w:p w:rsidRPr="0046317C" w:rsidR="00BB7CF6" w:rsidP="00BB7CF6" w:rsidRDefault="00BB7CF6" w14:paraId="263FD83C" w14:textId="77777777">
      <w:pPr>
        <w:rPr>
          <w:rFonts w:cs="Times New Roman"/>
          <w:szCs w:val="20"/>
        </w:rPr>
      </w:pPr>
      <w:r w:rsidRPr="0046317C">
        <w:rPr>
          <w:rFonts w:cs="Times New Roman"/>
          <w:szCs w:val="20"/>
        </w:rPr>
        <w:t>MRP proposes that future CPE compliance reports include:</w:t>
      </w:r>
      <w:r w:rsidRPr="0046317C">
        <w:rPr>
          <w:rFonts w:cs="Times New Roman"/>
          <w:szCs w:val="20"/>
          <w:vertAlign w:val="superscript"/>
        </w:rPr>
        <w:footnoteReference w:id="90"/>
      </w:r>
      <w:r w:rsidRPr="0046317C">
        <w:rPr>
          <w:rFonts w:cs="Times New Roman"/>
          <w:szCs w:val="20"/>
        </w:rPr>
        <w:t xml:space="preserve"> </w:t>
      </w:r>
    </w:p>
    <w:p w:rsidRPr="0046317C" w:rsidR="00BB7CF6" w:rsidP="00BB7CF6" w:rsidRDefault="00BB7CF6" w14:paraId="7A573149" w14:textId="77777777">
      <w:pPr>
        <w:numPr>
          <w:ilvl w:val="0"/>
          <w:numId w:val="24"/>
        </w:numPr>
        <w:autoSpaceDE w:val="0"/>
        <w:autoSpaceDN w:val="0"/>
        <w:adjustRightInd w:val="0"/>
        <w:spacing w:after="120" w:line="240" w:lineRule="auto"/>
        <w:ind w:left="1080" w:right="1440"/>
        <w:rPr>
          <w:rFonts w:cs="TimesNewRomanPSMT"/>
          <w:szCs w:val="26"/>
        </w:rPr>
      </w:pPr>
      <w:r w:rsidRPr="0046317C">
        <w:rPr>
          <w:rFonts w:cs="TimesNewRomanPSMT"/>
          <w:szCs w:val="26"/>
        </w:rPr>
        <w:t xml:space="preserve">Aggregate amount of offers (by MW and local area) the CPE received and the CPE did not accept; </w:t>
      </w:r>
    </w:p>
    <w:p w:rsidRPr="0046317C" w:rsidR="00BB7CF6" w:rsidP="00BB7CF6" w:rsidRDefault="00BB7CF6" w14:paraId="7E0AC643" w14:textId="77777777">
      <w:pPr>
        <w:numPr>
          <w:ilvl w:val="0"/>
          <w:numId w:val="24"/>
        </w:numPr>
        <w:autoSpaceDE w:val="0"/>
        <w:autoSpaceDN w:val="0"/>
        <w:adjustRightInd w:val="0"/>
        <w:spacing w:after="120" w:line="240" w:lineRule="auto"/>
        <w:ind w:left="1080" w:right="1440"/>
        <w:rPr>
          <w:rFonts w:cs="TimesNewRomanPSMT"/>
          <w:szCs w:val="26"/>
        </w:rPr>
      </w:pPr>
      <w:r w:rsidRPr="0046317C">
        <w:rPr>
          <w:rFonts w:cs="TimesNewRomanPSMT"/>
          <w:szCs w:val="26"/>
        </w:rPr>
        <w:lastRenderedPageBreak/>
        <w:t>Aggregate amount of self-shown resources (by MW and local area) to the CPE and the CPE did not accept;</w:t>
      </w:r>
    </w:p>
    <w:p w:rsidRPr="0046317C" w:rsidR="00BB7CF6" w:rsidP="00BB7CF6" w:rsidRDefault="00BB7CF6" w14:paraId="7E64E535" w14:textId="77777777">
      <w:pPr>
        <w:numPr>
          <w:ilvl w:val="0"/>
          <w:numId w:val="24"/>
        </w:numPr>
        <w:autoSpaceDE w:val="0"/>
        <w:autoSpaceDN w:val="0"/>
        <w:adjustRightInd w:val="0"/>
        <w:spacing w:after="120" w:line="240" w:lineRule="auto"/>
        <w:ind w:left="1080" w:right="1440"/>
        <w:rPr>
          <w:rFonts w:cs="TimesNewRomanPSMT"/>
          <w:szCs w:val="26"/>
        </w:rPr>
      </w:pPr>
      <w:r w:rsidRPr="0046317C">
        <w:rPr>
          <w:rFonts w:cs="TimesNewRomanPSMT"/>
          <w:szCs w:val="26"/>
        </w:rPr>
        <w:t>Reasons – not associated with amounts of capacity or parties –the CPE rejected offered or self-shown capacity; and</w:t>
      </w:r>
    </w:p>
    <w:p w:rsidRPr="0046317C" w:rsidR="00BB7CF6" w:rsidP="00BB7CF6" w:rsidRDefault="00BB7CF6" w14:paraId="7FBA1F9B" w14:textId="77777777">
      <w:pPr>
        <w:numPr>
          <w:ilvl w:val="0"/>
          <w:numId w:val="24"/>
        </w:numPr>
        <w:autoSpaceDE w:val="0"/>
        <w:autoSpaceDN w:val="0"/>
        <w:adjustRightInd w:val="0"/>
        <w:spacing w:after="120" w:line="240" w:lineRule="auto"/>
        <w:ind w:left="1080" w:right="1440"/>
        <w:rPr>
          <w:rFonts w:cs="TimesNewRomanPSMT"/>
          <w:szCs w:val="26"/>
        </w:rPr>
      </w:pPr>
      <w:r w:rsidRPr="0046317C">
        <w:rPr>
          <w:rFonts w:cs="TimesNewRomanPSMT"/>
          <w:szCs w:val="26"/>
        </w:rPr>
        <w:t>List of resources the CPE accepted, shown and offered, in MWs and by local area.</w:t>
      </w:r>
    </w:p>
    <w:p w:rsidRPr="0046317C" w:rsidR="00BB7CF6" w:rsidP="00BB7CF6" w:rsidRDefault="00BB7CF6" w14:paraId="225B792B" w14:textId="77777777">
      <w:pPr>
        <w:rPr>
          <w:rFonts w:cs="Times New Roman"/>
          <w:szCs w:val="26"/>
        </w:rPr>
      </w:pPr>
      <w:r w:rsidRPr="0046317C">
        <w:rPr>
          <w:rFonts w:cs="Times New Roman"/>
          <w:szCs w:val="26"/>
        </w:rPr>
        <w:t>WPTF recommends that future CPE compliance reports include:</w:t>
      </w:r>
      <w:r w:rsidRPr="0046317C">
        <w:rPr>
          <w:rFonts w:cs="Times New Roman"/>
          <w:szCs w:val="26"/>
          <w:vertAlign w:val="superscript"/>
        </w:rPr>
        <w:footnoteReference w:id="91"/>
      </w:r>
    </w:p>
    <w:p w:rsidRPr="0046317C" w:rsidR="00BB7CF6" w:rsidP="00BB7CF6" w:rsidRDefault="00BB7CF6" w14:paraId="2A4423D7" w14:textId="77777777">
      <w:pPr>
        <w:numPr>
          <w:ilvl w:val="0"/>
          <w:numId w:val="25"/>
        </w:numPr>
        <w:autoSpaceDE w:val="0"/>
        <w:autoSpaceDN w:val="0"/>
        <w:adjustRightInd w:val="0"/>
        <w:spacing w:after="120" w:line="240" w:lineRule="auto"/>
        <w:ind w:left="1080" w:right="1440"/>
        <w:rPr>
          <w:rFonts w:cs="TimesNewRomanPSMT"/>
          <w:szCs w:val="26"/>
        </w:rPr>
      </w:pPr>
      <w:r w:rsidRPr="0046317C">
        <w:rPr>
          <w:rFonts w:cs="TimesNewRomanPSMT"/>
          <w:szCs w:val="26"/>
        </w:rPr>
        <w:t>Total amount of local RA resources offered to the CPE for no compensation or under the LCR RCM.</w:t>
      </w:r>
    </w:p>
    <w:p w:rsidRPr="0046317C" w:rsidR="00BB7CF6" w:rsidP="00BB7CF6" w:rsidRDefault="00BB7CF6" w14:paraId="131FB1F2" w14:textId="77777777">
      <w:pPr>
        <w:numPr>
          <w:ilvl w:val="0"/>
          <w:numId w:val="25"/>
        </w:numPr>
        <w:autoSpaceDE w:val="0"/>
        <w:autoSpaceDN w:val="0"/>
        <w:adjustRightInd w:val="0"/>
        <w:spacing w:after="120" w:line="240" w:lineRule="auto"/>
        <w:ind w:left="1080" w:right="1440"/>
        <w:rPr>
          <w:rFonts w:cs="TimesNewRomanPSMT"/>
          <w:szCs w:val="26"/>
        </w:rPr>
      </w:pPr>
      <w:r w:rsidRPr="0046317C">
        <w:rPr>
          <w:rFonts w:cs="Times New Roman"/>
          <w:szCs w:val="20"/>
        </w:rPr>
        <w:t>Total amount of local RA resources bid into the CPE’s solicitation.</w:t>
      </w:r>
    </w:p>
    <w:p w:rsidRPr="0046317C" w:rsidR="00BB7CF6" w:rsidP="00BB7CF6" w:rsidRDefault="00BB7CF6" w14:paraId="41FA454A" w14:textId="77777777">
      <w:pPr>
        <w:numPr>
          <w:ilvl w:val="0"/>
          <w:numId w:val="25"/>
        </w:numPr>
        <w:autoSpaceDE w:val="0"/>
        <w:autoSpaceDN w:val="0"/>
        <w:adjustRightInd w:val="0"/>
        <w:spacing w:after="120" w:line="240" w:lineRule="auto"/>
        <w:ind w:left="1080" w:right="1440"/>
        <w:rPr>
          <w:rFonts w:cs="TimesNewRomanPSMT"/>
          <w:szCs w:val="26"/>
        </w:rPr>
      </w:pPr>
      <w:r w:rsidRPr="0046317C">
        <w:rPr>
          <w:rFonts w:cs="Times New Roman"/>
          <w:szCs w:val="20"/>
        </w:rPr>
        <w:t xml:space="preserve">Total amount of CPE-procured and shown/accepted local resources by </w:t>
      </w:r>
      <w:r w:rsidRPr="0046317C">
        <w:rPr>
          <w:rFonts w:cs="TimesNewRomanPSMT"/>
          <w:szCs w:val="26"/>
        </w:rPr>
        <w:t>category (i.e., no compensation, under LCR RCM, awarded bids).</w:t>
      </w:r>
    </w:p>
    <w:p w:rsidRPr="0046317C" w:rsidR="00BB7CF6" w:rsidP="00BB7CF6" w:rsidRDefault="00BB7CF6" w14:paraId="39410073" w14:textId="77777777">
      <w:pPr>
        <w:numPr>
          <w:ilvl w:val="0"/>
          <w:numId w:val="25"/>
        </w:numPr>
        <w:autoSpaceDE w:val="0"/>
        <w:autoSpaceDN w:val="0"/>
        <w:adjustRightInd w:val="0"/>
        <w:spacing w:after="120" w:line="240" w:lineRule="auto"/>
        <w:ind w:left="1080" w:right="1440"/>
        <w:rPr>
          <w:rFonts w:cs="TimesNewRomanPSMT"/>
          <w:szCs w:val="26"/>
        </w:rPr>
      </w:pPr>
      <w:r w:rsidRPr="0046317C">
        <w:rPr>
          <w:rFonts w:cs="Times New Roman"/>
          <w:szCs w:val="20"/>
        </w:rPr>
        <w:t xml:space="preserve">For each CPE-procured and shown/accepted resource, resource’s CAISO Resource ID </w:t>
      </w:r>
      <w:r w:rsidRPr="0046317C">
        <w:rPr>
          <w:rFonts w:cs="TimesNewRomanPSMT"/>
          <w:szCs w:val="26"/>
        </w:rPr>
        <w:t>and type of entity that controls the resource.</w:t>
      </w:r>
    </w:p>
    <w:p w:rsidRPr="0046317C" w:rsidR="00BB7CF6" w:rsidP="00BB7CF6" w:rsidRDefault="00BB7CF6" w14:paraId="0DBB0A15" w14:textId="77777777">
      <w:pPr>
        <w:numPr>
          <w:ilvl w:val="0"/>
          <w:numId w:val="25"/>
        </w:numPr>
        <w:autoSpaceDE w:val="0"/>
        <w:autoSpaceDN w:val="0"/>
        <w:adjustRightInd w:val="0"/>
        <w:spacing w:after="120" w:line="240" w:lineRule="auto"/>
        <w:ind w:left="1080" w:right="1440"/>
        <w:rPr>
          <w:rFonts w:cs="TimesNewRomanPSMT"/>
          <w:szCs w:val="26"/>
        </w:rPr>
      </w:pPr>
      <w:r w:rsidRPr="0046317C">
        <w:rPr>
          <w:rFonts w:cs="Times New Roman"/>
          <w:szCs w:val="20"/>
        </w:rPr>
        <w:t xml:space="preserve">Explanation of CPE’s reasons for rejecting offered capacity, including </w:t>
      </w:r>
      <w:r w:rsidRPr="0046317C">
        <w:rPr>
          <w:rFonts w:cs="TimesNewRomanPSMT"/>
          <w:szCs w:val="26"/>
        </w:rPr>
        <w:t>amount of capacity rejected by resource category.</w:t>
      </w:r>
    </w:p>
    <w:p w:rsidRPr="0046317C" w:rsidR="00BB7CF6" w:rsidP="00BB7CF6" w:rsidRDefault="00BB7CF6" w14:paraId="5B7E73FC" w14:textId="77777777">
      <w:pPr>
        <w:autoSpaceDE w:val="0"/>
        <w:autoSpaceDN w:val="0"/>
        <w:adjustRightInd w:val="0"/>
        <w:rPr>
          <w:rFonts w:cs="TimesNewRomanPSMT"/>
          <w:szCs w:val="26"/>
        </w:rPr>
      </w:pPr>
      <w:r w:rsidRPr="0046317C">
        <w:rPr>
          <w:rFonts w:cs="TimesNewRomanPSMT"/>
          <w:szCs w:val="26"/>
        </w:rPr>
        <w:t>AReM, Calpine, and CEJA/UCS support the proposals for standardizing the compliance reports.</w:t>
      </w:r>
      <w:r w:rsidRPr="0046317C">
        <w:rPr>
          <w:rFonts w:cs="TimesNewRomanPSMT"/>
          <w:szCs w:val="26"/>
          <w:vertAlign w:val="superscript"/>
        </w:rPr>
        <w:footnoteReference w:id="92"/>
      </w:r>
      <w:r w:rsidRPr="0046317C">
        <w:rPr>
          <w:rFonts w:cs="TimesNewRomanPSMT"/>
          <w:szCs w:val="26"/>
        </w:rPr>
        <w:t xml:space="preserve">  CEJA/UCS also recommend transparency with the IE report to include aggregated information about preferred resources bid or self-shown, generation resources selected from disadvantaged communities, and </w:t>
      </w:r>
      <w:r w:rsidRPr="0046317C">
        <w:rPr>
          <w:rFonts w:cs="TimesNewRomanPSMT"/>
          <w:szCs w:val="26"/>
        </w:rPr>
        <w:lastRenderedPageBreak/>
        <w:t>total fossil fuel capacity procured.  Cal Advocates supports CEJA/UCS’s proposal.</w:t>
      </w:r>
      <w:r w:rsidRPr="0046317C">
        <w:rPr>
          <w:rFonts w:cs="TimesNewRomanPSMT"/>
          <w:szCs w:val="26"/>
          <w:vertAlign w:val="superscript"/>
        </w:rPr>
        <w:footnoteReference w:id="93"/>
      </w:r>
    </w:p>
    <w:p w:rsidRPr="0046317C" w:rsidR="00BB7CF6" w:rsidP="00BB7CF6" w:rsidRDefault="00BB7CF6" w14:paraId="1D3478C5" w14:textId="77777777">
      <w:pPr>
        <w:autoSpaceDE w:val="0"/>
        <w:autoSpaceDN w:val="0"/>
        <w:adjustRightInd w:val="0"/>
        <w:rPr>
          <w:rFonts w:cs="TimesNewRomanPSMT"/>
          <w:szCs w:val="26"/>
        </w:rPr>
      </w:pPr>
      <w:r w:rsidRPr="0046317C">
        <w:rPr>
          <w:rFonts w:cs="TimesNewRomanPSMT"/>
          <w:szCs w:val="26"/>
        </w:rPr>
        <w:t>SCE and PG&amp;E oppose additional reporting in the compliance reports.  Both parties oppose reporting confidential information that cannot be shared with market participants and where disclosure can negatively impact the CPE process.</w:t>
      </w:r>
      <w:r w:rsidRPr="0046317C">
        <w:rPr>
          <w:rFonts w:cs="TimesNewRomanPSMT"/>
          <w:szCs w:val="26"/>
          <w:vertAlign w:val="superscript"/>
        </w:rPr>
        <w:footnoteReference w:id="94"/>
      </w:r>
      <w:r w:rsidRPr="0046317C">
        <w:rPr>
          <w:rFonts w:cs="TimesNewRomanPSMT"/>
          <w:szCs w:val="26"/>
        </w:rPr>
        <w:t xml:space="preserve">  PG&amp;E points out that there is an established process for a designated non-market participant to review the confidential Annual Compliance Report upon execution of a non-disclosure agreement.  In reply comments, CalCCA, MRP, and WPTF generally state that the proposed information can be aggregated to protect confidentiality of market participants.</w:t>
      </w:r>
      <w:r w:rsidRPr="0046317C">
        <w:rPr>
          <w:rFonts w:cs="TimesNewRomanPSMT"/>
          <w:szCs w:val="26"/>
          <w:vertAlign w:val="superscript"/>
        </w:rPr>
        <w:footnoteReference w:id="95"/>
      </w:r>
      <w:r w:rsidRPr="0046317C">
        <w:rPr>
          <w:rFonts w:cs="TimesNewRomanPSMT"/>
          <w:szCs w:val="26"/>
        </w:rPr>
        <w:t xml:space="preserve">  Cal Advocates cautions that there are instances when data aggregation may be insufficient to protect market</w:t>
      </w:r>
      <w:r>
        <w:rPr>
          <w:rFonts w:cs="TimesNewRomanPSMT"/>
          <w:szCs w:val="26"/>
        </w:rPr>
        <w:noBreakHyphen/>
      </w:r>
      <w:r w:rsidRPr="0046317C">
        <w:rPr>
          <w:rFonts w:cs="TimesNewRomanPSMT"/>
          <w:szCs w:val="26"/>
        </w:rPr>
        <w:t>sensitive data, such as when there are only a handful of offers.</w:t>
      </w:r>
      <w:r w:rsidRPr="0046317C">
        <w:rPr>
          <w:rFonts w:cs="TimesNewRomanPSMT"/>
          <w:szCs w:val="26"/>
          <w:vertAlign w:val="superscript"/>
        </w:rPr>
        <w:footnoteReference w:id="96"/>
      </w:r>
    </w:p>
    <w:p w:rsidRPr="0046317C" w:rsidR="00BB7CF6" w:rsidP="00BB7CF6" w:rsidRDefault="00BB7CF6" w14:paraId="0109D877" w14:textId="77777777">
      <w:pPr>
        <w:autoSpaceDE w:val="0"/>
        <w:autoSpaceDN w:val="0"/>
        <w:adjustRightInd w:val="0"/>
        <w:rPr>
          <w:rFonts w:cs="TimesNewRomanPSMT"/>
          <w:szCs w:val="26"/>
        </w:rPr>
      </w:pPr>
      <w:r w:rsidRPr="0046317C">
        <w:rPr>
          <w:rFonts w:cs="TimesNewRomanPSMT"/>
          <w:szCs w:val="26"/>
        </w:rPr>
        <w:t>CEJA/UCS support WPTF and MRP’s proposals for a 2022 Energy Division report.</w:t>
      </w:r>
      <w:r w:rsidRPr="0046317C">
        <w:rPr>
          <w:rFonts w:cs="TimesNewRomanPSMT"/>
          <w:szCs w:val="26"/>
          <w:vertAlign w:val="superscript"/>
        </w:rPr>
        <w:footnoteReference w:id="97"/>
      </w:r>
      <w:r w:rsidRPr="0046317C">
        <w:rPr>
          <w:rFonts w:cs="TimesNewRomanPSMT"/>
          <w:szCs w:val="26"/>
        </w:rPr>
        <w:t xml:space="preserve">  SCE opposes a 2022 Energy Division report.</w:t>
      </w:r>
      <w:r w:rsidRPr="0046317C">
        <w:rPr>
          <w:rFonts w:cs="TimesNewRomanPSMT"/>
          <w:szCs w:val="26"/>
          <w:vertAlign w:val="superscript"/>
        </w:rPr>
        <w:footnoteReference w:id="98"/>
      </w:r>
      <w:r w:rsidRPr="0046317C">
        <w:rPr>
          <w:rFonts w:cs="TimesNewRomanPSMT"/>
          <w:szCs w:val="26"/>
        </w:rPr>
        <w:t xml:space="preserve">  </w:t>
      </w:r>
    </w:p>
    <w:p w:rsidRPr="0046317C" w:rsidR="00BB7CF6" w:rsidP="00BB7CF6" w:rsidRDefault="00BB7CF6" w14:paraId="71C1F7DD" w14:textId="77777777">
      <w:pPr>
        <w:pStyle w:val="Heading3"/>
      </w:pPr>
      <w:bookmarkStart w:name="_Toc94080402" w:id="66"/>
      <w:bookmarkStart w:name="_Toc95232121" w:id="67"/>
      <w:r w:rsidRPr="0046317C">
        <w:t>Discussion</w:t>
      </w:r>
      <w:bookmarkEnd w:id="66"/>
      <w:bookmarkEnd w:id="67"/>
    </w:p>
    <w:p w:rsidRPr="0046317C" w:rsidR="00BB7CF6" w:rsidP="00BB7CF6" w:rsidRDefault="00BB7CF6" w14:paraId="394EC0B0" w14:textId="77777777">
      <w:pPr>
        <w:rPr>
          <w:rFonts w:cs="Times New Roman"/>
          <w:szCs w:val="20"/>
        </w:rPr>
      </w:pPr>
      <w:r w:rsidRPr="0046317C">
        <w:rPr>
          <w:rFonts w:cs="Times New Roman"/>
          <w:szCs w:val="20"/>
        </w:rPr>
        <w:t xml:space="preserve">The Commission agrees that additional transparency in the CPE procurement process would be beneficial to improving the CPE framework.  We also recognize that protecting market-sensitive information in the CPE’s possession is critical to the effective functioning of the CPE structure.  In balancing these interests, the Commission is persuaded that the CPEs’ Annual </w:t>
      </w:r>
      <w:r w:rsidRPr="0046317C">
        <w:rPr>
          <w:rFonts w:cs="Times New Roman"/>
          <w:szCs w:val="20"/>
        </w:rPr>
        <w:lastRenderedPageBreak/>
        <w:t xml:space="preserve">Compliance Reports should disclose certain aggregated information about the solicitation process that does not disclose market-sensitive information.  We agree with parties that support disclosure of additional information about preferred resources selected by the CPE and procurement of generation facilities located in Disadvantaged Communities, so long as such information is aggregated to protect market-sensitive information.  </w:t>
      </w:r>
    </w:p>
    <w:p w:rsidRPr="0046317C" w:rsidR="00BB7CF6" w:rsidP="00BB7CF6" w:rsidRDefault="00BB7CF6" w14:paraId="1D42F86E" w14:textId="77777777">
      <w:pPr>
        <w:rPr>
          <w:rFonts w:cs="Times New Roman"/>
          <w:szCs w:val="20"/>
        </w:rPr>
      </w:pPr>
      <w:r w:rsidRPr="0046317C">
        <w:rPr>
          <w:rFonts w:cs="Times New Roman"/>
          <w:szCs w:val="20"/>
        </w:rPr>
        <w:t>Accordingly, the CPE’s Annual Compliance Report shall include the following information:</w:t>
      </w:r>
    </w:p>
    <w:p w:rsidRPr="0046317C" w:rsidR="00BB7CF6" w:rsidP="00BB7CF6" w:rsidRDefault="00BB7CF6" w14:paraId="2D415B4B" w14:textId="77777777">
      <w:pPr>
        <w:numPr>
          <w:ilvl w:val="0"/>
          <w:numId w:val="26"/>
        </w:numPr>
        <w:spacing w:after="120" w:line="240" w:lineRule="auto"/>
        <w:ind w:right="1440"/>
        <w:rPr>
          <w:rFonts w:cs="Times New Roman"/>
          <w:szCs w:val="26"/>
        </w:rPr>
      </w:pPr>
      <w:r w:rsidRPr="0046317C">
        <w:rPr>
          <w:rFonts w:cs="Times New Roman"/>
          <w:szCs w:val="26"/>
        </w:rPr>
        <w:t>Total local RA allocation for the CPE from the Commission;</w:t>
      </w:r>
    </w:p>
    <w:p w:rsidRPr="0046317C" w:rsidR="00BB7CF6" w:rsidP="00BB7CF6" w:rsidRDefault="00BB7CF6" w14:paraId="3F582317" w14:textId="77777777">
      <w:pPr>
        <w:numPr>
          <w:ilvl w:val="0"/>
          <w:numId w:val="26"/>
        </w:numPr>
        <w:spacing w:after="120" w:line="240" w:lineRule="auto"/>
        <w:ind w:right="1440"/>
        <w:rPr>
          <w:rFonts w:cs="Times New Roman"/>
          <w:szCs w:val="26"/>
        </w:rPr>
      </w:pPr>
      <w:r w:rsidRPr="0046317C">
        <w:rPr>
          <w:rFonts w:eastAsia="Century Gothic" w:cs="Century Gothic"/>
          <w:szCs w:val="26"/>
        </w:rPr>
        <w:t>Total local demand response (DR) resources allocated for the CPE by the Commission;</w:t>
      </w:r>
    </w:p>
    <w:p w:rsidRPr="0046317C" w:rsidR="00BB7CF6" w:rsidP="00BB7CF6" w:rsidRDefault="00BB7CF6" w14:paraId="3346F0D7" w14:textId="77777777">
      <w:pPr>
        <w:numPr>
          <w:ilvl w:val="0"/>
          <w:numId w:val="26"/>
        </w:numPr>
        <w:spacing w:after="120" w:line="240" w:lineRule="auto"/>
        <w:ind w:right="1440"/>
        <w:rPr>
          <w:rFonts w:cs="Times New Roman"/>
          <w:szCs w:val="26"/>
        </w:rPr>
      </w:pPr>
      <w:r w:rsidRPr="0046317C">
        <w:rPr>
          <w:rFonts w:eastAsia="Century Gothic" w:cs="Century Gothic"/>
          <w:szCs w:val="26"/>
        </w:rPr>
        <w:t xml:space="preserve">Total local CAM resources (non-DR) </w:t>
      </w:r>
      <w:r>
        <w:rPr>
          <w:rFonts w:eastAsia="Century Gothic" w:cs="Century Gothic"/>
          <w:szCs w:val="26"/>
        </w:rPr>
        <w:t>applied towards CPE requirements</w:t>
      </w:r>
      <w:r w:rsidRPr="0046317C">
        <w:rPr>
          <w:rFonts w:eastAsia="Century Gothic" w:cs="Century Gothic"/>
          <w:szCs w:val="26"/>
        </w:rPr>
        <w:t>;</w:t>
      </w:r>
    </w:p>
    <w:p w:rsidRPr="0046317C" w:rsidR="00BB7CF6" w:rsidP="00BB7CF6" w:rsidRDefault="00BB7CF6" w14:paraId="43922685" w14:textId="77777777">
      <w:pPr>
        <w:numPr>
          <w:ilvl w:val="0"/>
          <w:numId w:val="26"/>
        </w:numPr>
        <w:spacing w:after="120" w:line="240" w:lineRule="auto"/>
        <w:ind w:right="1440"/>
        <w:rPr>
          <w:rFonts w:cs="Times New Roman"/>
          <w:szCs w:val="26"/>
        </w:rPr>
      </w:pPr>
      <w:r w:rsidRPr="0046317C">
        <w:rPr>
          <w:rFonts w:eastAsia="Century Gothic" w:cs="Century Gothic"/>
          <w:szCs w:val="26"/>
        </w:rPr>
        <w:t>Total local resources procured by the CPE;</w:t>
      </w:r>
    </w:p>
    <w:p w:rsidRPr="0046317C" w:rsidR="00BB7CF6" w:rsidP="00BB7CF6" w:rsidRDefault="00BB7CF6" w14:paraId="58DCA1EB" w14:textId="77777777">
      <w:pPr>
        <w:numPr>
          <w:ilvl w:val="0"/>
          <w:numId w:val="26"/>
        </w:numPr>
        <w:spacing w:after="120" w:line="240" w:lineRule="auto"/>
        <w:ind w:right="1440"/>
        <w:rPr>
          <w:rFonts w:cs="Times New Roman"/>
          <w:szCs w:val="26"/>
        </w:rPr>
      </w:pPr>
      <w:r w:rsidRPr="0046317C">
        <w:rPr>
          <w:rFonts w:eastAsia="Century Gothic" w:cs="Century Gothic"/>
          <w:szCs w:val="26"/>
        </w:rPr>
        <w:t xml:space="preserve">Total LSE self-shown local resources; </w:t>
      </w:r>
    </w:p>
    <w:p w:rsidRPr="0046317C" w:rsidR="00BB7CF6" w:rsidP="00BB7CF6" w:rsidRDefault="00BB7CF6" w14:paraId="233C99E7" w14:textId="77777777">
      <w:pPr>
        <w:numPr>
          <w:ilvl w:val="0"/>
          <w:numId w:val="26"/>
        </w:numPr>
        <w:spacing w:after="120" w:line="240" w:lineRule="auto"/>
        <w:ind w:right="1440"/>
        <w:rPr>
          <w:rFonts w:cs="Times New Roman"/>
          <w:szCs w:val="26"/>
        </w:rPr>
      </w:pPr>
      <w:r w:rsidRPr="0046317C">
        <w:rPr>
          <w:rFonts w:eastAsia="Century Gothic" w:cs="Century Gothic"/>
          <w:szCs w:val="26"/>
        </w:rPr>
        <w:t>Net total position associated with the CPE;</w:t>
      </w:r>
    </w:p>
    <w:p w:rsidRPr="0046317C" w:rsidR="00BB7CF6" w:rsidP="00BB7CF6" w:rsidRDefault="00BB7CF6" w14:paraId="66E8EB1D" w14:textId="77777777">
      <w:pPr>
        <w:numPr>
          <w:ilvl w:val="0"/>
          <w:numId w:val="26"/>
        </w:numPr>
        <w:spacing w:after="120" w:line="240" w:lineRule="auto"/>
        <w:ind w:right="1440"/>
        <w:rPr>
          <w:rFonts w:cs="Times New Roman"/>
          <w:szCs w:val="26"/>
        </w:rPr>
      </w:pPr>
      <w:r w:rsidRPr="0046317C">
        <w:rPr>
          <w:rFonts w:eastAsia="Century Gothic" w:cs="Century Gothic"/>
          <w:szCs w:val="26"/>
        </w:rPr>
        <w:t xml:space="preserve">Total capacity of preferred resources that were bid or shown to the CPE; </w:t>
      </w:r>
    </w:p>
    <w:p w:rsidRPr="0046317C" w:rsidR="00BB7CF6" w:rsidP="00BB7CF6" w:rsidRDefault="00BB7CF6" w14:paraId="10909A38" w14:textId="77777777">
      <w:pPr>
        <w:numPr>
          <w:ilvl w:val="0"/>
          <w:numId w:val="26"/>
        </w:numPr>
        <w:spacing w:after="120" w:line="240" w:lineRule="auto"/>
        <w:ind w:right="1440"/>
        <w:rPr>
          <w:rFonts w:cs="Times New Roman"/>
          <w:szCs w:val="26"/>
        </w:rPr>
      </w:pPr>
      <w:r w:rsidRPr="0046317C">
        <w:rPr>
          <w:rFonts w:eastAsia="Century Gothic" w:cs="Century Gothic"/>
          <w:szCs w:val="26"/>
        </w:rPr>
        <w:t>Total capacity of preferred resources selected and not selected by the CPE; and</w:t>
      </w:r>
    </w:p>
    <w:p w:rsidRPr="0046317C" w:rsidR="00BB7CF6" w:rsidP="00BB7CF6" w:rsidRDefault="00BB7CF6" w14:paraId="1679124A" w14:textId="77777777">
      <w:pPr>
        <w:numPr>
          <w:ilvl w:val="0"/>
          <w:numId w:val="26"/>
        </w:numPr>
        <w:spacing w:after="120" w:line="240" w:lineRule="auto"/>
        <w:ind w:right="1440"/>
        <w:rPr>
          <w:rFonts w:cs="Times New Roman"/>
          <w:szCs w:val="26"/>
        </w:rPr>
      </w:pPr>
      <w:r w:rsidRPr="0046317C">
        <w:rPr>
          <w:rFonts w:eastAsia="Century Gothic" w:cs="Century Gothic"/>
          <w:szCs w:val="26"/>
        </w:rPr>
        <w:t>Total capacity of MW procured by the CPE from generation facilities located in Disadvantaged Communities.</w:t>
      </w:r>
    </w:p>
    <w:p w:rsidRPr="0046317C" w:rsidR="00BB7CF6" w:rsidP="00BB7CF6" w:rsidRDefault="00BB7CF6" w14:paraId="3DBF6059" w14:textId="77777777">
      <w:pPr>
        <w:rPr>
          <w:rFonts w:cs="Times New Roman"/>
          <w:szCs w:val="20"/>
        </w:rPr>
      </w:pPr>
      <w:r w:rsidRPr="0046317C">
        <w:rPr>
          <w:rFonts w:cs="Times New Roman"/>
          <w:szCs w:val="20"/>
        </w:rPr>
        <w:t>The new data requirements for the Annual Compliance Report shall be effective for the 2023 Annual Compliance Report.  To the extent that parties seek to gain access to confidential information, we note that there is an established process for a designated non-market participant to review the Annual Compliance Reports upon execution of a non-disclosure agreement.</w:t>
      </w:r>
    </w:p>
    <w:p w:rsidRPr="0046317C" w:rsidR="00BB7CF6" w:rsidP="00BB7CF6" w:rsidRDefault="00BB7CF6" w14:paraId="71E00A66" w14:textId="4A0AB673">
      <w:pPr>
        <w:rPr>
          <w:rFonts w:cs="Times New Roman"/>
          <w:szCs w:val="20"/>
        </w:rPr>
      </w:pPr>
      <w:r w:rsidRPr="0046317C">
        <w:rPr>
          <w:rFonts w:cs="Times New Roman"/>
          <w:szCs w:val="20"/>
        </w:rPr>
        <w:lastRenderedPageBreak/>
        <w:t xml:space="preserve">Because the CPEs began their first solicitations in 2021, additional monitoring and data </w:t>
      </w:r>
      <w:r>
        <w:rPr>
          <w:rFonts w:cs="Times New Roman"/>
          <w:szCs w:val="20"/>
        </w:rPr>
        <w:t>are</w:t>
      </w:r>
      <w:r w:rsidRPr="0046317C">
        <w:rPr>
          <w:rFonts w:cs="Times New Roman"/>
          <w:szCs w:val="20"/>
        </w:rPr>
        <w:t xml:space="preserve"> necessary to evaluate the overall effectiveness of the CPE structure.  In D.20-06-002, the Commission authorized Energy Division to prepare a report assessing the effectiveness of the CPE structure by 2025.</w:t>
      </w:r>
      <w:r w:rsidRPr="0046317C">
        <w:rPr>
          <w:rFonts w:cs="Times New Roman"/>
          <w:szCs w:val="20"/>
          <w:vertAlign w:val="superscript"/>
        </w:rPr>
        <w:footnoteReference w:id="99"/>
      </w:r>
      <w:r w:rsidRPr="0046317C">
        <w:rPr>
          <w:rFonts w:cs="Times New Roman"/>
          <w:szCs w:val="20"/>
        </w:rPr>
        <w:t xml:space="preserve">  </w:t>
      </w:r>
      <w:r w:rsidR="00B42DD2">
        <w:rPr>
          <w:rFonts w:cs="Times New Roman"/>
          <w:szCs w:val="20"/>
        </w:rPr>
        <w:t xml:space="preserve">We agree with parties that an earlier assessment of the effectiveness of the CPE structure is necessary.  </w:t>
      </w:r>
      <w:r w:rsidR="00212A0B">
        <w:rPr>
          <w:rFonts w:cs="Times New Roman"/>
          <w:szCs w:val="20"/>
        </w:rPr>
        <w:t>Accordingly</w:t>
      </w:r>
      <w:r w:rsidR="00B42DD2">
        <w:rPr>
          <w:rFonts w:cs="Times New Roman"/>
          <w:szCs w:val="20"/>
        </w:rPr>
        <w:t xml:space="preserve">, </w:t>
      </w:r>
      <w:r w:rsidR="00686F44">
        <w:rPr>
          <w:rFonts w:cs="Times New Roman"/>
          <w:szCs w:val="20"/>
        </w:rPr>
        <w:t xml:space="preserve">Energy Division </w:t>
      </w:r>
      <w:r w:rsidR="00B42DD2">
        <w:rPr>
          <w:rFonts w:cs="Times New Roman"/>
          <w:szCs w:val="20"/>
        </w:rPr>
        <w:t>is authorized to</w:t>
      </w:r>
      <w:r w:rsidR="00686F44">
        <w:rPr>
          <w:rFonts w:cs="Times New Roman"/>
          <w:szCs w:val="20"/>
        </w:rPr>
        <w:t xml:space="preserve"> submit this report in 2024.  </w:t>
      </w:r>
      <w:r w:rsidRPr="0046317C">
        <w:rPr>
          <w:rFonts w:cs="Times New Roman"/>
          <w:szCs w:val="20"/>
        </w:rPr>
        <w:t>The newly-adopted data requirements for the Annual Compliance Report will provide necessary insight into the CPE procurement process in furtherance of Energy Division’s report.</w:t>
      </w:r>
      <w:r w:rsidR="00686F44">
        <w:rPr>
          <w:rFonts w:cs="Times New Roman"/>
          <w:szCs w:val="20"/>
        </w:rPr>
        <w:t xml:space="preserve">  </w:t>
      </w:r>
      <w:r w:rsidR="008966DB">
        <w:rPr>
          <w:rFonts w:cs="Times New Roman"/>
          <w:szCs w:val="20"/>
        </w:rPr>
        <w:t xml:space="preserve">In its report, </w:t>
      </w:r>
      <w:r w:rsidR="00686F44">
        <w:rPr>
          <w:rFonts w:cs="Times New Roman"/>
          <w:szCs w:val="20"/>
        </w:rPr>
        <w:t xml:space="preserve">Energy Division is </w:t>
      </w:r>
      <w:r w:rsidR="00B42DD2">
        <w:rPr>
          <w:rFonts w:cs="Times New Roman"/>
          <w:szCs w:val="20"/>
        </w:rPr>
        <w:t xml:space="preserve">also </w:t>
      </w:r>
      <w:r w:rsidR="001F00F6">
        <w:rPr>
          <w:rFonts w:cs="Times New Roman"/>
          <w:szCs w:val="20"/>
        </w:rPr>
        <w:t>authorized</w:t>
      </w:r>
      <w:r w:rsidR="00686F44">
        <w:rPr>
          <w:rFonts w:cs="Times New Roman"/>
          <w:szCs w:val="20"/>
        </w:rPr>
        <w:t xml:space="preserve"> to provide an assessment of the justification statements submitted by LSEs that declined to self-show or bid </w:t>
      </w:r>
      <w:r w:rsidR="00212A0B">
        <w:rPr>
          <w:rFonts w:cs="Times New Roman"/>
          <w:szCs w:val="20"/>
        </w:rPr>
        <w:t xml:space="preserve">local resources </w:t>
      </w:r>
      <w:r w:rsidR="00686F44">
        <w:rPr>
          <w:rFonts w:cs="Times New Roman"/>
          <w:szCs w:val="20"/>
        </w:rPr>
        <w:t>to the CPE.</w:t>
      </w:r>
      <w:r w:rsidRPr="0046317C">
        <w:rPr>
          <w:rFonts w:cs="Times New Roman"/>
          <w:szCs w:val="20"/>
        </w:rPr>
        <w:t xml:space="preserve">  </w:t>
      </w:r>
    </w:p>
    <w:p w:rsidRPr="0046317C" w:rsidR="00BB7CF6" w:rsidP="00BB7CF6" w:rsidRDefault="00BB7CF6" w14:paraId="3AFBE39D" w14:textId="77777777">
      <w:pPr>
        <w:pStyle w:val="Heading2"/>
      </w:pPr>
      <w:bookmarkStart w:name="_Toc94080403" w:id="68"/>
      <w:bookmarkStart w:name="_Toc95232122" w:id="69"/>
      <w:r w:rsidRPr="0046317C">
        <w:t>Confidentiality of CPE Information</w:t>
      </w:r>
      <w:bookmarkEnd w:id="68"/>
      <w:bookmarkEnd w:id="69"/>
      <w:r w:rsidRPr="0046317C">
        <w:t xml:space="preserve"> </w:t>
      </w:r>
    </w:p>
    <w:p w:rsidRPr="0046317C" w:rsidR="00BB7CF6" w:rsidP="00BB7CF6" w:rsidRDefault="00BB7CF6" w14:paraId="6C57E1EA" w14:textId="77777777">
      <w:pPr>
        <w:rPr>
          <w:rFonts w:cs="Times New Roman"/>
          <w:szCs w:val="26"/>
        </w:rPr>
      </w:pPr>
      <w:r w:rsidRPr="0046317C">
        <w:rPr>
          <w:rFonts w:cs="Times New Roman"/>
          <w:szCs w:val="20"/>
        </w:rPr>
        <w:t>PG&amp;E expresses concern that it is unclear that the confidentiality protections established by D.06-06-066 apply to CPE procurement information, or information related to the CPE submitted by PG&amp;E to the Commission.</w:t>
      </w:r>
      <w:r w:rsidRPr="0046317C">
        <w:rPr>
          <w:rFonts w:cs="Times New Roman"/>
          <w:szCs w:val="20"/>
          <w:vertAlign w:val="superscript"/>
        </w:rPr>
        <w:footnoteReference w:id="100"/>
      </w:r>
      <w:r w:rsidRPr="0046317C">
        <w:rPr>
          <w:rFonts w:cs="Times New Roman"/>
          <w:szCs w:val="20"/>
        </w:rPr>
        <w:t xml:space="preserve">   </w:t>
      </w:r>
      <w:r w:rsidRPr="0046317C">
        <w:rPr>
          <w:rFonts w:cs="Times New Roman"/>
          <w:szCs w:val="26"/>
        </w:rPr>
        <w:t xml:space="preserve">PG&amp;E states that because D.06-06-066 appears to apply to market-sensitive information submitted by IOUs to the Commission resulting from a procurement plan, D.06-06-066 may not be adequate to protect CPE information in the event of a California Public Records Act or Freedom of Information Act Request.  PG&amp;E asserts that given the unique nature of CPE procurement, it is necessary to protect market-sensitive CPE transaction information that impacts parties that transact with the CPE, LSEs on behalf of the which the CPE procures, and ratepayers.  </w:t>
      </w:r>
    </w:p>
    <w:p w:rsidRPr="0046317C" w:rsidR="00BB7CF6" w:rsidP="00BB7CF6" w:rsidRDefault="00BB7CF6" w14:paraId="0282ACB9" w14:textId="77777777">
      <w:pPr>
        <w:rPr>
          <w:rFonts w:cs="Times New Roman"/>
          <w:szCs w:val="26"/>
        </w:rPr>
      </w:pPr>
      <w:r w:rsidRPr="0046317C">
        <w:rPr>
          <w:rFonts w:cs="Times New Roman"/>
          <w:szCs w:val="26"/>
        </w:rPr>
        <w:lastRenderedPageBreak/>
        <w:t>PG&amp;E proposes a matrix that outlines the applicable bases for confidential treatment of information submitted by PG&amp;E to the Commission related to the CPE.</w:t>
      </w:r>
      <w:r w:rsidRPr="0046317C">
        <w:rPr>
          <w:rFonts w:cs="Times New Roman"/>
          <w:szCs w:val="26"/>
          <w:vertAlign w:val="superscript"/>
        </w:rPr>
        <w:footnoteReference w:id="101"/>
      </w:r>
      <w:r w:rsidRPr="0046317C">
        <w:rPr>
          <w:rFonts w:cs="Times New Roman"/>
          <w:szCs w:val="26"/>
        </w:rPr>
        <w:t xml:space="preserve">  PG&amp;E further recommends that the Commission expressly state that certain CPE information qualifies for confidentiality protections under various California statutes, including propriety and trade secret information, third-party information subject to non-disclosure agreements, and commercially sensitive information.  </w:t>
      </w:r>
    </w:p>
    <w:p w:rsidRPr="0046317C" w:rsidR="00BB7CF6" w:rsidP="00BB7CF6" w:rsidRDefault="00BB7CF6" w14:paraId="6A28D918" w14:textId="77777777">
      <w:pPr>
        <w:rPr>
          <w:rFonts w:cs="Times New Roman"/>
          <w:szCs w:val="26"/>
        </w:rPr>
      </w:pPr>
      <w:r w:rsidRPr="0046317C">
        <w:rPr>
          <w:rFonts w:cs="Times New Roman"/>
          <w:szCs w:val="26"/>
        </w:rPr>
        <w:t>CalCCA provides revisions to PG&amp;E’s category for “Contract Terms and Conditions,” stating that contract summaries must be made public to be consistent with the confidentiality matrix in D.06-06-066.</w:t>
      </w:r>
      <w:r w:rsidRPr="0046317C">
        <w:rPr>
          <w:rFonts w:cs="Times New Roman"/>
          <w:szCs w:val="26"/>
          <w:vertAlign w:val="superscript"/>
        </w:rPr>
        <w:footnoteReference w:id="102"/>
      </w:r>
      <w:r w:rsidRPr="0046317C">
        <w:rPr>
          <w:rFonts w:cs="Times New Roman"/>
          <w:szCs w:val="26"/>
        </w:rPr>
        <w:t xml:space="preserve">  CalCCA adds that the proposed “Forecasted RA Requirements” category is unclear based on the described basis for confidential treatment.  PG&amp;E counters that D.06-06-066 and Pub. Util. Code </w:t>
      </w:r>
      <w:r>
        <w:rPr>
          <w:rFonts w:cs="Times New Roman"/>
          <w:szCs w:val="26"/>
        </w:rPr>
        <w:t>§</w:t>
      </w:r>
      <w:r w:rsidRPr="0046317C">
        <w:rPr>
          <w:rFonts w:cs="Times New Roman"/>
          <w:szCs w:val="26"/>
        </w:rPr>
        <w:t xml:space="preserve"> 4545.5(g) are only one basis for entities to request confidential treatment from the Commission and that PG&amp;E’s proposed matrix is intended to draw on all relevant legal bas</w:t>
      </w:r>
      <w:r>
        <w:rPr>
          <w:rFonts w:cs="Times New Roman"/>
          <w:szCs w:val="26"/>
        </w:rPr>
        <w:t>e</w:t>
      </w:r>
      <w:r w:rsidRPr="0046317C">
        <w:rPr>
          <w:rFonts w:cs="Times New Roman"/>
          <w:szCs w:val="26"/>
        </w:rPr>
        <w:t>s applicable to CPE information.</w:t>
      </w:r>
      <w:r w:rsidRPr="0046317C">
        <w:rPr>
          <w:rFonts w:cs="Times New Roman"/>
          <w:szCs w:val="26"/>
          <w:vertAlign w:val="superscript"/>
        </w:rPr>
        <w:footnoteReference w:id="103"/>
      </w:r>
      <w:r w:rsidRPr="0046317C">
        <w:rPr>
          <w:rFonts w:cs="Times New Roman"/>
          <w:szCs w:val="26"/>
        </w:rPr>
        <w:t xml:space="preserve">  PG&amp;E agrees that the “Forecasted RA Requirements” may create confusion and recommends removing the category.</w:t>
      </w:r>
    </w:p>
    <w:p w:rsidRPr="0046317C" w:rsidR="00BB7CF6" w:rsidP="00BB7CF6" w:rsidRDefault="00BB7CF6" w14:paraId="3C1D6E26" w14:textId="77777777">
      <w:pPr>
        <w:pStyle w:val="Heading3"/>
        <w:rPr>
          <w:rFonts w:eastAsia="Times New Roman"/>
        </w:rPr>
      </w:pPr>
      <w:bookmarkStart w:name="_Toc94080404" w:id="70"/>
      <w:bookmarkStart w:name="_Toc95232123" w:id="71"/>
      <w:r w:rsidRPr="0046317C">
        <w:rPr>
          <w:rFonts w:eastAsia="Times New Roman"/>
        </w:rPr>
        <w:t>Discussion</w:t>
      </w:r>
      <w:bookmarkEnd w:id="70"/>
      <w:bookmarkEnd w:id="71"/>
    </w:p>
    <w:p w:rsidRPr="0046317C" w:rsidR="00BB7CF6" w:rsidP="00BB7CF6" w:rsidRDefault="00BB7CF6" w14:paraId="50177F05" w14:textId="77777777">
      <w:pPr>
        <w:rPr>
          <w:rFonts w:cs="Times New Roman"/>
          <w:szCs w:val="20"/>
        </w:rPr>
      </w:pPr>
      <w:r w:rsidRPr="0046317C">
        <w:rPr>
          <w:rFonts w:cs="Times New Roman"/>
          <w:szCs w:val="20"/>
        </w:rPr>
        <w:t xml:space="preserve">D.06-06-066 established procedures to be followed when an IOU seeks confidential treatment of certain market-sensitive information submitted in procurement plans and related documents.  The Commission adopted an IOU Matrix in D.06-06-066 that identified categories of information deemed confidential.  The CPE framework in the RA program </w:t>
      </w:r>
      <w:r>
        <w:rPr>
          <w:rFonts w:cs="Times New Roman"/>
          <w:szCs w:val="20"/>
        </w:rPr>
        <w:t xml:space="preserve">was </w:t>
      </w:r>
      <w:r w:rsidRPr="0046317C">
        <w:rPr>
          <w:rFonts w:cs="Times New Roman"/>
          <w:szCs w:val="20"/>
        </w:rPr>
        <w:t xml:space="preserve">adopted in </w:t>
      </w:r>
      <w:r>
        <w:rPr>
          <w:rFonts w:cs="Times New Roman"/>
          <w:szCs w:val="20"/>
        </w:rPr>
        <w:t xml:space="preserve">2020 in </w:t>
      </w:r>
      <w:r w:rsidRPr="0046317C">
        <w:rPr>
          <w:rFonts w:cs="Times New Roman"/>
          <w:szCs w:val="20"/>
        </w:rPr>
        <w:lastRenderedPageBreak/>
        <w:t xml:space="preserve">D.20-06-002.  </w:t>
      </w:r>
      <w:r>
        <w:rPr>
          <w:rFonts w:cs="Times New Roman"/>
          <w:szCs w:val="20"/>
        </w:rPr>
        <w:t>Because CPE procurement and filings were not established when the D.06-06-066 confidentiality matrix was adopted, and the nature of CPE procurement is different from procurement solely on behalf of bundled customers, it is necessary to adopt a matrix to protect market-sensitive CPE information and provide uniform guidance to the CPE.</w:t>
      </w:r>
    </w:p>
    <w:p w:rsidRPr="0046317C" w:rsidR="00BB7CF6" w:rsidP="00BB7CF6" w:rsidRDefault="00BB7CF6" w14:paraId="3070CD24" w14:textId="77777777">
      <w:pPr>
        <w:rPr>
          <w:rFonts w:cs="Times New Roman"/>
          <w:szCs w:val="20"/>
        </w:rPr>
      </w:pPr>
      <w:r w:rsidRPr="0046317C">
        <w:rPr>
          <w:rFonts w:cs="Times New Roman"/>
          <w:szCs w:val="20"/>
        </w:rPr>
        <w:t>The Commission may preemptively adopt confidential matrices that designate certain information as confidential or public in a decision, pursuant to General Order (GO) 66-D, Section 3.4(a).</w:t>
      </w:r>
      <w:r w:rsidRPr="0046317C">
        <w:rPr>
          <w:rFonts w:cs="Times New Roman"/>
          <w:szCs w:val="20"/>
          <w:vertAlign w:val="superscript"/>
        </w:rPr>
        <w:footnoteReference w:id="104"/>
      </w:r>
      <w:r w:rsidRPr="0046317C">
        <w:rPr>
          <w:rFonts w:cs="Times New Roman"/>
          <w:szCs w:val="20"/>
        </w:rPr>
        <w:t xml:space="preserve">  In addition, D.20-08-031, adopting GO 66-D, provides that the “official information” privilege in California Evidence Code § 1040 provides a legal basis for the Commission to refrain from disclosing certain information acquired in confidence by the Commission “where disclosure is either prohibited by federal or state law, or where there is a need for confidentiality that outweighs the necessity for disclosure in the interests of justice.”</w:t>
      </w:r>
      <w:r w:rsidRPr="0046317C">
        <w:rPr>
          <w:rFonts w:cs="Times New Roman"/>
          <w:szCs w:val="20"/>
          <w:vertAlign w:val="superscript"/>
        </w:rPr>
        <w:footnoteReference w:id="105"/>
      </w:r>
      <w:r w:rsidRPr="0046317C">
        <w:rPr>
          <w:rFonts w:cs="Times New Roman"/>
          <w:szCs w:val="20"/>
        </w:rPr>
        <w:t xml:space="preserve"> </w:t>
      </w:r>
    </w:p>
    <w:p w:rsidR="00BB7CF6" w:rsidP="00BB7CF6" w:rsidRDefault="00BB7CF6" w14:paraId="727AAE40" w14:textId="77777777">
      <w:pPr>
        <w:rPr>
          <w:rFonts w:cs="Times New Roman"/>
          <w:szCs w:val="20"/>
        </w:rPr>
      </w:pPr>
      <w:r w:rsidRPr="0046317C">
        <w:rPr>
          <w:rFonts w:cs="Times New Roman"/>
          <w:szCs w:val="20"/>
        </w:rPr>
        <w:t xml:space="preserve">The Commission recognizes the importance of protecting market-sensitive information in the CPE’s possession that may reveal market prices and competitive bid information, as disclosure of such information may adversely impact ratepayer interests, LSEs on behalf of which the CPE procures, and market participants transacting with the CPE.  For these reasons, the </w:t>
      </w:r>
      <w:r w:rsidRPr="0046317C">
        <w:rPr>
          <w:rFonts w:cs="Times New Roman"/>
          <w:szCs w:val="20"/>
        </w:rPr>
        <w:lastRenderedPageBreak/>
        <w:t xml:space="preserve">Commission finds that preemptively designating certain CPE information as confidential is warranted here, as the need for confidentiality outweighs the need for disclosure, pursuant to GO 66-D.  </w:t>
      </w:r>
    </w:p>
    <w:p w:rsidRPr="0046317C" w:rsidR="00BB7CF6" w:rsidP="00BB7CF6" w:rsidRDefault="00BB7CF6" w14:paraId="677BB4B9" w14:textId="77777777">
      <w:pPr>
        <w:rPr>
          <w:rFonts w:cs="Times New Roman"/>
          <w:szCs w:val="20"/>
        </w:rPr>
      </w:pPr>
      <w:r w:rsidRPr="0046317C">
        <w:rPr>
          <w:rFonts w:cs="Times New Roman"/>
          <w:szCs w:val="20"/>
        </w:rPr>
        <w:t xml:space="preserve">The Commission deems PG&amp;E’s proposed matrix to be reasonable, subject to certain revisions.  We agree with the removal of the “Forecasted RA Requirements” category.  We also find that the time period for data to be kept confidential under the “Contracts and power purchase agreements” category should be modified to remove the “1-year after expiration,” as this can be burdensome to track.  The </w:t>
      </w:r>
      <w:r>
        <w:rPr>
          <w:rFonts w:cs="Times New Roman"/>
          <w:szCs w:val="20"/>
        </w:rPr>
        <w:t>three</w:t>
      </w:r>
      <w:r w:rsidRPr="0046317C">
        <w:rPr>
          <w:rFonts w:cs="Times New Roman"/>
          <w:szCs w:val="20"/>
        </w:rPr>
        <w:t>-year time period should start from the contract execution date, rather than the delivery start date, to simplify the tracking process.</w:t>
      </w:r>
    </w:p>
    <w:p w:rsidRPr="0046317C" w:rsidR="009166C0" w:rsidP="009166C0" w:rsidRDefault="00BB7CF6" w14:paraId="542076B3" w14:textId="72C0FB74">
      <w:pPr>
        <w:rPr>
          <w:rFonts w:cs="Times New Roman"/>
          <w:szCs w:val="20"/>
        </w:rPr>
      </w:pPr>
      <w:r w:rsidRPr="0046317C">
        <w:rPr>
          <w:rFonts w:cs="Times New Roman"/>
          <w:szCs w:val="20"/>
        </w:rPr>
        <w:t xml:space="preserve">Accordingly, PG&amp;E’s Attachment A matrix is adopted with modifications.  The adopted matrix is </w:t>
      </w:r>
      <w:r>
        <w:rPr>
          <w:rFonts w:cs="Times New Roman"/>
          <w:szCs w:val="20"/>
        </w:rPr>
        <w:t>attached</w:t>
      </w:r>
      <w:r w:rsidRPr="0046317C">
        <w:rPr>
          <w:rFonts w:cs="Times New Roman"/>
          <w:szCs w:val="20"/>
        </w:rPr>
        <w:t xml:space="preserve"> here as Appendix A.  Given the recent inception of the CPE framework, the Commission may refine the confidentiality matrix in the future as additional information arises.</w:t>
      </w:r>
      <w:r>
        <w:rPr>
          <w:rFonts w:cs="Times New Roman"/>
          <w:szCs w:val="20"/>
        </w:rPr>
        <w:t xml:space="preserve">  </w:t>
      </w:r>
      <w:bookmarkStart w:name="_Hlk95221116" w:id="72"/>
      <w:r>
        <w:rPr>
          <w:rFonts w:cs="Times New Roman"/>
          <w:szCs w:val="20"/>
        </w:rPr>
        <w:t>The CPEs shall track whether information previously designated as confidential becomes public and provide such tracking to Energy Division Staff upon request.</w:t>
      </w:r>
      <w:bookmarkEnd w:id="72"/>
      <w:r w:rsidR="009166C0">
        <w:rPr>
          <w:rFonts w:cs="Times New Roman"/>
          <w:szCs w:val="20"/>
        </w:rPr>
        <w:t xml:space="preserve">  The process for seeking confidentiality protection for data contained in the adopted matrix shall be the same as the process adopted in D.20-07-005.</w:t>
      </w:r>
      <w:r w:rsidR="009166C0">
        <w:rPr>
          <w:rStyle w:val="FootnoteReference"/>
          <w:rFonts w:cs="Times New Roman"/>
          <w:szCs w:val="20"/>
        </w:rPr>
        <w:footnoteReference w:id="106"/>
      </w:r>
      <w:r w:rsidR="009166C0">
        <w:rPr>
          <w:rFonts w:cs="Times New Roman"/>
          <w:szCs w:val="20"/>
        </w:rPr>
        <w:t xml:space="preserve"> </w:t>
      </w:r>
    </w:p>
    <w:p w:rsidRPr="0046317C" w:rsidR="00BB7CF6" w:rsidP="00BB7CF6" w:rsidRDefault="00BB7CF6" w14:paraId="6381E0E7" w14:textId="77777777">
      <w:pPr>
        <w:rPr>
          <w:rFonts w:cs="Times New Roman"/>
          <w:szCs w:val="20"/>
        </w:rPr>
      </w:pPr>
      <w:r w:rsidRPr="0046317C">
        <w:rPr>
          <w:rFonts w:cs="Times New Roman"/>
          <w:szCs w:val="20"/>
        </w:rPr>
        <w:lastRenderedPageBreak/>
        <w:t xml:space="preserve">In addition, PG&amp;E requests that the Commission expressly state that general categories of CPE information qualify for confidentiality protection under various California codes.  The Commission finds that these requests are </w:t>
      </w:r>
      <w:r>
        <w:rPr>
          <w:rFonts w:cs="Times New Roman"/>
          <w:szCs w:val="20"/>
        </w:rPr>
        <w:t xml:space="preserve">unnecessary and </w:t>
      </w:r>
      <w:r w:rsidRPr="0046317C">
        <w:rPr>
          <w:rFonts w:cs="Times New Roman"/>
          <w:szCs w:val="20"/>
        </w:rPr>
        <w:t>overly broad</w:t>
      </w:r>
      <w:r>
        <w:rPr>
          <w:rFonts w:cs="Times New Roman"/>
          <w:szCs w:val="20"/>
        </w:rPr>
        <w:t>.</w:t>
      </w:r>
      <w:r w:rsidRPr="0046317C">
        <w:rPr>
          <w:rFonts w:cs="Times New Roman"/>
          <w:szCs w:val="20"/>
        </w:rPr>
        <w:t xml:space="preserve"> </w:t>
      </w:r>
      <w:r>
        <w:rPr>
          <w:rFonts w:cs="Times New Roman"/>
          <w:szCs w:val="20"/>
        </w:rPr>
        <w:t xml:space="preserve"> The information contained in the matrix, adopted in this decision, is specific to the CPE’s procurement efforts, which impact various third-parties including LSEs and other market participants.  Thus, the information is market-sensitive and entitled to confidentiality protections.  The CPEs may cite to additional authority when submitting confidential information, either pursuant to the matrix or otherwise. </w:t>
      </w:r>
    </w:p>
    <w:p w:rsidRPr="0046317C" w:rsidR="00BB7CF6" w:rsidP="00BB7CF6" w:rsidRDefault="00BB7CF6" w14:paraId="089DE5D9" w14:textId="77777777">
      <w:pPr>
        <w:pStyle w:val="Heading2"/>
      </w:pPr>
      <w:bookmarkStart w:name="_Toc94080405" w:id="73"/>
      <w:bookmarkStart w:name="_Toc95232124" w:id="74"/>
      <w:r w:rsidRPr="0046317C">
        <w:t>Swaps</w:t>
      </w:r>
      <w:bookmarkEnd w:id="73"/>
      <w:bookmarkEnd w:id="74"/>
    </w:p>
    <w:p w:rsidRPr="0046317C" w:rsidR="00BB7CF6" w:rsidP="00BB7CF6" w:rsidRDefault="00BB7CF6" w14:paraId="2C8766D6" w14:textId="77777777">
      <w:pPr>
        <w:rPr>
          <w:rFonts w:cs="Times New Roman"/>
          <w:szCs w:val="20"/>
        </w:rPr>
      </w:pPr>
      <w:r w:rsidRPr="0046317C">
        <w:rPr>
          <w:rFonts w:cs="Times New Roman"/>
          <w:szCs w:val="20"/>
        </w:rPr>
        <w:t>Calpine proposes that the CPE should be permitted to facilitate swaps of local RA for system RA.</w:t>
      </w:r>
      <w:r w:rsidRPr="0046317C">
        <w:rPr>
          <w:rFonts w:cs="Times New Roman"/>
          <w:szCs w:val="20"/>
          <w:vertAlign w:val="superscript"/>
        </w:rPr>
        <w:footnoteReference w:id="107"/>
      </w:r>
      <w:r w:rsidRPr="0046317C">
        <w:rPr>
          <w:rFonts w:cs="Times New Roman"/>
          <w:szCs w:val="20"/>
        </w:rPr>
        <w:t xml:space="preserve">  Calpine states that “[s]waps involve participants in a solicitation offering at a price at which they are willing to provide local capacity to the buyer in return for system capacity.”</w:t>
      </w:r>
      <w:r w:rsidRPr="0046317C">
        <w:rPr>
          <w:rFonts w:cs="Times New Roman"/>
          <w:szCs w:val="20"/>
          <w:vertAlign w:val="superscript"/>
        </w:rPr>
        <w:footnoteReference w:id="108"/>
      </w:r>
      <w:r w:rsidRPr="0046317C">
        <w:rPr>
          <w:rFonts w:cs="Times New Roman"/>
          <w:szCs w:val="20"/>
        </w:rPr>
        <w:t xml:space="preserve">  Calpine recommends that the CPE should be permitted to solicit offers for system RA capacity to execute swaps.</w:t>
      </w:r>
    </w:p>
    <w:p w:rsidRPr="0046317C" w:rsidR="00BB7CF6" w:rsidP="00BB7CF6" w:rsidRDefault="00BB7CF6" w14:paraId="6180F1A3" w14:textId="77777777">
      <w:pPr>
        <w:rPr>
          <w:rFonts w:cs="Times New Roman"/>
          <w:szCs w:val="20"/>
        </w:rPr>
      </w:pPr>
      <w:r w:rsidRPr="0046317C">
        <w:rPr>
          <w:rFonts w:cs="Times New Roman"/>
          <w:szCs w:val="20"/>
        </w:rPr>
        <w:t>PG&amp;E, SCE, and Cal Advocates oppose the proposal.</w:t>
      </w:r>
      <w:r>
        <w:rPr>
          <w:rStyle w:val="FootnoteReference"/>
          <w:rFonts w:cs="Times New Roman"/>
          <w:szCs w:val="20"/>
        </w:rPr>
        <w:footnoteReference w:id="109"/>
      </w:r>
      <w:r w:rsidRPr="0046317C">
        <w:rPr>
          <w:rFonts w:cs="Times New Roman"/>
          <w:szCs w:val="20"/>
        </w:rPr>
        <w:t xml:space="preserve">  Cal Advocates states that allowing CPE procurement of system RA would significantly increase the scope of procurement, slow down the solicitation process, and require </w:t>
      </w:r>
      <w:r w:rsidRPr="0046317C">
        <w:rPr>
          <w:rFonts w:cs="Times New Roman"/>
          <w:szCs w:val="20"/>
        </w:rPr>
        <w:lastRenderedPageBreak/>
        <w:t>substantial modification to the CPE’s design.</w:t>
      </w:r>
      <w:r w:rsidRPr="0046317C">
        <w:rPr>
          <w:rFonts w:cs="Times New Roman"/>
          <w:szCs w:val="20"/>
          <w:vertAlign w:val="superscript"/>
        </w:rPr>
        <w:footnoteReference w:id="110"/>
      </w:r>
      <w:r w:rsidRPr="0046317C">
        <w:rPr>
          <w:rFonts w:cs="Times New Roman"/>
          <w:szCs w:val="20"/>
        </w:rPr>
        <w:t xml:space="preserve">  SCE states that the proposal adds obligations and risk to the CPE and should not be rushed through an expedited track.</w:t>
      </w:r>
      <w:r w:rsidRPr="0046317C">
        <w:rPr>
          <w:rFonts w:cs="Times New Roman"/>
          <w:szCs w:val="20"/>
          <w:vertAlign w:val="superscript"/>
        </w:rPr>
        <w:footnoteReference w:id="111"/>
      </w:r>
      <w:r w:rsidRPr="0046317C">
        <w:rPr>
          <w:rFonts w:cs="Times New Roman"/>
          <w:szCs w:val="20"/>
        </w:rPr>
        <w:t xml:space="preserve">  PG&amp;E states that swaps may have unintended consequences that require the CPE to act as </w:t>
      </w:r>
      <w:r>
        <w:rPr>
          <w:rFonts w:cs="Times New Roman"/>
          <w:szCs w:val="20"/>
        </w:rPr>
        <w:t xml:space="preserve">a </w:t>
      </w:r>
      <w:r w:rsidRPr="0046317C">
        <w:rPr>
          <w:rFonts w:cs="Times New Roman"/>
          <w:szCs w:val="20"/>
        </w:rPr>
        <w:t>market broker and extend beyond the scope of the CPE.</w:t>
      </w:r>
      <w:r w:rsidRPr="0046317C">
        <w:rPr>
          <w:rFonts w:cs="Times New Roman"/>
          <w:szCs w:val="20"/>
          <w:vertAlign w:val="superscript"/>
        </w:rPr>
        <w:footnoteReference w:id="112"/>
      </w:r>
      <w:r w:rsidRPr="0046317C">
        <w:rPr>
          <w:rFonts w:cs="Times New Roman"/>
          <w:szCs w:val="20"/>
        </w:rPr>
        <w:t xml:space="preserve">  MRP supports this proposal.</w:t>
      </w:r>
      <w:r w:rsidRPr="0046317C">
        <w:rPr>
          <w:rFonts w:cs="Times New Roman"/>
          <w:szCs w:val="20"/>
          <w:vertAlign w:val="superscript"/>
        </w:rPr>
        <w:footnoteReference w:id="113"/>
      </w:r>
      <w:r w:rsidRPr="0046317C">
        <w:rPr>
          <w:rFonts w:cs="Times New Roman"/>
          <w:szCs w:val="20"/>
        </w:rPr>
        <w:t xml:space="preserve">  </w:t>
      </w:r>
    </w:p>
    <w:p w:rsidRPr="0046317C" w:rsidR="00BB7CF6" w:rsidP="00BB7CF6" w:rsidRDefault="00BB7CF6" w14:paraId="2AC2E883" w14:textId="77777777">
      <w:pPr>
        <w:rPr>
          <w:rFonts w:cs="Times New Roman"/>
          <w:szCs w:val="20"/>
        </w:rPr>
      </w:pPr>
      <w:r w:rsidRPr="0046317C">
        <w:rPr>
          <w:rFonts w:cs="Times New Roman"/>
          <w:szCs w:val="20"/>
        </w:rPr>
        <w:t>The Commission agrees with parties’ concerns in opposing this proposal and decline</w:t>
      </w:r>
      <w:r>
        <w:rPr>
          <w:rFonts w:cs="Times New Roman"/>
          <w:szCs w:val="20"/>
        </w:rPr>
        <w:t>s</w:t>
      </w:r>
      <w:r w:rsidRPr="0046317C">
        <w:rPr>
          <w:rFonts w:cs="Times New Roman"/>
          <w:szCs w:val="20"/>
        </w:rPr>
        <w:t xml:space="preserve"> to adopt it.  We encourage LSEs to engage in swap transactions for local resources located in local areas outside of the TAC areas </w:t>
      </w:r>
      <w:r>
        <w:rPr>
          <w:rFonts w:cs="Times New Roman"/>
          <w:szCs w:val="20"/>
        </w:rPr>
        <w:t xml:space="preserve">they serve load in </w:t>
      </w:r>
      <w:r w:rsidRPr="0046317C">
        <w:rPr>
          <w:rFonts w:cs="Times New Roman"/>
          <w:szCs w:val="20"/>
        </w:rPr>
        <w:t>ahead of the annual CPE solicitation.  This will help ensure that the incentives to self-show local resources to the CPE are aligned, and allow for LSEs to potentially extract local premium values for resources in exchange for a needed system MW.</w:t>
      </w:r>
    </w:p>
    <w:p w:rsidRPr="0046317C" w:rsidR="00BB7CF6" w:rsidP="00BB7CF6" w:rsidRDefault="00BB7CF6" w14:paraId="125EAB74" w14:textId="77777777">
      <w:pPr>
        <w:pStyle w:val="Heading2"/>
      </w:pPr>
      <w:bookmarkStart w:name="_Toc94080406" w:id="75"/>
      <w:bookmarkStart w:name="_Toc95232125" w:id="76"/>
      <w:r w:rsidRPr="0046317C">
        <w:t>Cost Recovery</w:t>
      </w:r>
      <w:bookmarkEnd w:id="75"/>
      <w:bookmarkEnd w:id="76"/>
    </w:p>
    <w:p w:rsidRPr="0046317C" w:rsidR="00BB7CF6" w:rsidP="00BB7CF6" w:rsidRDefault="00BB7CF6" w14:paraId="54E44E04" w14:textId="77777777">
      <w:pPr>
        <w:pStyle w:val="Heading3"/>
      </w:pPr>
      <w:bookmarkStart w:name="_Toc94080407" w:id="77"/>
      <w:bookmarkStart w:name="_Toc95232126" w:id="78"/>
      <w:r w:rsidRPr="0046317C">
        <w:t>Forecasted CPE Costs</w:t>
      </w:r>
      <w:bookmarkEnd w:id="77"/>
      <w:bookmarkEnd w:id="78"/>
    </w:p>
    <w:p w:rsidRPr="0046317C" w:rsidR="00BB7CF6" w:rsidP="00BB7CF6" w:rsidRDefault="00BB7CF6" w14:paraId="5591D73A" w14:textId="77777777">
      <w:pPr>
        <w:rPr>
          <w:rFonts w:cs="Times New Roman"/>
          <w:szCs w:val="20"/>
        </w:rPr>
      </w:pPr>
      <w:r w:rsidRPr="0046317C">
        <w:rPr>
          <w:rFonts w:cs="Times New Roman"/>
          <w:szCs w:val="20"/>
        </w:rPr>
        <w:t>In D.20-06-002, the Commission adopted the CAM methodology as the cost recovery mechanism to cover procurement and administrative costs incurred by the CPE.</w:t>
      </w:r>
      <w:r w:rsidRPr="0046317C">
        <w:rPr>
          <w:rFonts w:cs="Times New Roman"/>
          <w:szCs w:val="20"/>
          <w:vertAlign w:val="superscript"/>
        </w:rPr>
        <w:footnoteReference w:id="114"/>
      </w:r>
      <w:r w:rsidRPr="0046317C">
        <w:rPr>
          <w:rFonts w:cs="Times New Roman"/>
          <w:szCs w:val="20"/>
        </w:rPr>
        <w:t xml:space="preserve">  PG&amp;E states that while CPE administrative costs associated with the CPE function are submitted for review in the annual Energy Resource Recovery Account (ERRA) forecast and compliance process, there is no direction requiring the CPE to present forecast</w:t>
      </w:r>
      <w:r>
        <w:rPr>
          <w:rFonts w:cs="Times New Roman"/>
          <w:szCs w:val="20"/>
        </w:rPr>
        <w:t>ed</w:t>
      </w:r>
      <w:r w:rsidRPr="0046317C">
        <w:rPr>
          <w:rFonts w:cs="Times New Roman"/>
          <w:szCs w:val="20"/>
        </w:rPr>
        <w:t xml:space="preserve"> CPE procurement costs for cost </w:t>
      </w:r>
      <w:r w:rsidRPr="0046317C">
        <w:rPr>
          <w:rFonts w:cs="Times New Roman"/>
          <w:szCs w:val="20"/>
        </w:rPr>
        <w:lastRenderedPageBreak/>
        <w:t>recovery.</w:t>
      </w:r>
      <w:r w:rsidRPr="0046317C">
        <w:rPr>
          <w:rFonts w:cs="Times New Roman"/>
          <w:szCs w:val="20"/>
          <w:vertAlign w:val="superscript"/>
        </w:rPr>
        <w:footnoteReference w:id="115"/>
      </w:r>
      <w:r w:rsidRPr="0046317C">
        <w:rPr>
          <w:rFonts w:cs="Times New Roman"/>
          <w:szCs w:val="20"/>
        </w:rPr>
        <w:t xml:space="preserve">  PG&amp;E recommends that CPE procurement costs be forecasted and implemented in rates through the annual ERRA forecast proceeding and handled in a separate confidential chapter in ERRA forecast testimony.  PG&amp;E states that, similar to O</w:t>
      </w:r>
      <w:r>
        <w:rPr>
          <w:rFonts w:cs="Times New Roman"/>
          <w:szCs w:val="20"/>
        </w:rPr>
        <w:t>rdering Paragraph</w:t>
      </w:r>
      <w:r w:rsidRPr="0046317C">
        <w:rPr>
          <w:rFonts w:cs="Times New Roman"/>
          <w:szCs w:val="20"/>
        </w:rPr>
        <w:t xml:space="preserve"> 10 of D.20-12-006, the confidential contents of the chapter should only be viewable to PG&amp;E’s CPE and support personnel.</w:t>
      </w:r>
    </w:p>
    <w:p w:rsidRPr="0046317C" w:rsidR="00BB7CF6" w:rsidP="00BB7CF6" w:rsidRDefault="00BB7CF6" w14:paraId="56FABBDD" w14:textId="77777777">
      <w:pPr>
        <w:rPr>
          <w:rFonts w:cs="Times New Roman"/>
          <w:szCs w:val="20"/>
        </w:rPr>
      </w:pPr>
      <w:r w:rsidRPr="0046317C">
        <w:rPr>
          <w:rFonts w:cs="Times New Roman"/>
          <w:szCs w:val="20"/>
        </w:rPr>
        <w:t xml:space="preserve">PG&amp;E also proposes that only CPE transactions that include compensation or sale of system RA attributes to the CPE should be required for inclusion in supporting workpapers or other testimony.  </w:t>
      </w:r>
      <w:r>
        <w:rPr>
          <w:rFonts w:cs="Times New Roman"/>
          <w:szCs w:val="20"/>
        </w:rPr>
        <w:t>PG&amp;E recommends that t</w:t>
      </w:r>
      <w:r w:rsidRPr="0046317C">
        <w:rPr>
          <w:rFonts w:cs="Times New Roman"/>
          <w:szCs w:val="20"/>
        </w:rPr>
        <w:t>ransactions for self-shown resources for no compensation or sale of system RA attributes should not be required to be presented in the ERRA forecast as those agreements have no incremental impact on an IOU’s revenue requirement forecast for the applicable ERRA forecast year.</w:t>
      </w:r>
    </w:p>
    <w:p w:rsidR="00BB7CF6" w:rsidP="00CD51D6" w:rsidRDefault="00BB7CF6" w14:paraId="6C05E76C" w14:textId="77777777">
      <w:pPr>
        <w:rPr>
          <w:rFonts w:cs="Times New Roman"/>
          <w:szCs w:val="20"/>
        </w:rPr>
      </w:pPr>
      <w:r w:rsidRPr="0046317C">
        <w:rPr>
          <w:rFonts w:cs="Times New Roman"/>
          <w:szCs w:val="20"/>
        </w:rPr>
        <w:t xml:space="preserve">Cal Advocates states that the Commission should consider the large volume of accounting that CPE procurement adds to the ERRA </w:t>
      </w:r>
      <w:r>
        <w:rPr>
          <w:rFonts w:cs="Times New Roman"/>
          <w:szCs w:val="20"/>
        </w:rPr>
        <w:t>f</w:t>
      </w:r>
      <w:r w:rsidRPr="0046317C">
        <w:rPr>
          <w:rFonts w:cs="Times New Roman"/>
          <w:szCs w:val="20"/>
        </w:rPr>
        <w:t>orecast filing.</w:t>
      </w:r>
      <w:r w:rsidRPr="0046317C">
        <w:rPr>
          <w:rFonts w:cs="Times New Roman"/>
          <w:szCs w:val="20"/>
          <w:vertAlign w:val="superscript"/>
        </w:rPr>
        <w:footnoteReference w:id="116"/>
      </w:r>
      <w:r w:rsidRPr="0046317C">
        <w:rPr>
          <w:rFonts w:cs="Times New Roman"/>
          <w:szCs w:val="20"/>
        </w:rPr>
        <w:t xml:space="preserve">  If PG&amp;E’s proposal is adopted, Cal Advocates recommends that CPE forecasts and associated rate</w:t>
      </w:r>
      <w:r>
        <w:rPr>
          <w:rFonts w:cs="Times New Roman"/>
          <w:szCs w:val="20"/>
        </w:rPr>
        <w:t>s</w:t>
      </w:r>
      <w:r w:rsidRPr="0046317C">
        <w:rPr>
          <w:rFonts w:cs="Times New Roman"/>
          <w:szCs w:val="20"/>
        </w:rPr>
        <w:t xml:space="preserve"> impacted </w:t>
      </w:r>
      <w:r>
        <w:rPr>
          <w:rFonts w:cs="Times New Roman"/>
          <w:szCs w:val="20"/>
        </w:rPr>
        <w:t>should be</w:t>
      </w:r>
      <w:r w:rsidRPr="0046317C">
        <w:rPr>
          <w:rFonts w:cs="Times New Roman"/>
          <w:szCs w:val="20"/>
        </w:rPr>
        <w:t xml:space="preserve"> provided in the supplemental ERRA </w:t>
      </w:r>
      <w:r>
        <w:rPr>
          <w:rFonts w:cs="Times New Roman"/>
          <w:szCs w:val="20"/>
        </w:rPr>
        <w:t>f</w:t>
      </w:r>
      <w:r w:rsidRPr="0046317C">
        <w:rPr>
          <w:rFonts w:cs="Times New Roman"/>
          <w:szCs w:val="20"/>
        </w:rPr>
        <w:t>orecast application and updates be filed in supplemental testimony no later than October of the filing year.  PG&amp;E responds that it is unclear what a supplemental application will entail, as Commission rules do not provide for application supplements.</w:t>
      </w:r>
      <w:r w:rsidRPr="0046317C">
        <w:rPr>
          <w:rFonts w:cs="Times New Roman"/>
          <w:szCs w:val="20"/>
          <w:vertAlign w:val="superscript"/>
        </w:rPr>
        <w:footnoteReference w:id="117"/>
      </w:r>
      <w:r w:rsidRPr="0046317C">
        <w:rPr>
          <w:rFonts w:cs="Times New Roman"/>
          <w:szCs w:val="20"/>
        </w:rPr>
        <w:t xml:space="preserve">  PG&amp;E clarifies that it will forecast annual CPE</w:t>
      </w:r>
      <w:r>
        <w:rPr>
          <w:rFonts w:cs="Times New Roman"/>
          <w:szCs w:val="20"/>
        </w:rPr>
        <w:noBreakHyphen/>
      </w:r>
      <w:r w:rsidRPr="0046317C">
        <w:rPr>
          <w:rFonts w:cs="Times New Roman"/>
          <w:szCs w:val="20"/>
        </w:rPr>
        <w:t xml:space="preserve">related costs in the initial ERRA </w:t>
      </w:r>
      <w:r>
        <w:rPr>
          <w:rFonts w:cs="Times New Roman"/>
          <w:szCs w:val="20"/>
        </w:rPr>
        <w:t>f</w:t>
      </w:r>
      <w:r w:rsidRPr="0046317C">
        <w:rPr>
          <w:rFonts w:cs="Times New Roman"/>
          <w:szCs w:val="20"/>
        </w:rPr>
        <w:t xml:space="preserve">orecast application and update testimony to reflect cost changes.  PG&amp;E states that schedule changes applicable to IOUs’ ERRA forecasts </w:t>
      </w:r>
      <w:r w:rsidRPr="0046317C">
        <w:rPr>
          <w:rFonts w:cs="Times New Roman"/>
          <w:szCs w:val="20"/>
        </w:rPr>
        <w:lastRenderedPageBreak/>
        <w:t>should not be made in the instant proceeding given the complexities of the ERRA proceeding schedule.</w:t>
      </w:r>
    </w:p>
    <w:p w:rsidRPr="0046317C" w:rsidR="00BB7CF6" w:rsidP="00BB7CF6" w:rsidRDefault="00BB7CF6" w14:paraId="398C07C8" w14:textId="77777777">
      <w:pPr>
        <w:rPr>
          <w:rFonts w:cs="Times New Roman"/>
          <w:szCs w:val="20"/>
        </w:rPr>
      </w:pPr>
      <w:r w:rsidRPr="0046317C">
        <w:rPr>
          <w:rFonts w:cs="Times New Roman"/>
          <w:szCs w:val="20"/>
        </w:rPr>
        <w:t xml:space="preserve">The Commission finds PG&amp;E’s proposal to be reasonable and </w:t>
      </w:r>
      <w:r>
        <w:rPr>
          <w:rFonts w:cs="Times New Roman"/>
          <w:szCs w:val="20"/>
        </w:rPr>
        <w:t>adopts it here</w:t>
      </w:r>
      <w:r w:rsidRPr="0046317C">
        <w:rPr>
          <w:rFonts w:cs="Times New Roman"/>
          <w:szCs w:val="20"/>
        </w:rPr>
        <w:t xml:space="preserve">.  Accordingly, CPE procurement costs shall be forecasted and implemented in rates through the annual ERRA </w:t>
      </w:r>
      <w:r>
        <w:rPr>
          <w:rFonts w:cs="Times New Roman"/>
          <w:szCs w:val="20"/>
        </w:rPr>
        <w:t>f</w:t>
      </w:r>
      <w:r w:rsidRPr="0046317C">
        <w:rPr>
          <w:rFonts w:cs="Times New Roman"/>
          <w:szCs w:val="20"/>
        </w:rPr>
        <w:t xml:space="preserve">orecast proceeding.  The CPE procurement costs shall be handled in a separate confidential chapter in ERRA forecast testimony, whereby the confidential contents shall only be viewable to the </w:t>
      </w:r>
      <w:r>
        <w:rPr>
          <w:rFonts w:cs="Times New Roman"/>
          <w:szCs w:val="20"/>
        </w:rPr>
        <w:t>IOU</w:t>
      </w:r>
      <w:r w:rsidRPr="0046317C">
        <w:rPr>
          <w:rFonts w:cs="Times New Roman"/>
          <w:szCs w:val="20"/>
        </w:rPr>
        <w:t xml:space="preserve"> CPE’s personnel and support personnel, including staff such as contract management, law and regulatory compliance</w:t>
      </w:r>
      <w:r>
        <w:rPr>
          <w:rFonts w:cs="Times New Roman"/>
          <w:szCs w:val="20"/>
        </w:rPr>
        <w:t xml:space="preserve"> staff</w:t>
      </w:r>
      <w:r w:rsidRPr="0046317C">
        <w:rPr>
          <w:rFonts w:cs="Times New Roman"/>
          <w:szCs w:val="20"/>
        </w:rPr>
        <w:t>.  In addition, only CPE transactions that include compensation or sale of system RA attributes to the CPE shall be required for inclusion in supporting workpapers or other testimony.</w:t>
      </w:r>
    </w:p>
    <w:p w:rsidRPr="0046317C" w:rsidR="00BB7CF6" w:rsidP="00BB7CF6" w:rsidRDefault="00BB7CF6" w14:paraId="4C134CB6" w14:textId="77777777">
      <w:pPr>
        <w:pStyle w:val="Heading3"/>
      </w:pPr>
      <w:bookmarkStart w:name="_Toc94080408" w:id="79"/>
      <w:bookmarkStart w:name="_Toc95232127" w:id="80"/>
      <w:r w:rsidRPr="0046317C">
        <w:t>Transactions with IOUs</w:t>
      </w:r>
      <w:bookmarkEnd w:id="79"/>
      <w:bookmarkEnd w:id="80"/>
    </w:p>
    <w:p w:rsidRPr="0046317C" w:rsidR="00BB7CF6" w:rsidP="00BB7CF6" w:rsidRDefault="00BB7CF6" w14:paraId="1B72BFC8" w14:textId="77777777">
      <w:pPr>
        <w:spacing w:after="120" w:line="240" w:lineRule="auto"/>
        <w:rPr>
          <w:rFonts w:cs="Times New Roman"/>
          <w:szCs w:val="20"/>
        </w:rPr>
      </w:pPr>
      <w:r w:rsidRPr="0046317C">
        <w:rPr>
          <w:rFonts w:cs="Times New Roman"/>
          <w:szCs w:val="20"/>
        </w:rPr>
        <w:t>In D.20-06-002, the Commission directed that:</w:t>
      </w:r>
    </w:p>
    <w:p w:rsidRPr="0046317C" w:rsidR="00BB7CF6" w:rsidP="00BB7CF6" w:rsidRDefault="00BB7CF6" w14:paraId="1C341115" w14:textId="77777777">
      <w:pPr>
        <w:spacing w:after="240" w:line="240" w:lineRule="auto"/>
        <w:ind w:left="1080" w:right="1440" w:firstLine="0"/>
        <w:rPr>
          <w:rFonts w:cs="Times New Roman"/>
          <w:szCs w:val="20"/>
        </w:rPr>
      </w:pPr>
      <w:r w:rsidRPr="0046317C">
        <w:rPr>
          <w:rFonts w:cs="Times New Roman"/>
          <w:szCs w:val="20"/>
        </w:rPr>
        <w:t xml:space="preserve">Investor-owned utility (IOU) resources procured by the central procurement entity shall be reclassified from their existing cost recovery mechanisms designations to the </w:t>
      </w:r>
      <w:bookmarkStart w:name="_Hlk94192206" w:id="81"/>
      <w:r w:rsidRPr="0046317C">
        <w:rPr>
          <w:rFonts w:cs="Times New Roman"/>
          <w:szCs w:val="20"/>
        </w:rPr>
        <w:t>Cost Allocation Mechanism</w:t>
      </w:r>
      <w:bookmarkEnd w:id="81"/>
      <w:r w:rsidRPr="0046317C">
        <w:rPr>
          <w:rFonts w:cs="Times New Roman"/>
          <w:szCs w:val="20"/>
        </w:rPr>
        <w:t xml:space="preserve"> (CAM) for the duration of the contract with the central procurement entity.  After that time, IOU resources shall be reclassified back to their existing cost recovery mechanism designation.</w:t>
      </w:r>
      <w:r w:rsidRPr="0046317C">
        <w:rPr>
          <w:rFonts w:cs="Times New Roman"/>
          <w:szCs w:val="20"/>
          <w:vertAlign w:val="superscript"/>
        </w:rPr>
        <w:footnoteReference w:id="118"/>
      </w:r>
      <w:r w:rsidRPr="0046317C">
        <w:rPr>
          <w:rFonts w:cs="Times New Roman"/>
          <w:szCs w:val="20"/>
        </w:rPr>
        <w:t xml:space="preserve">  </w:t>
      </w:r>
    </w:p>
    <w:p w:rsidRPr="0046317C" w:rsidR="00BB7CF6" w:rsidP="00BB7CF6" w:rsidRDefault="00BB7CF6" w14:paraId="148019AA" w14:textId="77777777">
      <w:pPr>
        <w:rPr>
          <w:rFonts w:cs="Times New Roman"/>
          <w:szCs w:val="20"/>
        </w:rPr>
      </w:pPr>
      <w:r w:rsidRPr="0046317C">
        <w:rPr>
          <w:rFonts w:cs="Times New Roman"/>
          <w:szCs w:val="20"/>
        </w:rPr>
        <w:t>PG&amp;E states that it is not clear whether this direction applies to certain scenarios; for example, whether it applies only to costs associated with capacity attributes or all associated procurement costs, or whether self-shown IOU resources are reclassified.</w:t>
      </w:r>
      <w:r w:rsidRPr="0046317C">
        <w:rPr>
          <w:rFonts w:cs="Times New Roman"/>
          <w:szCs w:val="20"/>
          <w:vertAlign w:val="superscript"/>
        </w:rPr>
        <w:footnoteReference w:id="119"/>
      </w:r>
      <w:r w:rsidRPr="0046317C">
        <w:rPr>
          <w:rFonts w:cs="Times New Roman"/>
          <w:szCs w:val="20"/>
        </w:rPr>
        <w:t xml:space="preserve">  PG&amp;E proposes the following</w:t>
      </w:r>
      <w:r>
        <w:rPr>
          <w:rFonts w:cs="Times New Roman"/>
          <w:szCs w:val="20"/>
        </w:rPr>
        <w:t xml:space="preserve"> clarifications</w:t>
      </w:r>
      <w:r w:rsidRPr="0046317C">
        <w:rPr>
          <w:rFonts w:cs="Times New Roman"/>
          <w:szCs w:val="20"/>
        </w:rPr>
        <w:t>:</w:t>
      </w:r>
    </w:p>
    <w:p w:rsidRPr="0046317C" w:rsidR="00BB7CF6" w:rsidP="00BB7CF6" w:rsidRDefault="00BB7CF6" w14:paraId="116549BB" w14:textId="77777777">
      <w:pPr>
        <w:numPr>
          <w:ilvl w:val="0"/>
          <w:numId w:val="27"/>
        </w:numPr>
        <w:spacing w:after="120" w:line="240" w:lineRule="auto"/>
        <w:ind w:left="1080" w:right="1440"/>
        <w:rPr>
          <w:rFonts w:cs="Times New Roman"/>
          <w:szCs w:val="20"/>
        </w:rPr>
      </w:pPr>
      <w:r>
        <w:rPr>
          <w:rFonts w:cs="Times New Roman"/>
          <w:szCs w:val="20"/>
        </w:rPr>
        <w:t>An IOU</w:t>
      </w:r>
      <w:r w:rsidRPr="0046317C">
        <w:rPr>
          <w:rFonts w:cs="Times New Roman"/>
          <w:szCs w:val="20"/>
        </w:rPr>
        <w:t xml:space="preserve"> LSE transaction with the CPE should be presented as </w:t>
      </w:r>
      <w:r>
        <w:rPr>
          <w:rFonts w:cs="Times New Roman"/>
          <w:szCs w:val="20"/>
        </w:rPr>
        <w:t>it</w:t>
      </w:r>
      <w:r w:rsidRPr="0046317C">
        <w:rPr>
          <w:rFonts w:cs="Times New Roman"/>
          <w:szCs w:val="20"/>
        </w:rPr>
        <w:t xml:space="preserve"> would be if the transaction was with an LSE (</w:t>
      </w:r>
      <w:r w:rsidRPr="0046317C">
        <w:rPr>
          <w:rFonts w:cs="Times New Roman"/>
          <w:i/>
          <w:iCs/>
          <w:szCs w:val="20"/>
        </w:rPr>
        <w:t>e.g</w:t>
      </w:r>
      <w:r w:rsidRPr="0046317C">
        <w:rPr>
          <w:rFonts w:cs="Times New Roman"/>
          <w:szCs w:val="20"/>
        </w:rPr>
        <w:t xml:space="preserve">., RA </w:t>
      </w:r>
      <w:r w:rsidRPr="0046317C">
        <w:rPr>
          <w:rFonts w:cs="Times New Roman"/>
          <w:szCs w:val="20"/>
        </w:rPr>
        <w:lastRenderedPageBreak/>
        <w:t>sale from PCIA-eligible resource to the CPE would continue to be an RA sale in the PCIA revenue calculation).</w:t>
      </w:r>
    </w:p>
    <w:p w:rsidRPr="0046317C" w:rsidR="00BB7CF6" w:rsidP="00BB7CF6" w:rsidRDefault="00BB7CF6" w14:paraId="75CA3C88" w14:textId="77777777">
      <w:pPr>
        <w:numPr>
          <w:ilvl w:val="0"/>
          <w:numId w:val="27"/>
        </w:numPr>
        <w:spacing w:after="120" w:line="240" w:lineRule="auto"/>
        <w:ind w:left="1080" w:right="1440"/>
        <w:rPr>
          <w:rFonts w:cs="Times New Roman"/>
          <w:szCs w:val="20"/>
        </w:rPr>
      </w:pPr>
      <w:r w:rsidRPr="0046317C">
        <w:rPr>
          <w:rFonts w:cs="Times New Roman"/>
          <w:szCs w:val="20"/>
        </w:rPr>
        <w:t>Existing principl</w:t>
      </w:r>
      <w:r>
        <w:rPr>
          <w:rFonts w:cs="Times New Roman"/>
          <w:szCs w:val="20"/>
        </w:rPr>
        <w:t>e</w:t>
      </w:r>
      <w:r w:rsidRPr="0046317C">
        <w:rPr>
          <w:rFonts w:cs="Times New Roman"/>
          <w:szCs w:val="20"/>
        </w:rPr>
        <w:t>s on how attributes are sold between entities and presented for cost recovery should be maintained.</w:t>
      </w:r>
    </w:p>
    <w:p w:rsidRPr="0046317C" w:rsidR="00BB7CF6" w:rsidP="00BB7CF6" w:rsidRDefault="00BB7CF6" w14:paraId="6A81370C" w14:textId="77777777">
      <w:pPr>
        <w:numPr>
          <w:ilvl w:val="0"/>
          <w:numId w:val="27"/>
        </w:numPr>
        <w:spacing w:after="120" w:line="240" w:lineRule="auto"/>
        <w:ind w:left="1080" w:right="1440"/>
        <w:rPr>
          <w:rFonts w:cs="Times New Roman"/>
          <w:szCs w:val="20"/>
        </w:rPr>
      </w:pPr>
      <w:r w:rsidRPr="0046317C">
        <w:rPr>
          <w:rFonts w:cs="Times New Roman"/>
          <w:szCs w:val="20"/>
        </w:rPr>
        <w:t>Only attributes identified in a CPE agreement as sold to the CPE should be recovered as volumes and costs with CAM.</w:t>
      </w:r>
    </w:p>
    <w:p w:rsidRPr="0046317C" w:rsidR="00BB7CF6" w:rsidP="00BB7CF6" w:rsidRDefault="00BB7CF6" w14:paraId="7A29BB1F" w14:textId="77777777">
      <w:pPr>
        <w:numPr>
          <w:ilvl w:val="0"/>
          <w:numId w:val="27"/>
        </w:numPr>
        <w:spacing w:after="120" w:line="240" w:lineRule="auto"/>
        <w:ind w:left="1080" w:right="1440"/>
        <w:rPr>
          <w:rFonts w:cs="Times New Roman"/>
          <w:szCs w:val="20"/>
        </w:rPr>
      </w:pPr>
      <w:r w:rsidRPr="0046317C">
        <w:rPr>
          <w:rFonts w:cs="Times New Roman"/>
          <w:szCs w:val="20"/>
        </w:rPr>
        <w:t>Self-shown IOU resources with no transaction should not be recorded as an RA purchase by the CPE within CAM or the underlying cost recovery mechanism.  Self-shown IOU resources that receive a LCR RCM credit will be modeled as revenue only transactions, but because they do not include system RA being sold to the CPE, no system RA volumes would be presented as being sold from one cost recovery mechanism to CAM.</w:t>
      </w:r>
    </w:p>
    <w:p w:rsidRPr="0046317C" w:rsidR="00BB7CF6" w:rsidP="00BB7CF6" w:rsidRDefault="00BB7CF6" w14:paraId="2DFC8674" w14:textId="77777777">
      <w:pPr>
        <w:numPr>
          <w:ilvl w:val="0"/>
          <w:numId w:val="27"/>
        </w:numPr>
        <w:spacing w:after="120" w:line="240" w:lineRule="auto"/>
        <w:ind w:left="1080" w:right="1440"/>
        <w:rPr>
          <w:rFonts w:cs="Times New Roman"/>
          <w:szCs w:val="20"/>
        </w:rPr>
      </w:pPr>
      <w:r w:rsidRPr="0046317C">
        <w:rPr>
          <w:rFonts w:cs="Times New Roman"/>
          <w:szCs w:val="20"/>
        </w:rPr>
        <w:t>Unsold PCIA-eligible resource with system RA within a local area will continue to be retained based on the local RA price benchmark.  The underlying position for PCIA</w:t>
      </w:r>
      <w:r>
        <w:rPr>
          <w:rFonts w:cs="Times New Roman"/>
          <w:szCs w:val="20"/>
        </w:rPr>
        <w:noBreakHyphen/>
      </w:r>
      <w:r w:rsidRPr="0046317C">
        <w:rPr>
          <w:rFonts w:cs="Times New Roman"/>
          <w:szCs w:val="20"/>
        </w:rPr>
        <w:t xml:space="preserve">eligible resources self-shown or unsold will continue to be retained based on the local RA benchmark in the </w:t>
      </w:r>
      <w:r>
        <w:rPr>
          <w:rFonts w:cs="Times New Roman"/>
          <w:szCs w:val="20"/>
        </w:rPr>
        <w:t>ERRA</w:t>
      </w:r>
      <w:r w:rsidRPr="0046317C">
        <w:rPr>
          <w:rFonts w:cs="Times New Roman"/>
          <w:szCs w:val="20"/>
        </w:rPr>
        <w:t xml:space="preserve"> </w:t>
      </w:r>
      <w:r>
        <w:rPr>
          <w:rFonts w:cs="Times New Roman"/>
          <w:szCs w:val="20"/>
        </w:rPr>
        <w:t>f</w:t>
      </w:r>
      <w:r w:rsidRPr="0046317C">
        <w:rPr>
          <w:rFonts w:cs="Times New Roman"/>
          <w:szCs w:val="20"/>
        </w:rPr>
        <w:t>orecast proceeding.</w:t>
      </w:r>
    </w:p>
    <w:p w:rsidRPr="0046317C" w:rsidR="00BB7CF6" w:rsidP="00BB7CF6" w:rsidRDefault="00BB7CF6" w14:paraId="4BBEE316" w14:textId="77777777">
      <w:pPr>
        <w:rPr>
          <w:rFonts w:cs="Times New Roman"/>
          <w:szCs w:val="20"/>
        </w:rPr>
      </w:pPr>
      <w:r w:rsidRPr="0046317C">
        <w:rPr>
          <w:rFonts w:cs="Times New Roman"/>
          <w:szCs w:val="20"/>
        </w:rPr>
        <w:t>SCE similarly requests clarification regarding cost recovery for IOU transactions.  SCE states that O</w:t>
      </w:r>
      <w:r>
        <w:rPr>
          <w:rFonts w:cs="Times New Roman"/>
          <w:szCs w:val="20"/>
        </w:rPr>
        <w:t>rdering Paragraph</w:t>
      </w:r>
      <w:r w:rsidRPr="0046317C">
        <w:rPr>
          <w:rFonts w:cs="Times New Roman"/>
          <w:szCs w:val="20"/>
        </w:rPr>
        <w:t xml:space="preserve"> 12 of D.20-06-002 can be interpreted to mean that the full costs of PCIA contracts selected by the CPE are moved to CAM and back to PCIA.  SCE states that this is problematic for contracts, such as Renewables Portfolio Standard (RPS) contracts, as the CPE should be procuring only local attributes, not RPS attributes.</w:t>
      </w:r>
      <w:r w:rsidRPr="0046317C">
        <w:rPr>
          <w:rFonts w:cs="Times New Roman"/>
          <w:szCs w:val="20"/>
          <w:vertAlign w:val="superscript"/>
        </w:rPr>
        <w:footnoteReference w:id="120"/>
      </w:r>
      <w:r w:rsidRPr="0046317C">
        <w:rPr>
          <w:rFonts w:cs="Times New Roman"/>
          <w:szCs w:val="20"/>
        </w:rPr>
        <w:t xml:space="preserve">  If the full costs of RPS contracts are moved to CAM, CAM customers pay for RPS attributes they may not receive because RPS attributes cannot be allocated to CAM customers.  SCE adds states that in D.21-05-030, PCIA-eligible resources can elect to receive </w:t>
      </w:r>
      <w:r w:rsidRPr="0046317C">
        <w:rPr>
          <w:rFonts w:cs="Times New Roman"/>
          <w:szCs w:val="20"/>
        </w:rPr>
        <w:lastRenderedPageBreak/>
        <w:t>allocations of customers’ vintaged load shares of RPS attributes from IOUs’ PCIA portfolios, if the LSE pays the IOU market value of the allocated RPS resources.</w:t>
      </w:r>
    </w:p>
    <w:p w:rsidRPr="0046317C" w:rsidR="00BB7CF6" w:rsidP="00BB7CF6" w:rsidRDefault="00BB7CF6" w14:paraId="751A9FC0" w14:textId="77777777">
      <w:pPr>
        <w:rPr>
          <w:rFonts w:cs="Times New Roman"/>
          <w:szCs w:val="20"/>
        </w:rPr>
      </w:pPr>
      <w:r w:rsidRPr="0046317C">
        <w:rPr>
          <w:rFonts w:cs="Times New Roman"/>
          <w:szCs w:val="20"/>
        </w:rPr>
        <w:t xml:space="preserve">To address this, SCE recommends that </w:t>
      </w:r>
      <w:r>
        <w:rPr>
          <w:rFonts w:cs="Times New Roman"/>
          <w:szCs w:val="20"/>
        </w:rPr>
        <w:t xml:space="preserve">an </w:t>
      </w:r>
      <w:r w:rsidRPr="0046317C">
        <w:rPr>
          <w:rFonts w:cs="Times New Roman"/>
          <w:szCs w:val="20"/>
        </w:rPr>
        <w:t xml:space="preserve">IOU contract providing local attributes procured by the CPE should stay in </w:t>
      </w:r>
      <w:r>
        <w:rPr>
          <w:rFonts w:cs="Times New Roman"/>
          <w:szCs w:val="20"/>
        </w:rPr>
        <w:t>its</w:t>
      </w:r>
      <w:r w:rsidRPr="0046317C">
        <w:rPr>
          <w:rFonts w:cs="Times New Roman"/>
          <w:szCs w:val="20"/>
        </w:rPr>
        <w:t xml:space="preserve"> original cost recovery mechanism for the duration of the CPE contract and the CPE will apply credits/debits to the appropriate accounts to reflect costs of the local RA.  For example, if an IOU resource is PCIA-eligible, and costs are recorded in the Portfolio Allocation Balancing Account (PABA), costs would remain in PABA for the duration of the CPE procurement.  However, costs of the local resource will be charged to CAM and offsetting credits recorded in the subaccounts of the PABA.  Credits will reduce the costs recovered in PABA by the costs of the local resources procured by the CPE and recovered through CAM.</w:t>
      </w:r>
    </w:p>
    <w:p w:rsidRPr="0046317C" w:rsidR="00BB7CF6" w:rsidP="00BB7CF6" w:rsidRDefault="00BB7CF6" w14:paraId="196F8402" w14:textId="77777777">
      <w:pPr>
        <w:rPr>
          <w:rFonts w:cs="Times New Roman"/>
          <w:szCs w:val="20"/>
        </w:rPr>
      </w:pPr>
      <w:r w:rsidRPr="0046317C">
        <w:rPr>
          <w:rFonts w:cs="Times New Roman"/>
          <w:szCs w:val="20"/>
        </w:rPr>
        <w:t>CalCCA seeks clarification regarding the Commission’s statement in D.20</w:t>
      </w:r>
      <w:r>
        <w:rPr>
          <w:rFonts w:cs="Times New Roman"/>
          <w:szCs w:val="20"/>
        </w:rPr>
        <w:noBreakHyphen/>
      </w:r>
      <w:r w:rsidRPr="0046317C">
        <w:rPr>
          <w:rFonts w:cs="Times New Roman"/>
          <w:szCs w:val="20"/>
        </w:rPr>
        <w:t>06-002 that “[s]hown resources are still subject to the local PCIA benchmarks adopted in D.19-10-001, which provide an RA capacity offset to the PCIA charge.”</w:t>
      </w:r>
      <w:r w:rsidRPr="0046317C">
        <w:rPr>
          <w:rFonts w:cs="Times New Roman"/>
          <w:szCs w:val="20"/>
          <w:vertAlign w:val="superscript"/>
        </w:rPr>
        <w:footnoteReference w:id="121"/>
      </w:r>
      <w:r w:rsidRPr="0046317C">
        <w:rPr>
          <w:rFonts w:cs="Times New Roman"/>
          <w:szCs w:val="20"/>
        </w:rPr>
        <w:t xml:space="preserve">  CalCCA states that benchmarks are applied in the PCIA for purposes of pricing resource attributes retained for bundled customer use, and if a resource is shown for local RA (rather than bid), the IOU likely has retained the resource to use as system RA.  CalCCA states that if bundled customers retain the resource for system use, the appropriate price for retention is the system RA benchmark, not the local benchmark.</w:t>
      </w:r>
    </w:p>
    <w:p w:rsidRPr="0046317C" w:rsidR="00BB7CF6" w:rsidP="00BB7CF6" w:rsidRDefault="00BB7CF6" w14:paraId="662812EC" w14:textId="77777777">
      <w:pPr>
        <w:rPr>
          <w:rFonts w:cs="Times New Roman"/>
          <w:szCs w:val="20"/>
        </w:rPr>
      </w:pPr>
      <w:r>
        <w:rPr>
          <w:rFonts w:cs="Times New Roman"/>
          <w:szCs w:val="20"/>
        </w:rPr>
        <w:t xml:space="preserve">The Commission finds that PG&amp;E’s proposals provide necessary clarifications for how costs and benefits associated with IOU transactions (both self-shown and bid) should be accounted for.  These clarifications will help </w:t>
      </w:r>
      <w:r>
        <w:rPr>
          <w:rFonts w:cs="Times New Roman"/>
          <w:szCs w:val="20"/>
        </w:rPr>
        <w:lastRenderedPageBreak/>
        <w:t xml:space="preserve">ensure IOU participation, to the fullest extent possible, in the CPE’s solicitation process.  We also believe that these clarifications are consistent with the cost allocation mechanism adopted in D.20-06-002.  PG&amp;E’s proposals also appear to address the concerns raised by SCE.  Accordingly, PG&amp;E’s proposals, outlined above, are adopted. </w:t>
      </w:r>
    </w:p>
    <w:p w:rsidR="00BB7CF6" w:rsidP="00BB7CF6" w:rsidRDefault="00BB7CF6" w14:paraId="2A6ACB8A" w14:textId="77777777">
      <w:pPr>
        <w:rPr>
          <w:rFonts w:cs="Times New Roman"/>
          <w:szCs w:val="20"/>
        </w:rPr>
      </w:pPr>
      <w:r w:rsidRPr="0046317C">
        <w:rPr>
          <w:rFonts w:cs="Times New Roman"/>
          <w:szCs w:val="20"/>
        </w:rPr>
        <w:t xml:space="preserve">Regarding CalCCA’s clarification, currently </w:t>
      </w:r>
      <w:r>
        <w:rPr>
          <w:rFonts w:cs="Times New Roman"/>
          <w:szCs w:val="20"/>
        </w:rPr>
        <w:t xml:space="preserve">local RA </w:t>
      </w:r>
      <w:r w:rsidRPr="0046317C">
        <w:rPr>
          <w:rFonts w:cs="Times New Roman"/>
          <w:szCs w:val="20"/>
        </w:rPr>
        <w:t>PCIA benchmarks are based on the location of the resource, not on whether they are used to meet system RA requirements.  As such, the requested clarification is inapplicable.</w:t>
      </w:r>
    </w:p>
    <w:p w:rsidR="00BB7CF6" w:rsidP="00BB7CF6" w:rsidRDefault="00BB7CF6" w14:paraId="5E0F44DF" w14:textId="77777777">
      <w:pPr>
        <w:pStyle w:val="Heading1"/>
      </w:pPr>
      <w:bookmarkStart w:name="_Toc95232128" w:id="82"/>
      <w:r>
        <w:t>Comments on Proposed Decision</w:t>
      </w:r>
      <w:bookmarkEnd w:id="82"/>
    </w:p>
    <w:p w:rsidR="00BB7CF6" w:rsidP="00BB7CF6" w:rsidRDefault="00BB7CF6" w14:paraId="0AD213C1" w14:textId="0B292F09">
      <w:pPr>
        <w:pStyle w:val="Standard"/>
      </w:pPr>
      <w:r w:rsidRPr="00A72446">
        <w:t>The proposed decision</w:t>
      </w:r>
      <w:r>
        <w:t xml:space="preserve"> </w:t>
      </w:r>
      <w:r w:rsidR="0081243A">
        <w:t xml:space="preserve">of </w:t>
      </w:r>
      <w:r>
        <w:t>ALJ Chiv</w:t>
      </w:r>
      <w:r w:rsidRPr="00A72446">
        <w:t xml:space="preserve"> in this matter was mailed to the parties in accordance with Section 311 of the Public Utilities Code and comments were allowed under Rule 14.3 of the Commission’s Rules of Practice and Procedure.  Comments were filed on </w:t>
      </w:r>
      <w:r w:rsidR="0050724B">
        <w:t xml:space="preserve">March 2, 2022 by: </w:t>
      </w:r>
      <w:r w:rsidR="001E3463">
        <w:t xml:space="preserve">CAISO, </w:t>
      </w:r>
      <w:r w:rsidR="0050724B">
        <w:t>CalCCA</w:t>
      </w:r>
      <w:r w:rsidR="00900BAB">
        <w:t>, Calpine</w:t>
      </w:r>
      <w:r w:rsidR="007A53F9">
        <w:t>,</w:t>
      </w:r>
      <w:r w:rsidR="0054798F">
        <w:t xml:space="preserve"> Cal Advocates,</w:t>
      </w:r>
      <w:r w:rsidR="007A53F9">
        <w:t xml:space="preserve"> </w:t>
      </w:r>
      <w:r w:rsidR="0054798F">
        <w:t xml:space="preserve">CEJA/UCS, </w:t>
      </w:r>
      <w:r w:rsidR="007A53F9">
        <w:t>GPI</w:t>
      </w:r>
      <w:r w:rsidR="006C7BB6">
        <w:t xml:space="preserve">, </w:t>
      </w:r>
      <w:r w:rsidR="0054798F">
        <w:t xml:space="preserve">MRP, PG&amp;E, </w:t>
      </w:r>
      <w:r w:rsidR="003B4043">
        <w:t xml:space="preserve">SCE, and </w:t>
      </w:r>
      <w:r w:rsidR="006C7BB6">
        <w:t>Shell</w:t>
      </w:r>
      <w:r w:rsidR="0050724B">
        <w:t>.</w:t>
      </w:r>
      <w:r w:rsidRPr="00A72446">
        <w:t xml:space="preserve"> </w:t>
      </w:r>
      <w:r w:rsidR="0050724B">
        <w:t xml:space="preserve"> R</w:t>
      </w:r>
      <w:r w:rsidRPr="00A72446">
        <w:t xml:space="preserve">eply comments were filed on </w:t>
      </w:r>
      <w:r w:rsidR="002A6FD1">
        <w:t>March 7, 2022</w:t>
      </w:r>
      <w:r w:rsidRPr="00A72446">
        <w:t xml:space="preserve"> by</w:t>
      </w:r>
      <w:r w:rsidR="00F05A92">
        <w:t>:</w:t>
      </w:r>
      <w:r>
        <w:t> </w:t>
      </w:r>
      <w:r w:rsidR="002A6FD1">
        <w:t>CalCCA, CEJA/UCS, MRP, PG&amp;E and SCE</w:t>
      </w:r>
      <w:r>
        <w:t>.</w:t>
      </w:r>
    </w:p>
    <w:p w:rsidR="00BB0943" w:rsidP="00BB0943" w:rsidRDefault="00F90BD7" w14:paraId="1E4C0932" w14:textId="6177CE1C">
      <w:pPr>
        <w:pStyle w:val="standard0"/>
        <w:rPr>
          <w:rFonts w:ascii="Book Antiqua" w:hAnsi="Book Antiqua"/>
        </w:rPr>
      </w:pPr>
      <w:r>
        <w:rPr>
          <w:rFonts w:ascii="Book Antiqua" w:hAnsi="Book Antiqua"/>
        </w:rPr>
        <w:t xml:space="preserve">All comments have been carefully considered.  Significant aspects of the proposed decision that have been revised in light of comments are mentioned in this section.  However, additional changes may be made to the proposed decision in response to comments that may not be discussed here.  We do not summarize every comment but focus on major arguments made in which the Commission did or did not make revisions in response to party input.  </w:t>
      </w:r>
    </w:p>
    <w:p w:rsidR="0051519F" w:rsidP="00F46BC6" w:rsidRDefault="00564A6D" w14:paraId="660FBADE" w14:textId="48727217">
      <w:pPr>
        <w:pStyle w:val="Standard"/>
      </w:pPr>
      <w:r>
        <w:t xml:space="preserve">CAISO and PG&amp;E support the decision’s CPE timeline.  SCE comments that the timeline should be modified to give the CPE eight weeks </w:t>
      </w:r>
      <w:r w:rsidR="00B97B9A">
        <w:t xml:space="preserve">after receiving final allocations </w:t>
      </w:r>
      <w:r>
        <w:t>to</w:t>
      </w:r>
      <w:r w:rsidR="00B97B9A">
        <w:t xml:space="preserve"> finalize procurement</w:t>
      </w:r>
      <w:r>
        <w:t xml:space="preserve">.  </w:t>
      </w:r>
      <w:r w:rsidR="00006669">
        <w:t xml:space="preserve">Shell and CalCCA oppose the timeline and </w:t>
      </w:r>
      <w:r w:rsidR="00F05A92">
        <w:t>reiterate</w:t>
      </w:r>
      <w:r w:rsidR="00006669">
        <w:t xml:space="preserve"> that LSEs </w:t>
      </w:r>
      <w:r w:rsidR="005210D7">
        <w:t>do not have sufficient</w:t>
      </w:r>
      <w:r w:rsidR="00006669">
        <w:t xml:space="preserve"> time to procure to meet RA obligations.  CalCCA </w:t>
      </w:r>
      <w:r w:rsidR="005210D7">
        <w:t>disputes</w:t>
      </w:r>
      <w:r w:rsidR="00006669">
        <w:t xml:space="preserve"> that LSEs and CPEs </w:t>
      </w:r>
      <w:r>
        <w:t>receive</w:t>
      </w:r>
      <w:r w:rsidR="00006669">
        <w:t xml:space="preserve"> a similar amount of </w:t>
      </w:r>
      <w:r w:rsidR="00006669">
        <w:lastRenderedPageBreak/>
        <w:t>time to complete procurement</w:t>
      </w:r>
      <w:r w:rsidR="00F05A92">
        <w:t xml:space="preserve"> and </w:t>
      </w:r>
      <w:r w:rsidR="005210D7">
        <w:t>argues</w:t>
      </w:r>
      <w:r w:rsidR="00F05A92">
        <w:t xml:space="preserve"> </w:t>
      </w:r>
      <w:r w:rsidR="006551BB">
        <w:t>that</w:t>
      </w:r>
      <w:r w:rsidR="002B098A">
        <w:t xml:space="preserve"> </w:t>
      </w:r>
      <w:r w:rsidR="00006669">
        <w:t xml:space="preserve">the time between LSEs receiving credits from the CPE and year-ahead showings is reduced from 13 months to </w:t>
      </w:r>
      <w:r w:rsidR="00E106A6">
        <w:t>two</w:t>
      </w:r>
      <w:r w:rsidR="00006669">
        <w:t xml:space="preserve"> months.  </w:t>
      </w:r>
      <w:r>
        <w:t xml:space="preserve">PG&amp;E </w:t>
      </w:r>
      <w:r w:rsidR="005210D7">
        <w:t>disagrees with</w:t>
      </w:r>
      <w:r>
        <w:t xml:space="preserve"> </w:t>
      </w:r>
      <w:r w:rsidR="005210D7">
        <w:t>CalCCA</w:t>
      </w:r>
      <w:r>
        <w:t xml:space="preserve"> and </w:t>
      </w:r>
      <w:r w:rsidR="00E106A6">
        <w:t>states</w:t>
      </w:r>
      <w:r>
        <w:t xml:space="preserve"> that </w:t>
      </w:r>
      <w:r w:rsidR="005210D7">
        <w:t xml:space="preserve">under the adopted timeline, </w:t>
      </w:r>
      <w:r>
        <w:t>CPE</w:t>
      </w:r>
      <w:r w:rsidR="005210D7">
        <w:t>s</w:t>
      </w:r>
      <w:r>
        <w:t xml:space="preserve"> receive final allocations in late June with a </w:t>
      </w:r>
      <w:r w:rsidR="005210D7">
        <w:t xml:space="preserve">mid-August </w:t>
      </w:r>
      <w:r>
        <w:t>showing deadline (allowing 6-8 weeks to procure)</w:t>
      </w:r>
      <w:r w:rsidR="005210D7">
        <w:t xml:space="preserve">.  </w:t>
      </w:r>
      <w:r>
        <w:t>LSEs receive final allocations at the end of August 2022 with a</w:t>
      </w:r>
      <w:r w:rsidR="005210D7">
        <w:t>n end of October</w:t>
      </w:r>
      <w:r>
        <w:t xml:space="preserve"> showing deadline (allowing 6-8 weeks to procure).  </w:t>
      </w:r>
      <w:r w:rsidR="00881DFC">
        <w:t xml:space="preserve">CalCCA </w:t>
      </w:r>
      <w:r w:rsidR="002D008B">
        <w:t>reiterates</w:t>
      </w:r>
      <w:r w:rsidR="00881DFC">
        <w:t xml:space="preserve"> that the CPE </w:t>
      </w:r>
      <w:r w:rsidR="002D008B">
        <w:t xml:space="preserve">should </w:t>
      </w:r>
      <w:r w:rsidR="00881DFC">
        <w:t xml:space="preserve">finalize procurement by June 2022, while Shell recommends finalizing procurement by July 2022.  </w:t>
      </w:r>
      <w:r w:rsidR="00735E1F">
        <w:t xml:space="preserve">PG&amp;E </w:t>
      </w:r>
      <w:r w:rsidR="00826A22">
        <w:t xml:space="preserve">and SCE </w:t>
      </w:r>
      <w:r w:rsidR="00735E1F">
        <w:t xml:space="preserve">oppose </w:t>
      </w:r>
      <w:r w:rsidR="00881DFC">
        <w:t>Shell</w:t>
      </w:r>
      <w:r w:rsidR="002D008B">
        <w:t>’s</w:t>
      </w:r>
      <w:r w:rsidR="00881DFC">
        <w:t xml:space="preserve"> and CalCCA’s</w:t>
      </w:r>
      <w:r w:rsidR="00735E1F">
        <w:t xml:space="preserve"> propos</w:t>
      </w:r>
      <w:r w:rsidR="005655FC">
        <w:t>als</w:t>
      </w:r>
      <w:r w:rsidR="00735E1F">
        <w:t xml:space="preserve">, as </w:t>
      </w:r>
      <w:r w:rsidR="005210D7">
        <w:t>each</w:t>
      </w:r>
      <w:r w:rsidR="00735E1F">
        <w:t xml:space="preserve"> </w:t>
      </w:r>
      <w:r w:rsidR="005210D7">
        <w:t xml:space="preserve">would </w:t>
      </w:r>
      <w:r w:rsidR="00881DFC">
        <w:t xml:space="preserve">require the CPE to procure before receiving final allocations and </w:t>
      </w:r>
      <w:r w:rsidR="005210D7">
        <w:t xml:space="preserve">would </w:t>
      </w:r>
      <w:r w:rsidR="00881DFC">
        <w:t>give</w:t>
      </w:r>
      <w:r w:rsidR="00735E1F">
        <w:t xml:space="preserve"> the CPE less than four weeks to procure after receiving </w:t>
      </w:r>
      <w:r w:rsidR="005210D7">
        <w:t xml:space="preserve">final </w:t>
      </w:r>
      <w:r w:rsidR="00881DFC">
        <w:t>allocations.</w:t>
      </w:r>
      <w:r w:rsidR="00ED1ED5">
        <w:t xml:space="preserve">  </w:t>
      </w:r>
    </w:p>
    <w:p w:rsidR="00BB449E" w:rsidP="004B7DED" w:rsidRDefault="00AF3CBB" w14:paraId="07D3BBB4" w14:textId="21BE30A0">
      <w:pPr>
        <w:pStyle w:val="Standard"/>
      </w:pPr>
      <w:r>
        <w:t xml:space="preserve">As discussed in the decision, the Commission must balance the need for LSEs to have sufficient time to incorporate the CPE’s procurement into their portfolio planning, with the need for the CPE to have adequate time to complete an effective solicitation that accounts for the procurement review process.  </w:t>
      </w:r>
      <w:r w:rsidR="004B7DED">
        <w:t xml:space="preserve">We </w:t>
      </w:r>
      <w:r w:rsidR="00D440D4">
        <w:t>maintain that</w:t>
      </w:r>
      <w:r w:rsidR="004B7DED">
        <w:t xml:space="preserve"> the</w:t>
      </w:r>
      <w:r>
        <w:t xml:space="preserve"> adopted timeline strikes the appropriate balance between the competing needs</w:t>
      </w:r>
      <w:r w:rsidR="00D440D4">
        <w:t>,</w:t>
      </w:r>
      <w:r>
        <w:t xml:space="preserve"> </w:t>
      </w:r>
      <w:r w:rsidR="004B7DED">
        <w:t xml:space="preserve">and </w:t>
      </w:r>
      <w:r>
        <w:t>we decline to modify the timeline</w:t>
      </w:r>
      <w:r w:rsidR="004B7DED">
        <w:t>.  However,</w:t>
      </w:r>
      <w:r>
        <w:t xml:space="preserve"> </w:t>
      </w:r>
      <w:r w:rsidR="004B7DED">
        <w:t xml:space="preserve">given the PG&amp;E procurement shortfalls for the 2023 compliance year, </w:t>
      </w:r>
      <w:r w:rsidR="00D440D4">
        <w:t>we</w:t>
      </w:r>
      <w:r w:rsidR="004B7DED">
        <w:t xml:space="preserve"> find it reasonable to give LSEs</w:t>
      </w:r>
      <w:r w:rsidR="00861E9D">
        <w:t xml:space="preserve"> in the PG&amp;E TAC area</w:t>
      </w:r>
      <w:r w:rsidR="004B7DED">
        <w:t xml:space="preserve"> </w:t>
      </w:r>
      <w:r w:rsidR="00D440D4">
        <w:t>additional</w:t>
      </w:r>
      <w:r w:rsidR="004B7DED">
        <w:t xml:space="preserve"> flexibility in securing their </w:t>
      </w:r>
      <w:r w:rsidR="00861E9D">
        <w:t xml:space="preserve">year-ahead system and flexible </w:t>
      </w:r>
      <w:r w:rsidR="004B7DED">
        <w:t>RA portfolios</w:t>
      </w:r>
      <w:r w:rsidR="00F46BC6">
        <w:t xml:space="preserve"> for the 2023 RA compliance year</w:t>
      </w:r>
      <w:r w:rsidR="004B7DED">
        <w:t xml:space="preserve">.  </w:t>
      </w:r>
      <w:r w:rsidR="00367CDC">
        <w:t>As such, f</w:t>
      </w:r>
      <w:r>
        <w:t xml:space="preserve">or </w:t>
      </w:r>
      <w:r w:rsidR="008008EA">
        <w:t xml:space="preserve">2023 year-ahead </w:t>
      </w:r>
      <w:r w:rsidR="004B7DED">
        <w:t xml:space="preserve">RA compliance only, Energy Division </w:t>
      </w:r>
      <w:r w:rsidR="00C1080A">
        <w:t>will</w:t>
      </w:r>
      <w:r w:rsidR="004B7DED">
        <w:t xml:space="preserve"> not send deficienc</w:t>
      </w:r>
      <w:r w:rsidR="00367CDC">
        <w:t>y</w:t>
      </w:r>
      <w:r w:rsidR="004B7DED">
        <w:t xml:space="preserve"> notices </w:t>
      </w:r>
      <w:r w:rsidR="00367CDC">
        <w:t>to LSEs</w:t>
      </w:r>
      <w:r w:rsidR="00861E9D">
        <w:t xml:space="preserve"> in the PG&amp;E TAC area</w:t>
      </w:r>
      <w:r w:rsidR="00367CDC">
        <w:t xml:space="preserve"> </w:t>
      </w:r>
      <w:r w:rsidR="00E078DB">
        <w:t>before</w:t>
      </w:r>
      <w:r w:rsidR="004B7DED">
        <w:t xml:space="preserve"> January 1 following the year-ahead showing deadline.  The decision has been modified to reflect this.</w:t>
      </w:r>
    </w:p>
    <w:p w:rsidR="00785BD8" w:rsidP="00D23081" w:rsidRDefault="00BB0943" w14:paraId="5FE825CC" w14:textId="671E7B95">
      <w:pPr>
        <w:pStyle w:val="Standard"/>
      </w:pPr>
      <w:r>
        <w:t xml:space="preserve">CalCCA </w:t>
      </w:r>
      <w:r w:rsidR="00740D1E">
        <w:t>comments</w:t>
      </w:r>
      <w:r>
        <w:t xml:space="preserve"> that assigning backstop costs if a self-shown resource cannot perform for reasons other than a planned outage </w:t>
      </w:r>
      <w:r w:rsidR="00935482">
        <w:t>may result in an LSE being subject to high backstop costs</w:t>
      </w:r>
      <w:r>
        <w:t xml:space="preserve">.  CalCCA recommends that the CPE allocate </w:t>
      </w:r>
      <w:r>
        <w:lastRenderedPageBreak/>
        <w:t>backstop costs pro</w:t>
      </w:r>
      <w:r w:rsidR="00785BD8">
        <w:t>-</w:t>
      </w:r>
      <w:r>
        <w:t xml:space="preserve">rata to all LSEs, commensurate with the benefits received.  </w:t>
      </w:r>
      <w:r w:rsidR="00834D8F">
        <w:rPr>
          <w:rFonts w:cs="Times New Roman"/>
          <w:color w:val="000000"/>
          <w:szCs w:val="26"/>
        </w:rPr>
        <w:t>CalCCA states that when an LSE self-shows,</w:t>
      </w:r>
      <w:r w:rsidRPr="0046317C" w:rsidR="00834D8F">
        <w:rPr>
          <w:rFonts w:cs="Times New Roman"/>
          <w:szCs w:val="20"/>
        </w:rPr>
        <w:t xml:space="preserve"> </w:t>
      </w:r>
      <w:r w:rsidR="00834D8F">
        <w:rPr>
          <w:rFonts w:cs="Times New Roman"/>
          <w:szCs w:val="20"/>
        </w:rPr>
        <w:t xml:space="preserve">it only receives a reduction in CPE costs pro-rata based on its load share in the local area.  However, if the self-shown resource fails to perform, the LSE would take on 100% of the CPM cost risk, introducing additional risks to self-showing.  </w:t>
      </w:r>
      <w:r>
        <w:t xml:space="preserve">CalCCA </w:t>
      </w:r>
      <w:r w:rsidR="00340A57">
        <w:t>also proposes</w:t>
      </w:r>
      <w:r>
        <w:t xml:space="preserve"> </w:t>
      </w:r>
      <w:r w:rsidR="00340A57">
        <w:t>allowing the self-showing LSE an opportunity to substitute the non-performing resource for a like-for-like local resource</w:t>
      </w:r>
      <w:r w:rsidR="00D23081">
        <w:t xml:space="preserve">, and </w:t>
      </w:r>
      <w:r w:rsidR="00D23081">
        <w:rPr>
          <w:rFonts w:cs="Times New Roman"/>
          <w:szCs w:val="20"/>
        </w:rPr>
        <w:t>if there is no substitution, the CPE should be allowed to replace the non-performing resource.</w:t>
      </w:r>
    </w:p>
    <w:p w:rsidR="00BB0943" w:rsidP="00270E6F" w:rsidRDefault="00BB0943" w14:paraId="487D9560" w14:textId="4AD50858">
      <w:pPr>
        <w:pStyle w:val="Standard"/>
      </w:pPr>
      <w:r>
        <w:t xml:space="preserve">The Commission believes that LSEs have strong incentives to show procured local resources </w:t>
      </w:r>
      <w:r w:rsidR="006A2577">
        <w:t>because of</w:t>
      </w:r>
      <w:r>
        <w:t xml:space="preserve"> the penalty regime adopted in the RA program</w:t>
      </w:r>
      <w:r w:rsidR="006A2577">
        <w:t xml:space="preserve"> for system </w:t>
      </w:r>
      <w:r w:rsidR="000B1C3D">
        <w:t xml:space="preserve">RA </w:t>
      </w:r>
      <w:r w:rsidR="006A2577">
        <w:t>deficiencies</w:t>
      </w:r>
      <w:r>
        <w:t xml:space="preserve">.  </w:t>
      </w:r>
      <w:r w:rsidR="00D23081">
        <w:t>We, however,</w:t>
      </w:r>
      <w:r>
        <w:t xml:space="preserve"> find CalCCA’s proposal for allocating backstop costs</w:t>
      </w:r>
      <w:r w:rsidR="006A2577">
        <w:t xml:space="preserve"> pro-rata</w:t>
      </w:r>
      <w:r w:rsidR="000B1C3D">
        <w:t xml:space="preserve"> </w:t>
      </w:r>
      <w:r w:rsidR="00D23081">
        <w:t xml:space="preserve">to all LSEs </w:t>
      </w:r>
      <w:r w:rsidR="006A2577">
        <w:t xml:space="preserve">to be </w:t>
      </w:r>
      <w:r>
        <w:t>reasonable</w:t>
      </w:r>
      <w:r w:rsidR="000B1C3D">
        <w:t xml:space="preserve"> in reducing a further </w:t>
      </w:r>
      <w:r w:rsidR="00F46BC6">
        <w:t xml:space="preserve">potential </w:t>
      </w:r>
      <w:r w:rsidR="000B1C3D">
        <w:t>disincentive to self-showing</w:t>
      </w:r>
      <w:r>
        <w:t>.</w:t>
      </w:r>
      <w:r w:rsidR="000B1C3D">
        <w:t xml:space="preserve">  We also find the proposal to allow an LSE to substitute a non-performing local resource to be reasonable.</w:t>
      </w:r>
      <w:r w:rsidR="004F4E82">
        <w:t xml:space="preserve">  </w:t>
      </w:r>
      <w:r w:rsidR="00D23081">
        <w:rPr>
          <w:rFonts w:cs="Times New Roman"/>
          <w:szCs w:val="20"/>
        </w:rPr>
        <w:t xml:space="preserve">It is unclear how the CPE can replace a non-performing resource, as the CPE makes its procurement ahead of the year-ahead filing and does not manage replacement throughout the year.  </w:t>
      </w:r>
      <w:r w:rsidR="00D23081">
        <w:t>As such</w:t>
      </w:r>
      <w:r>
        <w:t xml:space="preserve">, we adopt </w:t>
      </w:r>
      <w:r w:rsidR="006A2577">
        <w:t>CalCCA’s proposal</w:t>
      </w:r>
      <w:r>
        <w:t xml:space="preserve"> </w:t>
      </w:r>
      <w:r w:rsidR="00D23081">
        <w:t>to allow an LSE to substitute a non-performing resource for a like-for-like resource, and the proposal to allocate backstop costs pro-rata to all LSEs.  T</w:t>
      </w:r>
      <w:r>
        <w:t xml:space="preserve">he decision has been </w:t>
      </w:r>
      <w:r w:rsidR="00D23081">
        <w:t>amended with these changes.</w:t>
      </w:r>
    </w:p>
    <w:p w:rsidRPr="00EC4FBB" w:rsidR="00270E6F" w:rsidP="00F46BC6" w:rsidRDefault="00270E6F" w14:paraId="561B5F09" w14:textId="300FAAEF">
      <w:pPr>
        <w:pStyle w:val="standard0"/>
      </w:pPr>
      <w:r>
        <w:rPr>
          <w:rFonts w:ascii="Book Antiqua" w:hAnsi="Book Antiqua"/>
        </w:rPr>
        <w:t>PG&amp;E comments that existing self-showing contracts must be addressed since the decision no longer requires contracts between LSEs and the CPE.  PG&amp;E recommends adopting its previous proposal with the modification that any ex</w:t>
      </w:r>
      <w:r w:rsidR="00563CC2">
        <w:rPr>
          <w:rFonts w:ascii="Book Antiqua" w:hAnsi="Book Antiqua"/>
        </w:rPr>
        <w:t>isting</w:t>
      </w:r>
      <w:r>
        <w:rPr>
          <w:rFonts w:ascii="Book Antiqua" w:hAnsi="Book Antiqua"/>
        </w:rPr>
        <w:t xml:space="preserve"> self-showing contract include, or be amended to include, a provision that results in automatic termination of the self-showing contract upon submission by the LSE to the CPE of an attestation, provided that the attestation </w:t>
      </w:r>
      <w:r>
        <w:rPr>
          <w:rFonts w:ascii="Book Antiqua" w:hAnsi="Book Antiqua"/>
        </w:rPr>
        <w:lastRenderedPageBreak/>
        <w:t xml:space="preserve">complies with all relevant requirements.  PG&amp;E also recommends that an amendment and/or termination of any existing self-showing contract for which an attestation is submitted should be deemed reasonable and not subject to contract management review.  SCE agrees with PG&amp;E’s proposal as </w:t>
      </w:r>
      <w:r w:rsidR="007A047E">
        <w:rPr>
          <w:rFonts w:ascii="Book Antiqua" w:hAnsi="Book Antiqua"/>
        </w:rPr>
        <w:t>it</w:t>
      </w:r>
      <w:r>
        <w:rPr>
          <w:rFonts w:ascii="Book Antiqua" w:hAnsi="Book Antiqua"/>
        </w:rPr>
        <w:t xml:space="preserve"> would simpl</w:t>
      </w:r>
      <w:r w:rsidR="007E636C">
        <w:rPr>
          <w:rFonts w:ascii="Book Antiqua" w:hAnsi="Book Antiqua"/>
        </w:rPr>
        <w:t>if</w:t>
      </w:r>
      <w:r>
        <w:rPr>
          <w:rFonts w:ascii="Book Antiqua" w:hAnsi="Book Antiqua"/>
        </w:rPr>
        <w:t xml:space="preserve">y the self-show process for LSEs and the CPEs.  The Commission agrees with PG&amp;E’s recommendation, and the decision has been modified to </w:t>
      </w:r>
      <w:r w:rsidR="00CF025D">
        <w:rPr>
          <w:rFonts w:ascii="Book Antiqua" w:hAnsi="Book Antiqua"/>
        </w:rPr>
        <w:t>add</w:t>
      </w:r>
      <w:r>
        <w:rPr>
          <w:rFonts w:ascii="Book Antiqua" w:hAnsi="Book Antiqua"/>
        </w:rPr>
        <w:t xml:space="preserve"> these requirements.</w:t>
      </w:r>
    </w:p>
    <w:p w:rsidR="00CF025D" w:rsidP="00CF025D" w:rsidRDefault="00936B16" w14:paraId="788E7E0F" w14:textId="6FED8E80">
      <w:pPr>
        <w:pStyle w:val="standard0"/>
        <w:rPr>
          <w:rFonts w:ascii="Book Antiqua" w:hAnsi="Book Antiqua"/>
        </w:rPr>
      </w:pPr>
      <w:r>
        <w:rPr>
          <w:rFonts w:ascii="Book Antiqua" w:hAnsi="Book Antiqua"/>
        </w:rPr>
        <w:t xml:space="preserve">SCE and PG&amp;E seek clarification as to how an LSE self-showing a preferred resource will receive payment of the LCR RCM premium.  SCE proposes that an LSE that self-shows preferred resources submit an attestation that identifies </w:t>
      </w:r>
      <w:r w:rsidR="001172C5">
        <w:rPr>
          <w:rFonts w:ascii="Book Antiqua" w:hAnsi="Book Antiqua"/>
        </w:rPr>
        <w:t xml:space="preserve">the preferred </w:t>
      </w:r>
      <w:r>
        <w:rPr>
          <w:rFonts w:ascii="Book Antiqua" w:hAnsi="Book Antiqua"/>
        </w:rPr>
        <w:t>resource and provide</w:t>
      </w:r>
      <w:r w:rsidR="00CF025D">
        <w:rPr>
          <w:rFonts w:ascii="Book Antiqua" w:hAnsi="Book Antiqua"/>
        </w:rPr>
        <w:t>s</w:t>
      </w:r>
      <w:r>
        <w:rPr>
          <w:rFonts w:ascii="Book Antiqua" w:hAnsi="Book Antiqua"/>
        </w:rPr>
        <w:t xml:space="preserve"> the CPE with </w:t>
      </w:r>
      <w:r w:rsidR="00CF025D">
        <w:rPr>
          <w:rFonts w:ascii="Book Antiqua" w:hAnsi="Book Antiqua"/>
        </w:rPr>
        <w:t>payment</w:t>
      </w:r>
      <w:r>
        <w:rPr>
          <w:rFonts w:ascii="Book Antiqua" w:hAnsi="Book Antiqua"/>
        </w:rPr>
        <w:t xml:space="preserve"> instructions.  The CPE will </w:t>
      </w:r>
      <w:r w:rsidR="00CF025D">
        <w:rPr>
          <w:rFonts w:ascii="Book Antiqua" w:hAnsi="Book Antiqua"/>
        </w:rPr>
        <w:t>then provide</w:t>
      </w:r>
      <w:r>
        <w:rPr>
          <w:rFonts w:ascii="Book Antiqua" w:hAnsi="Book Antiqua"/>
        </w:rPr>
        <w:t xml:space="preserve"> acknowledgement of the LCR RCM premium and other payment terms</w:t>
      </w:r>
      <w:r w:rsidR="00783368">
        <w:rPr>
          <w:rFonts w:ascii="Book Antiqua" w:hAnsi="Book Antiqua"/>
        </w:rPr>
        <w:t xml:space="preserve"> to the LSE</w:t>
      </w:r>
      <w:r>
        <w:rPr>
          <w:rFonts w:ascii="Book Antiqua" w:hAnsi="Book Antiqua"/>
        </w:rPr>
        <w:t>.  PG&amp;E</w:t>
      </w:r>
      <w:r w:rsidR="00861247">
        <w:rPr>
          <w:rFonts w:ascii="Book Antiqua" w:hAnsi="Book Antiqua"/>
        </w:rPr>
        <w:t xml:space="preserve"> </w:t>
      </w:r>
      <w:r>
        <w:rPr>
          <w:rFonts w:ascii="Book Antiqua" w:hAnsi="Book Antiqua"/>
        </w:rPr>
        <w:t>recommends</w:t>
      </w:r>
      <w:r w:rsidR="001172C5">
        <w:rPr>
          <w:rFonts w:ascii="Book Antiqua" w:hAnsi="Book Antiqua"/>
        </w:rPr>
        <w:t>, by contrast,</w:t>
      </w:r>
      <w:r>
        <w:rPr>
          <w:rFonts w:ascii="Book Antiqua" w:hAnsi="Book Antiqua"/>
        </w:rPr>
        <w:t xml:space="preserve"> that a self-showing LSE </w:t>
      </w:r>
      <w:r w:rsidR="00882AE3">
        <w:rPr>
          <w:rFonts w:ascii="Book Antiqua" w:hAnsi="Book Antiqua"/>
        </w:rPr>
        <w:t>execute</w:t>
      </w:r>
      <w:r>
        <w:rPr>
          <w:rFonts w:ascii="Book Antiqua" w:hAnsi="Book Antiqua"/>
        </w:rPr>
        <w:t xml:space="preserve"> a contract with the CPE that </w:t>
      </w:r>
      <w:r w:rsidR="00CF025D">
        <w:rPr>
          <w:rFonts w:ascii="Book Antiqua" w:hAnsi="Book Antiqua"/>
        </w:rPr>
        <w:t>includes</w:t>
      </w:r>
      <w:r>
        <w:rPr>
          <w:rFonts w:ascii="Book Antiqua" w:hAnsi="Book Antiqua"/>
        </w:rPr>
        <w:t xml:space="preserve"> payment and other terms for contracting for LCR RCM-eligible resources.  SCE opposes this and states that the CPE should have discretion to elect to either use PG&amp;E’s proposed process or </w:t>
      </w:r>
      <w:r w:rsidR="00CF025D">
        <w:rPr>
          <w:rFonts w:ascii="Book Antiqua" w:hAnsi="Book Antiqua"/>
        </w:rPr>
        <w:t xml:space="preserve">SCE’s </w:t>
      </w:r>
      <w:r w:rsidR="001C3070">
        <w:rPr>
          <w:rFonts w:ascii="Book Antiqua" w:hAnsi="Book Antiqua"/>
        </w:rPr>
        <w:t>proposal</w:t>
      </w:r>
      <w:r>
        <w:rPr>
          <w:rFonts w:ascii="Book Antiqua" w:hAnsi="Book Antiqua"/>
        </w:rPr>
        <w:t xml:space="preserve">. </w:t>
      </w:r>
    </w:p>
    <w:p w:rsidRPr="007A047E" w:rsidR="00BB449E" w:rsidP="00CF025D" w:rsidRDefault="00861247" w14:paraId="14782790" w14:textId="680CFE4D">
      <w:pPr>
        <w:pStyle w:val="standard0"/>
        <w:rPr>
          <w:rFonts w:ascii="Book Antiqua" w:hAnsi="Book Antiqua"/>
        </w:rPr>
      </w:pPr>
      <w:r>
        <w:rPr>
          <w:rFonts w:ascii="Book Antiqua" w:hAnsi="Book Antiqua"/>
        </w:rPr>
        <w:t xml:space="preserve">The Commission agrees with SCE’s modified proposal that the CPE should have discretion </w:t>
      </w:r>
      <w:r w:rsidR="00882AE3">
        <w:rPr>
          <w:rFonts w:ascii="Book Antiqua" w:hAnsi="Book Antiqua"/>
        </w:rPr>
        <w:t xml:space="preserve">to </w:t>
      </w:r>
      <w:r w:rsidR="00C5767C">
        <w:rPr>
          <w:rFonts w:ascii="Book Antiqua" w:hAnsi="Book Antiqua"/>
        </w:rPr>
        <w:t>require</w:t>
      </w:r>
      <w:r>
        <w:rPr>
          <w:rFonts w:ascii="Book Antiqua" w:hAnsi="Book Antiqua"/>
        </w:rPr>
        <w:t xml:space="preserve"> </w:t>
      </w:r>
      <w:r w:rsidR="000107D2">
        <w:rPr>
          <w:rFonts w:ascii="Book Antiqua" w:hAnsi="Book Antiqua"/>
        </w:rPr>
        <w:t xml:space="preserve">the self-showing LSE to </w:t>
      </w:r>
      <w:r>
        <w:rPr>
          <w:rFonts w:ascii="Book Antiqua" w:hAnsi="Book Antiqua"/>
        </w:rPr>
        <w:t xml:space="preserve">either: (a) </w:t>
      </w:r>
      <w:r w:rsidR="000107D2">
        <w:rPr>
          <w:rFonts w:ascii="Book Antiqua" w:hAnsi="Book Antiqua"/>
        </w:rPr>
        <w:t xml:space="preserve">execute a </w:t>
      </w:r>
      <w:r>
        <w:rPr>
          <w:rFonts w:ascii="Book Antiqua" w:hAnsi="Book Antiqua"/>
        </w:rPr>
        <w:t xml:space="preserve">contract </w:t>
      </w:r>
      <w:r w:rsidR="00882AE3">
        <w:rPr>
          <w:rFonts w:ascii="Book Antiqua" w:hAnsi="Book Antiqua"/>
        </w:rPr>
        <w:t>between the LSE and</w:t>
      </w:r>
      <w:r>
        <w:rPr>
          <w:rFonts w:ascii="Book Antiqua" w:hAnsi="Book Antiqua"/>
        </w:rPr>
        <w:t xml:space="preserve"> CPE </w:t>
      </w:r>
      <w:r w:rsidR="003478B4">
        <w:rPr>
          <w:rFonts w:ascii="Book Antiqua" w:hAnsi="Book Antiqua"/>
        </w:rPr>
        <w:t>with</w:t>
      </w:r>
      <w:r>
        <w:rPr>
          <w:rFonts w:ascii="Book Antiqua" w:hAnsi="Book Antiqua"/>
        </w:rPr>
        <w:t xml:space="preserve"> payment </w:t>
      </w:r>
      <w:r w:rsidR="003478B4">
        <w:rPr>
          <w:rFonts w:ascii="Book Antiqua" w:hAnsi="Book Antiqua"/>
        </w:rPr>
        <w:t xml:space="preserve">information </w:t>
      </w:r>
      <w:r>
        <w:rPr>
          <w:rFonts w:ascii="Book Antiqua" w:hAnsi="Book Antiqua"/>
        </w:rPr>
        <w:t xml:space="preserve">and other </w:t>
      </w:r>
      <w:r w:rsidR="003478B4">
        <w:rPr>
          <w:rFonts w:ascii="Book Antiqua" w:hAnsi="Book Antiqua"/>
        </w:rPr>
        <w:t>relevant terms</w:t>
      </w:r>
      <w:r>
        <w:rPr>
          <w:rFonts w:ascii="Book Antiqua" w:hAnsi="Book Antiqua"/>
        </w:rPr>
        <w:t xml:space="preserve">, or (b) </w:t>
      </w:r>
      <w:r w:rsidR="000107D2">
        <w:rPr>
          <w:rFonts w:ascii="Book Antiqua" w:hAnsi="Book Antiqua"/>
        </w:rPr>
        <w:t xml:space="preserve">submit </w:t>
      </w:r>
      <w:r>
        <w:rPr>
          <w:rFonts w:ascii="Book Antiqua" w:hAnsi="Book Antiqua"/>
        </w:rPr>
        <w:t>an attestation that identifies a resource as preferred and provide</w:t>
      </w:r>
      <w:r w:rsidR="00882AE3">
        <w:rPr>
          <w:rFonts w:ascii="Book Antiqua" w:hAnsi="Book Antiqua"/>
        </w:rPr>
        <w:t>s</w:t>
      </w:r>
      <w:r>
        <w:rPr>
          <w:rFonts w:ascii="Book Antiqua" w:hAnsi="Book Antiqua"/>
        </w:rPr>
        <w:t xml:space="preserve"> payment information</w:t>
      </w:r>
      <w:r w:rsidR="00197554">
        <w:rPr>
          <w:rFonts w:ascii="Book Antiqua" w:hAnsi="Book Antiqua"/>
        </w:rPr>
        <w:t>, with the CPE providing acknowledgment of the payment terms</w:t>
      </w:r>
      <w:r>
        <w:rPr>
          <w:rFonts w:ascii="Book Antiqua" w:hAnsi="Book Antiqua"/>
        </w:rPr>
        <w:t xml:space="preserve">. </w:t>
      </w:r>
      <w:r w:rsidR="00BB0943">
        <w:rPr>
          <w:rFonts w:ascii="Book Antiqua" w:hAnsi="Book Antiqua"/>
        </w:rPr>
        <w:t xml:space="preserve"> </w:t>
      </w:r>
      <w:r w:rsidR="00E078DB">
        <w:rPr>
          <w:rFonts w:ascii="Book Antiqua" w:hAnsi="Book Antiqua"/>
        </w:rPr>
        <w:t xml:space="preserve">According, we adopt this </w:t>
      </w:r>
      <w:r w:rsidR="00D72669">
        <w:rPr>
          <w:rFonts w:ascii="Book Antiqua" w:hAnsi="Book Antiqua"/>
        </w:rPr>
        <w:t>direction</w:t>
      </w:r>
      <w:r w:rsidR="00E078DB">
        <w:rPr>
          <w:rFonts w:ascii="Book Antiqua" w:hAnsi="Book Antiqua"/>
        </w:rPr>
        <w:t xml:space="preserve"> and t</w:t>
      </w:r>
      <w:r w:rsidR="00BB0943">
        <w:rPr>
          <w:rFonts w:ascii="Book Antiqua" w:hAnsi="Book Antiqua"/>
        </w:rPr>
        <w:t>he decision has been modified to reflect this.</w:t>
      </w:r>
    </w:p>
    <w:p w:rsidR="00513F62" w:rsidP="00274E6D" w:rsidRDefault="00797515" w14:paraId="5EA06F56" w14:textId="0B712F79">
      <w:pPr>
        <w:pStyle w:val="standard0"/>
        <w:rPr>
          <w:rFonts w:ascii="Book Antiqua" w:hAnsi="Book Antiqua"/>
        </w:rPr>
      </w:pPr>
      <w:r>
        <w:rPr>
          <w:rFonts w:ascii="Book Antiqua" w:hAnsi="Book Antiqua"/>
        </w:rPr>
        <w:t xml:space="preserve">PG&amp;E </w:t>
      </w:r>
      <w:r w:rsidR="00AF0B7B">
        <w:rPr>
          <w:rFonts w:ascii="Book Antiqua" w:hAnsi="Book Antiqua"/>
        </w:rPr>
        <w:t>proposes</w:t>
      </w:r>
      <w:r>
        <w:rPr>
          <w:rFonts w:ascii="Book Antiqua" w:hAnsi="Book Antiqua"/>
        </w:rPr>
        <w:t xml:space="preserve"> </w:t>
      </w:r>
      <w:r w:rsidR="00943BD9">
        <w:rPr>
          <w:rFonts w:ascii="Book Antiqua" w:hAnsi="Book Antiqua"/>
        </w:rPr>
        <w:t>removing</w:t>
      </w:r>
      <w:r>
        <w:rPr>
          <w:rFonts w:ascii="Book Antiqua" w:hAnsi="Book Antiqua"/>
        </w:rPr>
        <w:t xml:space="preserve"> the requirement that LSEs provide planned outage</w:t>
      </w:r>
      <w:r w:rsidR="00AF0B7B">
        <w:rPr>
          <w:rFonts w:ascii="Book Antiqua" w:hAnsi="Book Antiqua"/>
        </w:rPr>
        <w:t xml:space="preserve">s </w:t>
      </w:r>
      <w:r>
        <w:rPr>
          <w:rFonts w:ascii="Book Antiqua" w:hAnsi="Book Antiqua"/>
        </w:rPr>
        <w:t xml:space="preserve">60 days </w:t>
      </w:r>
      <w:r w:rsidR="00AF0B7B">
        <w:rPr>
          <w:rFonts w:ascii="Book Antiqua" w:hAnsi="Book Antiqua"/>
        </w:rPr>
        <w:t>before</w:t>
      </w:r>
      <w:r>
        <w:rPr>
          <w:rFonts w:ascii="Book Antiqua" w:hAnsi="Book Antiqua"/>
        </w:rPr>
        <w:t xml:space="preserve"> the showing month.</w:t>
      </w:r>
      <w:r w:rsidR="00B81FDF">
        <w:rPr>
          <w:rFonts w:ascii="Book Antiqua" w:hAnsi="Book Antiqua"/>
        </w:rPr>
        <w:t xml:space="preserve">  </w:t>
      </w:r>
      <w:r w:rsidR="00943BD9">
        <w:rPr>
          <w:rFonts w:ascii="Book Antiqua" w:hAnsi="Book Antiqua"/>
        </w:rPr>
        <w:t xml:space="preserve">PG&amp;E </w:t>
      </w:r>
      <w:r w:rsidR="00B81FDF">
        <w:rPr>
          <w:rFonts w:ascii="Book Antiqua" w:hAnsi="Book Antiqua"/>
        </w:rPr>
        <w:t xml:space="preserve">notes that planned outages </w:t>
      </w:r>
      <w:r w:rsidR="00B81FDF">
        <w:rPr>
          <w:rFonts w:ascii="Book Antiqua" w:hAnsi="Book Antiqua"/>
        </w:rPr>
        <w:lastRenderedPageBreak/>
        <w:t xml:space="preserve">scheduled 60 days prior can be updated </w:t>
      </w:r>
      <w:r w:rsidR="000551FB">
        <w:rPr>
          <w:rFonts w:ascii="Book Antiqua" w:hAnsi="Book Antiqua"/>
        </w:rPr>
        <w:t>up t</w:t>
      </w:r>
      <w:r w:rsidR="00B81FDF">
        <w:rPr>
          <w:rFonts w:ascii="Book Antiqua" w:hAnsi="Book Antiqua"/>
        </w:rPr>
        <w:t>o seven days before the outage</w:t>
      </w:r>
      <w:r w:rsidR="00AF0B7B">
        <w:rPr>
          <w:rFonts w:ascii="Book Antiqua" w:hAnsi="Book Antiqua"/>
        </w:rPr>
        <w:t xml:space="preserve"> and providing this information </w:t>
      </w:r>
      <w:r w:rsidR="00B81FDF">
        <w:rPr>
          <w:rFonts w:ascii="Book Antiqua" w:hAnsi="Book Antiqua"/>
        </w:rPr>
        <w:t>will not necessarily assess performance</w:t>
      </w:r>
      <w:r w:rsidR="00AF0B7B">
        <w:rPr>
          <w:rFonts w:ascii="Book Antiqua" w:hAnsi="Book Antiqua"/>
        </w:rPr>
        <w:t xml:space="preserve">.  </w:t>
      </w:r>
      <w:r w:rsidR="00127326">
        <w:rPr>
          <w:rFonts w:ascii="Book Antiqua" w:hAnsi="Book Antiqua"/>
        </w:rPr>
        <w:t xml:space="preserve">SCE </w:t>
      </w:r>
      <w:r w:rsidR="00AF0B7B">
        <w:rPr>
          <w:rFonts w:ascii="Book Antiqua" w:hAnsi="Book Antiqua"/>
        </w:rPr>
        <w:t>disagrees</w:t>
      </w:r>
      <w:r w:rsidR="00127326">
        <w:rPr>
          <w:rFonts w:ascii="Book Antiqua" w:hAnsi="Book Antiqua"/>
        </w:rPr>
        <w:t xml:space="preserve"> </w:t>
      </w:r>
      <w:r w:rsidR="00375272">
        <w:rPr>
          <w:rFonts w:ascii="Book Antiqua" w:hAnsi="Book Antiqua"/>
        </w:rPr>
        <w:t xml:space="preserve">and states that suppliers generally finalize outages 60 days </w:t>
      </w:r>
      <w:r w:rsidR="00274E6D">
        <w:rPr>
          <w:rFonts w:ascii="Book Antiqua" w:hAnsi="Book Antiqua"/>
        </w:rPr>
        <w:t>prior</w:t>
      </w:r>
      <w:r w:rsidR="00375272">
        <w:rPr>
          <w:rFonts w:ascii="Book Antiqua" w:hAnsi="Book Antiqua"/>
        </w:rPr>
        <w:t xml:space="preserve"> because the RA requirement is for generators to submit monthly supply plans 45 days prior to the showing month.  SCE states that the CPE needs planned outage information ahead of time </w:t>
      </w:r>
      <w:r w:rsidR="00AF0B7B">
        <w:rPr>
          <w:rFonts w:ascii="Book Antiqua" w:hAnsi="Book Antiqua"/>
        </w:rPr>
        <w:t>to</w:t>
      </w:r>
      <w:r w:rsidR="00375272">
        <w:rPr>
          <w:rFonts w:ascii="Book Antiqua" w:hAnsi="Book Antiqua"/>
        </w:rPr>
        <w:t xml:space="preserve"> socialize backstop costs </w:t>
      </w:r>
      <w:r w:rsidR="00AF0B7B">
        <w:rPr>
          <w:rFonts w:ascii="Book Antiqua" w:hAnsi="Book Antiqua"/>
        </w:rPr>
        <w:t>resulting from non</w:t>
      </w:r>
      <w:r w:rsidR="00375272">
        <w:rPr>
          <w:rFonts w:ascii="Book Antiqua" w:hAnsi="Book Antiqua"/>
        </w:rPr>
        <w:t>-performance and to ensure that CPE’s filings are consistent with the supply plan.</w:t>
      </w:r>
      <w:r w:rsidR="00274E6D">
        <w:rPr>
          <w:rFonts w:ascii="Book Antiqua" w:hAnsi="Book Antiqua"/>
        </w:rPr>
        <w:t xml:space="preserve">  Because this decision has been modified </w:t>
      </w:r>
      <w:r w:rsidR="007A047E">
        <w:rPr>
          <w:rFonts w:ascii="Book Antiqua" w:hAnsi="Book Antiqua"/>
        </w:rPr>
        <w:t>so</w:t>
      </w:r>
      <w:r w:rsidR="00274E6D">
        <w:rPr>
          <w:rFonts w:ascii="Book Antiqua" w:hAnsi="Book Antiqua"/>
        </w:rPr>
        <w:t xml:space="preserve"> that LSEs </w:t>
      </w:r>
      <w:r w:rsidR="007E636C">
        <w:rPr>
          <w:rFonts w:ascii="Book Antiqua" w:hAnsi="Book Antiqua"/>
        </w:rPr>
        <w:t>will be</w:t>
      </w:r>
      <w:r w:rsidR="00274E6D">
        <w:rPr>
          <w:rFonts w:ascii="Book Antiqua" w:hAnsi="Book Antiqua"/>
        </w:rPr>
        <w:t xml:space="preserve"> charged pro-rata for any backstop costs associated with non-performance of self-shown resources, the Commission finds PG&amp;E’s proposal to remove the notification requirement to be reasonable. The decision has been modified to </w:t>
      </w:r>
      <w:r w:rsidR="007E636C">
        <w:rPr>
          <w:rFonts w:ascii="Book Antiqua" w:hAnsi="Book Antiqua"/>
        </w:rPr>
        <w:t>remove</w:t>
      </w:r>
      <w:r w:rsidR="00274E6D">
        <w:rPr>
          <w:rFonts w:ascii="Book Antiqua" w:hAnsi="Book Antiqua"/>
        </w:rPr>
        <w:t xml:space="preserve"> th</w:t>
      </w:r>
      <w:r w:rsidR="007E636C">
        <w:rPr>
          <w:rFonts w:ascii="Book Antiqua" w:hAnsi="Book Antiqua"/>
        </w:rPr>
        <w:t>e requirement</w:t>
      </w:r>
      <w:r w:rsidR="00274E6D">
        <w:rPr>
          <w:rFonts w:ascii="Book Antiqua" w:hAnsi="Book Antiqua"/>
        </w:rPr>
        <w:t>.</w:t>
      </w:r>
    </w:p>
    <w:p w:rsidR="00CF3B45" w:rsidP="0032275C" w:rsidRDefault="00CF3B45" w14:paraId="0910C673" w14:textId="3FD71F24">
      <w:pPr>
        <w:pStyle w:val="standard0"/>
        <w:rPr>
          <w:rFonts w:ascii="Book Antiqua" w:hAnsi="Book Antiqua"/>
        </w:rPr>
      </w:pPr>
      <w:r>
        <w:rPr>
          <w:rFonts w:ascii="Book Antiqua" w:hAnsi="Book Antiqua"/>
        </w:rPr>
        <w:t>SCE states that for procurement outside of the solicitation process, it will be difficult to consult the PRG prior to executing a broker transaction</w:t>
      </w:r>
      <w:r w:rsidR="00F446DA">
        <w:rPr>
          <w:rFonts w:ascii="Book Antiqua" w:hAnsi="Book Antiqua"/>
        </w:rPr>
        <w:t>,</w:t>
      </w:r>
      <w:r>
        <w:rPr>
          <w:rFonts w:ascii="Book Antiqua" w:hAnsi="Book Antiqua"/>
        </w:rPr>
        <w:t xml:space="preserve"> as timing from negotiation to execution for these transactions is very short.  SCE </w:t>
      </w:r>
      <w:r w:rsidR="002F092C">
        <w:rPr>
          <w:rFonts w:ascii="Book Antiqua" w:hAnsi="Book Antiqua"/>
        </w:rPr>
        <w:t>proposes</w:t>
      </w:r>
      <w:r>
        <w:rPr>
          <w:rFonts w:ascii="Book Antiqua" w:hAnsi="Book Antiqua"/>
        </w:rPr>
        <w:t xml:space="preserve"> that broker contracts with terms of five years or less do not require consultation with the CAM PRG prior to </w:t>
      </w:r>
      <w:r w:rsidR="002F092C">
        <w:rPr>
          <w:rFonts w:ascii="Book Antiqua" w:hAnsi="Book Antiqua"/>
        </w:rPr>
        <w:t>execution</w:t>
      </w:r>
      <w:r w:rsidR="00E86BD1">
        <w:rPr>
          <w:rFonts w:ascii="Book Antiqua" w:hAnsi="Book Antiqua"/>
        </w:rPr>
        <w:t>, provided the CPE follow all other selection requirements in Ordering Paragraph 1</w:t>
      </w:r>
      <w:r w:rsidR="00F3545C">
        <w:rPr>
          <w:rFonts w:ascii="Book Antiqua" w:hAnsi="Book Antiqua"/>
        </w:rPr>
        <w:t>2</w:t>
      </w:r>
      <w:r w:rsidR="00E86BD1">
        <w:rPr>
          <w:rFonts w:ascii="Book Antiqua" w:hAnsi="Book Antiqua"/>
        </w:rPr>
        <w:t>.</w:t>
      </w:r>
      <w:r w:rsidR="002C6BFF">
        <w:rPr>
          <w:rFonts w:ascii="Book Antiqua" w:hAnsi="Book Antiqua"/>
        </w:rPr>
        <w:t xml:space="preserve">  SCE proposes to notify the PRG as soon as practicable after the execution of any broker transactions.</w:t>
      </w:r>
      <w:r w:rsidR="00F43B20">
        <w:rPr>
          <w:rFonts w:ascii="Book Antiqua" w:hAnsi="Book Antiqua"/>
        </w:rPr>
        <w:t xml:space="preserve">  CalCCA agrees that there may not be enough time to consult the PRG prior to executing broker or bilateral contracts; however, the CPE should be required to consult with the PRG on its plans for conducting procurement outside of the solicitation, including </w:t>
      </w:r>
      <w:r w:rsidR="002F092C">
        <w:rPr>
          <w:rFonts w:ascii="Book Antiqua" w:hAnsi="Book Antiqua"/>
        </w:rPr>
        <w:t xml:space="preserve">potential opportunities </w:t>
      </w:r>
      <w:r w:rsidR="00F43B20">
        <w:rPr>
          <w:rFonts w:ascii="Book Antiqua" w:hAnsi="Book Antiqua"/>
        </w:rPr>
        <w:t>and crit</w:t>
      </w:r>
      <w:r w:rsidR="006D1129">
        <w:rPr>
          <w:rFonts w:ascii="Book Antiqua" w:hAnsi="Book Antiqua"/>
        </w:rPr>
        <w:t xml:space="preserve">eria to evaluate offers.  CEJA/UCS oppose SCE’s proposal, </w:t>
      </w:r>
      <w:r w:rsidR="006E77E8">
        <w:rPr>
          <w:rFonts w:ascii="Book Antiqua" w:hAnsi="Book Antiqua"/>
        </w:rPr>
        <w:t xml:space="preserve">stating that </w:t>
      </w:r>
      <w:r w:rsidR="006D1129">
        <w:rPr>
          <w:rFonts w:ascii="Book Antiqua" w:hAnsi="Book Antiqua"/>
        </w:rPr>
        <w:t xml:space="preserve">skipping the PRG consultation </w:t>
      </w:r>
      <w:r w:rsidR="00714009">
        <w:rPr>
          <w:rFonts w:ascii="Book Antiqua" w:hAnsi="Book Antiqua"/>
        </w:rPr>
        <w:t xml:space="preserve">will </w:t>
      </w:r>
      <w:r w:rsidR="00605074">
        <w:rPr>
          <w:rFonts w:ascii="Book Antiqua" w:hAnsi="Book Antiqua"/>
        </w:rPr>
        <w:t>reduce checks on evaluating the CPE process</w:t>
      </w:r>
      <w:r w:rsidR="006E77E8">
        <w:rPr>
          <w:rFonts w:ascii="Book Antiqua" w:hAnsi="Book Antiqua"/>
        </w:rPr>
        <w:t xml:space="preserve">.  </w:t>
      </w:r>
    </w:p>
    <w:p w:rsidR="00513F62" w:rsidP="009646E6" w:rsidRDefault="00E26D8A" w14:paraId="4409BEF7" w14:textId="7DB6C37A">
      <w:pPr>
        <w:pStyle w:val="standard0"/>
        <w:rPr>
          <w:rFonts w:ascii="Book Antiqua" w:hAnsi="Book Antiqua"/>
        </w:rPr>
      </w:pPr>
      <w:r>
        <w:rPr>
          <w:rFonts w:ascii="Book Antiqua" w:hAnsi="Book Antiqua"/>
        </w:rPr>
        <w:t xml:space="preserve">The Commission agrees that for broker and bilateral contracts, there </w:t>
      </w:r>
      <w:r w:rsidR="003E06F4">
        <w:rPr>
          <w:rFonts w:ascii="Book Antiqua" w:hAnsi="Book Antiqua"/>
        </w:rPr>
        <w:t>may be</w:t>
      </w:r>
      <w:r>
        <w:rPr>
          <w:rFonts w:ascii="Book Antiqua" w:hAnsi="Book Antiqua"/>
        </w:rPr>
        <w:t xml:space="preserve"> insufficient time to consult with the PRG prior to conducting procurement </w:t>
      </w:r>
      <w:r>
        <w:rPr>
          <w:rFonts w:ascii="Book Antiqua" w:hAnsi="Book Antiqua"/>
        </w:rPr>
        <w:lastRenderedPageBreak/>
        <w:t xml:space="preserve">and finds that SCE’s proposal is </w:t>
      </w:r>
      <w:r w:rsidR="00454EA5">
        <w:rPr>
          <w:rFonts w:ascii="Book Antiqua" w:hAnsi="Book Antiqua"/>
        </w:rPr>
        <w:t>reasonable</w:t>
      </w:r>
      <w:r>
        <w:rPr>
          <w:rFonts w:ascii="Book Antiqua" w:hAnsi="Book Antiqua"/>
        </w:rPr>
        <w:t xml:space="preserve">.  We also agree with CalCCA that the CPE should consult with the PRG about its plans prior to conducting procurement outside of the all-source solicitation, including potential opportunities it intends to pursue and criteria to evaluate offers.  </w:t>
      </w:r>
      <w:r w:rsidR="00454EA5">
        <w:rPr>
          <w:rFonts w:ascii="Book Antiqua" w:hAnsi="Book Antiqua"/>
        </w:rPr>
        <w:t>Accordingly, we adopt SCE’s and CalCCA’s proposed modifications, and the</w:t>
      </w:r>
      <w:r>
        <w:rPr>
          <w:rFonts w:ascii="Book Antiqua" w:hAnsi="Book Antiqua"/>
        </w:rPr>
        <w:t xml:space="preserve"> decision has been </w:t>
      </w:r>
      <w:r w:rsidR="00194E4D">
        <w:rPr>
          <w:rFonts w:ascii="Book Antiqua" w:hAnsi="Book Antiqua"/>
        </w:rPr>
        <w:t>amended</w:t>
      </w:r>
      <w:r>
        <w:rPr>
          <w:rFonts w:ascii="Book Antiqua" w:hAnsi="Book Antiqua"/>
        </w:rPr>
        <w:t xml:space="preserve"> </w:t>
      </w:r>
      <w:r w:rsidR="00EE0A84">
        <w:rPr>
          <w:rFonts w:ascii="Book Antiqua" w:hAnsi="Book Antiqua"/>
        </w:rPr>
        <w:t>with these changes</w:t>
      </w:r>
      <w:r>
        <w:rPr>
          <w:rFonts w:ascii="Book Antiqua" w:hAnsi="Book Antiqua"/>
        </w:rPr>
        <w:t xml:space="preserve">. </w:t>
      </w:r>
    </w:p>
    <w:p w:rsidRPr="00630E88" w:rsidR="00513F62" w:rsidP="00EE0A84" w:rsidRDefault="00B81FDF" w14:paraId="0FF19DB7" w14:textId="05DF48AC">
      <w:pPr>
        <w:pStyle w:val="standard0"/>
        <w:rPr>
          <w:rFonts w:cs="Arial"/>
          <w:color w:val="000000"/>
          <w:szCs w:val="26"/>
        </w:rPr>
      </w:pPr>
      <w:r>
        <w:rPr>
          <w:rFonts w:ascii="Book Antiqua" w:hAnsi="Book Antiqua"/>
        </w:rPr>
        <w:t>PG&amp;E disagrees with prohibiti</w:t>
      </w:r>
      <w:r w:rsidR="001D7F93">
        <w:rPr>
          <w:rFonts w:ascii="Book Antiqua" w:hAnsi="Book Antiqua"/>
        </w:rPr>
        <w:t>ng</w:t>
      </w:r>
      <w:r>
        <w:rPr>
          <w:rFonts w:ascii="Book Antiqua" w:hAnsi="Book Antiqua"/>
        </w:rPr>
        <w:t xml:space="preserve"> restricti</w:t>
      </w:r>
      <w:r w:rsidR="001D7F93">
        <w:rPr>
          <w:rFonts w:ascii="Book Antiqua" w:hAnsi="Book Antiqua"/>
        </w:rPr>
        <w:t>ons on</w:t>
      </w:r>
      <w:r>
        <w:rPr>
          <w:rFonts w:ascii="Book Antiqua" w:hAnsi="Book Antiqua"/>
        </w:rPr>
        <w:t xml:space="preserve"> the length of contract</w:t>
      </w:r>
      <w:r w:rsidR="00065EAD">
        <w:rPr>
          <w:rFonts w:ascii="Book Antiqua" w:hAnsi="Book Antiqua"/>
        </w:rPr>
        <w:t>s</w:t>
      </w:r>
      <w:r w:rsidR="001D7F93">
        <w:rPr>
          <w:rFonts w:ascii="Book Antiqua" w:hAnsi="Book Antiqua"/>
        </w:rPr>
        <w:t xml:space="preserve"> </w:t>
      </w:r>
      <w:r>
        <w:rPr>
          <w:rFonts w:ascii="Book Antiqua" w:hAnsi="Book Antiqua"/>
        </w:rPr>
        <w:t>in the</w:t>
      </w:r>
      <w:r w:rsidR="00FB03C3">
        <w:rPr>
          <w:rFonts w:ascii="Book Antiqua" w:hAnsi="Book Antiqua"/>
        </w:rPr>
        <w:t xml:space="preserve"> CPE</w:t>
      </w:r>
      <w:r w:rsidR="001D7F93">
        <w:rPr>
          <w:rFonts w:ascii="Book Antiqua" w:hAnsi="Book Antiqua"/>
        </w:rPr>
        <w:t>’s</w:t>
      </w:r>
      <w:r>
        <w:rPr>
          <w:rFonts w:ascii="Book Antiqua" w:hAnsi="Book Antiqua"/>
        </w:rPr>
        <w:t xml:space="preserve"> solicitation and states that allowing restrictions, especially for fossil-fuel resources</w:t>
      </w:r>
      <w:r w:rsidR="00FB03C3">
        <w:rPr>
          <w:rFonts w:ascii="Book Antiqua" w:hAnsi="Book Antiqua"/>
        </w:rPr>
        <w:t>,</w:t>
      </w:r>
      <w:r>
        <w:rPr>
          <w:rFonts w:ascii="Book Antiqua" w:hAnsi="Book Antiqua"/>
        </w:rPr>
        <w:t xml:space="preserve"> aligns with clean energy goals.</w:t>
      </w:r>
      <w:r w:rsidR="00E06E37">
        <w:rPr>
          <w:rFonts w:ascii="Book Antiqua" w:hAnsi="Book Antiqua"/>
        </w:rPr>
        <w:t xml:space="preserve">  In addition, </w:t>
      </w:r>
      <w:r w:rsidR="001D7F93">
        <w:rPr>
          <w:rFonts w:ascii="Book Antiqua" w:hAnsi="Book Antiqua"/>
        </w:rPr>
        <w:t>because</w:t>
      </w:r>
      <w:r w:rsidR="00E06E37">
        <w:rPr>
          <w:rFonts w:ascii="Book Antiqua" w:hAnsi="Book Antiqua"/>
        </w:rPr>
        <w:t xml:space="preserve"> contracts exceeding five years must go through the Tier 3 Advice Letter process</w:t>
      </w:r>
      <w:r w:rsidR="001D7F93">
        <w:rPr>
          <w:rFonts w:ascii="Book Antiqua" w:hAnsi="Book Antiqua"/>
        </w:rPr>
        <w:t>, such</w:t>
      </w:r>
      <w:r w:rsidR="002F3B9E">
        <w:rPr>
          <w:rFonts w:ascii="Book Antiqua" w:hAnsi="Book Antiqua"/>
        </w:rPr>
        <w:t xml:space="preserve"> contracts will not be approved in time for the CPE’s compliance obligation.</w:t>
      </w:r>
      <w:r w:rsidR="00AB485A">
        <w:rPr>
          <w:rFonts w:ascii="Book Antiqua" w:hAnsi="Book Antiqua"/>
        </w:rPr>
        <w:t xml:space="preserve">  </w:t>
      </w:r>
      <w:r w:rsidR="00AB485A">
        <w:rPr>
          <w:rFonts w:cs="Arial"/>
          <w:color w:val="000000"/>
          <w:szCs w:val="26"/>
        </w:rPr>
        <w:t xml:space="preserve">CEJA/UCS comment that contracts for fossil fuel resources should be limited to five years to facilitate the orderly retirement of gas-fired plants.  MRP </w:t>
      </w:r>
      <w:r w:rsidR="009B5EA5">
        <w:rPr>
          <w:rFonts w:cs="Arial"/>
          <w:color w:val="000000"/>
          <w:szCs w:val="26"/>
        </w:rPr>
        <w:t>disagrees with</w:t>
      </w:r>
      <w:r w:rsidR="00AB485A">
        <w:rPr>
          <w:rFonts w:cs="Arial"/>
          <w:color w:val="000000"/>
          <w:szCs w:val="26"/>
        </w:rPr>
        <w:t xml:space="preserve"> </w:t>
      </w:r>
      <w:r w:rsidR="00D27C83">
        <w:rPr>
          <w:rFonts w:cs="Arial"/>
          <w:color w:val="000000"/>
          <w:szCs w:val="26"/>
        </w:rPr>
        <w:t>PG&amp;E</w:t>
      </w:r>
      <w:r w:rsidR="009B5EA5">
        <w:rPr>
          <w:rFonts w:cs="Arial"/>
          <w:color w:val="000000"/>
          <w:szCs w:val="26"/>
        </w:rPr>
        <w:t>’s</w:t>
      </w:r>
      <w:r w:rsidR="00D27C83">
        <w:rPr>
          <w:rFonts w:cs="Arial"/>
          <w:color w:val="000000"/>
          <w:szCs w:val="26"/>
        </w:rPr>
        <w:t xml:space="preserve"> and CEJA/UCS’s </w:t>
      </w:r>
      <w:r w:rsidR="00EE0A84">
        <w:rPr>
          <w:rFonts w:cs="Arial"/>
          <w:color w:val="000000"/>
          <w:szCs w:val="26"/>
        </w:rPr>
        <w:t>comments</w:t>
      </w:r>
      <w:r w:rsidR="00032E3F">
        <w:rPr>
          <w:rFonts w:cs="Arial"/>
          <w:color w:val="000000"/>
          <w:szCs w:val="26"/>
        </w:rPr>
        <w:t>, noting that</w:t>
      </w:r>
      <w:r w:rsidR="00D27C83">
        <w:rPr>
          <w:rFonts w:cs="Arial"/>
          <w:color w:val="000000"/>
          <w:szCs w:val="26"/>
        </w:rPr>
        <w:t xml:space="preserve"> </w:t>
      </w:r>
      <w:r w:rsidR="00032E3F">
        <w:rPr>
          <w:rFonts w:cs="Arial"/>
          <w:color w:val="000000"/>
          <w:szCs w:val="26"/>
        </w:rPr>
        <w:t xml:space="preserve">this limits </w:t>
      </w:r>
      <w:r w:rsidR="00D27C83">
        <w:rPr>
          <w:rFonts w:cs="Arial"/>
          <w:color w:val="000000"/>
          <w:szCs w:val="26"/>
        </w:rPr>
        <w:t xml:space="preserve">solutions available to maintain local reliability and </w:t>
      </w:r>
      <w:r w:rsidR="00032E3F">
        <w:rPr>
          <w:rFonts w:cs="Arial"/>
          <w:color w:val="000000"/>
          <w:szCs w:val="26"/>
        </w:rPr>
        <w:t xml:space="preserve">that </w:t>
      </w:r>
      <w:r w:rsidR="00D27C83">
        <w:rPr>
          <w:rFonts w:cs="Arial"/>
          <w:color w:val="000000"/>
          <w:szCs w:val="26"/>
        </w:rPr>
        <w:t>LSEs are already encouraged to develop new preferred resources through the LCR RCM and other mechanisms.</w:t>
      </w:r>
      <w:r w:rsidR="00EE0A84">
        <w:rPr>
          <w:rFonts w:cs="Arial"/>
          <w:color w:val="000000"/>
          <w:szCs w:val="26"/>
        </w:rPr>
        <w:t xml:space="preserve">  </w:t>
      </w:r>
      <w:r w:rsidR="001D7F93">
        <w:rPr>
          <w:rFonts w:cs="Arial"/>
          <w:color w:val="000000"/>
          <w:szCs w:val="26"/>
        </w:rPr>
        <w:t xml:space="preserve">While the </w:t>
      </w:r>
      <w:r w:rsidR="00F14678">
        <w:rPr>
          <w:rFonts w:cs="Arial"/>
          <w:color w:val="000000"/>
          <w:szCs w:val="26"/>
        </w:rPr>
        <w:t>decision</w:t>
      </w:r>
      <w:r w:rsidR="001D7F93">
        <w:rPr>
          <w:rFonts w:cs="Arial"/>
          <w:color w:val="000000"/>
          <w:szCs w:val="26"/>
        </w:rPr>
        <w:t xml:space="preserve"> requires the CPE </w:t>
      </w:r>
      <w:r w:rsidR="00032E3F">
        <w:rPr>
          <w:rFonts w:cs="Arial"/>
          <w:color w:val="000000"/>
          <w:szCs w:val="26"/>
        </w:rPr>
        <w:t xml:space="preserve">to </w:t>
      </w:r>
      <w:r w:rsidR="001D7F93">
        <w:rPr>
          <w:rFonts w:cs="Arial"/>
          <w:color w:val="000000"/>
          <w:szCs w:val="26"/>
        </w:rPr>
        <w:t xml:space="preserve">consider bids of any contract term length greater </w:t>
      </w:r>
      <w:r w:rsidR="00032E3F">
        <w:rPr>
          <w:rFonts w:cs="Arial"/>
          <w:color w:val="000000"/>
          <w:szCs w:val="26"/>
        </w:rPr>
        <w:t>than</w:t>
      </w:r>
      <w:r w:rsidR="001D7F93">
        <w:rPr>
          <w:rFonts w:cs="Arial"/>
          <w:color w:val="000000"/>
          <w:szCs w:val="26"/>
        </w:rPr>
        <w:t xml:space="preserve"> one month</w:t>
      </w:r>
      <w:r w:rsidR="00F14678">
        <w:rPr>
          <w:rFonts w:cs="Arial"/>
          <w:color w:val="000000"/>
          <w:szCs w:val="26"/>
        </w:rPr>
        <w:t>, we note that t</w:t>
      </w:r>
      <w:r w:rsidR="001D7F93">
        <w:rPr>
          <w:rFonts w:cs="Arial"/>
          <w:color w:val="000000"/>
          <w:szCs w:val="26"/>
        </w:rPr>
        <w:t xml:space="preserve">he CPE </w:t>
      </w:r>
      <w:r w:rsidR="00630E88">
        <w:rPr>
          <w:rFonts w:cs="Arial"/>
          <w:color w:val="000000"/>
          <w:szCs w:val="26"/>
        </w:rPr>
        <w:t xml:space="preserve">still </w:t>
      </w:r>
      <w:r w:rsidR="001D7F93">
        <w:rPr>
          <w:rFonts w:cs="Arial"/>
          <w:color w:val="000000"/>
          <w:szCs w:val="26"/>
        </w:rPr>
        <w:t xml:space="preserve">has discretion to procure local resources based on the CPE selection criteria and other requirements.  The Commission declines to modify this requirement.  </w:t>
      </w:r>
    </w:p>
    <w:p w:rsidR="00513F62" w:rsidP="00533242" w:rsidRDefault="00123188" w14:paraId="45B40661" w14:textId="4A07DF66">
      <w:pPr>
        <w:pStyle w:val="Standard"/>
      </w:pPr>
      <w:r>
        <w:t xml:space="preserve">CalCCA reiterates </w:t>
      </w:r>
      <w:r w:rsidR="00F05CCE">
        <w:t>that</w:t>
      </w:r>
      <w:r>
        <w:t xml:space="preserve"> a flexible and system waiver </w:t>
      </w:r>
      <w:r w:rsidR="00F05CCE">
        <w:t xml:space="preserve">should be adopted </w:t>
      </w:r>
      <w:r>
        <w:t>for the 2023 compliance year if the CPE does not meet its local obligation</w:t>
      </w:r>
      <w:r w:rsidR="00AB6460">
        <w:t>s</w:t>
      </w:r>
      <w:r w:rsidR="00F05CCE">
        <w:t>, or a</w:t>
      </w:r>
      <w:r>
        <w:t xml:space="preserve">lternatively, that </w:t>
      </w:r>
      <w:r w:rsidR="006E41DB">
        <w:t xml:space="preserve">points </w:t>
      </w:r>
      <w:r w:rsidR="005E3A17">
        <w:t>should</w:t>
      </w:r>
      <w:r w:rsidR="006E41DB">
        <w:t xml:space="preserve"> not be assigned</w:t>
      </w:r>
      <w:r>
        <w:t xml:space="preserve"> to LSEs with deficiencies within the amount of credits they </w:t>
      </w:r>
      <w:r w:rsidR="005E3A17">
        <w:t>could have received from the CPE</w:t>
      </w:r>
      <w:r>
        <w:t>.</w:t>
      </w:r>
      <w:r w:rsidR="00533242">
        <w:t xml:space="preserve">  The Commission notes that pursuant to D.21-06-029, LSEs </w:t>
      </w:r>
      <w:r w:rsidR="00AB1D45">
        <w:t xml:space="preserve">only </w:t>
      </w:r>
      <w:r w:rsidR="00533242">
        <w:t>accrue points for month-ahead deficiencies, not year-ahead deficiencies.</w:t>
      </w:r>
      <w:r w:rsidR="00AB6460">
        <w:t xml:space="preserve">  </w:t>
      </w:r>
      <w:r w:rsidR="00C0697B">
        <w:t xml:space="preserve">Further, as discussed above, </w:t>
      </w:r>
      <w:r w:rsidRPr="008966DB" w:rsidR="00C0697B">
        <w:t xml:space="preserve">for 2023 </w:t>
      </w:r>
      <w:r w:rsidR="00C0697B">
        <w:lastRenderedPageBreak/>
        <w:t xml:space="preserve">year-ahead </w:t>
      </w:r>
      <w:r w:rsidRPr="008966DB" w:rsidR="00C0697B">
        <w:t xml:space="preserve">RA compliance, Energy Division will not send deficiency notices to LSEs in the PG&amp;E TAC area </w:t>
      </w:r>
      <w:r w:rsidR="00964B32">
        <w:t>before</w:t>
      </w:r>
      <w:r w:rsidRPr="008966DB" w:rsidR="00C0697B">
        <w:t xml:space="preserve"> January 1 following the year-ahead deadline.</w:t>
      </w:r>
      <w:r w:rsidR="00C0697B">
        <w:t xml:space="preserve">  </w:t>
      </w:r>
      <w:r w:rsidR="00533242">
        <w:t xml:space="preserve">  </w:t>
      </w:r>
    </w:p>
    <w:p w:rsidR="00513F62" w:rsidP="007C69B2" w:rsidRDefault="007A53F9" w14:paraId="17CCF4CF" w14:textId="1B873D68">
      <w:pPr>
        <w:pStyle w:val="Standard"/>
      </w:pPr>
      <w:r>
        <w:t xml:space="preserve">MRP </w:t>
      </w:r>
      <w:r w:rsidR="00EE025C">
        <w:t>contends</w:t>
      </w:r>
      <w:r>
        <w:t xml:space="preserve"> that the decision implies that there is only one annual all-source solicitation </w:t>
      </w:r>
      <w:r w:rsidR="00934939">
        <w:t>and</w:t>
      </w:r>
      <w:r>
        <w:t xml:space="preserve"> that the Commission should not allow </w:t>
      </w:r>
      <w:r w:rsidR="00EE025C">
        <w:t>the CPEs to abandon additional solicitations</w:t>
      </w:r>
      <w:r>
        <w:t xml:space="preserve"> </w:t>
      </w:r>
      <w:r w:rsidR="00EE025C">
        <w:t>if the first solicitation fails to secure needed capacity</w:t>
      </w:r>
      <w:r>
        <w:t>.</w:t>
      </w:r>
      <w:r w:rsidR="00EE025C">
        <w:t xml:space="preserve">  SCE disagrees that that the decision abandons the solicitation process and notes that the decision proposes to use broker and bilateral contracting only if the solicitation does not produce enough supply.</w:t>
      </w:r>
      <w:r w:rsidR="007123BE">
        <w:t xml:space="preserve"> </w:t>
      </w:r>
      <w:r w:rsidR="001053B6">
        <w:t xml:space="preserve"> The Commission clarifies that a CPE may conduct additional solicitations</w:t>
      </w:r>
      <w:r w:rsidR="007C491F">
        <w:t xml:space="preserve"> but </w:t>
      </w:r>
      <w:r w:rsidR="001053B6">
        <w:t>th</w:t>
      </w:r>
      <w:r w:rsidR="00E3154C">
        <w:t>at th</w:t>
      </w:r>
      <w:r w:rsidR="001053B6">
        <w:t xml:space="preserve">e decision allows the CPE to use broker or bilateral contracting if the </w:t>
      </w:r>
      <w:r w:rsidR="00712103">
        <w:t xml:space="preserve">first </w:t>
      </w:r>
      <w:r w:rsidR="001053B6">
        <w:t xml:space="preserve">solicitation fails to procure sufficient capacity.  </w:t>
      </w:r>
    </w:p>
    <w:p w:rsidR="00B55DAE" w:rsidP="00145F82" w:rsidRDefault="001E3463" w14:paraId="360D86D2" w14:textId="72B851AA">
      <w:pPr>
        <w:pStyle w:val="Standard"/>
        <w:rPr>
          <w:rFonts w:cs="Arial"/>
          <w:color w:val="000000"/>
          <w:szCs w:val="26"/>
        </w:rPr>
      </w:pPr>
      <w:r>
        <w:rPr>
          <w:rFonts w:cs="Arial"/>
          <w:color w:val="000000"/>
          <w:szCs w:val="26"/>
        </w:rPr>
        <w:t>CalCCA</w:t>
      </w:r>
      <w:r w:rsidR="00B55DAE">
        <w:rPr>
          <w:rFonts w:cs="Arial"/>
          <w:color w:val="000000"/>
          <w:szCs w:val="26"/>
        </w:rPr>
        <w:t xml:space="preserve"> and MRP</w:t>
      </w:r>
      <w:r>
        <w:rPr>
          <w:rFonts w:cs="Arial"/>
          <w:color w:val="000000"/>
          <w:szCs w:val="26"/>
        </w:rPr>
        <w:t xml:space="preserve"> state that a comprehensive review of the CPE framework must be performed in </w:t>
      </w:r>
      <w:r w:rsidR="00B55DAE">
        <w:rPr>
          <w:rFonts w:cs="Arial"/>
          <w:color w:val="000000"/>
          <w:szCs w:val="26"/>
        </w:rPr>
        <w:t xml:space="preserve">later phase </w:t>
      </w:r>
      <w:r w:rsidR="007A53F9">
        <w:rPr>
          <w:rFonts w:cs="Arial"/>
          <w:color w:val="000000"/>
          <w:szCs w:val="26"/>
        </w:rPr>
        <w:t>of the proceeding</w:t>
      </w:r>
      <w:r w:rsidR="00B55DAE">
        <w:rPr>
          <w:rFonts w:cs="Arial"/>
          <w:color w:val="000000"/>
          <w:szCs w:val="26"/>
        </w:rPr>
        <w:t>.</w:t>
      </w:r>
      <w:r w:rsidR="006D1129">
        <w:rPr>
          <w:rFonts w:cs="Arial"/>
          <w:color w:val="000000"/>
          <w:szCs w:val="26"/>
        </w:rPr>
        <w:t xml:space="preserve">  CEJA/UCS recommend that </w:t>
      </w:r>
      <w:r w:rsidR="00112131">
        <w:rPr>
          <w:rFonts w:cs="Arial"/>
          <w:color w:val="000000"/>
          <w:szCs w:val="26"/>
        </w:rPr>
        <w:t>LSEs’</w:t>
      </w:r>
      <w:r w:rsidR="006D1129">
        <w:rPr>
          <w:rFonts w:cs="Arial"/>
          <w:color w:val="000000"/>
          <w:szCs w:val="26"/>
        </w:rPr>
        <w:t xml:space="preserve"> justification for not showing local resources be made public one year </w:t>
      </w:r>
      <w:r w:rsidR="00112131">
        <w:rPr>
          <w:rFonts w:cs="Arial"/>
          <w:color w:val="000000"/>
          <w:szCs w:val="26"/>
        </w:rPr>
        <w:t>after</w:t>
      </w:r>
      <w:r w:rsidR="006D1129">
        <w:rPr>
          <w:rFonts w:cs="Arial"/>
          <w:color w:val="000000"/>
          <w:szCs w:val="26"/>
        </w:rPr>
        <w:t xml:space="preserve"> submission </w:t>
      </w:r>
      <w:r w:rsidR="00112131">
        <w:rPr>
          <w:rFonts w:cs="Arial"/>
          <w:color w:val="000000"/>
          <w:szCs w:val="26"/>
        </w:rPr>
        <w:t>to</w:t>
      </w:r>
      <w:r w:rsidR="006D1129">
        <w:rPr>
          <w:rFonts w:cs="Arial"/>
          <w:color w:val="000000"/>
          <w:szCs w:val="26"/>
        </w:rPr>
        <w:t xml:space="preserve"> Energy Division.  CalCCA opposes this</w:t>
      </w:r>
      <w:r w:rsidR="004D0B44">
        <w:rPr>
          <w:rFonts w:cs="Arial"/>
          <w:color w:val="000000"/>
          <w:szCs w:val="26"/>
        </w:rPr>
        <w:t xml:space="preserve"> and state</w:t>
      </w:r>
      <w:r w:rsidR="006D1129">
        <w:rPr>
          <w:rFonts w:cs="Arial"/>
          <w:color w:val="000000"/>
          <w:szCs w:val="26"/>
        </w:rPr>
        <w:t xml:space="preserve">s </w:t>
      </w:r>
      <w:r w:rsidR="004D0B44">
        <w:rPr>
          <w:rFonts w:cs="Arial"/>
          <w:color w:val="000000"/>
          <w:szCs w:val="26"/>
        </w:rPr>
        <w:t xml:space="preserve">that </w:t>
      </w:r>
      <w:r w:rsidR="006D1129">
        <w:rPr>
          <w:rFonts w:cs="Arial"/>
          <w:color w:val="000000"/>
          <w:szCs w:val="26"/>
        </w:rPr>
        <w:t>the justification statement</w:t>
      </w:r>
      <w:r w:rsidR="0029005E">
        <w:rPr>
          <w:rFonts w:cs="Arial"/>
          <w:color w:val="000000"/>
          <w:szCs w:val="26"/>
        </w:rPr>
        <w:t>s</w:t>
      </w:r>
      <w:r w:rsidR="006D1129">
        <w:rPr>
          <w:rFonts w:cs="Arial"/>
          <w:color w:val="000000"/>
          <w:szCs w:val="26"/>
        </w:rPr>
        <w:t xml:space="preserve"> </w:t>
      </w:r>
      <w:r w:rsidR="0029005E">
        <w:rPr>
          <w:rFonts w:cs="Arial"/>
          <w:color w:val="000000"/>
          <w:szCs w:val="26"/>
        </w:rPr>
        <w:t>are</w:t>
      </w:r>
      <w:r w:rsidR="006D1129">
        <w:rPr>
          <w:rFonts w:cs="Arial"/>
          <w:color w:val="000000"/>
          <w:szCs w:val="26"/>
        </w:rPr>
        <w:t xml:space="preserve"> not meant to be an enforcement mechanism.</w:t>
      </w:r>
      <w:r w:rsidR="00112131">
        <w:rPr>
          <w:rFonts w:cs="Arial"/>
          <w:color w:val="000000"/>
          <w:szCs w:val="26"/>
        </w:rPr>
        <w:t xml:space="preserve">  </w:t>
      </w:r>
      <w:r w:rsidR="00FD2558">
        <w:rPr>
          <w:rFonts w:cs="Arial"/>
          <w:color w:val="000000"/>
          <w:szCs w:val="26"/>
        </w:rPr>
        <w:t xml:space="preserve">Given the multiple changes </w:t>
      </w:r>
      <w:r w:rsidR="000174D3">
        <w:rPr>
          <w:rFonts w:cs="Arial"/>
          <w:color w:val="000000"/>
          <w:szCs w:val="26"/>
        </w:rPr>
        <w:t>adopted</w:t>
      </w:r>
      <w:r w:rsidR="00FD2558">
        <w:rPr>
          <w:rFonts w:cs="Arial"/>
          <w:color w:val="000000"/>
          <w:szCs w:val="26"/>
        </w:rPr>
        <w:t xml:space="preserve"> in this decision to </w:t>
      </w:r>
      <w:r w:rsidR="000174D3">
        <w:rPr>
          <w:rFonts w:cs="Arial"/>
          <w:color w:val="000000"/>
          <w:szCs w:val="26"/>
        </w:rPr>
        <w:t>eliminate</w:t>
      </w:r>
      <w:r w:rsidR="00FD2558">
        <w:rPr>
          <w:rFonts w:cs="Arial"/>
          <w:color w:val="000000"/>
          <w:szCs w:val="26"/>
        </w:rPr>
        <w:t xml:space="preserve"> disincentives to self-show</w:t>
      </w:r>
      <w:r w:rsidR="000174D3">
        <w:rPr>
          <w:rFonts w:cs="Arial"/>
          <w:color w:val="000000"/>
          <w:szCs w:val="26"/>
        </w:rPr>
        <w:t>/</w:t>
      </w:r>
      <w:r w:rsidR="00FD2558">
        <w:rPr>
          <w:rFonts w:cs="Arial"/>
          <w:color w:val="000000"/>
          <w:szCs w:val="26"/>
        </w:rPr>
        <w:t xml:space="preserve">bid resources, additional procurement cycles must be completed before conducting a comprehensive review of the CPE framework.  </w:t>
      </w:r>
      <w:r w:rsidR="00BE61D1">
        <w:rPr>
          <w:rFonts w:cs="Arial"/>
          <w:color w:val="000000"/>
          <w:szCs w:val="26"/>
        </w:rPr>
        <w:t>We</w:t>
      </w:r>
      <w:r w:rsidR="00FD2558">
        <w:rPr>
          <w:rFonts w:cs="Arial"/>
          <w:color w:val="000000"/>
          <w:szCs w:val="26"/>
        </w:rPr>
        <w:t xml:space="preserve"> </w:t>
      </w:r>
      <w:r w:rsidR="002C55E0">
        <w:rPr>
          <w:rFonts w:cs="Arial"/>
          <w:color w:val="000000"/>
          <w:szCs w:val="26"/>
        </w:rPr>
        <w:t>agree with parties</w:t>
      </w:r>
      <w:r w:rsidR="00BE61D1">
        <w:rPr>
          <w:rFonts w:cs="Arial"/>
          <w:color w:val="000000"/>
          <w:szCs w:val="26"/>
        </w:rPr>
        <w:t>, however,</w:t>
      </w:r>
      <w:r w:rsidR="00FD2558">
        <w:rPr>
          <w:rFonts w:cs="Arial"/>
          <w:color w:val="000000"/>
          <w:szCs w:val="26"/>
        </w:rPr>
        <w:t xml:space="preserve"> that Energy Division</w:t>
      </w:r>
      <w:r w:rsidR="002C55E0">
        <w:rPr>
          <w:rFonts w:cs="Arial"/>
          <w:color w:val="000000"/>
          <w:szCs w:val="26"/>
        </w:rPr>
        <w:t xml:space="preserve"> should assess </w:t>
      </w:r>
      <w:r w:rsidR="00FD2558">
        <w:rPr>
          <w:rFonts w:cs="Arial"/>
          <w:color w:val="000000"/>
          <w:szCs w:val="26"/>
        </w:rPr>
        <w:t>the effectiveness of the CPE structure</w:t>
      </w:r>
      <w:r w:rsidR="002C55E0">
        <w:rPr>
          <w:rFonts w:cs="Arial"/>
          <w:color w:val="000000"/>
          <w:szCs w:val="26"/>
        </w:rPr>
        <w:t xml:space="preserve"> earlier tha</w:t>
      </w:r>
      <w:r w:rsidR="0029005E">
        <w:rPr>
          <w:rFonts w:cs="Arial"/>
          <w:color w:val="000000"/>
          <w:szCs w:val="26"/>
        </w:rPr>
        <w:t>n</w:t>
      </w:r>
      <w:r w:rsidR="002C55E0">
        <w:rPr>
          <w:rFonts w:cs="Arial"/>
          <w:color w:val="000000"/>
          <w:szCs w:val="26"/>
        </w:rPr>
        <w:t xml:space="preserve"> 2025, and the decision is modified to authorize Energy Division to submit this report in 2024</w:t>
      </w:r>
      <w:r w:rsidR="00FD2558">
        <w:rPr>
          <w:rFonts w:cs="Arial"/>
          <w:color w:val="000000"/>
          <w:szCs w:val="26"/>
        </w:rPr>
        <w:t xml:space="preserve">.  </w:t>
      </w:r>
      <w:r w:rsidR="002C55E0">
        <w:rPr>
          <w:rFonts w:cs="Arial"/>
          <w:color w:val="000000"/>
          <w:szCs w:val="26"/>
        </w:rPr>
        <w:t>We</w:t>
      </w:r>
      <w:r w:rsidR="00FD2558">
        <w:rPr>
          <w:rFonts w:cs="Arial"/>
          <w:color w:val="000000"/>
          <w:szCs w:val="26"/>
        </w:rPr>
        <w:t xml:space="preserve"> decline to make </w:t>
      </w:r>
      <w:r w:rsidR="00362AF1">
        <w:rPr>
          <w:rFonts w:cs="Arial"/>
          <w:color w:val="000000"/>
          <w:szCs w:val="26"/>
        </w:rPr>
        <w:t>LSEs’</w:t>
      </w:r>
      <w:r w:rsidR="00FD2558">
        <w:rPr>
          <w:rFonts w:cs="Arial"/>
          <w:color w:val="000000"/>
          <w:szCs w:val="26"/>
        </w:rPr>
        <w:t xml:space="preserve"> justification statements public</w:t>
      </w:r>
      <w:r w:rsidR="001F6F6D">
        <w:rPr>
          <w:rFonts w:cs="Arial"/>
          <w:color w:val="000000"/>
          <w:szCs w:val="26"/>
        </w:rPr>
        <w:t>,</w:t>
      </w:r>
      <w:r w:rsidR="00FD2558">
        <w:rPr>
          <w:rFonts w:cs="Arial"/>
          <w:color w:val="000000"/>
          <w:szCs w:val="26"/>
        </w:rPr>
        <w:t xml:space="preserve"> as these statements are intended to provide information to the Commission as to whether changes to the CPE framework are warranted.  Energy Division</w:t>
      </w:r>
      <w:r w:rsidR="000C344C">
        <w:rPr>
          <w:rFonts w:cs="Arial"/>
          <w:color w:val="000000"/>
          <w:szCs w:val="26"/>
        </w:rPr>
        <w:t xml:space="preserve"> </w:t>
      </w:r>
      <w:r w:rsidR="00954981">
        <w:rPr>
          <w:rFonts w:cs="Arial"/>
          <w:color w:val="000000"/>
          <w:szCs w:val="26"/>
        </w:rPr>
        <w:t xml:space="preserve">is authorized to </w:t>
      </w:r>
      <w:r w:rsidR="00786DB8">
        <w:rPr>
          <w:rFonts w:cs="Arial"/>
          <w:color w:val="000000"/>
          <w:szCs w:val="26"/>
        </w:rPr>
        <w:t xml:space="preserve">include </w:t>
      </w:r>
      <w:r w:rsidR="00FD2558">
        <w:rPr>
          <w:rFonts w:cs="Arial"/>
          <w:color w:val="000000"/>
          <w:szCs w:val="26"/>
        </w:rPr>
        <w:t xml:space="preserve">an assessment of the </w:t>
      </w:r>
      <w:r w:rsidR="00FD2558">
        <w:rPr>
          <w:rFonts w:cs="Arial"/>
          <w:color w:val="000000"/>
          <w:szCs w:val="26"/>
        </w:rPr>
        <w:lastRenderedPageBreak/>
        <w:t xml:space="preserve">justification statements in </w:t>
      </w:r>
      <w:r w:rsidR="0029005E">
        <w:rPr>
          <w:rFonts w:cs="Arial"/>
          <w:color w:val="000000"/>
          <w:szCs w:val="26"/>
        </w:rPr>
        <w:t>the</w:t>
      </w:r>
      <w:r w:rsidR="00FD2558">
        <w:rPr>
          <w:rFonts w:cs="Arial"/>
          <w:color w:val="000000"/>
          <w:szCs w:val="26"/>
        </w:rPr>
        <w:t xml:space="preserve"> 2024 report.</w:t>
      </w:r>
      <w:r w:rsidR="001F00F6">
        <w:rPr>
          <w:rFonts w:cs="Arial"/>
          <w:color w:val="000000"/>
          <w:szCs w:val="26"/>
        </w:rPr>
        <w:t xml:space="preserve">  The decision is modified with these changes.</w:t>
      </w:r>
      <w:r w:rsidR="00FD2558">
        <w:rPr>
          <w:rFonts w:cs="Arial"/>
          <w:color w:val="000000"/>
          <w:szCs w:val="26"/>
        </w:rPr>
        <w:t xml:space="preserve">  </w:t>
      </w:r>
    </w:p>
    <w:p w:rsidR="00594D9F" w:rsidP="00A4233C" w:rsidRDefault="001D346B" w14:paraId="5D9982EF" w14:textId="2FE158BB">
      <w:pPr>
        <w:pStyle w:val="Standard"/>
        <w:rPr>
          <w:rFonts w:cs="Arial"/>
          <w:color w:val="000000"/>
          <w:szCs w:val="26"/>
        </w:rPr>
      </w:pPr>
      <w:r>
        <w:rPr>
          <w:rFonts w:cs="Arial"/>
          <w:color w:val="000000"/>
          <w:szCs w:val="26"/>
        </w:rPr>
        <w:t xml:space="preserve">Cal Advocates states that the decision fails to </w:t>
      </w:r>
      <w:r w:rsidR="00375272">
        <w:rPr>
          <w:rFonts w:cs="Arial"/>
          <w:color w:val="000000"/>
          <w:szCs w:val="26"/>
        </w:rPr>
        <w:t>specify whether a Year 3 showing must be replaced by resources that meet the same criteria as the initial Year 3 showing.</w:t>
      </w:r>
      <w:r>
        <w:rPr>
          <w:rFonts w:cs="Arial"/>
          <w:color w:val="000000"/>
          <w:szCs w:val="26"/>
        </w:rPr>
        <w:t xml:space="preserve"> </w:t>
      </w:r>
      <w:r w:rsidR="00375272">
        <w:rPr>
          <w:rFonts w:cs="Arial"/>
          <w:color w:val="000000"/>
          <w:szCs w:val="26"/>
        </w:rPr>
        <w:t xml:space="preserve"> Cal Advocates recommends </w:t>
      </w:r>
      <w:r w:rsidR="005E70B1">
        <w:rPr>
          <w:rFonts w:cs="Arial"/>
          <w:color w:val="000000"/>
          <w:szCs w:val="26"/>
        </w:rPr>
        <w:t>clarify</w:t>
      </w:r>
      <w:r w:rsidR="00A5791B">
        <w:rPr>
          <w:rFonts w:cs="Arial"/>
          <w:color w:val="000000"/>
          <w:szCs w:val="26"/>
        </w:rPr>
        <w:t>ing</w:t>
      </w:r>
      <w:r w:rsidR="00375272">
        <w:rPr>
          <w:rFonts w:cs="Arial"/>
          <w:color w:val="000000"/>
          <w:szCs w:val="26"/>
        </w:rPr>
        <w:t xml:space="preserve"> that </w:t>
      </w:r>
      <w:r w:rsidR="00007121">
        <w:rPr>
          <w:rFonts w:cs="Arial"/>
          <w:color w:val="000000"/>
          <w:szCs w:val="26"/>
        </w:rPr>
        <w:t xml:space="preserve">LSEs may replace resources shown for Year 3 with other local resources in the same local capacity area and at least equal to the capacity of the local resources being replaced in the subsequent year’s showing.  SCE agrees.  </w:t>
      </w:r>
      <w:r w:rsidR="003E6722">
        <w:rPr>
          <w:rFonts w:cs="Arial"/>
          <w:color w:val="000000"/>
          <w:szCs w:val="26"/>
        </w:rPr>
        <w:t>We</w:t>
      </w:r>
      <w:r w:rsidR="00007121">
        <w:rPr>
          <w:rFonts w:cs="Arial"/>
          <w:color w:val="000000"/>
          <w:szCs w:val="26"/>
        </w:rPr>
        <w:t xml:space="preserve"> agree </w:t>
      </w:r>
      <w:r w:rsidR="005C6242">
        <w:rPr>
          <w:rFonts w:cs="Arial"/>
          <w:color w:val="000000"/>
          <w:szCs w:val="26"/>
        </w:rPr>
        <w:t>with</w:t>
      </w:r>
      <w:r w:rsidR="00007121">
        <w:rPr>
          <w:rFonts w:cs="Arial"/>
          <w:color w:val="000000"/>
          <w:szCs w:val="26"/>
        </w:rPr>
        <w:t xml:space="preserve"> the </w:t>
      </w:r>
      <w:r w:rsidR="00A5791B">
        <w:rPr>
          <w:rFonts w:cs="Arial"/>
          <w:color w:val="000000"/>
          <w:szCs w:val="26"/>
        </w:rPr>
        <w:t>clarification</w:t>
      </w:r>
      <w:r w:rsidR="00007121">
        <w:rPr>
          <w:rFonts w:cs="Arial"/>
          <w:color w:val="000000"/>
          <w:szCs w:val="26"/>
        </w:rPr>
        <w:t xml:space="preserve"> and the decision has been modified.</w:t>
      </w:r>
    </w:p>
    <w:p w:rsidRPr="003F209A" w:rsidR="009523E4" w:rsidP="00AD78EC" w:rsidRDefault="009523E4" w14:paraId="785F41BB" w14:textId="7F581DCF">
      <w:pPr>
        <w:pStyle w:val="Standard"/>
        <w:rPr>
          <w:rFonts w:cs="Arial"/>
          <w:color w:val="000000"/>
          <w:szCs w:val="26"/>
        </w:rPr>
      </w:pPr>
      <w:r w:rsidRPr="003F209A">
        <w:rPr>
          <w:rFonts w:cs="Arial"/>
          <w:color w:val="000000"/>
          <w:szCs w:val="26"/>
        </w:rPr>
        <w:t>CEJA/UCS state that heat rate information should be reported by entities that bid</w:t>
      </w:r>
      <w:r w:rsidRPr="003F209A" w:rsidR="00846622">
        <w:rPr>
          <w:rFonts w:cs="Arial"/>
          <w:color w:val="000000"/>
          <w:szCs w:val="26"/>
        </w:rPr>
        <w:t>/self-show</w:t>
      </w:r>
      <w:r w:rsidRPr="003F209A">
        <w:rPr>
          <w:rFonts w:cs="Arial"/>
          <w:color w:val="000000"/>
          <w:szCs w:val="26"/>
        </w:rPr>
        <w:t xml:space="preserve">, stating that the public database does not necessarily contain accurate information </w:t>
      </w:r>
      <w:r w:rsidRPr="003F209A" w:rsidR="00270B93">
        <w:rPr>
          <w:rFonts w:cs="Arial"/>
          <w:color w:val="000000"/>
          <w:szCs w:val="26"/>
        </w:rPr>
        <w:t>because</w:t>
      </w:r>
      <w:r w:rsidRPr="003F209A">
        <w:rPr>
          <w:rFonts w:cs="Arial"/>
          <w:color w:val="000000"/>
          <w:szCs w:val="26"/>
        </w:rPr>
        <w:t xml:space="preserve"> plants </w:t>
      </w:r>
      <w:r w:rsidRPr="003F209A" w:rsidR="00270B93">
        <w:rPr>
          <w:rFonts w:cs="Arial"/>
          <w:color w:val="000000"/>
          <w:szCs w:val="26"/>
        </w:rPr>
        <w:t xml:space="preserve">may </w:t>
      </w:r>
      <w:r w:rsidRPr="003F209A">
        <w:rPr>
          <w:rFonts w:cs="Arial"/>
          <w:color w:val="000000"/>
          <w:szCs w:val="26"/>
        </w:rPr>
        <w:t xml:space="preserve">report past heat rates and new plants do not yet have a heat rate.  </w:t>
      </w:r>
      <w:r w:rsidRPr="003F209A" w:rsidR="006D04C5">
        <w:rPr>
          <w:rFonts w:cs="Times New Roman"/>
          <w:szCs w:val="20"/>
        </w:rPr>
        <w:t xml:space="preserve">The Commission finds that other selection criteria, </w:t>
      </w:r>
      <w:r w:rsidR="00565B33">
        <w:rPr>
          <w:rFonts w:cs="Times New Roman"/>
          <w:szCs w:val="20"/>
        </w:rPr>
        <w:t xml:space="preserve">including </w:t>
      </w:r>
      <w:r w:rsidRPr="003F209A" w:rsidR="006D04C5">
        <w:rPr>
          <w:rFonts w:cs="Times New Roman"/>
          <w:szCs w:val="20"/>
        </w:rPr>
        <w:t>prioritizing procurement of preferred resources</w:t>
      </w:r>
      <w:r w:rsidRPr="003F209A" w:rsidR="00AD78EC">
        <w:rPr>
          <w:rFonts w:cs="Times New Roman"/>
          <w:szCs w:val="20"/>
        </w:rPr>
        <w:t>,</w:t>
      </w:r>
      <w:r w:rsidRPr="003F209A" w:rsidR="006D04C5">
        <w:rPr>
          <w:rFonts w:cs="Times New Roman"/>
          <w:szCs w:val="20"/>
        </w:rPr>
        <w:t xml:space="preserve"> </w:t>
      </w:r>
      <w:r w:rsidRPr="003F209A" w:rsidR="00AD78EC">
        <w:rPr>
          <w:rFonts w:cs="Times New Roman"/>
          <w:szCs w:val="20"/>
        </w:rPr>
        <w:t xml:space="preserve">will provide information necessary for the CPE to evaluate procurement that advances clean energy goals. </w:t>
      </w:r>
      <w:bookmarkStart w:name="_Hlk97999324" w:id="83"/>
      <w:r w:rsidRPr="003F209A" w:rsidR="00AD78EC">
        <w:rPr>
          <w:rFonts w:cs="Times New Roman"/>
          <w:szCs w:val="20"/>
        </w:rPr>
        <w:t xml:space="preserve"> </w:t>
      </w:r>
      <w:r w:rsidR="003307D4">
        <w:rPr>
          <w:rFonts w:cs="Times New Roman"/>
          <w:szCs w:val="20"/>
        </w:rPr>
        <w:t>In addition</w:t>
      </w:r>
      <w:r w:rsidRPr="003F209A" w:rsidR="006D04C5">
        <w:rPr>
          <w:rFonts w:cs="Times New Roman"/>
          <w:szCs w:val="20"/>
        </w:rPr>
        <w:t xml:space="preserve">, LSEs are required to comply with the </w:t>
      </w:r>
      <w:r w:rsidRPr="003F209A" w:rsidR="00AD78EC">
        <w:rPr>
          <w:rFonts w:cs="Times New Roman"/>
          <w:szCs w:val="20"/>
        </w:rPr>
        <w:t xml:space="preserve">RPS </w:t>
      </w:r>
      <w:r w:rsidRPr="003F209A" w:rsidR="006D04C5">
        <w:rPr>
          <w:rFonts w:cs="Times New Roman"/>
          <w:szCs w:val="20"/>
        </w:rPr>
        <w:t>requirements</w:t>
      </w:r>
      <w:r w:rsidR="00586D3D">
        <w:rPr>
          <w:rFonts w:cs="Times New Roman"/>
          <w:szCs w:val="20"/>
        </w:rPr>
        <w:t>,</w:t>
      </w:r>
      <w:r w:rsidRPr="003F209A" w:rsidR="006D04C5">
        <w:rPr>
          <w:rFonts w:cs="Times New Roman"/>
          <w:szCs w:val="20"/>
        </w:rPr>
        <w:t xml:space="preserve"> as well as the recently approved 35 million metric ton electric sector greenhouse gas planning target</w:t>
      </w:r>
      <w:r w:rsidR="00565B33">
        <w:rPr>
          <w:rFonts w:cs="Times New Roman"/>
          <w:szCs w:val="20"/>
        </w:rPr>
        <w:t xml:space="preserve"> </w:t>
      </w:r>
      <w:r w:rsidR="00586D3D">
        <w:rPr>
          <w:rFonts w:cs="Times New Roman"/>
          <w:szCs w:val="20"/>
        </w:rPr>
        <w:t xml:space="preserve">by 2032, as directed </w:t>
      </w:r>
      <w:r w:rsidR="00565B33">
        <w:rPr>
          <w:rFonts w:cs="Times New Roman"/>
          <w:szCs w:val="20"/>
        </w:rPr>
        <w:t>in D.22-02-004</w:t>
      </w:r>
      <w:r w:rsidRPr="003F209A" w:rsidR="006D04C5">
        <w:rPr>
          <w:rFonts w:cs="Times New Roman"/>
          <w:szCs w:val="20"/>
        </w:rPr>
        <w:t xml:space="preserve">.  </w:t>
      </w:r>
      <w:r w:rsidRPr="003F209A" w:rsidR="00AD78EC">
        <w:rPr>
          <w:rFonts w:cs="Times New Roman"/>
          <w:szCs w:val="20"/>
        </w:rPr>
        <w:t>Thus</w:t>
      </w:r>
      <w:r w:rsidRPr="003F209A" w:rsidR="006D04C5">
        <w:rPr>
          <w:rFonts w:cs="Times New Roman"/>
          <w:szCs w:val="20"/>
        </w:rPr>
        <w:t>, the pool of resources that LSEs bid into the CPEs’ solicitation should mirror the state’s transition to clean energy.</w:t>
      </w:r>
      <w:r w:rsidRPr="003F209A" w:rsidR="001562FA">
        <w:rPr>
          <w:rFonts w:cs="Times New Roman"/>
          <w:szCs w:val="20"/>
        </w:rPr>
        <w:t xml:space="preserve">  To the extent that heat rate information is not publicly</w:t>
      </w:r>
      <w:r w:rsidRPr="003F209A" w:rsidR="001F6591">
        <w:rPr>
          <w:rFonts w:cs="Times New Roman"/>
          <w:szCs w:val="20"/>
        </w:rPr>
        <w:t xml:space="preserve"> </w:t>
      </w:r>
      <w:r w:rsidRPr="003F209A" w:rsidR="001562FA">
        <w:rPr>
          <w:rFonts w:cs="Times New Roman"/>
          <w:szCs w:val="20"/>
        </w:rPr>
        <w:t>available or up</w:t>
      </w:r>
      <w:r w:rsidR="00586D3D">
        <w:rPr>
          <w:rFonts w:cs="Times New Roman"/>
          <w:szCs w:val="20"/>
        </w:rPr>
        <w:t>dated</w:t>
      </w:r>
      <w:r w:rsidRPr="003F209A" w:rsidR="001562FA">
        <w:rPr>
          <w:rFonts w:cs="Times New Roman"/>
          <w:szCs w:val="20"/>
        </w:rPr>
        <w:t xml:space="preserve">, the CPE </w:t>
      </w:r>
      <w:r w:rsidR="003F209A">
        <w:rPr>
          <w:rFonts w:cs="Times New Roman"/>
          <w:szCs w:val="20"/>
        </w:rPr>
        <w:t>is encouraged to consult</w:t>
      </w:r>
      <w:r w:rsidRPr="003F209A" w:rsidR="001562FA">
        <w:rPr>
          <w:rFonts w:cs="Times New Roman"/>
          <w:szCs w:val="20"/>
        </w:rPr>
        <w:t xml:space="preserve"> with Energy Division </w:t>
      </w:r>
      <w:r w:rsidR="003F209A">
        <w:rPr>
          <w:rFonts w:cs="Times New Roman"/>
          <w:szCs w:val="20"/>
        </w:rPr>
        <w:t>and</w:t>
      </w:r>
      <w:r w:rsidRPr="003F209A" w:rsidR="001562FA">
        <w:rPr>
          <w:rFonts w:cs="Times New Roman"/>
          <w:szCs w:val="20"/>
        </w:rPr>
        <w:t xml:space="preserve"> the </w:t>
      </w:r>
      <w:r w:rsidR="0038347B">
        <w:rPr>
          <w:rFonts w:cs="Times New Roman"/>
          <w:szCs w:val="20"/>
        </w:rPr>
        <w:t xml:space="preserve">CAM </w:t>
      </w:r>
      <w:r w:rsidRPr="003F209A" w:rsidR="001562FA">
        <w:rPr>
          <w:rFonts w:cs="Times New Roman"/>
          <w:szCs w:val="20"/>
        </w:rPr>
        <w:t xml:space="preserve">PRG to develop a proxy for heat rate information.  </w:t>
      </w:r>
      <w:bookmarkEnd w:id="83"/>
      <w:r w:rsidR="00BD7382">
        <w:rPr>
          <w:rFonts w:cs="Times New Roman"/>
          <w:szCs w:val="20"/>
        </w:rPr>
        <w:t>The decision is modified with these clarifications.</w:t>
      </w:r>
    </w:p>
    <w:p w:rsidR="00B16EC5" w:rsidP="00F00D7C" w:rsidRDefault="00E05DA9" w14:paraId="64A3C867" w14:textId="56507073">
      <w:pPr>
        <w:pStyle w:val="Standard"/>
        <w:rPr>
          <w:rFonts w:cs="Arial"/>
          <w:color w:val="000000"/>
          <w:szCs w:val="26"/>
        </w:rPr>
      </w:pPr>
      <w:r>
        <w:rPr>
          <w:rFonts w:cs="Arial"/>
          <w:color w:val="000000"/>
          <w:szCs w:val="26"/>
        </w:rPr>
        <w:t xml:space="preserve">CEJA/UCS comment that the confidentiality matrix does not conform to D.06-06-066, and that information that is otherwise publicly available should not be deemed confidential.  </w:t>
      </w:r>
      <w:r w:rsidR="00746A4E">
        <w:rPr>
          <w:rFonts w:cs="Arial"/>
          <w:color w:val="000000"/>
          <w:szCs w:val="26"/>
        </w:rPr>
        <w:t xml:space="preserve">Shell states that the decision </w:t>
      </w:r>
      <w:r w:rsidR="008044F2">
        <w:rPr>
          <w:rFonts w:cs="Arial"/>
          <w:color w:val="000000"/>
          <w:szCs w:val="26"/>
        </w:rPr>
        <w:t>should</w:t>
      </w:r>
      <w:r w:rsidR="00746A4E">
        <w:rPr>
          <w:rFonts w:cs="Arial"/>
          <w:color w:val="000000"/>
          <w:szCs w:val="26"/>
        </w:rPr>
        <w:t xml:space="preserve"> ensure that </w:t>
      </w:r>
      <w:r w:rsidR="00746A4E">
        <w:rPr>
          <w:rFonts w:cs="Arial"/>
          <w:color w:val="000000"/>
          <w:szCs w:val="26"/>
        </w:rPr>
        <w:lastRenderedPageBreak/>
        <w:t xml:space="preserve">confidentiality rules </w:t>
      </w:r>
      <w:r w:rsidR="008044F2">
        <w:rPr>
          <w:rFonts w:cs="Arial"/>
          <w:color w:val="000000"/>
          <w:szCs w:val="26"/>
        </w:rPr>
        <w:t>applied</w:t>
      </w:r>
      <w:r w:rsidR="00746A4E">
        <w:rPr>
          <w:rFonts w:cs="Arial"/>
          <w:color w:val="000000"/>
          <w:szCs w:val="26"/>
        </w:rPr>
        <w:t xml:space="preserve"> to the CPE’s procurement information do not restrict public access more than the rules that apply to LSEs’ procurement under D.06-06-066.  </w:t>
      </w:r>
      <w:r w:rsidR="001778D0">
        <w:rPr>
          <w:rFonts w:cs="Arial"/>
          <w:color w:val="000000"/>
          <w:szCs w:val="26"/>
        </w:rPr>
        <w:t>PG&amp;E disagrees and states that the matrix does not afford the CPE any confidentiality protections that are not also available to other LSEs</w:t>
      </w:r>
      <w:r w:rsidR="00F460CB">
        <w:rPr>
          <w:rFonts w:cs="Arial"/>
          <w:color w:val="000000"/>
          <w:szCs w:val="26"/>
        </w:rPr>
        <w:t>, and that the matrix reflects other legal bases, in addition to D.06-06-066, to preemptively designated CPE information as confidential</w:t>
      </w:r>
      <w:r w:rsidR="001778D0">
        <w:rPr>
          <w:rFonts w:cs="Arial"/>
          <w:color w:val="000000"/>
          <w:szCs w:val="26"/>
        </w:rPr>
        <w:t xml:space="preserve">.  </w:t>
      </w:r>
    </w:p>
    <w:p w:rsidR="00F43B20" w:rsidP="00775F7C" w:rsidRDefault="00C6396C" w14:paraId="552E7FB3" w14:textId="6167CB7D">
      <w:pPr>
        <w:pStyle w:val="Standard"/>
        <w:rPr>
          <w:rFonts w:cs="Arial"/>
          <w:color w:val="000000"/>
          <w:szCs w:val="26"/>
        </w:rPr>
      </w:pPr>
      <w:r>
        <w:rPr>
          <w:rFonts w:cs="Arial"/>
          <w:color w:val="000000"/>
          <w:szCs w:val="26"/>
        </w:rPr>
        <w:t xml:space="preserve">In adopting the matrix, the Commission </w:t>
      </w:r>
      <w:r w:rsidR="007277E9">
        <w:rPr>
          <w:rFonts w:cs="Arial"/>
          <w:color w:val="000000"/>
          <w:szCs w:val="26"/>
        </w:rPr>
        <w:t>has made</w:t>
      </w:r>
      <w:r w:rsidR="00D74ED1">
        <w:rPr>
          <w:rFonts w:cs="Arial"/>
          <w:color w:val="000000"/>
          <w:szCs w:val="26"/>
        </w:rPr>
        <w:t xml:space="preserve"> a determination, consistent with D.06-06-066, as modified by D.07-05-032, that the public benefit of withholding market</w:t>
      </w:r>
      <w:r w:rsidR="00996AC8">
        <w:rPr>
          <w:rFonts w:cs="Arial"/>
          <w:color w:val="000000"/>
          <w:szCs w:val="26"/>
        </w:rPr>
        <w:t>-</w:t>
      </w:r>
      <w:r w:rsidR="00D74ED1">
        <w:rPr>
          <w:rFonts w:cs="Arial"/>
          <w:color w:val="000000"/>
          <w:szCs w:val="26"/>
        </w:rPr>
        <w:t>sensitive information outweighs the public interest in disclosure, at least for a 3</w:t>
      </w:r>
      <w:r w:rsidR="007277E9">
        <w:rPr>
          <w:rFonts w:cs="Arial"/>
          <w:color w:val="000000"/>
          <w:szCs w:val="26"/>
        </w:rPr>
        <w:t>-</w:t>
      </w:r>
      <w:r w:rsidR="00D74ED1">
        <w:rPr>
          <w:rFonts w:cs="Arial"/>
          <w:color w:val="000000"/>
          <w:szCs w:val="26"/>
        </w:rPr>
        <w:t xml:space="preserve">year period.  </w:t>
      </w:r>
      <w:r w:rsidR="00775F7C">
        <w:rPr>
          <w:rFonts w:cs="Arial"/>
          <w:color w:val="000000"/>
          <w:szCs w:val="26"/>
        </w:rPr>
        <w:t xml:space="preserve">While </w:t>
      </w:r>
      <w:r w:rsidR="00BB5BE3">
        <w:rPr>
          <w:rFonts w:cs="Arial"/>
          <w:color w:val="000000"/>
          <w:szCs w:val="26"/>
        </w:rPr>
        <w:t>the decision</w:t>
      </w:r>
      <w:r w:rsidR="00775F7C">
        <w:rPr>
          <w:rFonts w:cs="Arial"/>
          <w:color w:val="000000"/>
          <w:szCs w:val="26"/>
        </w:rPr>
        <w:t xml:space="preserve"> adopt</w:t>
      </w:r>
      <w:r w:rsidR="00BB5BE3">
        <w:rPr>
          <w:rFonts w:cs="Arial"/>
          <w:color w:val="000000"/>
          <w:szCs w:val="26"/>
        </w:rPr>
        <w:t>s</w:t>
      </w:r>
      <w:r w:rsidR="00775F7C">
        <w:rPr>
          <w:rFonts w:cs="Arial"/>
          <w:color w:val="000000"/>
          <w:szCs w:val="26"/>
        </w:rPr>
        <w:t xml:space="preserve"> a new matrix to apply to CPE procurement, the rationale of D.06-06-066 is still applicable and this decision does not afford CPEs more confidentiality protections than would be available to LSEs under relevant statutory authority.  </w:t>
      </w:r>
      <w:r w:rsidR="00D74ED1">
        <w:rPr>
          <w:rFonts w:cs="Arial"/>
          <w:color w:val="000000"/>
          <w:szCs w:val="26"/>
        </w:rPr>
        <w:t>We agree that information that has been publicly disclosed should not be designated as confidential</w:t>
      </w:r>
      <w:r w:rsidR="00DC4AFA">
        <w:rPr>
          <w:rFonts w:cs="Arial"/>
          <w:color w:val="000000"/>
          <w:szCs w:val="26"/>
        </w:rPr>
        <w:t xml:space="preserve"> and </w:t>
      </w:r>
      <w:r w:rsidR="00F84EB4">
        <w:rPr>
          <w:rFonts w:cs="Arial"/>
          <w:color w:val="000000"/>
          <w:szCs w:val="26"/>
        </w:rPr>
        <w:t>clarify that the</w:t>
      </w:r>
      <w:r w:rsidR="00775F7C">
        <w:rPr>
          <w:rFonts w:cs="Arial"/>
          <w:color w:val="000000"/>
          <w:szCs w:val="26"/>
        </w:rPr>
        <w:t xml:space="preserve"> process for obtaining confidentiality protection under the adopted matrix, as </w:t>
      </w:r>
      <w:r w:rsidR="00F84EB4">
        <w:rPr>
          <w:rFonts w:cs="Arial"/>
          <w:color w:val="000000"/>
          <w:szCs w:val="26"/>
        </w:rPr>
        <w:t>directed</w:t>
      </w:r>
      <w:r w:rsidR="00775F7C">
        <w:rPr>
          <w:rFonts w:cs="Arial"/>
          <w:color w:val="000000"/>
          <w:szCs w:val="26"/>
        </w:rPr>
        <w:t xml:space="preserve"> in </w:t>
      </w:r>
      <w:r w:rsidR="00F84EB4">
        <w:rPr>
          <w:rFonts w:cs="Arial"/>
          <w:color w:val="000000"/>
          <w:szCs w:val="26"/>
        </w:rPr>
        <w:t xml:space="preserve">D.20-07-005, is applicable to the matrix here.  That process includes </w:t>
      </w:r>
      <w:r w:rsidR="00A454DA">
        <w:rPr>
          <w:rFonts w:cs="Arial"/>
          <w:color w:val="000000"/>
          <w:szCs w:val="26"/>
        </w:rPr>
        <w:t>requiring</w:t>
      </w:r>
      <w:r w:rsidR="00F84EB4">
        <w:rPr>
          <w:rFonts w:cs="Arial"/>
          <w:color w:val="000000"/>
          <w:szCs w:val="26"/>
        </w:rPr>
        <w:t xml:space="preserve"> </w:t>
      </w:r>
      <w:r w:rsidR="00D74ED1">
        <w:rPr>
          <w:rFonts w:cs="Arial"/>
          <w:color w:val="000000"/>
          <w:szCs w:val="26"/>
        </w:rPr>
        <w:t xml:space="preserve">the party seeking protection </w:t>
      </w:r>
      <w:r w:rsidR="00A454DA">
        <w:rPr>
          <w:rFonts w:cs="Arial"/>
          <w:color w:val="000000"/>
          <w:szCs w:val="26"/>
        </w:rPr>
        <w:t xml:space="preserve">to </w:t>
      </w:r>
      <w:r w:rsidR="001F63DB">
        <w:rPr>
          <w:rFonts w:cs="Arial"/>
          <w:color w:val="000000"/>
          <w:szCs w:val="26"/>
        </w:rPr>
        <w:t>declare</w:t>
      </w:r>
      <w:r w:rsidR="00D74ED1">
        <w:rPr>
          <w:rFonts w:cs="Arial"/>
          <w:color w:val="000000"/>
          <w:szCs w:val="26"/>
        </w:rPr>
        <w:t xml:space="preserve"> that the information is not already public.</w:t>
      </w:r>
      <w:r w:rsidR="00F84EB4">
        <w:rPr>
          <w:rStyle w:val="FootnoteReference"/>
          <w:rFonts w:cs="Arial"/>
          <w:color w:val="000000"/>
          <w:szCs w:val="26"/>
        </w:rPr>
        <w:footnoteReference w:id="122"/>
      </w:r>
      <w:r w:rsidR="00070935">
        <w:rPr>
          <w:rFonts w:cs="Arial"/>
          <w:color w:val="000000"/>
          <w:szCs w:val="26"/>
        </w:rPr>
        <w:t xml:space="preserve">  </w:t>
      </w:r>
      <w:r w:rsidR="00BB5BE3">
        <w:rPr>
          <w:rFonts w:cs="Arial"/>
          <w:color w:val="000000"/>
          <w:szCs w:val="26"/>
        </w:rPr>
        <w:t>The decision has been modified with this clarifi</w:t>
      </w:r>
      <w:r w:rsidR="000B00FF">
        <w:rPr>
          <w:rFonts w:cs="Arial"/>
          <w:color w:val="000000"/>
          <w:szCs w:val="26"/>
        </w:rPr>
        <w:t>cation.</w:t>
      </w:r>
    </w:p>
    <w:p w:rsidR="009523E4" w:rsidP="009523E4" w:rsidRDefault="00EE7696" w14:paraId="283AD12A" w14:textId="1DA53868">
      <w:pPr>
        <w:pStyle w:val="Standard"/>
        <w:rPr>
          <w:rFonts w:cs="Arial"/>
          <w:color w:val="000000"/>
          <w:szCs w:val="26"/>
        </w:rPr>
      </w:pPr>
      <w:r>
        <w:rPr>
          <w:rFonts w:cs="Arial"/>
          <w:color w:val="000000"/>
          <w:szCs w:val="26"/>
        </w:rPr>
        <w:t>PG&amp;E</w:t>
      </w:r>
      <w:r w:rsidR="00EE5504">
        <w:rPr>
          <w:rFonts w:cs="Arial"/>
          <w:color w:val="000000"/>
          <w:szCs w:val="26"/>
        </w:rPr>
        <w:t xml:space="preserve"> disagrees with the matrix</w:t>
      </w:r>
      <w:r w:rsidR="0009243C">
        <w:rPr>
          <w:rFonts w:cs="Arial"/>
          <w:color w:val="000000"/>
          <w:szCs w:val="26"/>
        </w:rPr>
        <w:t>’s</w:t>
      </w:r>
      <w:r w:rsidR="00EE5504">
        <w:rPr>
          <w:rFonts w:cs="Arial"/>
          <w:color w:val="000000"/>
          <w:szCs w:val="26"/>
        </w:rPr>
        <w:t xml:space="preserve"> limit</w:t>
      </w:r>
      <w:r w:rsidR="0009243C">
        <w:rPr>
          <w:rFonts w:cs="Arial"/>
          <w:color w:val="000000"/>
          <w:szCs w:val="26"/>
        </w:rPr>
        <w:t>ing of</w:t>
      </w:r>
      <w:r w:rsidR="00EE5504">
        <w:rPr>
          <w:rFonts w:cs="Arial"/>
          <w:color w:val="000000"/>
          <w:szCs w:val="26"/>
        </w:rPr>
        <w:t xml:space="preserve"> the confidentiality period to three years from the contract execution date</w:t>
      </w:r>
      <w:r w:rsidR="00002DCF">
        <w:rPr>
          <w:rFonts w:cs="Arial"/>
          <w:color w:val="000000"/>
          <w:szCs w:val="26"/>
        </w:rPr>
        <w:t>.  PG&amp;E states that this</w:t>
      </w:r>
      <w:r w:rsidR="00EE5504">
        <w:rPr>
          <w:rFonts w:cs="Arial"/>
          <w:color w:val="000000"/>
          <w:szCs w:val="26"/>
        </w:rPr>
        <w:t xml:space="preserve"> ensures disclosure of longer-term contracts in connection with the CPE’s portfolio</w:t>
      </w:r>
      <w:r w:rsidR="00002DCF">
        <w:rPr>
          <w:rFonts w:cs="Arial"/>
          <w:color w:val="000000"/>
          <w:szCs w:val="26"/>
        </w:rPr>
        <w:t xml:space="preserve"> and</w:t>
      </w:r>
      <w:r w:rsidR="00EE5504">
        <w:rPr>
          <w:rFonts w:cs="Arial"/>
          <w:color w:val="000000"/>
          <w:szCs w:val="26"/>
        </w:rPr>
        <w:t xml:space="preserve"> recommends the confidentiality period to be the later of 3</w:t>
      </w:r>
      <w:r w:rsidR="00002DCF">
        <w:rPr>
          <w:rFonts w:cs="Arial"/>
          <w:color w:val="000000"/>
          <w:szCs w:val="26"/>
        </w:rPr>
        <w:t xml:space="preserve"> </w:t>
      </w:r>
      <w:r w:rsidR="00EE5504">
        <w:rPr>
          <w:rFonts w:cs="Arial"/>
          <w:color w:val="000000"/>
          <w:szCs w:val="26"/>
        </w:rPr>
        <w:t>years from delivery start or 1</w:t>
      </w:r>
      <w:r w:rsidR="00002DCF">
        <w:rPr>
          <w:rFonts w:cs="Arial"/>
          <w:color w:val="000000"/>
          <w:szCs w:val="26"/>
        </w:rPr>
        <w:t xml:space="preserve"> </w:t>
      </w:r>
      <w:r w:rsidR="00EE5504">
        <w:rPr>
          <w:rFonts w:cs="Arial"/>
          <w:color w:val="000000"/>
          <w:szCs w:val="26"/>
        </w:rPr>
        <w:t xml:space="preserve">year after expiration. </w:t>
      </w:r>
      <w:r w:rsidR="00FA0EF1">
        <w:rPr>
          <w:rFonts w:cs="Arial"/>
          <w:color w:val="000000"/>
          <w:szCs w:val="26"/>
        </w:rPr>
        <w:t xml:space="preserve"> </w:t>
      </w:r>
      <w:r w:rsidR="00794231">
        <w:rPr>
          <w:rFonts w:cs="Arial"/>
          <w:color w:val="000000"/>
          <w:szCs w:val="26"/>
        </w:rPr>
        <w:t xml:space="preserve">CEJA/UCS oppose PG&amp;E’s proposal and note that there is a process for claiming material as confidential that is not included </w:t>
      </w:r>
      <w:r w:rsidR="00794231">
        <w:rPr>
          <w:rFonts w:cs="Arial"/>
          <w:color w:val="000000"/>
          <w:szCs w:val="26"/>
        </w:rPr>
        <w:lastRenderedPageBreak/>
        <w:t>within the matrix.</w:t>
      </w:r>
      <w:r w:rsidR="0009243C">
        <w:rPr>
          <w:rFonts w:cs="Arial"/>
          <w:color w:val="000000"/>
          <w:szCs w:val="26"/>
        </w:rPr>
        <w:t xml:space="preserve">  </w:t>
      </w:r>
      <w:r w:rsidR="00E05DA9">
        <w:rPr>
          <w:rFonts w:cs="Arial"/>
          <w:color w:val="000000"/>
          <w:szCs w:val="26"/>
        </w:rPr>
        <w:t>We</w:t>
      </w:r>
      <w:r w:rsidR="00EE5504">
        <w:rPr>
          <w:rFonts w:cs="Arial"/>
          <w:color w:val="000000"/>
          <w:szCs w:val="26"/>
        </w:rPr>
        <w:t xml:space="preserve"> </w:t>
      </w:r>
      <w:r w:rsidR="00002DCF">
        <w:rPr>
          <w:rFonts w:cs="Arial"/>
          <w:color w:val="000000"/>
          <w:szCs w:val="26"/>
        </w:rPr>
        <w:t>decline to</w:t>
      </w:r>
      <w:r w:rsidR="00EE5504">
        <w:rPr>
          <w:rFonts w:cs="Arial"/>
          <w:color w:val="000000"/>
          <w:szCs w:val="26"/>
        </w:rPr>
        <w:t xml:space="preserve"> </w:t>
      </w:r>
      <w:r w:rsidR="00002DCF">
        <w:rPr>
          <w:rFonts w:cs="Arial"/>
          <w:color w:val="000000"/>
          <w:szCs w:val="26"/>
        </w:rPr>
        <w:t>adopt</w:t>
      </w:r>
      <w:r w:rsidR="00EE5504">
        <w:rPr>
          <w:rFonts w:cs="Arial"/>
          <w:color w:val="000000"/>
          <w:szCs w:val="26"/>
        </w:rPr>
        <w:t xml:space="preserve"> confidentiality protections for an indeterminate amount of time.  The matrix does not require confidential market-sensitive information to be made public three years after contract execution.  Rather, </w:t>
      </w:r>
      <w:r w:rsidR="00432664">
        <w:rPr>
          <w:rFonts w:cs="Arial"/>
          <w:color w:val="000000"/>
          <w:szCs w:val="26"/>
        </w:rPr>
        <w:t xml:space="preserve">after the three-year mark, the burden </w:t>
      </w:r>
      <w:r w:rsidR="00002DCF">
        <w:rPr>
          <w:rFonts w:cs="Arial"/>
          <w:color w:val="000000"/>
          <w:szCs w:val="26"/>
        </w:rPr>
        <w:t xml:space="preserve">of proof </w:t>
      </w:r>
      <w:r w:rsidR="00432664">
        <w:rPr>
          <w:rFonts w:cs="Arial"/>
          <w:color w:val="000000"/>
          <w:szCs w:val="26"/>
        </w:rPr>
        <w:t xml:space="preserve">shifts </w:t>
      </w:r>
      <w:r w:rsidR="00EE5504">
        <w:rPr>
          <w:rFonts w:cs="Arial"/>
          <w:color w:val="000000"/>
          <w:szCs w:val="26"/>
        </w:rPr>
        <w:t xml:space="preserve">back to the party seeking </w:t>
      </w:r>
      <w:r w:rsidR="00432664">
        <w:rPr>
          <w:rFonts w:cs="Arial"/>
          <w:color w:val="000000"/>
          <w:szCs w:val="26"/>
        </w:rPr>
        <w:t>confidentiality</w:t>
      </w:r>
      <w:r w:rsidR="00EE5504">
        <w:rPr>
          <w:rFonts w:cs="Arial"/>
          <w:color w:val="000000"/>
          <w:szCs w:val="26"/>
        </w:rPr>
        <w:t xml:space="preserve"> to </w:t>
      </w:r>
      <w:r w:rsidR="00432664">
        <w:rPr>
          <w:rFonts w:cs="Arial"/>
          <w:color w:val="000000"/>
          <w:szCs w:val="26"/>
        </w:rPr>
        <w:t>establish</w:t>
      </w:r>
      <w:r w:rsidR="00EE5504">
        <w:rPr>
          <w:rFonts w:cs="Arial"/>
          <w:color w:val="000000"/>
          <w:szCs w:val="26"/>
        </w:rPr>
        <w:t xml:space="preserve"> that the information </w:t>
      </w:r>
      <w:r w:rsidR="00432664">
        <w:rPr>
          <w:rFonts w:cs="Arial"/>
          <w:color w:val="000000"/>
          <w:szCs w:val="26"/>
        </w:rPr>
        <w:t>is still market</w:t>
      </w:r>
      <w:r w:rsidR="00E05DA9">
        <w:rPr>
          <w:rFonts w:cs="Arial"/>
          <w:color w:val="000000"/>
          <w:szCs w:val="26"/>
        </w:rPr>
        <w:t>-</w:t>
      </w:r>
      <w:r w:rsidR="00432664">
        <w:rPr>
          <w:rFonts w:cs="Arial"/>
          <w:color w:val="000000"/>
          <w:szCs w:val="26"/>
        </w:rPr>
        <w:t>sensitive and entitled to be</w:t>
      </w:r>
      <w:r w:rsidR="00EE5504">
        <w:rPr>
          <w:rFonts w:cs="Arial"/>
          <w:color w:val="000000"/>
          <w:szCs w:val="26"/>
        </w:rPr>
        <w:t xml:space="preserve"> protected</w:t>
      </w:r>
      <w:r w:rsidR="00432664">
        <w:rPr>
          <w:rFonts w:cs="Arial"/>
          <w:color w:val="000000"/>
          <w:szCs w:val="26"/>
        </w:rPr>
        <w:t xml:space="preserve"> as such</w:t>
      </w:r>
      <w:r w:rsidR="00EE5504">
        <w:rPr>
          <w:rFonts w:cs="Arial"/>
          <w:color w:val="000000"/>
          <w:szCs w:val="26"/>
        </w:rPr>
        <w:t xml:space="preserve">.  </w:t>
      </w:r>
    </w:p>
    <w:p w:rsidR="00BD611B" w:rsidP="009523E4" w:rsidRDefault="00BD611B" w14:paraId="6671B57C" w14:textId="51EC0FBD">
      <w:pPr>
        <w:pStyle w:val="Standard"/>
        <w:rPr>
          <w:rFonts w:cs="Arial"/>
          <w:color w:val="000000"/>
          <w:szCs w:val="26"/>
        </w:rPr>
      </w:pPr>
      <w:r>
        <w:rPr>
          <w:rFonts w:cs="Arial"/>
          <w:color w:val="000000"/>
          <w:szCs w:val="26"/>
        </w:rPr>
        <w:t>PG&amp;E</w:t>
      </w:r>
      <w:r w:rsidR="00C1710D">
        <w:rPr>
          <w:rFonts w:cs="Arial"/>
          <w:color w:val="000000"/>
          <w:szCs w:val="26"/>
        </w:rPr>
        <w:t xml:space="preserve"> states that </w:t>
      </w:r>
      <w:r w:rsidR="002E3D68">
        <w:rPr>
          <w:rFonts w:cs="Arial"/>
          <w:color w:val="000000"/>
          <w:szCs w:val="26"/>
        </w:rPr>
        <w:t>the proposed decision</w:t>
      </w:r>
      <w:r w:rsidR="00C1710D">
        <w:rPr>
          <w:rFonts w:cs="Arial"/>
          <w:color w:val="000000"/>
          <w:szCs w:val="26"/>
        </w:rPr>
        <w:t xml:space="preserve"> may be interpreted as directing IOUs to value unsold RA capacity from PCIA-eligible resources at the market price benchmark regardless of whether the RA capacity is used for the IOU’s compliance</w:t>
      </w:r>
      <w:r w:rsidR="002E3D68">
        <w:rPr>
          <w:rFonts w:cs="Arial"/>
          <w:color w:val="000000"/>
          <w:szCs w:val="26"/>
        </w:rPr>
        <w:t xml:space="preserve"> and recommends clarifying this direction</w:t>
      </w:r>
      <w:r w:rsidR="00C1710D">
        <w:rPr>
          <w:rFonts w:cs="Arial"/>
          <w:color w:val="000000"/>
          <w:szCs w:val="26"/>
        </w:rPr>
        <w:t xml:space="preserve">.  We agree </w:t>
      </w:r>
      <w:r w:rsidR="004C223F">
        <w:rPr>
          <w:rFonts w:cs="Arial"/>
          <w:color w:val="000000"/>
          <w:szCs w:val="26"/>
        </w:rPr>
        <w:t>with th</w:t>
      </w:r>
      <w:r w:rsidR="002E3D68">
        <w:rPr>
          <w:rFonts w:cs="Arial"/>
          <w:color w:val="000000"/>
          <w:szCs w:val="26"/>
        </w:rPr>
        <w:t>e</w:t>
      </w:r>
      <w:r w:rsidR="00C1710D">
        <w:rPr>
          <w:rFonts w:cs="Arial"/>
          <w:color w:val="000000"/>
          <w:szCs w:val="26"/>
        </w:rPr>
        <w:t xml:space="preserve"> clarification</w:t>
      </w:r>
      <w:r w:rsidR="002E3D68">
        <w:rPr>
          <w:rFonts w:cs="Arial"/>
          <w:color w:val="000000"/>
          <w:szCs w:val="26"/>
        </w:rPr>
        <w:t xml:space="preserve"> to Ordering Paragraph 20(e)</w:t>
      </w:r>
      <w:r w:rsidR="00C1710D">
        <w:rPr>
          <w:rFonts w:cs="Arial"/>
          <w:color w:val="000000"/>
          <w:szCs w:val="26"/>
        </w:rPr>
        <w:t xml:space="preserve"> and the decision has been modified.</w:t>
      </w:r>
    </w:p>
    <w:p w:rsidRPr="00234187" w:rsidR="001172C5" w:rsidP="00356D38" w:rsidRDefault="001172C5" w14:paraId="639A18A2" w14:textId="339377D2">
      <w:pPr>
        <w:pStyle w:val="Standard"/>
        <w:rPr>
          <w:rFonts w:cs="Arial"/>
          <w:color w:val="000000"/>
          <w:szCs w:val="26"/>
        </w:rPr>
      </w:pPr>
      <w:r>
        <w:rPr>
          <w:rFonts w:cs="Arial"/>
          <w:color w:val="000000"/>
          <w:szCs w:val="26"/>
        </w:rPr>
        <w:t xml:space="preserve">PG&amp;E and SCE propose removing the August 1 deadline to allow LSEs to show additional capacity to the CPE.  SCE comments that the deadline was intended as part of its proposed late September CPE showing; with the adoption of a mid-August showing, the August 1 deadline does not give the CPE enough time to finalize procurement.  PG&amp;E comments that LSEs that procure additional resources after mid-May, but before the LSEs’ showing deadline, can include those resources in their justification statement.  </w:t>
      </w:r>
      <w:r w:rsidR="00E05DA9">
        <w:rPr>
          <w:rFonts w:cs="Arial"/>
          <w:color w:val="000000"/>
          <w:szCs w:val="26"/>
        </w:rPr>
        <w:t>We</w:t>
      </w:r>
      <w:r>
        <w:rPr>
          <w:rFonts w:cs="Arial"/>
          <w:color w:val="000000"/>
          <w:szCs w:val="26"/>
        </w:rPr>
        <w:t xml:space="preserve"> agree that the August 1 deadline is unnecessary and does not provide adequate time for the CPE to finalize procurement for the mid-August CPE showing.  The decision has been modified to remove the August 1 deadline.</w:t>
      </w:r>
    </w:p>
    <w:p w:rsidRPr="0046317C" w:rsidR="00BB7CF6" w:rsidP="00BB7CF6" w:rsidRDefault="00BB7CF6" w14:paraId="384C8671" w14:textId="77777777">
      <w:pPr>
        <w:pStyle w:val="Heading1"/>
        <w:rPr>
          <w:rFonts w:eastAsia="Times New Roman"/>
        </w:rPr>
      </w:pPr>
      <w:bookmarkStart w:name="_Toc42250881" w:id="84"/>
      <w:bookmarkStart w:name="_Toc94080409" w:id="85"/>
      <w:bookmarkStart w:name="_Toc95232129" w:id="86"/>
      <w:r w:rsidRPr="0046317C">
        <w:rPr>
          <w:rFonts w:eastAsia="Times New Roman"/>
        </w:rPr>
        <w:lastRenderedPageBreak/>
        <w:t>Assignment of Proceeding</w:t>
      </w:r>
      <w:bookmarkEnd w:id="84"/>
      <w:bookmarkEnd w:id="85"/>
      <w:bookmarkEnd w:id="86"/>
    </w:p>
    <w:p w:rsidR="00BB7CF6" w:rsidP="00BB7CF6" w:rsidRDefault="00BB7CF6" w14:paraId="6ACE60C9" w14:textId="77777777">
      <w:pPr>
        <w:keepNext/>
        <w:keepLines/>
        <w:rPr>
          <w:rFonts w:eastAsia="Times New Roman" w:cs="Times New Roman"/>
          <w:szCs w:val="20"/>
        </w:rPr>
      </w:pPr>
      <w:r w:rsidRPr="0046317C">
        <w:rPr>
          <w:rFonts w:eastAsia="Times New Roman" w:cs="Times New Roman"/>
          <w:szCs w:val="20"/>
        </w:rPr>
        <w:t>Alice Reynolds is the assigned Commissioner and Debbie Chiv is the assigned Administrative Law Judge in this proceeding.</w:t>
      </w:r>
    </w:p>
    <w:p w:rsidR="00BB7CF6" w:rsidP="00BB7CF6" w:rsidRDefault="00BB7CF6" w14:paraId="0A63E0A8" w14:textId="77777777">
      <w:pPr>
        <w:pStyle w:val="Dummy"/>
      </w:pPr>
      <w:bookmarkStart w:name="_Toc95232130" w:id="87"/>
      <w:r>
        <w:t>Findings of Fact</w:t>
      </w:r>
      <w:bookmarkEnd w:id="87"/>
    </w:p>
    <w:p w:rsidR="00BB7CF6" w:rsidP="00BB7CF6" w:rsidRDefault="00BB7CF6" w14:paraId="34AE3438" w14:textId="7226A02C">
      <w:pPr>
        <w:pStyle w:val="FoF"/>
      </w:pPr>
      <w:r>
        <w:rPr>
          <w:rFonts w:cs="Times New Roman"/>
          <w:szCs w:val="20"/>
        </w:rPr>
        <w:t>It</w:t>
      </w:r>
      <w:r w:rsidRPr="0046317C">
        <w:rPr>
          <w:rFonts w:cs="Times New Roman"/>
          <w:szCs w:val="20"/>
        </w:rPr>
        <w:t xml:space="preserve"> is important to address and eliminate barriers that may be unnecessarily disincentivizing LSEs from self-showing local resources to the CPE for no compensation.  </w:t>
      </w:r>
      <w:r w:rsidRPr="00AE5F03">
        <w:t>SCE’s proposal</w:t>
      </w:r>
      <w:r>
        <w:t>, with modifications,</w:t>
      </w:r>
      <w:r w:rsidRPr="00AE5F03">
        <w:t xml:space="preserve"> best mitigates some potential disincentives for LSEs to self</w:t>
      </w:r>
      <w:r>
        <w:noBreakHyphen/>
      </w:r>
      <w:r w:rsidRPr="00AE5F03">
        <w:t>show local resources</w:t>
      </w:r>
      <w:r>
        <w:t>.</w:t>
      </w:r>
    </w:p>
    <w:p w:rsidR="0084173F" w:rsidP="00BB7CF6" w:rsidRDefault="0084173F" w14:paraId="4EDBAD2C" w14:textId="6C550417">
      <w:pPr>
        <w:pStyle w:val="FoF"/>
      </w:pPr>
      <w:r>
        <w:t xml:space="preserve">It is reasonable that existing self-shown contracts should include, or be amended to include, </w:t>
      </w:r>
      <w:r w:rsidR="001F1D69">
        <w:t xml:space="preserve">a provision that results in </w:t>
      </w:r>
      <w:r>
        <w:t xml:space="preserve">automatic termination </w:t>
      </w:r>
      <w:r w:rsidR="001F1D69">
        <w:t>of</w:t>
      </w:r>
      <w:r>
        <w:t xml:space="preserve"> the contract upon submission by the LSE to the CPE of a</w:t>
      </w:r>
      <w:r w:rsidR="001F1D69">
        <w:t xml:space="preserve"> complaint</w:t>
      </w:r>
      <w:r>
        <w:t xml:space="preserve"> attestation.</w:t>
      </w:r>
    </w:p>
    <w:p w:rsidRPr="00417E2B" w:rsidR="00BB7CF6" w:rsidP="00BB7CF6" w:rsidRDefault="00BB7CF6" w14:paraId="1A16221C" w14:textId="77777777">
      <w:pPr>
        <w:pStyle w:val="FoF"/>
      </w:pPr>
      <w:r w:rsidRPr="009719FA">
        <w:rPr>
          <w:rFonts w:eastAsia="Times New Roman" w:cs="Times New Roman"/>
          <w:color w:val="000000"/>
          <w:szCs w:val="26"/>
        </w:rPr>
        <w:t xml:space="preserve">Given the shortfalls in the PG&amp;E CPE’s procurement process and the low participation rates in the CPE solicitation process, it is </w:t>
      </w:r>
      <w:r>
        <w:rPr>
          <w:rFonts w:eastAsia="Times New Roman" w:cs="Times New Roman"/>
          <w:color w:val="000000"/>
          <w:szCs w:val="26"/>
        </w:rPr>
        <w:t>critical</w:t>
      </w:r>
      <w:r w:rsidRPr="009719FA">
        <w:rPr>
          <w:rFonts w:eastAsia="Times New Roman" w:cs="Times New Roman"/>
          <w:color w:val="000000"/>
          <w:szCs w:val="26"/>
        </w:rPr>
        <w:t xml:space="preserve"> to better understand why LSEs are electing not to bid or self-show </w:t>
      </w:r>
      <w:r>
        <w:rPr>
          <w:rFonts w:eastAsia="Times New Roman" w:cs="Times New Roman"/>
          <w:color w:val="000000"/>
          <w:szCs w:val="26"/>
        </w:rPr>
        <w:t xml:space="preserve">local </w:t>
      </w:r>
      <w:r w:rsidRPr="009719FA">
        <w:rPr>
          <w:rFonts w:eastAsia="Times New Roman" w:cs="Times New Roman"/>
          <w:color w:val="000000"/>
          <w:szCs w:val="26"/>
        </w:rPr>
        <w:t xml:space="preserve">resources to the CPE.  </w:t>
      </w:r>
    </w:p>
    <w:p w:rsidRPr="009719FA" w:rsidR="00BB7CF6" w:rsidP="00BB7CF6" w:rsidRDefault="00BB7CF6" w14:paraId="5E2756E0" w14:textId="77777777">
      <w:pPr>
        <w:pStyle w:val="FoF"/>
      </w:pPr>
      <w:r>
        <w:rPr>
          <w:rFonts w:cs="Times New Roman"/>
          <w:color w:val="000000"/>
          <w:szCs w:val="26"/>
        </w:rPr>
        <w:t>It is</w:t>
      </w:r>
      <w:r w:rsidRPr="0046317C">
        <w:rPr>
          <w:rFonts w:cs="Times New Roman"/>
          <w:color w:val="000000"/>
          <w:szCs w:val="26"/>
        </w:rPr>
        <w:t xml:space="preserve"> reasonable that LSEs’ self-showing commitment </w:t>
      </w:r>
      <w:r>
        <w:rPr>
          <w:rFonts w:cs="Times New Roman"/>
          <w:color w:val="000000"/>
          <w:szCs w:val="26"/>
        </w:rPr>
        <w:t xml:space="preserve">should </w:t>
      </w:r>
      <w:r w:rsidRPr="0046317C">
        <w:rPr>
          <w:rFonts w:cs="Times New Roman"/>
          <w:color w:val="000000"/>
          <w:szCs w:val="26"/>
        </w:rPr>
        <w:t xml:space="preserve">be firm for </w:t>
      </w:r>
      <w:r>
        <w:rPr>
          <w:rFonts w:cs="Times New Roman"/>
          <w:color w:val="000000"/>
          <w:szCs w:val="26"/>
        </w:rPr>
        <w:t>Years 1 and 2</w:t>
      </w:r>
      <w:r w:rsidRPr="0046317C">
        <w:rPr>
          <w:rFonts w:cs="Times New Roman"/>
          <w:color w:val="000000"/>
          <w:szCs w:val="26"/>
        </w:rPr>
        <w:t xml:space="preserve">, </w:t>
      </w:r>
      <w:r>
        <w:rPr>
          <w:rFonts w:cs="Times New Roman"/>
          <w:color w:val="000000"/>
          <w:szCs w:val="26"/>
        </w:rPr>
        <w:t>and</w:t>
      </w:r>
      <w:r w:rsidRPr="0046317C">
        <w:rPr>
          <w:rFonts w:cs="Times New Roman"/>
          <w:color w:val="000000"/>
          <w:szCs w:val="26"/>
        </w:rPr>
        <w:t xml:space="preserve"> LSEs may replace local resources shown for Year 3 with other local resources in the subsequent year’s showing.</w:t>
      </w:r>
    </w:p>
    <w:p w:rsidRPr="009719FA" w:rsidR="00BB7CF6" w:rsidP="00BB7CF6" w:rsidRDefault="00BB7CF6" w14:paraId="263CACE3" w14:textId="25E2FC85">
      <w:pPr>
        <w:pStyle w:val="FoF"/>
      </w:pPr>
      <w:r w:rsidRPr="009719FA">
        <w:t xml:space="preserve">PG&amp;E’s proposal to modify the </w:t>
      </w:r>
      <w:r>
        <w:t xml:space="preserve">CPE </w:t>
      </w:r>
      <w:r w:rsidRPr="009719FA">
        <w:t xml:space="preserve">selection criteria and data submittal requirements is reasonable in </w:t>
      </w:r>
      <w:r>
        <w:t xml:space="preserve">that it </w:t>
      </w:r>
      <w:r w:rsidRPr="009719FA">
        <w:t>remov</w:t>
      </w:r>
      <w:r>
        <w:t>es</w:t>
      </w:r>
      <w:r w:rsidRPr="009719FA">
        <w:t xml:space="preserve"> some disincentives for LSEs to self</w:t>
      </w:r>
      <w:r w:rsidR="00284329">
        <w:noBreakHyphen/>
      </w:r>
      <w:r w:rsidRPr="009719FA">
        <w:t xml:space="preserve">show or bid local resources to the CPE.  </w:t>
      </w:r>
    </w:p>
    <w:p w:rsidRPr="009719FA" w:rsidR="00BB7CF6" w:rsidP="00BB7CF6" w:rsidRDefault="00BB7CF6" w14:paraId="00C14E52" w14:textId="77777777">
      <w:pPr>
        <w:pStyle w:val="FoF"/>
      </w:pPr>
      <w:r>
        <w:t>It is reasonable that t</w:t>
      </w:r>
      <w:r w:rsidRPr="009719FA">
        <w:t xml:space="preserve">he CPE </w:t>
      </w:r>
      <w:r>
        <w:t>not</w:t>
      </w:r>
      <w:r w:rsidRPr="009719FA">
        <w:t xml:space="preserve"> restrict </w:t>
      </w:r>
      <w:r>
        <w:t xml:space="preserve">bids based on </w:t>
      </w:r>
      <w:r w:rsidRPr="009719FA">
        <w:t>the length of contract terms in its solicitation, as such restrictions are not authorized by the Commission and may unnecessarily deter LSE participation in the solicitation process.</w:t>
      </w:r>
    </w:p>
    <w:p w:rsidR="00BB7CF6" w:rsidP="00BB7CF6" w:rsidRDefault="00BB7CF6" w14:paraId="12E648B4" w14:textId="626BF070">
      <w:pPr>
        <w:pStyle w:val="FoF"/>
      </w:pPr>
      <w:r>
        <w:lastRenderedPageBreak/>
        <w:t>T</w:t>
      </w:r>
      <w:r w:rsidRPr="009719FA">
        <w:t xml:space="preserve">he CPE is in the best position to evaluate the entire local portfolio and consider what additional resources are needed.  </w:t>
      </w:r>
      <w:r>
        <w:t>It is reasonable to allow t</w:t>
      </w:r>
      <w:r w:rsidRPr="009719FA">
        <w:t xml:space="preserve">he CPE to procure outside of the annual solicitation process in </w:t>
      </w:r>
      <w:r>
        <w:t>the event of procurement shortfalls following the annual all-source solicitation</w:t>
      </w:r>
      <w:r w:rsidRPr="009719FA">
        <w:t>.</w:t>
      </w:r>
    </w:p>
    <w:p w:rsidRPr="009719FA" w:rsidR="00BB7CF6" w:rsidP="00BB7CF6" w:rsidRDefault="00BB7CF6" w14:paraId="277FDB9D" w14:textId="5D4728C0">
      <w:pPr>
        <w:pStyle w:val="FoF"/>
      </w:pPr>
      <w:r>
        <w:t>It is appropriate that when procuring outside of the annual all-source solicitation, the CPE should use the least cost best fit methodology and the selection criteria set forth in D.20-06-002, as modified in this decision.</w:t>
      </w:r>
    </w:p>
    <w:p w:rsidRPr="009719FA" w:rsidR="00BB7CF6" w:rsidP="00BB7CF6" w:rsidRDefault="00BB7CF6" w14:paraId="6F18DA2E" w14:textId="77777777">
      <w:pPr>
        <w:pStyle w:val="FoF"/>
      </w:pPr>
      <w:r w:rsidRPr="009719FA">
        <w:t xml:space="preserve">PG&amp;E’s proposed CPE procurement timeline strikes a reasonable balance between the need of LSEs </w:t>
      </w:r>
      <w:r>
        <w:t xml:space="preserve">to have sufficient time for RA portfolio planning </w:t>
      </w:r>
      <w:r w:rsidRPr="009719FA">
        <w:t xml:space="preserve">and the </w:t>
      </w:r>
      <w:r>
        <w:t xml:space="preserve">need for the </w:t>
      </w:r>
      <w:r w:rsidRPr="009719FA">
        <w:t xml:space="preserve">CPEs </w:t>
      </w:r>
      <w:r>
        <w:t xml:space="preserve">to have adequate time to complete an all-source solicitation.  PG&amp;E’s proposal </w:t>
      </w:r>
      <w:r w:rsidRPr="009719FA">
        <w:t xml:space="preserve">gives both LSEs and the CPEs a similar amount of time (6-8 weeks) to complete necessary procurement after receiving allocations.  </w:t>
      </w:r>
    </w:p>
    <w:p w:rsidRPr="009719FA" w:rsidR="00BB7CF6" w:rsidP="00BB7CF6" w:rsidRDefault="00BB7CF6" w14:paraId="27770B7D" w14:textId="77777777">
      <w:pPr>
        <w:pStyle w:val="FoF"/>
      </w:pPr>
      <w:r w:rsidRPr="009719FA">
        <w:t xml:space="preserve">Given the limited number of RA-only contracts procured </w:t>
      </w:r>
      <w:r>
        <w:t xml:space="preserve">by the CPEs </w:t>
      </w:r>
      <w:r w:rsidRPr="009719FA">
        <w:t>for the 2023 compliance year, the calculation for the LCR RCM adopted in O</w:t>
      </w:r>
      <w:r>
        <w:t>rdering Paragraph</w:t>
      </w:r>
      <w:r w:rsidRPr="009719FA">
        <w:t xml:space="preserve"> 3 of D.20</w:t>
      </w:r>
      <w:r>
        <w:noBreakHyphen/>
      </w:r>
      <w:r w:rsidRPr="009719FA">
        <w:t>12</w:t>
      </w:r>
      <w:r>
        <w:noBreakHyphen/>
      </w:r>
      <w:r w:rsidRPr="009719FA">
        <w:t>006 for “subsequent years” cannot be applied.  Energy Division’s proposal to modify the calculation for subsequent years is reasonable.</w:t>
      </w:r>
    </w:p>
    <w:p w:rsidRPr="009719FA" w:rsidR="00BB7CF6" w:rsidP="00BB7CF6" w:rsidRDefault="00BB7CF6" w14:paraId="1D008484" w14:textId="77777777">
      <w:pPr>
        <w:pStyle w:val="FoF"/>
      </w:pPr>
      <w:r>
        <w:t>The</w:t>
      </w:r>
      <w:r w:rsidRPr="009719FA">
        <w:t xml:space="preserve"> </w:t>
      </w:r>
      <w:r>
        <w:t xml:space="preserve">requirement that IOUs bid their own resources at their </w:t>
      </w:r>
      <w:r w:rsidRPr="009719FA">
        <w:t>levelized fixed cost</w:t>
      </w:r>
      <w:r>
        <w:t>s</w:t>
      </w:r>
      <w:r w:rsidRPr="009719FA">
        <w:t xml:space="preserve"> </w:t>
      </w:r>
      <w:r>
        <w:t xml:space="preserve">may </w:t>
      </w:r>
      <w:r w:rsidRPr="009719FA">
        <w:t xml:space="preserve">result in </w:t>
      </w:r>
      <w:r>
        <w:t xml:space="preserve">the CPE procuring IOU resources at </w:t>
      </w:r>
      <w:r w:rsidRPr="009719FA">
        <w:t>inefficient</w:t>
      </w:r>
      <w:r>
        <w:t>,</w:t>
      </w:r>
      <w:r w:rsidRPr="009719FA">
        <w:t xml:space="preserve"> improper </w:t>
      </w:r>
      <w:r>
        <w:t>prices</w:t>
      </w:r>
      <w:r w:rsidRPr="009719FA">
        <w:t xml:space="preserve"> </w:t>
      </w:r>
      <w:r>
        <w:t>that do not reflect market costs</w:t>
      </w:r>
      <w:r w:rsidRPr="009719FA">
        <w:t xml:space="preserve">, </w:t>
      </w:r>
      <w:r>
        <w:t xml:space="preserve">and </w:t>
      </w:r>
      <w:r w:rsidRPr="009719FA">
        <w:t xml:space="preserve">that </w:t>
      </w:r>
      <w:r>
        <w:t>may</w:t>
      </w:r>
      <w:r w:rsidRPr="009719FA">
        <w:t xml:space="preserve"> disincentivize IOUs from participating in the CPE’s solicitation.  </w:t>
      </w:r>
    </w:p>
    <w:p w:rsidRPr="009719FA" w:rsidR="00BB7CF6" w:rsidP="00BB7CF6" w:rsidRDefault="00BB7CF6" w14:paraId="37E88815" w14:textId="77777777">
      <w:pPr>
        <w:pStyle w:val="FoF"/>
      </w:pPr>
      <w:r>
        <w:t>It is appropriate</w:t>
      </w:r>
      <w:r w:rsidRPr="009719FA">
        <w:t xml:space="preserve"> that the CPEs’ Annual Compliance Reports disclose certain aggregated information about the solicitation process that does not disclose market-sensitive information, including information about preferred resources selected by the CPE and procurement of generation facilities located in Disadvantaged Communities.  </w:t>
      </w:r>
    </w:p>
    <w:p w:rsidRPr="009719FA" w:rsidR="00BB7CF6" w:rsidP="00BB7CF6" w:rsidRDefault="00BB7CF6" w14:paraId="6EB95615" w14:textId="77777777">
      <w:pPr>
        <w:pStyle w:val="FoF"/>
      </w:pPr>
      <w:r w:rsidRPr="009719FA">
        <w:lastRenderedPageBreak/>
        <w:t xml:space="preserve">It is important to protect market-sensitive information in the CPE’s possession that may reveal market prices and competitive bid information, as disclosure of such information may adversely impact ratepayer interests, LSEs on behalf of which the CPE procures, and market participants transacting with the CPE.  </w:t>
      </w:r>
    </w:p>
    <w:p w:rsidR="00BB7CF6" w:rsidP="00BB7CF6" w:rsidRDefault="00BB7CF6" w14:paraId="57285645" w14:textId="77777777">
      <w:pPr>
        <w:pStyle w:val="FoF"/>
      </w:pPr>
      <w:r w:rsidRPr="009719FA">
        <w:t xml:space="preserve">Pursuant to GO 66-D, preemptively designating certain CPE information as confidential is warranted, as the need for confidentiality outweighs the need for disclosure.  Subject to modifications, PG&amp;E’s proposed matrix is reasonable.    </w:t>
      </w:r>
    </w:p>
    <w:p w:rsidR="00BB7CF6" w:rsidP="00BB7CF6" w:rsidRDefault="00BB7CF6" w14:paraId="41826B9C" w14:textId="77777777">
      <w:pPr>
        <w:pStyle w:val="FoF"/>
      </w:pPr>
      <w:r>
        <w:t>PG&amp;E’s proposal on CPE procurement costs forecasted through the ERRA forecast proceeding is reasonable.</w:t>
      </w:r>
    </w:p>
    <w:p w:rsidRPr="009719FA" w:rsidR="00BB7CF6" w:rsidP="00BB7CF6" w:rsidRDefault="00BB7CF6" w14:paraId="436711A5" w14:textId="77777777">
      <w:pPr>
        <w:pStyle w:val="FoF"/>
      </w:pPr>
      <w:r>
        <w:rPr>
          <w:rFonts w:cs="Times New Roman"/>
          <w:szCs w:val="20"/>
        </w:rPr>
        <w:t>PG&amp;E’s proposals to clarify IOU transactions are necessary clarifications for how costs and benefits associated with IOU transactions should be accounted for, and will help ensure IOU participation in the CPE’s solicitation process.</w:t>
      </w:r>
    </w:p>
    <w:p w:rsidR="00BB7CF6" w:rsidP="00BB7CF6" w:rsidRDefault="00BB7CF6" w14:paraId="641CB5D7" w14:textId="77777777">
      <w:pPr>
        <w:pStyle w:val="Dummy"/>
      </w:pPr>
      <w:bookmarkStart w:name="_Toc95232131" w:id="88"/>
      <w:r>
        <w:t>Conclusions of Law</w:t>
      </w:r>
      <w:bookmarkEnd w:id="88"/>
    </w:p>
    <w:p w:rsidR="00BB7CF6" w:rsidP="00BB7CF6" w:rsidRDefault="00BB7CF6" w14:paraId="3C78DD36" w14:textId="3A2C8E26">
      <w:pPr>
        <w:pStyle w:val="CoL"/>
        <w:ind w:left="0"/>
      </w:pPr>
      <w:r w:rsidRPr="009719FA">
        <w:t>SCE’s proposal to address some disincentives for LSEs to self-show local resources should be adopted, with modifications</w:t>
      </w:r>
      <w:r>
        <w:t>.</w:t>
      </w:r>
    </w:p>
    <w:p w:rsidR="0099309A" w:rsidP="00BB7CF6" w:rsidRDefault="0099309A" w14:paraId="5A5607B8" w14:textId="11F42E88">
      <w:pPr>
        <w:pStyle w:val="CoL"/>
        <w:ind w:left="0"/>
      </w:pPr>
      <w:r>
        <w:t xml:space="preserve">PG&amp;E’s proposal for existing self-shown contracts to include an automatic termination provision should be adopted, with modifications. </w:t>
      </w:r>
    </w:p>
    <w:p w:rsidRPr="009719FA" w:rsidR="00BB7CF6" w:rsidP="00BB7CF6" w:rsidRDefault="00BB7CF6" w14:paraId="03CB2DDF" w14:textId="77777777">
      <w:pPr>
        <w:pStyle w:val="CoL"/>
        <w:ind w:left="0"/>
      </w:pPr>
      <w:r w:rsidRPr="009719FA">
        <w:rPr>
          <w:rFonts w:eastAsia="Times New Roman" w:cs="Times New Roman"/>
          <w:szCs w:val="20"/>
        </w:rPr>
        <w:t xml:space="preserve">PG&amp;E’s proposal to modify the selection criteria and data submittal requirements should be adopted.  </w:t>
      </w:r>
    </w:p>
    <w:p w:rsidRPr="009719FA" w:rsidR="00BB7CF6" w:rsidP="00BB7CF6" w:rsidRDefault="00BB7CF6" w14:paraId="24AB81E8" w14:textId="77777777">
      <w:pPr>
        <w:pStyle w:val="CoL"/>
        <w:ind w:left="0" w:firstLine="547"/>
      </w:pPr>
      <w:r w:rsidRPr="009719FA">
        <w:t xml:space="preserve">The CPE should be required to consider bids of any contract term length greater than or equal to one month. </w:t>
      </w:r>
    </w:p>
    <w:p w:rsidRPr="009719FA" w:rsidR="00BB7CF6" w:rsidP="00BB7CF6" w:rsidRDefault="00BB7CF6" w14:paraId="62A3561B" w14:textId="29733175">
      <w:pPr>
        <w:pStyle w:val="CoL"/>
        <w:ind w:left="0" w:firstLine="547"/>
      </w:pPr>
      <w:r w:rsidRPr="009719FA">
        <w:t xml:space="preserve">The CPE should be granted authority to procure outside of the annual solicitation process if there are deficiencies following the CPEs’ annual solicitation and to cover those deficiencies.  </w:t>
      </w:r>
    </w:p>
    <w:p w:rsidRPr="009719FA" w:rsidR="00BB7CF6" w:rsidP="00BB7CF6" w:rsidRDefault="00BB7CF6" w14:paraId="2F2B25D2" w14:textId="77777777">
      <w:pPr>
        <w:pStyle w:val="CoL"/>
        <w:ind w:left="0" w:firstLine="547"/>
      </w:pPr>
      <w:r w:rsidRPr="009719FA">
        <w:lastRenderedPageBreak/>
        <w:t>PG&amp;E’s proposed CPE procurement timeline should be adopted to replace the timeline previously adopted in O</w:t>
      </w:r>
      <w:r>
        <w:t>rdering Paragraph</w:t>
      </w:r>
      <w:r w:rsidRPr="009719FA">
        <w:t xml:space="preserve"> 28 of D.20-06-002.</w:t>
      </w:r>
    </w:p>
    <w:p w:rsidRPr="009719FA" w:rsidR="00BB7CF6" w:rsidP="00BB7CF6" w:rsidRDefault="00BB7CF6" w14:paraId="2556C53A" w14:textId="77777777">
      <w:pPr>
        <w:pStyle w:val="CoL"/>
        <w:ind w:left="0" w:firstLine="547"/>
      </w:pPr>
      <w:r w:rsidRPr="009719FA">
        <w:t>Energy Division’s proposal to modify O</w:t>
      </w:r>
      <w:r>
        <w:t>rdering Paragraph</w:t>
      </w:r>
      <w:r w:rsidRPr="009719FA">
        <w:t xml:space="preserve"> 3 of D.20-12-006 should be adopted.</w:t>
      </w:r>
    </w:p>
    <w:p w:rsidRPr="009719FA" w:rsidR="00BB7CF6" w:rsidP="00BB7CF6" w:rsidRDefault="00BB7CF6" w14:paraId="0CD9170B" w14:textId="77777777">
      <w:pPr>
        <w:pStyle w:val="CoL"/>
        <w:ind w:left="0" w:firstLine="547"/>
      </w:pPr>
      <w:r w:rsidRPr="009719FA">
        <w:t>The levelized fixed cost requirement adopted in O</w:t>
      </w:r>
      <w:r>
        <w:t>rdering Paragraph</w:t>
      </w:r>
      <w:r w:rsidRPr="009719FA">
        <w:t xml:space="preserve"> 11 of D.20-06-002 should be removed and IOUs should be permitted to bid their resources into the CPE’s solicitation at competitive market prices.</w:t>
      </w:r>
    </w:p>
    <w:p w:rsidRPr="009719FA" w:rsidR="00BB7CF6" w:rsidP="00BB7CF6" w:rsidRDefault="00BB7CF6" w14:paraId="7F55B3B8" w14:textId="77777777">
      <w:pPr>
        <w:pStyle w:val="CoL"/>
        <w:ind w:left="0" w:firstLine="547"/>
      </w:pPr>
      <w:r w:rsidRPr="009719FA">
        <w:t xml:space="preserve">The CPEs’ Annual Compliance Reports should disclose </w:t>
      </w:r>
      <w:r>
        <w:t xml:space="preserve">certain </w:t>
      </w:r>
      <w:r w:rsidRPr="009719FA">
        <w:t>aggregated information about the solicitation process that does not disclose market-sensitive information.</w:t>
      </w:r>
    </w:p>
    <w:p w:rsidR="00BB7CF6" w:rsidP="00BB7CF6" w:rsidRDefault="00BB7CF6" w14:paraId="15DC98ED" w14:textId="77777777">
      <w:pPr>
        <w:pStyle w:val="CoL"/>
        <w:ind w:left="0" w:firstLine="547"/>
      </w:pPr>
      <w:r w:rsidRPr="009719FA">
        <w:t>PG&amp;E’s proposed confidentiality matrix should be adopted, with modifications.</w:t>
      </w:r>
    </w:p>
    <w:p w:rsidR="00BB7CF6" w:rsidP="00BB7CF6" w:rsidRDefault="00BB7CF6" w14:paraId="4AE371F9" w14:textId="77777777">
      <w:pPr>
        <w:pStyle w:val="CoL"/>
        <w:ind w:left="0" w:firstLine="547"/>
      </w:pPr>
      <w:r>
        <w:t>PG&amp;E’s proposal on CPE procurement costs forecasted through the ERRA proceeding should be adopted.</w:t>
      </w:r>
    </w:p>
    <w:p w:rsidR="00BB7CF6" w:rsidP="00BB7CF6" w:rsidRDefault="00BB7CF6" w14:paraId="129827F0" w14:textId="77777777">
      <w:pPr>
        <w:pStyle w:val="CoL"/>
        <w:ind w:left="0" w:firstLine="547"/>
      </w:pPr>
      <w:r>
        <w:t xml:space="preserve">PG&amp;E’s clarifications on the accounting of IOU transactions should be adopted. </w:t>
      </w:r>
    </w:p>
    <w:p w:rsidR="00BB7CF6" w:rsidP="00BB7CF6" w:rsidRDefault="00BB7CF6" w14:paraId="7240EACA" w14:textId="77777777">
      <w:pPr>
        <w:pStyle w:val="Mainex"/>
      </w:pPr>
      <w:bookmarkStart w:name="_Toc95232132" w:id="89"/>
      <w:r>
        <w:t>ORDER</w:t>
      </w:r>
      <w:bookmarkEnd w:id="89"/>
    </w:p>
    <w:p w:rsidR="00BB7CF6" w:rsidP="00BB7CF6" w:rsidRDefault="00BB7CF6" w14:paraId="3F7C47F6" w14:textId="77777777">
      <w:pPr>
        <w:keepNext/>
      </w:pPr>
      <w:r w:rsidRPr="00BB0243">
        <w:rPr>
          <w:b/>
        </w:rPr>
        <w:t>IT IS ORDERED</w:t>
      </w:r>
      <w:r>
        <w:t xml:space="preserve"> that:</w:t>
      </w:r>
    </w:p>
    <w:p w:rsidRPr="001E2A62" w:rsidR="00BB7CF6" w:rsidP="00BB7CF6" w:rsidRDefault="00BB7CF6" w14:paraId="1DE17685" w14:textId="77777777">
      <w:pPr>
        <w:pStyle w:val="OP"/>
        <w:ind w:left="0"/>
      </w:pPr>
      <w:r w:rsidRPr="009719FA">
        <w:t>The following requirements are adopted for non-performance of self</w:t>
      </w:r>
      <w:r>
        <w:noBreakHyphen/>
      </w:r>
      <w:r w:rsidRPr="009719FA">
        <w:t>shown local resources</w:t>
      </w:r>
      <w:r>
        <w:t>:</w:t>
      </w:r>
    </w:p>
    <w:p w:rsidR="00254D72" w:rsidP="00BB7CF6" w:rsidRDefault="00834D8F" w14:paraId="6FC8D31C" w14:textId="26F83997">
      <w:pPr>
        <w:numPr>
          <w:ilvl w:val="1"/>
          <w:numId w:val="11"/>
        </w:numPr>
        <w:spacing w:after="120" w:line="240" w:lineRule="auto"/>
        <w:ind w:left="1080" w:right="1440"/>
        <w:rPr>
          <w:rFonts w:cs="Times New Roman"/>
          <w:szCs w:val="20"/>
        </w:rPr>
      </w:pPr>
      <w:r>
        <w:rPr>
          <w:rFonts w:cs="Times New Roman"/>
          <w:szCs w:val="20"/>
        </w:rPr>
        <w:t>A s</w:t>
      </w:r>
      <w:r w:rsidR="00254D72">
        <w:rPr>
          <w:rFonts w:cs="Times New Roman"/>
          <w:szCs w:val="20"/>
        </w:rPr>
        <w:t>elf-showing load-serving entit</w:t>
      </w:r>
      <w:r>
        <w:rPr>
          <w:rFonts w:cs="Times New Roman"/>
          <w:szCs w:val="20"/>
        </w:rPr>
        <w:t>y</w:t>
      </w:r>
      <w:r w:rsidR="00254D72">
        <w:rPr>
          <w:rFonts w:cs="Times New Roman"/>
          <w:szCs w:val="20"/>
        </w:rPr>
        <w:t xml:space="preserve"> (LSE) shall be allowed to provide a substitute local resource as the like-for-like local resource to replace non-performing self-shown resources.</w:t>
      </w:r>
    </w:p>
    <w:p w:rsidRPr="0046317C" w:rsidR="00BB7CF6" w:rsidP="00BB7CF6" w:rsidRDefault="00BB7CF6" w14:paraId="6D8C9119" w14:textId="5A873B26">
      <w:pPr>
        <w:numPr>
          <w:ilvl w:val="1"/>
          <w:numId w:val="11"/>
        </w:numPr>
        <w:spacing w:after="120" w:line="240" w:lineRule="auto"/>
        <w:ind w:left="1080" w:right="1440"/>
        <w:rPr>
          <w:rFonts w:cs="Times New Roman"/>
          <w:szCs w:val="20"/>
        </w:rPr>
      </w:pPr>
      <w:r w:rsidRPr="0046317C">
        <w:rPr>
          <w:rFonts w:cs="Times New Roman"/>
          <w:szCs w:val="20"/>
        </w:rPr>
        <w:t xml:space="preserve">If the </w:t>
      </w:r>
      <w:r w:rsidRPr="008A1EC3">
        <w:rPr>
          <w:rFonts w:cs="Times New Roman"/>
          <w:szCs w:val="20"/>
        </w:rPr>
        <w:t xml:space="preserve">California Independent System Operator </w:t>
      </w:r>
      <w:r>
        <w:rPr>
          <w:rFonts w:cs="Times New Roman"/>
          <w:szCs w:val="20"/>
        </w:rPr>
        <w:t>(</w:t>
      </w:r>
      <w:r w:rsidRPr="0046317C">
        <w:rPr>
          <w:rFonts w:cs="Times New Roman"/>
          <w:szCs w:val="20"/>
        </w:rPr>
        <w:t>CAISO</w:t>
      </w:r>
      <w:r>
        <w:rPr>
          <w:rFonts w:cs="Times New Roman"/>
          <w:szCs w:val="20"/>
        </w:rPr>
        <w:t>)</w:t>
      </w:r>
      <w:r w:rsidRPr="0046317C">
        <w:rPr>
          <w:rFonts w:cs="Times New Roman"/>
          <w:szCs w:val="20"/>
        </w:rPr>
        <w:t xml:space="preserve"> makes a local </w:t>
      </w:r>
      <w:r w:rsidRPr="000E7337">
        <w:rPr>
          <w:rFonts w:cs="Times New Roman"/>
          <w:szCs w:val="20"/>
        </w:rPr>
        <w:t xml:space="preserve">Capacity Procurement Mechanism </w:t>
      </w:r>
      <w:r>
        <w:rPr>
          <w:rFonts w:cs="Times New Roman"/>
          <w:szCs w:val="20"/>
        </w:rPr>
        <w:t>(</w:t>
      </w:r>
      <w:r w:rsidRPr="0046317C">
        <w:rPr>
          <w:rFonts w:cs="Times New Roman"/>
          <w:szCs w:val="20"/>
        </w:rPr>
        <w:t>CPM</w:t>
      </w:r>
      <w:r>
        <w:rPr>
          <w:rFonts w:cs="Times New Roman"/>
          <w:szCs w:val="20"/>
        </w:rPr>
        <w:t>)</w:t>
      </w:r>
      <w:r w:rsidRPr="0046317C">
        <w:rPr>
          <w:rFonts w:cs="Times New Roman"/>
          <w:szCs w:val="20"/>
        </w:rPr>
        <w:t xml:space="preserve"> designation</w:t>
      </w:r>
      <w:r w:rsidR="002F3B9E">
        <w:rPr>
          <w:rFonts w:cs="Times New Roman"/>
          <w:szCs w:val="20"/>
        </w:rPr>
        <w:t xml:space="preserve"> for an individual deficiency</w:t>
      </w:r>
      <w:r w:rsidRPr="0046317C">
        <w:rPr>
          <w:rFonts w:cs="Times New Roman"/>
          <w:szCs w:val="20"/>
        </w:rPr>
        <w:t xml:space="preserve">, the </w:t>
      </w:r>
      <w:r>
        <w:rPr>
          <w:rFonts w:cs="Times New Roman"/>
          <w:szCs w:val="20"/>
        </w:rPr>
        <w:t>central procurement entity (</w:t>
      </w:r>
      <w:r w:rsidRPr="0046317C">
        <w:rPr>
          <w:rFonts w:cs="Times New Roman"/>
          <w:szCs w:val="20"/>
        </w:rPr>
        <w:t>CPE</w:t>
      </w:r>
      <w:r>
        <w:rPr>
          <w:rFonts w:cs="Times New Roman"/>
          <w:szCs w:val="20"/>
        </w:rPr>
        <w:t>)</w:t>
      </w:r>
      <w:r w:rsidRPr="0046317C">
        <w:rPr>
          <w:rFonts w:cs="Times New Roman"/>
          <w:szCs w:val="20"/>
        </w:rPr>
        <w:t xml:space="preserve"> shall be charged any associated </w:t>
      </w:r>
      <w:r w:rsidRPr="0046317C">
        <w:rPr>
          <w:rFonts w:cs="Times New Roman"/>
          <w:szCs w:val="20"/>
        </w:rPr>
        <w:lastRenderedPageBreak/>
        <w:t>CAISO backstop procurement costs, including for the non</w:t>
      </w:r>
      <w:r>
        <w:rPr>
          <w:rFonts w:cs="Times New Roman"/>
          <w:szCs w:val="20"/>
        </w:rPr>
        <w:noBreakHyphen/>
      </w:r>
      <w:r w:rsidRPr="0046317C">
        <w:rPr>
          <w:rFonts w:cs="Times New Roman"/>
          <w:szCs w:val="20"/>
        </w:rPr>
        <w:t>performance of self-shown resources.</w:t>
      </w:r>
      <w:r w:rsidR="00834D8F">
        <w:rPr>
          <w:rFonts w:cs="Times New Roman"/>
          <w:szCs w:val="20"/>
        </w:rPr>
        <w:t xml:space="preserve">  Any backstop procurement costs allocated to the CPE shall be allocated to all LSEs in the </w:t>
      </w:r>
      <w:r w:rsidR="003F174F">
        <w:rPr>
          <w:rFonts w:cs="Times New Roman"/>
          <w:szCs w:val="20"/>
        </w:rPr>
        <w:t>transmission access charge</w:t>
      </w:r>
      <w:r w:rsidR="00834D8F">
        <w:rPr>
          <w:rFonts w:cs="Times New Roman"/>
          <w:szCs w:val="20"/>
        </w:rPr>
        <w:t xml:space="preserve"> area on a load ratio share basis.</w:t>
      </w:r>
    </w:p>
    <w:p w:rsidRPr="00417E2B" w:rsidR="00BB7CF6" w:rsidP="00BB7CF6" w:rsidRDefault="00BB7CF6" w14:paraId="0FF29147" w14:textId="445F960D">
      <w:pPr>
        <w:autoSpaceDE w:val="0"/>
        <w:autoSpaceDN w:val="0"/>
        <w:adjustRightInd w:val="0"/>
        <w:rPr>
          <w:rFonts w:cs="Times New Roman"/>
          <w:color w:val="000000"/>
          <w:szCs w:val="26"/>
        </w:rPr>
      </w:pPr>
      <w:r>
        <w:rPr>
          <w:rFonts w:cs="Times New Roman"/>
          <w:color w:val="000000"/>
          <w:szCs w:val="26"/>
        </w:rPr>
        <w:t xml:space="preserve">“Non-performance” is defined as the failure to provide: (a) the Commission with a Resource Adequacy plan with the self-shown local resource, and (b) the CAISO with a matching supply plan for the self-shown local resource.  </w:t>
      </w:r>
    </w:p>
    <w:p w:rsidRPr="0011301D" w:rsidR="00BB7CF6" w:rsidP="00BB7CF6" w:rsidRDefault="002F3B9E" w14:paraId="67BC108E" w14:textId="469D81FD">
      <w:pPr>
        <w:pStyle w:val="OP"/>
        <w:ind w:left="0"/>
      </w:pPr>
      <w:bookmarkStart w:name="_Hlk97794865" w:id="90"/>
      <w:r>
        <w:rPr>
          <w:rFonts w:cs="Times New Roman"/>
          <w:color w:val="000000"/>
          <w:szCs w:val="26"/>
        </w:rPr>
        <w:t>In accordance with the timeline adopted in Ordering Paragraph 1</w:t>
      </w:r>
      <w:r w:rsidR="00EC4FBB">
        <w:rPr>
          <w:rFonts w:cs="Times New Roman"/>
          <w:color w:val="000000"/>
          <w:szCs w:val="26"/>
        </w:rPr>
        <w:t>3</w:t>
      </w:r>
      <w:r w:rsidRPr="0046317C" w:rsidR="00BB7CF6">
        <w:rPr>
          <w:rFonts w:cs="Times New Roman"/>
          <w:color w:val="000000"/>
          <w:szCs w:val="26"/>
        </w:rPr>
        <w:t xml:space="preserve">, a </w:t>
      </w:r>
      <w:r w:rsidRPr="00816145" w:rsidR="00BB7CF6">
        <w:rPr>
          <w:rFonts w:cs="Times New Roman"/>
          <w:color w:val="000000"/>
          <w:szCs w:val="26"/>
        </w:rPr>
        <w:t xml:space="preserve">load-serving entity </w:t>
      </w:r>
      <w:r w:rsidR="00BB7CF6">
        <w:rPr>
          <w:rFonts w:cs="Times New Roman"/>
          <w:color w:val="000000"/>
          <w:szCs w:val="26"/>
        </w:rPr>
        <w:t>(</w:t>
      </w:r>
      <w:r w:rsidRPr="0046317C" w:rsidR="00BB7CF6">
        <w:rPr>
          <w:rFonts w:cs="Times New Roman"/>
          <w:color w:val="000000"/>
          <w:szCs w:val="26"/>
        </w:rPr>
        <w:t>LSE</w:t>
      </w:r>
      <w:r w:rsidR="00BB7CF6">
        <w:rPr>
          <w:rFonts w:cs="Times New Roman"/>
          <w:color w:val="000000"/>
          <w:szCs w:val="26"/>
        </w:rPr>
        <w:t>)</w:t>
      </w:r>
      <w:r w:rsidRPr="0046317C" w:rsidR="00BB7CF6">
        <w:rPr>
          <w:rFonts w:cs="Times New Roman"/>
          <w:color w:val="000000"/>
          <w:szCs w:val="26"/>
        </w:rPr>
        <w:t xml:space="preserve"> that elects to self-show a local resource to the </w:t>
      </w:r>
      <w:r>
        <w:rPr>
          <w:rFonts w:cs="Times New Roman"/>
          <w:color w:val="000000"/>
          <w:szCs w:val="26"/>
        </w:rPr>
        <w:t>central procurement entity (</w:t>
      </w:r>
      <w:r w:rsidRPr="0046317C" w:rsidR="00BB7CF6">
        <w:rPr>
          <w:rFonts w:cs="Times New Roman"/>
          <w:color w:val="000000"/>
          <w:szCs w:val="26"/>
        </w:rPr>
        <w:t>CPE</w:t>
      </w:r>
      <w:r>
        <w:rPr>
          <w:rFonts w:cs="Times New Roman"/>
          <w:color w:val="000000"/>
          <w:szCs w:val="26"/>
        </w:rPr>
        <w:t>)</w:t>
      </w:r>
      <w:r w:rsidRPr="0046317C" w:rsidR="00BB7CF6">
        <w:rPr>
          <w:rFonts w:cs="Times New Roman"/>
          <w:color w:val="000000"/>
          <w:szCs w:val="26"/>
        </w:rPr>
        <w:t xml:space="preserve"> shall execute an attestation that provides</w:t>
      </w:r>
      <w:r w:rsidR="00BB7CF6">
        <w:rPr>
          <w:rFonts w:cs="Times New Roman"/>
          <w:color w:val="000000"/>
          <w:szCs w:val="26"/>
        </w:rPr>
        <w:t xml:space="preserve"> that</w:t>
      </w:r>
      <w:r w:rsidRPr="0046317C" w:rsidR="00BB7CF6">
        <w:rPr>
          <w:rFonts w:cs="Times New Roman"/>
          <w:color w:val="000000"/>
          <w:szCs w:val="26"/>
        </w:rPr>
        <w:t>:</w:t>
      </w:r>
    </w:p>
    <w:p w:rsidRPr="001F1B3B" w:rsidR="00BB7CF6" w:rsidP="00BB7CF6" w:rsidRDefault="00BB7CF6" w14:paraId="34D40788" w14:textId="77777777">
      <w:pPr>
        <w:pStyle w:val="ALJOP"/>
        <w:numPr>
          <w:ilvl w:val="1"/>
          <w:numId w:val="4"/>
        </w:numPr>
        <w:spacing w:after="120" w:line="240" w:lineRule="auto"/>
        <w:ind w:left="990" w:right="1526" w:hanging="270"/>
        <w:rPr>
          <w:color w:val="000000"/>
        </w:rPr>
      </w:pPr>
      <w:r w:rsidRPr="560B692E">
        <w:rPr>
          <w:color w:val="000000" w:themeColor="text1"/>
        </w:rPr>
        <w:t xml:space="preserve">The LSE has the </w:t>
      </w:r>
      <w:r>
        <w:rPr>
          <w:color w:val="000000" w:themeColor="text1"/>
        </w:rPr>
        <w:t xml:space="preserve">capacity </w:t>
      </w:r>
      <w:r w:rsidRPr="560B692E">
        <w:rPr>
          <w:color w:val="000000" w:themeColor="text1"/>
        </w:rPr>
        <w:t xml:space="preserve">rights to the </w:t>
      </w:r>
      <w:r w:rsidRPr="0088455C">
        <w:rPr>
          <w:color w:val="000000" w:themeColor="text1"/>
        </w:rPr>
        <w:t xml:space="preserve">Resource Adequacy </w:t>
      </w:r>
      <w:r>
        <w:rPr>
          <w:color w:val="000000" w:themeColor="text1"/>
        </w:rPr>
        <w:t>(</w:t>
      </w:r>
      <w:r w:rsidRPr="560B692E">
        <w:rPr>
          <w:color w:val="000000" w:themeColor="text1"/>
        </w:rPr>
        <w:t>RA</w:t>
      </w:r>
      <w:r>
        <w:rPr>
          <w:color w:val="000000" w:themeColor="text1"/>
        </w:rPr>
        <w:t>)</w:t>
      </w:r>
      <w:r w:rsidRPr="560B692E">
        <w:rPr>
          <w:color w:val="000000" w:themeColor="text1"/>
        </w:rPr>
        <w:t xml:space="preserve"> resource for the period it is self-</w:t>
      </w:r>
      <w:r w:rsidRPr="001F1B3B">
        <w:t>showing</w:t>
      </w:r>
      <w:r w:rsidRPr="560B692E">
        <w:rPr>
          <w:color w:val="000000" w:themeColor="text1"/>
        </w:rPr>
        <w:t>;</w:t>
      </w:r>
    </w:p>
    <w:p w:rsidRPr="001F1B3B" w:rsidR="00BB7CF6" w:rsidP="00BB7CF6" w:rsidRDefault="00BB7CF6" w14:paraId="4531AE1E" w14:textId="6A00792B">
      <w:pPr>
        <w:pStyle w:val="ALJOP"/>
        <w:numPr>
          <w:ilvl w:val="1"/>
          <w:numId w:val="4"/>
        </w:numPr>
        <w:spacing w:after="120" w:line="240" w:lineRule="auto"/>
        <w:ind w:left="990" w:right="1526" w:hanging="270"/>
        <w:rPr>
          <w:color w:val="000000"/>
        </w:rPr>
      </w:pPr>
      <w:r w:rsidRPr="001A2924">
        <w:rPr>
          <w:color w:val="000000"/>
        </w:rPr>
        <w:t>The LSE intends to self-show the RA resource on annual and monthly RA plans to satisfy its system and/or flexible RA needs; and</w:t>
      </w:r>
    </w:p>
    <w:p w:rsidRPr="0011301D" w:rsidR="00ED5F5E" w:rsidP="00BB7CF6" w:rsidRDefault="00505177" w14:paraId="71CE7F6A" w14:textId="20C32438">
      <w:pPr>
        <w:pStyle w:val="ALJOP"/>
        <w:numPr>
          <w:ilvl w:val="1"/>
          <w:numId w:val="4"/>
        </w:numPr>
        <w:spacing w:after="120" w:line="240" w:lineRule="auto"/>
        <w:ind w:left="990" w:right="1526" w:hanging="270"/>
        <w:rPr>
          <w:color w:val="000000"/>
        </w:rPr>
      </w:pPr>
      <w:r>
        <w:rPr>
          <w:color w:val="000000"/>
        </w:rPr>
        <w:t xml:space="preserve">If applicable, the resource that the LSE intends to self-show for compensation under the </w:t>
      </w:r>
      <w:r w:rsidR="00C5767C">
        <w:rPr>
          <w:color w:val="000000"/>
        </w:rPr>
        <w:t>L</w:t>
      </w:r>
      <w:r>
        <w:rPr>
          <w:color w:val="000000"/>
        </w:rPr>
        <w:t xml:space="preserve">ocal </w:t>
      </w:r>
      <w:r w:rsidR="00C5767C">
        <w:rPr>
          <w:color w:val="000000"/>
        </w:rPr>
        <w:t>C</w:t>
      </w:r>
      <w:r>
        <w:rPr>
          <w:color w:val="000000"/>
        </w:rPr>
        <w:t xml:space="preserve">apacity </w:t>
      </w:r>
      <w:r w:rsidR="00C5767C">
        <w:rPr>
          <w:color w:val="000000"/>
        </w:rPr>
        <w:t>R</w:t>
      </w:r>
      <w:r>
        <w:rPr>
          <w:color w:val="000000"/>
        </w:rPr>
        <w:t xml:space="preserve">equirement </w:t>
      </w:r>
      <w:r w:rsidR="00C5767C">
        <w:rPr>
          <w:color w:val="000000"/>
        </w:rPr>
        <w:t>R</w:t>
      </w:r>
      <w:r>
        <w:rPr>
          <w:color w:val="000000"/>
        </w:rPr>
        <w:t xml:space="preserve">eduction </w:t>
      </w:r>
      <w:r w:rsidR="00C5767C">
        <w:rPr>
          <w:color w:val="000000"/>
        </w:rPr>
        <w:t>C</w:t>
      </w:r>
      <w:r>
        <w:rPr>
          <w:color w:val="000000"/>
        </w:rPr>
        <w:t xml:space="preserve">ompensation </w:t>
      </w:r>
      <w:r w:rsidR="00C5767C">
        <w:rPr>
          <w:color w:val="000000"/>
        </w:rPr>
        <w:t>M</w:t>
      </w:r>
      <w:r>
        <w:rPr>
          <w:color w:val="000000"/>
        </w:rPr>
        <w:t>echanism (LCR RCM) meets the eligibility requirements pursuant to Decision 20-12-006.</w:t>
      </w:r>
    </w:p>
    <w:bookmarkEnd w:id="90"/>
    <w:p w:rsidR="00BB7CF6" w:rsidP="00BB7CF6" w:rsidRDefault="00BB7CF6" w14:paraId="58B5868B" w14:textId="77777777">
      <w:pPr>
        <w:pStyle w:val="OP"/>
        <w:numPr>
          <w:ilvl w:val="0"/>
          <w:numId w:val="0"/>
        </w:numPr>
        <w:ind w:firstLine="547"/>
        <w:rPr>
          <w:rFonts w:cs="Times New Roman"/>
          <w:color w:val="000000"/>
          <w:szCs w:val="26"/>
        </w:rPr>
      </w:pPr>
      <w:r w:rsidRPr="0011301D">
        <w:rPr>
          <w:rFonts w:cs="Times New Roman"/>
          <w:color w:val="000000"/>
          <w:szCs w:val="26"/>
        </w:rPr>
        <w:t xml:space="preserve">These attestation requirements replace the previous requirement that a shown resource must be documented on an agreement as determined by the </w:t>
      </w:r>
      <w:r>
        <w:rPr>
          <w:rFonts w:cs="Times New Roman"/>
          <w:color w:val="000000"/>
          <w:szCs w:val="26"/>
        </w:rPr>
        <w:t>CPE</w:t>
      </w:r>
      <w:r w:rsidRPr="0011301D">
        <w:rPr>
          <w:rFonts w:cs="Times New Roman"/>
          <w:color w:val="000000"/>
          <w:szCs w:val="26"/>
        </w:rPr>
        <w:t>, as provided in Ordering Paragraph 3 of D</w:t>
      </w:r>
      <w:r>
        <w:rPr>
          <w:rFonts w:cs="Times New Roman"/>
          <w:color w:val="000000"/>
          <w:szCs w:val="26"/>
        </w:rPr>
        <w:t>ecision 2</w:t>
      </w:r>
      <w:r w:rsidRPr="0011301D">
        <w:rPr>
          <w:rFonts w:cs="Times New Roman"/>
          <w:color w:val="000000"/>
          <w:szCs w:val="26"/>
        </w:rPr>
        <w:t>0</w:t>
      </w:r>
      <w:r>
        <w:rPr>
          <w:rFonts w:cs="Times New Roman"/>
          <w:color w:val="000000"/>
          <w:szCs w:val="26"/>
        </w:rPr>
        <w:noBreakHyphen/>
      </w:r>
      <w:r w:rsidRPr="0011301D">
        <w:rPr>
          <w:rFonts w:cs="Times New Roman"/>
          <w:color w:val="000000"/>
          <w:szCs w:val="26"/>
        </w:rPr>
        <w:t>12-006.</w:t>
      </w:r>
      <w:r>
        <w:rPr>
          <w:rFonts w:cs="Times New Roman"/>
          <w:color w:val="000000"/>
          <w:szCs w:val="26"/>
        </w:rPr>
        <w:t xml:space="preserve">  </w:t>
      </w:r>
    </w:p>
    <w:p w:rsidR="00BB7CF6" w:rsidP="00BB7CF6" w:rsidRDefault="00BB7CF6" w14:paraId="46F7718A" w14:textId="0917B51F">
      <w:pPr>
        <w:pStyle w:val="OP"/>
        <w:ind w:left="0"/>
      </w:pPr>
      <w:r w:rsidRPr="0011301D">
        <w:t>Th</w:t>
      </w:r>
      <w:r>
        <w:t>e</w:t>
      </w:r>
      <w:r w:rsidRPr="0011301D">
        <w:t xml:space="preserve"> </w:t>
      </w:r>
      <w:r>
        <w:t xml:space="preserve">attestation </w:t>
      </w:r>
      <w:r w:rsidRPr="0011301D">
        <w:t xml:space="preserve">process </w:t>
      </w:r>
      <w:r>
        <w:t xml:space="preserve">adopted in Ordering Paragraph 2 </w:t>
      </w:r>
      <w:r w:rsidRPr="0011301D">
        <w:t xml:space="preserve">shall apply to a </w:t>
      </w:r>
      <w:r>
        <w:t>load-serving entity (</w:t>
      </w:r>
      <w:r w:rsidRPr="0011301D">
        <w:t>LSE</w:t>
      </w:r>
      <w:r>
        <w:t>)</w:t>
      </w:r>
      <w:r w:rsidRPr="0011301D">
        <w:t xml:space="preserve"> that bids a local </w:t>
      </w:r>
      <w:r w:rsidRPr="00417E2B">
        <w:rPr>
          <w:rFonts w:cs="Times New Roman"/>
          <w:color w:val="000000"/>
          <w:szCs w:val="26"/>
        </w:rPr>
        <w:t>resource</w:t>
      </w:r>
      <w:r w:rsidRPr="0011301D">
        <w:t xml:space="preserve"> and states that if the bid is not selected, the LSE will self-show the local resource for no compensation</w:t>
      </w:r>
      <w:r>
        <w:t xml:space="preserve">.  The attestation shall be submitted at the time the LSE submits its bid into the central procurement entity’s solicitation. </w:t>
      </w:r>
    </w:p>
    <w:p w:rsidR="00B47C9B" w:rsidP="00B47C9B" w:rsidRDefault="00B47C9B" w14:paraId="6D8C244D" w14:textId="09B08798">
      <w:pPr>
        <w:pStyle w:val="OP"/>
        <w:ind w:left="0"/>
      </w:pPr>
      <w:r>
        <w:lastRenderedPageBreak/>
        <w:t>For compensated self-shown resources under the Local Capacity Requirement Reduction Compensation Mechanism, the central procurement entity (CPE) has discretion to require a self-showing load-serving entity (LSE) to either: (a) execute an agreement between the CPE and self-showing LSE that provides payment information and other relevant terms, or (b) submit an attestation that identifies the resource as a preferred resource and provides the LSE’s payment information.  For the latter attestation, the CPE will then provide acknowledgement to the LSE with payment terms.</w:t>
      </w:r>
    </w:p>
    <w:p w:rsidRPr="0011301D" w:rsidR="00B00EE4" w:rsidP="008304F5" w:rsidRDefault="00B00EE4" w14:paraId="5A75A18E" w14:textId="19406726">
      <w:pPr>
        <w:pStyle w:val="OP"/>
        <w:ind w:left="0" w:firstLine="547"/>
      </w:pPr>
      <w:r>
        <w:t xml:space="preserve">For any existing self-shown resource contract, the contract shall include, or be amended to include, a provision resulting in automatic termination of the self-shown contract without any further action of the parties upon submission by the load-serving entity (LSE) to the central procurement entity (CPE) of an attestation, provided that the attestation complies with the relevant requirements and conforms to the self-shown commitment originally entered into through the contract between the CPE and LSE.  Amendment and/or automatic termination of any existing self-shown resource contract for which a qualifying attestation is submitted is deemed reasonable and shall </w:t>
      </w:r>
      <w:r w:rsidR="003934A3">
        <w:t>not</w:t>
      </w:r>
      <w:r>
        <w:t xml:space="preserve"> require contract management review as part of a regulatory proceeding.</w:t>
      </w:r>
    </w:p>
    <w:p w:rsidRPr="00F1658B" w:rsidR="00BB7CF6" w:rsidP="00BB7CF6" w:rsidRDefault="00BB7CF6" w14:paraId="27389975" w14:textId="77777777">
      <w:pPr>
        <w:pStyle w:val="OP"/>
        <w:ind w:left="0"/>
      </w:pPr>
      <w:r w:rsidRPr="00F1658B">
        <w:rPr>
          <w:rFonts w:cs="Times New Roman"/>
          <w:szCs w:val="20"/>
        </w:rPr>
        <w:t xml:space="preserve">If a </w:t>
      </w:r>
      <w:r w:rsidRPr="00816145">
        <w:rPr>
          <w:rFonts w:cs="Times New Roman"/>
          <w:szCs w:val="20"/>
        </w:rPr>
        <w:t xml:space="preserve">load-serving entity </w:t>
      </w:r>
      <w:r>
        <w:rPr>
          <w:rFonts w:cs="Times New Roman"/>
          <w:szCs w:val="20"/>
        </w:rPr>
        <w:t>(</w:t>
      </w:r>
      <w:r w:rsidRPr="00F1658B">
        <w:rPr>
          <w:rFonts w:cs="Times New Roman"/>
          <w:szCs w:val="20"/>
        </w:rPr>
        <w:t>LSE</w:t>
      </w:r>
      <w:r>
        <w:rPr>
          <w:rFonts w:cs="Times New Roman"/>
          <w:szCs w:val="20"/>
        </w:rPr>
        <w:t>)</w:t>
      </w:r>
      <w:r w:rsidRPr="00F1658B">
        <w:rPr>
          <w:rFonts w:cs="Times New Roman"/>
          <w:szCs w:val="20"/>
        </w:rPr>
        <w:t xml:space="preserve"> either:</w:t>
      </w:r>
      <w:r>
        <w:rPr>
          <w:rFonts w:cs="Times New Roman"/>
          <w:szCs w:val="20"/>
        </w:rPr>
        <w:t xml:space="preserve"> </w:t>
      </w:r>
      <w:r w:rsidRPr="00F1658B">
        <w:rPr>
          <w:rFonts w:cs="Times New Roman"/>
          <w:szCs w:val="20"/>
        </w:rPr>
        <w:t xml:space="preserve"> (a) declines to self-show a local resource to the </w:t>
      </w:r>
      <w:r w:rsidRPr="001D6A0B">
        <w:rPr>
          <w:rFonts w:cs="Times New Roman"/>
          <w:szCs w:val="20"/>
        </w:rPr>
        <w:t xml:space="preserve">central procurement entity </w:t>
      </w:r>
      <w:r>
        <w:rPr>
          <w:rFonts w:cs="Times New Roman"/>
          <w:szCs w:val="20"/>
        </w:rPr>
        <w:t>(</w:t>
      </w:r>
      <w:r w:rsidRPr="00F1658B">
        <w:rPr>
          <w:rFonts w:cs="Times New Roman"/>
          <w:szCs w:val="20"/>
        </w:rPr>
        <w:t>CPE</w:t>
      </w:r>
      <w:r>
        <w:rPr>
          <w:rFonts w:cs="Times New Roman"/>
          <w:szCs w:val="20"/>
        </w:rPr>
        <w:t>)</w:t>
      </w:r>
      <w:r w:rsidRPr="00F1658B">
        <w:rPr>
          <w:rFonts w:cs="Times New Roman"/>
          <w:szCs w:val="20"/>
        </w:rPr>
        <w:t>, or (b)</w:t>
      </w:r>
      <w:r>
        <w:rPr>
          <w:rFonts w:cs="Times New Roman"/>
          <w:szCs w:val="20"/>
        </w:rPr>
        <w:t> </w:t>
      </w:r>
      <w:r w:rsidRPr="00F1658B">
        <w:rPr>
          <w:rFonts w:cs="Times New Roman"/>
          <w:szCs w:val="20"/>
        </w:rPr>
        <w:t xml:space="preserve">declines to bid a local resource into the CPE’s solicitation process, the LSE shall file a justification statement in its year-ahead </w:t>
      </w:r>
      <w:r w:rsidRPr="0088455C">
        <w:rPr>
          <w:rFonts w:cs="Times New Roman"/>
          <w:szCs w:val="20"/>
        </w:rPr>
        <w:t xml:space="preserve">Resource Adequacy </w:t>
      </w:r>
      <w:r w:rsidRPr="00F1658B">
        <w:rPr>
          <w:rFonts w:cs="Times New Roman"/>
          <w:szCs w:val="20"/>
        </w:rPr>
        <w:t xml:space="preserve">filing explaining why the LSE declined to self-show or bid the local resource to the CPE.  </w:t>
      </w:r>
    </w:p>
    <w:p w:rsidRPr="00F1658B" w:rsidR="00BB7CF6" w:rsidP="00BB7CF6" w:rsidRDefault="00BB7CF6" w14:paraId="4163E2AA" w14:textId="57152B55">
      <w:pPr>
        <w:pStyle w:val="OP"/>
        <w:ind w:left="0"/>
      </w:pPr>
      <w:r w:rsidRPr="0046317C">
        <w:rPr>
          <w:rFonts w:cs="Times New Roman"/>
          <w:szCs w:val="20"/>
        </w:rPr>
        <w:t xml:space="preserve">A </w:t>
      </w:r>
      <w:r w:rsidRPr="00816145">
        <w:rPr>
          <w:rFonts w:cs="Times New Roman"/>
          <w:szCs w:val="20"/>
        </w:rPr>
        <w:t>load-serving entit</w:t>
      </w:r>
      <w:r>
        <w:rPr>
          <w:rFonts w:cs="Times New Roman"/>
          <w:szCs w:val="20"/>
        </w:rPr>
        <w:t>y’s (</w:t>
      </w:r>
      <w:r w:rsidRPr="0046317C">
        <w:rPr>
          <w:rFonts w:cs="Times New Roman"/>
          <w:szCs w:val="20"/>
        </w:rPr>
        <w:t>LSE</w:t>
      </w:r>
      <w:r>
        <w:rPr>
          <w:rFonts w:cs="Times New Roman"/>
          <w:szCs w:val="20"/>
        </w:rPr>
        <w:t>)</w:t>
      </w:r>
      <w:r w:rsidRPr="0046317C">
        <w:rPr>
          <w:rFonts w:cs="Times New Roman"/>
          <w:szCs w:val="20"/>
        </w:rPr>
        <w:t xml:space="preserve"> self-shown commitment must be firm for </w:t>
      </w:r>
      <w:r>
        <w:rPr>
          <w:rFonts w:cs="Times New Roman"/>
          <w:szCs w:val="20"/>
        </w:rPr>
        <w:t>Years 1 and 2</w:t>
      </w:r>
      <w:r w:rsidRPr="0046317C">
        <w:rPr>
          <w:rFonts w:cs="Times New Roman"/>
          <w:szCs w:val="20"/>
        </w:rPr>
        <w:t xml:space="preserve">.  </w:t>
      </w:r>
      <w:r>
        <w:rPr>
          <w:rFonts w:cs="Times New Roman"/>
          <w:szCs w:val="20"/>
        </w:rPr>
        <w:t xml:space="preserve">An </w:t>
      </w:r>
      <w:r w:rsidRPr="0046317C">
        <w:rPr>
          <w:rFonts w:cs="Times New Roman"/>
          <w:szCs w:val="20"/>
        </w:rPr>
        <w:t xml:space="preserve">LSE may replace </w:t>
      </w:r>
      <w:r>
        <w:rPr>
          <w:rFonts w:cs="Times New Roman"/>
          <w:szCs w:val="20"/>
        </w:rPr>
        <w:t>its</w:t>
      </w:r>
      <w:r w:rsidRPr="0046317C">
        <w:rPr>
          <w:rFonts w:cs="Times New Roman"/>
          <w:szCs w:val="20"/>
        </w:rPr>
        <w:t xml:space="preserve"> self-shown local resources for Year 3 with other local resources </w:t>
      </w:r>
      <w:r w:rsidR="000968B7">
        <w:rPr>
          <w:rFonts w:cs="Times New Roman"/>
          <w:color w:val="000000"/>
          <w:szCs w:val="26"/>
        </w:rPr>
        <w:t xml:space="preserve">located in the same local capacity area and at least equal to </w:t>
      </w:r>
      <w:r w:rsidR="000968B7">
        <w:rPr>
          <w:rFonts w:cs="Times New Roman"/>
          <w:color w:val="000000"/>
          <w:szCs w:val="26"/>
        </w:rPr>
        <w:lastRenderedPageBreak/>
        <w:t xml:space="preserve">the capacity of the local resources being replaced </w:t>
      </w:r>
      <w:r w:rsidRPr="0046317C">
        <w:rPr>
          <w:rFonts w:cs="Times New Roman"/>
          <w:szCs w:val="20"/>
        </w:rPr>
        <w:t xml:space="preserve">in the subsequent year’s </w:t>
      </w:r>
      <w:r w:rsidRPr="0088455C">
        <w:rPr>
          <w:rFonts w:cs="Times New Roman"/>
          <w:szCs w:val="20"/>
        </w:rPr>
        <w:t xml:space="preserve">Resource Adequacy </w:t>
      </w:r>
      <w:r w:rsidRPr="0046317C">
        <w:rPr>
          <w:rFonts w:cs="Times New Roman"/>
          <w:szCs w:val="20"/>
        </w:rPr>
        <w:t xml:space="preserve">showing. </w:t>
      </w:r>
    </w:p>
    <w:p w:rsidRPr="00F1658B" w:rsidR="00BB7CF6" w:rsidP="00BB7CF6" w:rsidRDefault="00BB7CF6" w14:paraId="2FFB6056" w14:textId="77777777">
      <w:pPr>
        <w:pStyle w:val="OP"/>
        <w:ind w:left="0"/>
      </w:pPr>
      <w:r w:rsidRPr="0046317C">
        <w:rPr>
          <w:rFonts w:cs="Times New Roman"/>
          <w:szCs w:val="20"/>
        </w:rPr>
        <w:t>The selection criteria in Ordering Paragraph 14 of D</w:t>
      </w:r>
      <w:r>
        <w:rPr>
          <w:rFonts w:cs="Times New Roman"/>
          <w:szCs w:val="20"/>
        </w:rPr>
        <w:t xml:space="preserve">ecision </w:t>
      </w:r>
      <w:r w:rsidRPr="0046317C">
        <w:rPr>
          <w:rFonts w:cs="Times New Roman"/>
          <w:szCs w:val="20"/>
        </w:rPr>
        <w:t xml:space="preserve">20-06-002 </w:t>
      </w:r>
      <w:r>
        <w:rPr>
          <w:rFonts w:cs="Times New Roman"/>
          <w:szCs w:val="20"/>
        </w:rPr>
        <w:t>are</w:t>
      </w:r>
      <w:r w:rsidRPr="0046317C">
        <w:rPr>
          <w:rFonts w:cs="Times New Roman"/>
          <w:szCs w:val="20"/>
        </w:rPr>
        <w:t xml:space="preserve"> replaced with the following criteria:</w:t>
      </w:r>
    </w:p>
    <w:p w:rsidRPr="0046317C" w:rsidR="00BB7CF6" w:rsidP="00BB7CF6" w:rsidRDefault="00BB7CF6" w14:paraId="59AB8F25" w14:textId="77777777">
      <w:pPr>
        <w:numPr>
          <w:ilvl w:val="0"/>
          <w:numId w:val="28"/>
        </w:numPr>
        <w:spacing w:after="120" w:line="240" w:lineRule="auto"/>
        <w:ind w:left="1080" w:right="1440" w:hanging="360"/>
        <w:rPr>
          <w:rFonts w:eastAsia="Times New Roman" w:cs="Times New Roman"/>
          <w:szCs w:val="26"/>
        </w:rPr>
      </w:pPr>
      <w:r w:rsidRPr="0046317C">
        <w:rPr>
          <w:rFonts w:eastAsia="Times New Roman" w:cs="Times New Roman"/>
          <w:szCs w:val="26"/>
        </w:rPr>
        <w:t>Future needs in local and sub-local areas;</w:t>
      </w:r>
    </w:p>
    <w:p w:rsidRPr="0046317C" w:rsidR="00BB7CF6" w:rsidP="00BB7CF6" w:rsidRDefault="00BB7CF6" w14:paraId="259F585B" w14:textId="77777777">
      <w:pPr>
        <w:numPr>
          <w:ilvl w:val="0"/>
          <w:numId w:val="28"/>
        </w:numPr>
        <w:spacing w:after="120" w:line="240" w:lineRule="auto"/>
        <w:ind w:left="1080" w:right="1440" w:hanging="360"/>
        <w:rPr>
          <w:rFonts w:eastAsia="Times New Roman" w:cs="Times New Roman"/>
          <w:szCs w:val="26"/>
        </w:rPr>
      </w:pPr>
      <w:r w:rsidRPr="0046317C">
        <w:rPr>
          <w:rFonts w:eastAsia="Times New Roman" w:cs="Times New Roman"/>
          <w:szCs w:val="26"/>
        </w:rPr>
        <w:t>Resource costs;</w:t>
      </w:r>
    </w:p>
    <w:p w:rsidRPr="0046317C" w:rsidR="00BB7CF6" w:rsidP="00BB7CF6" w:rsidRDefault="00BB7CF6" w14:paraId="6D0D73B2" w14:textId="77777777">
      <w:pPr>
        <w:numPr>
          <w:ilvl w:val="0"/>
          <w:numId w:val="28"/>
        </w:numPr>
        <w:spacing w:after="120" w:line="240" w:lineRule="auto"/>
        <w:ind w:left="1080" w:right="1440" w:hanging="360"/>
        <w:rPr>
          <w:rFonts w:eastAsia="Times New Roman" w:cs="Times New Roman"/>
          <w:szCs w:val="26"/>
        </w:rPr>
      </w:pPr>
      <w:r w:rsidRPr="0046317C">
        <w:rPr>
          <w:rFonts w:eastAsia="Times New Roman" w:cs="Times New Roman"/>
          <w:szCs w:val="26"/>
        </w:rPr>
        <w:t>Operational characteristics of the resources (facility type);</w:t>
      </w:r>
    </w:p>
    <w:p w:rsidRPr="0046317C" w:rsidR="00BB7CF6" w:rsidP="00BB7CF6" w:rsidRDefault="00BB7CF6" w14:paraId="381C6F4C" w14:textId="77777777">
      <w:pPr>
        <w:numPr>
          <w:ilvl w:val="0"/>
          <w:numId w:val="28"/>
        </w:numPr>
        <w:spacing w:after="120" w:line="240" w:lineRule="auto"/>
        <w:ind w:left="1080" w:right="1440" w:hanging="360"/>
        <w:rPr>
          <w:rFonts w:eastAsia="Times New Roman" w:cs="Times New Roman"/>
          <w:szCs w:val="26"/>
        </w:rPr>
      </w:pPr>
      <w:r w:rsidRPr="0046317C">
        <w:rPr>
          <w:rFonts w:eastAsia="Times New Roman" w:cs="Times New Roman"/>
          <w:szCs w:val="26"/>
        </w:rPr>
        <w:t>Location of the facility (with consideration for environmental justice);</w:t>
      </w:r>
    </w:p>
    <w:p w:rsidRPr="0046317C" w:rsidR="00BB7CF6" w:rsidP="00BB7CF6" w:rsidRDefault="00BB7CF6" w14:paraId="35E6855C" w14:textId="77777777">
      <w:pPr>
        <w:numPr>
          <w:ilvl w:val="0"/>
          <w:numId w:val="28"/>
        </w:numPr>
        <w:spacing w:after="120" w:line="240" w:lineRule="auto"/>
        <w:ind w:left="1080" w:right="1440" w:hanging="360"/>
        <w:rPr>
          <w:rFonts w:eastAsia="Times New Roman" w:cs="Times New Roman"/>
          <w:szCs w:val="26"/>
        </w:rPr>
      </w:pPr>
      <w:r w:rsidRPr="0046317C">
        <w:rPr>
          <w:rFonts w:eastAsia="Times New Roman" w:cs="Times New Roman"/>
          <w:szCs w:val="26"/>
        </w:rPr>
        <w:t xml:space="preserve">Costs of potential alternatives; </w:t>
      </w:r>
    </w:p>
    <w:p w:rsidRPr="0046317C" w:rsidR="00BB7CF6" w:rsidP="00BB7CF6" w:rsidRDefault="00BB7CF6" w14:paraId="6796F096" w14:textId="77777777">
      <w:pPr>
        <w:numPr>
          <w:ilvl w:val="0"/>
          <w:numId w:val="28"/>
        </w:numPr>
        <w:spacing w:after="120" w:line="240" w:lineRule="auto"/>
        <w:ind w:left="1080" w:right="1440" w:hanging="360"/>
        <w:rPr>
          <w:rFonts w:eastAsia="Times New Roman" w:cs="Times New Roman"/>
          <w:szCs w:val="26"/>
        </w:rPr>
      </w:pPr>
      <w:r w:rsidRPr="0046317C">
        <w:rPr>
          <w:rFonts w:eastAsia="Times New Roman" w:cs="Times New Roman"/>
          <w:szCs w:val="26"/>
        </w:rPr>
        <w:t xml:space="preserve">Greenhouse Gas adders; </w:t>
      </w:r>
    </w:p>
    <w:p w:rsidRPr="0046317C" w:rsidR="00BB7CF6" w:rsidP="00BB7CF6" w:rsidRDefault="00BB7CF6" w14:paraId="2498A65A" w14:textId="77777777">
      <w:pPr>
        <w:numPr>
          <w:ilvl w:val="0"/>
          <w:numId w:val="28"/>
        </w:numPr>
        <w:spacing w:after="120" w:line="240" w:lineRule="auto"/>
        <w:ind w:left="1080" w:right="1440" w:hanging="360"/>
        <w:rPr>
          <w:szCs w:val="26"/>
        </w:rPr>
      </w:pPr>
      <w:r w:rsidRPr="0046317C">
        <w:rPr>
          <w:rFonts w:eastAsia="Times New Roman" w:cs="Times New Roman"/>
          <w:szCs w:val="26"/>
        </w:rPr>
        <w:t>Energy-use limitations; and</w:t>
      </w:r>
    </w:p>
    <w:p w:rsidRPr="0046317C" w:rsidR="00BB7CF6" w:rsidP="00BB7CF6" w:rsidRDefault="00BB7CF6" w14:paraId="0F3287D7" w14:textId="77777777">
      <w:pPr>
        <w:numPr>
          <w:ilvl w:val="0"/>
          <w:numId w:val="28"/>
        </w:numPr>
        <w:spacing w:after="120" w:line="240" w:lineRule="auto"/>
        <w:ind w:left="1080" w:right="1440" w:hanging="360"/>
        <w:rPr>
          <w:szCs w:val="26"/>
        </w:rPr>
      </w:pPr>
      <w:r w:rsidRPr="0046317C">
        <w:rPr>
          <w:rFonts w:eastAsia="Times New Roman" w:cs="Times New Roman"/>
          <w:szCs w:val="26"/>
        </w:rPr>
        <w:t>Procurement of preferred resources and energy storage (to</w:t>
      </w:r>
      <w:r>
        <w:rPr>
          <w:rFonts w:eastAsia="Times New Roman" w:cs="Times New Roman"/>
          <w:szCs w:val="26"/>
        </w:rPr>
        <w:t> </w:t>
      </w:r>
      <w:r w:rsidRPr="0046317C">
        <w:rPr>
          <w:rFonts w:eastAsia="Times New Roman" w:cs="Times New Roman"/>
          <w:szCs w:val="26"/>
        </w:rPr>
        <w:t>be prioritized over fossil generation).</w:t>
      </w:r>
    </w:p>
    <w:p w:rsidRPr="00F1658B" w:rsidR="00BB7CF6" w:rsidP="00BB7CF6" w:rsidRDefault="00BB7CF6" w14:paraId="2091FEFA" w14:textId="77777777">
      <w:pPr>
        <w:pStyle w:val="OP"/>
        <w:numPr>
          <w:ilvl w:val="0"/>
          <w:numId w:val="0"/>
        </w:numPr>
        <w:ind w:firstLine="547"/>
      </w:pPr>
      <w:r w:rsidRPr="0046317C">
        <w:rPr>
          <w:rFonts w:cs="Times New Roman"/>
          <w:szCs w:val="26"/>
        </w:rPr>
        <w:t xml:space="preserve">The </w:t>
      </w:r>
      <w:bookmarkStart w:name="_Hlk94190179" w:id="91"/>
      <w:r w:rsidRPr="001D6A0B">
        <w:rPr>
          <w:rFonts w:cs="Times New Roman"/>
          <w:szCs w:val="26"/>
        </w:rPr>
        <w:t xml:space="preserve">central procurement entity </w:t>
      </w:r>
      <w:bookmarkEnd w:id="91"/>
      <w:r>
        <w:rPr>
          <w:rFonts w:cs="Times New Roman"/>
          <w:szCs w:val="26"/>
        </w:rPr>
        <w:t>(</w:t>
      </w:r>
      <w:r w:rsidRPr="0046317C">
        <w:rPr>
          <w:rFonts w:cs="Times New Roman"/>
          <w:szCs w:val="26"/>
        </w:rPr>
        <w:t>CPE</w:t>
      </w:r>
      <w:r>
        <w:rPr>
          <w:rFonts w:cs="Times New Roman"/>
          <w:szCs w:val="26"/>
        </w:rPr>
        <w:t>)</w:t>
      </w:r>
      <w:r w:rsidRPr="0046317C">
        <w:rPr>
          <w:rFonts w:cs="Times New Roman"/>
          <w:szCs w:val="26"/>
        </w:rPr>
        <w:t xml:space="preserve"> shall have discretion to define attributes for the operational characteristics and such attributes shall be provided to market participants in the CPE’s bidder</w:t>
      </w:r>
      <w:r>
        <w:rPr>
          <w:rFonts w:cs="Times New Roman"/>
          <w:szCs w:val="26"/>
        </w:rPr>
        <w:t>’</w:t>
      </w:r>
      <w:r w:rsidRPr="0046317C">
        <w:rPr>
          <w:rFonts w:cs="Times New Roman"/>
          <w:szCs w:val="26"/>
        </w:rPr>
        <w:t>s conference.</w:t>
      </w:r>
    </w:p>
    <w:p w:rsidRPr="00F1658B" w:rsidR="00BB7CF6" w:rsidP="00BB7CF6" w:rsidRDefault="00BB7CF6" w14:paraId="1BEF7552" w14:textId="77777777">
      <w:pPr>
        <w:pStyle w:val="OP"/>
        <w:ind w:left="0"/>
      </w:pPr>
      <w:r w:rsidRPr="0046317C">
        <w:rPr>
          <w:rFonts w:cs="Times New Roman"/>
          <w:szCs w:val="20"/>
        </w:rPr>
        <w:t>Ordering Paragraph 15 of D</w:t>
      </w:r>
      <w:r>
        <w:rPr>
          <w:rFonts w:cs="Times New Roman"/>
          <w:szCs w:val="20"/>
        </w:rPr>
        <w:t xml:space="preserve">ecision </w:t>
      </w:r>
      <w:r w:rsidRPr="0046317C">
        <w:rPr>
          <w:rFonts w:cs="Times New Roman"/>
          <w:szCs w:val="20"/>
        </w:rPr>
        <w:t xml:space="preserve">20-06-002 is </w:t>
      </w:r>
      <w:r>
        <w:rPr>
          <w:rFonts w:cs="Times New Roman"/>
          <w:szCs w:val="20"/>
        </w:rPr>
        <w:t>replaced</w:t>
      </w:r>
      <w:r w:rsidRPr="0046317C">
        <w:rPr>
          <w:rFonts w:cs="Times New Roman"/>
          <w:szCs w:val="20"/>
        </w:rPr>
        <w:t xml:space="preserve"> </w:t>
      </w:r>
      <w:r>
        <w:rPr>
          <w:rFonts w:cs="Times New Roman"/>
          <w:szCs w:val="20"/>
        </w:rPr>
        <w:t>with the</w:t>
      </w:r>
      <w:r w:rsidRPr="0046317C">
        <w:rPr>
          <w:rFonts w:cs="Times New Roman"/>
          <w:szCs w:val="20"/>
        </w:rPr>
        <w:t xml:space="preserve"> follow</w:t>
      </w:r>
      <w:r>
        <w:rPr>
          <w:rFonts w:cs="Times New Roman"/>
          <w:szCs w:val="20"/>
        </w:rPr>
        <w:t>ing</w:t>
      </w:r>
      <w:r w:rsidRPr="0046317C">
        <w:rPr>
          <w:rFonts w:cs="Times New Roman"/>
          <w:szCs w:val="20"/>
        </w:rPr>
        <w:t xml:space="preserve">: </w:t>
      </w:r>
      <w:r>
        <w:rPr>
          <w:rFonts w:cs="Times New Roman"/>
          <w:szCs w:val="20"/>
        </w:rPr>
        <w:t xml:space="preserve"> </w:t>
      </w:r>
      <w:r w:rsidRPr="0046317C">
        <w:rPr>
          <w:rFonts w:cs="Times New Roman"/>
          <w:szCs w:val="20"/>
        </w:rPr>
        <w:t>“</w:t>
      </w:r>
      <w:bookmarkStart w:name="_Hlk94190153" w:id="92"/>
      <w:r w:rsidRPr="0046317C">
        <w:rPr>
          <w:rFonts w:cs="Times New Roman"/>
          <w:szCs w:val="20"/>
        </w:rPr>
        <w:t xml:space="preserve">In its solicitation, the central procurement entity shall </w:t>
      </w:r>
      <w:bookmarkEnd w:id="92"/>
      <w:r w:rsidRPr="0046317C">
        <w:rPr>
          <w:rFonts w:cs="Times New Roman"/>
          <w:szCs w:val="20"/>
        </w:rPr>
        <w:t xml:space="preserve">direct bidders to include the CalEnviroScreen score of the resource location (or if unavailable, the pollution burden of the resource location).”  </w:t>
      </w:r>
    </w:p>
    <w:p w:rsidRPr="00F1658B" w:rsidR="00BB7CF6" w:rsidP="00BB7CF6" w:rsidRDefault="00BB7CF6" w14:paraId="4C747C9E" w14:textId="77777777">
      <w:pPr>
        <w:pStyle w:val="OP"/>
        <w:ind w:left="0"/>
      </w:pPr>
      <w:r w:rsidRPr="0046317C">
        <w:rPr>
          <w:rFonts w:cs="Times New Roman"/>
          <w:color w:val="000000"/>
          <w:szCs w:val="26"/>
        </w:rPr>
        <w:t xml:space="preserve">In its solicitation process, the </w:t>
      </w:r>
      <w:r w:rsidRPr="00B90A8E">
        <w:rPr>
          <w:rFonts w:cs="Times New Roman"/>
          <w:color w:val="000000"/>
          <w:szCs w:val="26"/>
        </w:rPr>
        <w:t>central procurement entity</w:t>
      </w:r>
      <w:r w:rsidRPr="0046317C">
        <w:rPr>
          <w:rFonts w:cs="Times New Roman"/>
          <w:color w:val="000000"/>
          <w:szCs w:val="26"/>
        </w:rPr>
        <w:t xml:space="preserve"> shall consider bids of any contract term length greater than or equal to one month.  </w:t>
      </w:r>
    </w:p>
    <w:p w:rsidRPr="00F1658B" w:rsidR="004F4C23" w:rsidP="004F4C23" w:rsidRDefault="00BB7CF6" w14:paraId="14F010C1" w14:textId="3180BED0">
      <w:pPr>
        <w:pStyle w:val="OP"/>
        <w:ind w:left="0"/>
      </w:pPr>
      <w:r w:rsidRPr="00F1658B">
        <w:t xml:space="preserve">If the </w:t>
      </w:r>
      <w:r w:rsidRPr="00B90A8E">
        <w:t xml:space="preserve">central procurement entity </w:t>
      </w:r>
      <w:r>
        <w:t>(</w:t>
      </w:r>
      <w:r w:rsidRPr="00F1658B">
        <w:t>CPE</w:t>
      </w:r>
      <w:r>
        <w:t>)</w:t>
      </w:r>
      <w:r w:rsidRPr="00F1658B">
        <w:t xml:space="preserve"> does not procure sufficient resources to meet its multi-year local </w:t>
      </w:r>
      <w:r>
        <w:t xml:space="preserve">Resource Adequacy (RA) </w:t>
      </w:r>
      <w:r w:rsidRPr="00F1658B">
        <w:t>requirements following the annual all</w:t>
      </w:r>
      <w:r>
        <w:noBreakHyphen/>
      </w:r>
      <w:r w:rsidRPr="00F1658B">
        <w:t>source solicitation, the CPE is authorized to procure additional local</w:t>
      </w:r>
      <w:r w:rsidRPr="0088455C">
        <w:t xml:space="preserve"> </w:t>
      </w:r>
      <w:r w:rsidRPr="00F1658B">
        <w:t xml:space="preserve">RA resources outside of the annual all-source solicitation </w:t>
      </w:r>
      <w:r w:rsidRPr="00F1658B">
        <w:lastRenderedPageBreak/>
        <w:t>process.  The CPE is authorized to use broker market</w:t>
      </w:r>
      <w:r>
        <w:t>s</w:t>
      </w:r>
      <w:r w:rsidRPr="00F1658B">
        <w:t xml:space="preserve"> or bilateral transactions to fill short positions for any deficiencies in the </w:t>
      </w:r>
      <w:r>
        <w:t xml:space="preserve">applicable </w:t>
      </w:r>
      <w:r w:rsidRPr="00F1658B">
        <w:t xml:space="preserve">three-year forward period.  The CPE is encouraged to fill its positions to the extent possible prior to initial RA allocations in July.  </w:t>
      </w:r>
      <w:r w:rsidR="004F4C23">
        <w:t>The CPE shall consult with the Cost Allocation Mechanism Procurement Review Group on plans for conducting procurement outside of the all-source solicitation, including opportunities it plans to pursue and criteria with which it plans to evaluate offers.</w:t>
      </w:r>
    </w:p>
    <w:p w:rsidRPr="00F1658B" w:rsidR="00BB7CF6" w:rsidP="00BB7CF6" w:rsidRDefault="00BB7CF6" w14:paraId="6D32CAAB" w14:textId="77777777">
      <w:pPr>
        <w:pStyle w:val="OP"/>
        <w:ind w:left="0"/>
      </w:pPr>
      <w:r>
        <w:t>To guide the selection of local resources procured</w:t>
      </w:r>
      <w:r w:rsidRPr="00F1658B">
        <w:t xml:space="preserve"> outside of the annual all-source solicitation, the </w:t>
      </w:r>
      <w:r w:rsidRPr="00B90A8E">
        <w:t>central procurement entity</w:t>
      </w:r>
      <w:r w:rsidRPr="00F1658B">
        <w:t xml:space="preserve"> </w:t>
      </w:r>
      <w:r>
        <w:t xml:space="preserve">(CPE) </w:t>
      </w:r>
      <w:r w:rsidRPr="00F1658B">
        <w:t xml:space="preserve">shall </w:t>
      </w:r>
      <w:r>
        <w:t xml:space="preserve">evaluate resources </w:t>
      </w:r>
      <w:r w:rsidRPr="00F1658B">
        <w:t>us</w:t>
      </w:r>
      <w:r>
        <w:t>ing</w:t>
      </w:r>
      <w:r w:rsidRPr="00F1658B">
        <w:t xml:space="preserve"> the least cost best fit methodology and, if applicable for the procurement being undertaken,</w:t>
      </w:r>
      <w:r>
        <w:t xml:space="preserve"> include</w:t>
      </w:r>
      <w:r w:rsidRPr="00F1658B">
        <w:t xml:space="preserve"> the selection criteria set forth in </w:t>
      </w:r>
      <w:r>
        <w:t xml:space="preserve">Ordering Paragraph 14 of </w:t>
      </w:r>
      <w:r w:rsidRPr="00F1658B">
        <w:t>D</w:t>
      </w:r>
      <w:r>
        <w:t xml:space="preserve">ecision (D.) </w:t>
      </w:r>
      <w:r w:rsidRPr="00F1658B">
        <w:t xml:space="preserve">20-06-002, as modified in this decision. </w:t>
      </w:r>
    </w:p>
    <w:p w:rsidR="00BB7CF6" w:rsidP="00BB7CF6" w:rsidRDefault="00BB7CF6" w14:paraId="5095EE77" w14:textId="3ACC5471">
      <w:pPr>
        <w:pStyle w:val="OP"/>
        <w:numPr>
          <w:ilvl w:val="0"/>
          <w:numId w:val="0"/>
        </w:numPr>
        <w:ind w:firstLine="547"/>
      </w:pPr>
      <w:r w:rsidRPr="00F1658B">
        <w:t xml:space="preserve">For contracts that exceed a five-year term, the CPE shall submit a Tier 3 Advice Letter for approval.  </w:t>
      </w:r>
      <w:r>
        <w:t>F</w:t>
      </w:r>
      <w:r w:rsidRPr="00F1658B">
        <w:t xml:space="preserve">or </w:t>
      </w:r>
      <w:r>
        <w:t xml:space="preserve">a </w:t>
      </w:r>
      <w:r w:rsidRPr="00F1658B">
        <w:t xml:space="preserve">contract with </w:t>
      </w:r>
      <w:r>
        <w:t>a</w:t>
      </w:r>
      <w:r w:rsidRPr="00F1658B">
        <w:t xml:space="preserve"> five</w:t>
      </w:r>
      <w:r>
        <w:t>-</w:t>
      </w:r>
      <w:r w:rsidRPr="00F1658B">
        <w:t>year</w:t>
      </w:r>
      <w:r>
        <w:t xml:space="preserve"> term or less</w:t>
      </w:r>
      <w:r w:rsidRPr="00F1658B">
        <w:t xml:space="preserve"> </w:t>
      </w:r>
      <w:r>
        <w:t>the contract</w:t>
      </w:r>
      <w:r w:rsidR="008F5CC0">
        <w:t>, including a broker or bilateral contract,</w:t>
      </w:r>
      <w:r>
        <w:t xml:space="preserve"> shall</w:t>
      </w:r>
      <w:r w:rsidRPr="00F1658B">
        <w:t xml:space="preserve"> be deemed reasonable and preapproved if the </w:t>
      </w:r>
      <w:r>
        <w:t xml:space="preserve">following </w:t>
      </w:r>
      <w:r w:rsidRPr="00F1658B">
        <w:t xml:space="preserve">conditions are met: </w:t>
      </w:r>
      <w:r>
        <w:t xml:space="preserve"> </w:t>
      </w:r>
    </w:p>
    <w:p w:rsidR="00BB7CF6" w:rsidP="00BB7CF6" w:rsidRDefault="00BB7CF6" w14:paraId="22EA3E3F" w14:textId="77777777">
      <w:pPr>
        <w:numPr>
          <w:ilvl w:val="0"/>
          <w:numId w:val="30"/>
        </w:numPr>
        <w:spacing w:after="120" w:line="240" w:lineRule="auto"/>
        <w:ind w:left="1080" w:right="1440" w:hanging="360"/>
      </w:pPr>
      <w:r>
        <w:rPr>
          <w:rFonts w:eastAsia="Times New Roman" w:cs="Times New Roman"/>
          <w:szCs w:val="26"/>
        </w:rPr>
        <w:t>T</w:t>
      </w:r>
      <w:r w:rsidRPr="00417E2B">
        <w:rPr>
          <w:rFonts w:eastAsia="Times New Roman" w:cs="Times New Roman"/>
          <w:szCs w:val="26"/>
        </w:rPr>
        <w:t>he</w:t>
      </w:r>
      <w:r w:rsidRPr="00F1658B">
        <w:t xml:space="preserve"> </w:t>
      </w:r>
      <w:r>
        <w:t xml:space="preserve">procured </w:t>
      </w:r>
      <w:r w:rsidRPr="00F1658B">
        <w:t xml:space="preserve">resource meets the </w:t>
      </w:r>
      <w:r>
        <w:t xml:space="preserve">established </w:t>
      </w:r>
      <w:r w:rsidRPr="00F1658B">
        <w:t xml:space="preserve">local capacity </w:t>
      </w:r>
      <w:r>
        <w:t>requirements and underlying data supporting those requirements, which are based on the</w:t>
      </w:r>
      <w:r w:rsidRPr="00F1658B">
        <w:t xml:space="preserve"> </w:t>
      </w:r>
      <w:r w:rsidRPr="008A1EC3">
        <w:t>California Independent System Operator</w:t>
      </w:r>
      <w:r w:rsidRPr="00F1658B">
        <w:t xml:space="preserve">’s </w:t>
      </w:r>
      <w:r w:rsidRPr="00AA2EEF">
        <w:t>Local Capacity Requirements Technical Study</w:t>
      </w:r>
      <w:r>
        <w:t>;</w:t>
      </w:r>
      <w:r w:rsidRPr="00F1658B">
        <w:t xml:space="preserve"> </w:t>
      </w:r>
    </w:p>
    <w:p w:rsidR="00BB7CF6" w:rsidP="00BB7CF6" w:rsidRDefault="00BB7CF6" w14:paraId="0F62C9C3" w14:textId="62E4D4AB">
      <w:pPr>
        <w:numPr>
          <w:ilvl w:val="0"/>
          <w:numId w:val="30"/>
        </w:numPr>
        <w:spacing w:after="120" w:line="240" w:lineRule="auto"/>
        <w:ind w:left="1080" w:right="1440" w:hanging="360"/>
      </w:pPr>
      <w:r>
        <w:t>T</w:t>
      </w:r>
      <w:r w:rsidRPr="00F1658B">
        <w:t xml:space="preserve">he </w:t>
      </w:r>
      <w:r w:rsidRPr="00AA2EEF">
        <w:t>Cost Allocation Mechanism</w:t>
      </w:r>
      <w:r w:rsidRPr="00F1658B">
        <w:t xml:space="preserve"> </w:t>
      </w:r>
      <w:r w:rsidRPr="00AA2EEF">
        <w:t>Procurement Review Group</w:t>
      </w:r>
      <w:r w:rsidRPr="00F1658B">
        <w:t xml:space="preserve"> </w:t>
      </w:r>
      <w:r w:rsidR="008F5CC0">
        <w:t xml:space="preserve">(CAM PRG) </w:t>
      </w:r>
      <w:r w:rsidRPr="00F1658B">
        <w:t>was properly consulted</w:t>
      </w:r>
      <w:r>
        <w:t>, as described in Ordering Paragraph 13 of D.20-06-002;</w:t>
      </w:r>
      <w:r w:rsidRPr="00F1658B">
        <w:t xml:space="preserve"> </w:t>
      </w:r>
    </w:p>
    <w:p w:rsidR="008F5CC0" w:rsidP="00BB7CF6" w:rsidRDefault="008F5CC0" w14:paraId="18AAE6D0" w14:textId="46E99764">
      <w:pPr>
        <w:numPr>
          <w:ilvl w:val="0"/>
          <w:numId w:val="30"/>
        </w:numPr>
        <w:spacing w:after="120" w:line="240" w:lineRule="auto"/>
        <w:ind w:left="1080" w:right="1440" w:hanging="360"/>
      </w:pPr>
      <w:r>
        <w:t xml:space="preserve">For </w:t>
      </w:r>
      <w:r w:rsidR="00B47C9B">
        <w:t xml:space="preserve">reasonable and </w:t>
      </w:r>
      <w:r>
        <w:t xml:space="preserve">preapproved broker </w:t>
      </w:r>
      <w:r w:rsidR="00BD76AF">
        <w:t xml:space="preserve">or bilateral </w:t>
      </w:r>
      <w:r>
        <w:t>contracts with a term of five</w:t>
      </w:r>
      <w:r w:rsidR="001C2953">
        <w:t xml:space="preserve"> </w:t>
      </w:r>
      <w:r>
        <w:t>years or less, the CPE shall notify the CAM PRG as soon as practicable after the execution of the broker or bilateral transaction; and</w:t>
      </w:r>
    </w:p>
    <w:p w:rsidR="008F5CC0" w:rsidP="00912777" w:rsidRDefault="00BB7CF6" w14:paraId="1A50540A" w14:textId="0D46F318">
      <w:pPr>
        <w:numPr>
          <w:ilvl w:val="0"/>
          <w:numId w:val="30"/>
        </w:numPr>
        <w:spacing w:after="120" w:line="240" w:lineRule="auto"/>
        <w:ind w:left="1080" w:right="1440" w:hanging="360"/>
      </w:pPr>
      <w:r>
        <w:t>P</w:t>
      </w:r>
      <w:r w:rsidRPr="00F1658B">
        <w:t xml:space="preserve">rocurement was deemed by the independent evaluator to have followed all relevant Commission guidance, </w:t>
      </w:r>
      <w:r w:rsidRPr="00F1658B">
        <w:lastRenderedPageBreak/>
        <w:t xml:space="preserve">including the least cost best fit methodology and other </w:t>
      </w:r>
      <w:r>
        <w:t xml:space="preserve">noted </w:t>
      </w:r>
      <w:r w:rsidRPr="00F1658B">
        <w:t>selection criteria.</w:t>
      </w:r>
    </w:p>
    <w:p w:rsidRPr="00F1658B" w:rsidR="00BB7CF6" w:rsidP="00BB7CF6" w:rsidRDefault="00BB7CF6" w14:paraId="2BB54915" w14:textId="24D85562">
      <w:pPr>
        <w:pStyle w:val="OP"/>
        <w:ind w:left="0"/>
      </w:pPr>
      <w:r w:rsidRPr="00F1658B">
        <w:t xml:space="preserve">The following timeline is adopted for </w:t>
      </w:r>
      <w:r w:rsidRPr="00B90A8E">
        <w:t xml:space="preserve">central procurement entity </w:t>
      </w:r>
      <w:r>
        <w:t>(</w:t>
      </w:r>
      <w:r w:rsidRPr="00F1658B">
        <w:t>CPE</w:t>
      </w:r>
      <w:r>
        <w:t>)</w:t>
      </w:r>
      <w:r w:rsidRPr="00F1658B">
        <w:t xml:space="preserve"> procurement and replaces the timeline adopted in Ordering Paragraph 28 of D</w:t>
      </w:r>
      <w:r>
        <w:t xml:space="preserve">ecision </w:t>
      </w:r>
      <w:r w:rsidRPr="00F1658B">
        <w:t>20-06-002:</w:t>
      </w:r>
    </w:p>
    <w:p w:rsidRPr="0046317C" w:rsidR="00BB7CF6" w:rsidP="00BB7CF6" w:rsidRDefault="00BB7CF6" w14:paraId="64C17C60" w14:textId="77777777">
      <w:pPr>
        <w:numPr>
          <w:ilvl w:val="0"/>
          <w:numId w:val="13"/>
        </w:numPr>
        <w:spacing w:after="120" w:line="240" w:lineRule="auto"/>
        <w:ind w:right="1440"/>
        <w:rPr>
          <w:rFonts w:cs="Times New Roman"/>
          <w:szCs w:val="20"/>
        </w:rPr>
      </w:pPr>
      <w:r w:rsidRPr="0046317C">
        <w:rPr>
          <w:rFonts w:cs="Times New Roman"/>
          <w:b/>
          <w:szCs w:val="20"/>
        </w:rPr>
        <w:t>April-May</w:t>
      </w:r>
      <w:r w:rsidRPr="0046317C">
        <w:rPr>
          <w:rFonts w:cs="Times New Roman"/>
          <w:szCs w:val="20"/>
        </w:rPr>
        <w:t xml:space="preserve">:  The </w:t>
      </w:r>
      <w:r w:rsidRPr="008A1EC3">
        <w:rPr>
          <w:rFonts w:cs="Times New Roman"/>
          <w:szCs w:val="20"/>
        </w:rPr>
        <w:t xml:space="preserve">California Independent System Operator </w:t>
      </w:r>
      <w:r>
        <w:rPr>
          <w:rFonts w:cs="Times New Roman"/>
          <w:szCs w:val="20"/>
        </w:rPr>
        <w:t>(</w:t>
      </w:r>
      <w:r w:rsidRPr="0046317C">
        <w:rPr>
          <w:rFonts w:cs="Times New Roman"/>
          <w:szCs w:val="20"/>
        </w:rPr>
        <w:t>CAISO</w:t>
      </w:r>
      <w:r>
        <w:rPr>
          <w:rFonts w:cs="Times New Roman"/>
          <w:szCs w:val="20"/>
        </w:rPr>
        <w:t>)</w:t>
      </w:r>
      <w:r w:rsidRPr="0046317C">
        <w:rPr>
          <w:rFonts w:cs="Times New Roman"/>
          <w:szCs w:val="20"/>
        </w:rPr>
        <w:t xml:space="preserve"> files draft and final </w:t>
      </w:r>
      <w:r w:rsidRPr="00545ED3">
        <w:rPr>
          <w:rFonts w:cs="Times New Roman"/>
          <w:szCs w:val="20"/>
        </w:rPr>
        <w:t xml:space="preserve">Local Capacity Requirement </w:t>
      </w:r>
      <w:r>
        <w:rPr>
          <w:rFonts w:cs="Times New Roman"/>
          <w:szCs w:val="20"/>
        </w:rPr>
        <w:t>(</w:t>
      </w:r>
      <w:r w:rsidRPr="0046317C">
        <w:rPr>
          <w:rFonts w:cs="Times New Roman"/>
          <w:szCs w:val="20"/>
        </w:rPr>
        <w:t>LCR</w:t>
      </w:r>
      <w:r>
        <w:rPr>
          <w:rFonts w:cs="Times New Roman"/>
          <w:szCs w:val="20"/>
        </w:rPr>
        <w:t>)</w:t>
      </w:r>
      <w:r w:rsidRPr="0046317C">
        <w:rPr>
          <w:rFonts w:cs="Times New Roman"/>
          <w:szCs w:val="20"/>
        </w:rPr>
        <w:t xml:space="preserve"> one- and five-year ahead studies.  </w:t>
      </w:r>
      <w:r>
        <w:rPr>
          <w:rFonts w:cs="Times New Roman"/>
          <w:szCs w:val="20"/>
        </w:rPr>
        <w:t xml:space="preserve">The </w:t>
      </w:r>
      <w:r w:rsidRPr="0046317C">
        <w:rPr>
          <w:rFonts w:cs="Times New Roman"/>
          <w:szCs w:val="20"/>
        </w:rPr>
        <w:t>LCR studies will include any CAISO</w:t>
      </w:r>
      <w:r w:rsidRPr="0046317C">
        <w:rPr>
          <w:rFonts w:cs="Times New Roman"/>
          <w:szCs w:val="20"/>
        </w:rPr>
        <w:noBreakHyphen/>
        <w:t xml:space="preserve">approved transmission upgrades from the </w:t>
      </w:r>
      <w:r w:rsidRPr="00545ED3">
        <w:rPr>
          <w:rFonts w:cs="Times New Roman"/>
          <w:szCs w:val="20"/>
        </w:rPr>
        <w:t xml:space="preserve">Transmission Planning Process </w:t>
      </w:r>
      <w:r w:rsidRPr="0046317C">
        <w:rPr>
          <w:rFonts w:cs="Times New Roman"/>
          <w:szCs w:val="20"/>
        </w:rPr>
        <w:t>LCR study.  Parties file comments on draft and final LCR studies.</w:t>
      </w:r>
    </w:p>
    <w:p w:rsidRPr="0046317C" w:rsidR="00BB7CF6" w:rsidP="00BB7CF6" w:rsidRDefault="00BB7CF6" w14:paraId="6DCD4F3B" w14:textId="77777777">
      <w:pPr>
        <w:numPr>
          <w:ilvl w:val="0"/>
          <w:numId w:val="13"/>
        </w:numPr>
        <w:spacing w:after="120" w:line="240" w:lineRule="auto"/>
        <w:ind w:right="1440"/>
        <w:rPr>
          <w:rFonts w:cs="Times New Roman"/>
          <w:b/>
          <w:bCs/>
          <w:szCs w:val="20"/>
        </w:rPr>
      </w:pPr>
      <w:r w:rsidRPr="0046317C">
        <w:rPr>
          <w:rFonts w:cs="Times New Roman"/>
          <w:b/>
          <w:bCs/>
          <w:szCs w:val="20"/>
        </w:rPr>
        <w:t xml:space="preserve">No Later Than Mid-May:  </w:t>
      </w:r>
      <w:r w:rsidRPr="00545ED3">
        <w:rPr>
          <w:rFonts w:cs="Times New Roman"/>
          <w:szCs w:val="20"/>
        </w:rPr>
        <w:t>L</w:t>
      </w:r>
      <w:r w:rsidRPr="00B226DB">
        <w:rPr>
          <w:rFonts w:cs="Times New Roman"/>
          <w:szCs w:val="20"/>
        </w:rPr>
        <w:t>oad-serving entities</w:t>
      </w:r>
      <w:r>
        <w:rPr>
          <w:rFonts w:cs="Times New Roman"/>
          <w:b/>
          <w:bCs/>
          <w:szCs w:val="20"/>
        </w:rPr>
        <w:t xml:space="preserve"> (</w:t>
      </w:r>
      <w:r w:rsidRPr="0046317C">
        <w:rPr>
          <w:rFonts w:cs="Times New Roman"/>
          <w:szCs w:val="20"/>
        </w:rPr>
        <w:t>LSEs</w:t>
      </w:r>
      <w:r>
        <w:rPr>
          <w:rFonts w:cs="Times New Roman"/>
          <w:szCs w:val="20"/>
        </w:rPr>
        <w:t>)</w:t>
      </w:r>
      <w:r w:rsidRPr="0046317C">
        <w:rPr>
          <w:rFonts w:cs="Times New Roman"/>
          <w:szCs w:val="20"/>
        </w:rPr>
        <w:t xml:space="preserve"> in </w:t>
      </w:r>
      <w:r>
        <w:rPr>
          <w:rFonts w:cs="Times New Roman"/>
          <w:szCs w:val="20"/>
        </w:rPr>
        <w:t>Southern California Edison (</w:t>
      </w:r>
      <w:r w:rsidRPr="0046317C">
        <w:rPr>
          <w:rFonts w:cs="Times New Roman"/>
          <w:szCs w:val="20"/>
        </w:rPr>
        <w:t>SCE</w:t>
      </w:r>
      <w:r>
        <w:rPr>
          <w:rFonts w:cs="Times New Roman"/>
          <w:szCs w:val="20"/>
        </w:rPr>
        <w:t>)</w:t>
      </w:r>
      <w:r w:rsidRPr="0046317C">
        <w:rPr>
          <w:rFonts w:cs="Times New Roman"/>
          <w:szCs w:val="20"/>
        </w:rPr>
        <w:t xml:space="preserve"> and </w:t>
      </w:r>
      <w:r>
        <w:rPr>
          <w:rFonts w:cs="Times New Roman"/>
          <w:szCs w:val="20"/>
        </w:rPr>
        <w:t>Pacific Gas &amp; Electric Company (</w:t>
      </w:r>
      <w:r w:rsidRPr="0046317C">
        <w:rPr>
          <w:rFonts w:cs="Times New Roman"/>
          <w:szCs w:val="20"/>
        </w:rPr>
        <w:t>PG&amp;E</w:t>
      </w:r>
      <w:r>
        <w:rPr>
          <w:rFonts w:cs="Times New Roman"/>
          <w:szCs w:val="20"/>
        </w:rPr>
        <w:t>)</w:t>
      </w:r>
      <w:r w:rsidRPr="0046317C">
        <w:rPr>
          <w:rFonts w:cs="Times New Roman"/>
          <w:szCs w:val="20"/>
        </w:rPr>
        <w:t xml:space="preserve"> </w:t>
      </w:r>
      <w:r w:rsidRPr="00B90A8E">
        <w:rPr>
          <w:rFonts w:cs="Times New Roman"/>
          <w:szCs w:val="20"/>
        </w:rPr>
        <w:t xml:space="preserve">transmission access charge </w:t>
      </w:r>
      <w:r>
        <w:rPr>
          <w:rFonts w:cs="Times New Roman"/>
          <w:szCs w:val="20"/>
        </w:rPr>
        <w:t>(</w:t>
      </w:r>
      <w:r w:rsidRPr="0046317C">
        <w:rPr>
          <w:rFonts w:cs="Times New Roman"/>
          <w:szCs w:val="20"/>
        </w:rPr>
        <w:t>TAC</w:t>
      </w:r>
      <w:r>
        <w:rPr>
          <w:rFonts w:cs="Times New Roman"/>
          <w:szCs w:val="20"/>
        </w:rPr>
        <w:t>)</w:t>
      </w:r>
      <w:r w:rsidRPr="0046317C">
        <w:rPr>
          <w:rFonts w:cs="Times New Roman"/>
          <w:szCs w:val="20"/>
        </w:rPr>
        <w:t xml:space="preserve"> areas make self-shown commitment of local resources to the CPE for the applicable </w:t>
      </w:r>
      <w:r w:rsidRPr="0088455C">
        <w:rPr>
          <w:rFonts w:cs="Times New Roman"/>
          <w:szCs w:val="20"/>
        </w:rPr>
        <w:t xml:space="preserve">Resource Adequacy </w:t>
      </w:r>
      <w:r>
        <w:rPr>
          <w:rFonts w:cs="Times New Roman"/>
          <w:szCs w:val="20"/>
        </w:rPr>
        <w:t>(</w:t>
      </w:r>
      <w:r w:rsidRPr="0046317C">
        <w:rPr>
          <w:rFonts w:cs="Times New Roman"/>
          <w:szCs w:val="20"/>
        </w:rPr>
        <w:t>RA</w:t>
      </w:r>
      <w:r>
        <w:rPr>
          <w:rFonts w:cs="Times New Roman"/>
          <w:szCs w:val="20"/>
        </w:rPr>
        <w:t>)</w:t>
      </w:r>
      <w:r w:rsidRPr="0046317C">
        <w:rPr>
          <w:rFonts w:cs="Times New Roman"/>
          <w:szCs w:val="20"/>
        </w:rPr>
        <w:t xml:space="preserve"> years.</w:t>
      </w:r>
    </w:p>
    <w:p w:rsidRPr="0046317C" w:rsidR="00BB7CF6" w:rsidP="00BB7CF6" w:rsidRDefault="00BB7CF6" w14:paraId="78657AE6" w14:textId="77777777">
      <w:pPr>
        <w:keepNext/>
        <w:keepLines/>
        <w:numPr>
          <w:ilvl w:val="0"/>
          <w:numId w:val="13"/>
        </w:numPr>
        <w:spacing w:after="120" w:line="240" w:lineRule="auto"/>
        <w:ind w:right="1440"/>
        <w:rPr>
          <w:rFonts w:cs="Times New Roman"/>
          <w:szCs w:val="20"/>
        </w:rPr>
      </w:pPr>
      <w:r w:rsidRPr="0046317C">
        <w:rPr>
          <w:rFonts w:cs="Times New Roman"/>
          <w:b/>
          <w:szCs w:val="20"/>
        </w:rPr>
        <w:t>No Later than June</w:t>
      </w:r>
      <w:r w:rsidRPr="0046317C">
        <w:rPr>
          <w:rFonts w:cs="Times New Roman"/>
          <w:szCs w:val="20"/>
        </w:rPr>
        <w:t>:  The Commission adopts multi-year local RA requirements for the applicable compliance years as part of its June decision.</w:t>
      </w:r>
    </w:p>
    <w:p w:rsidRPr="0046317C" w:rsidR="00BB7CF6" w:rsidP="00BB7CF6" w:rsidRDefault="00BB7CF6" w14:paraId="6828BC1E" w14:textId="77777777">
      <w:pPr>
        <w:keepNext/>
        <w:keepLines/>
        <w:numPr>
          <w:ilvl w:val="0"/>
          <w:numId w:val="13"/>
        </w:numPr>
        <w:spacing w:after="120" w:line="240" w:lineRule="auto"/>
        <w:ind w:right="1440"/>
        <w:rPr>
          <w:rFonts w:cs="Times New Roman"/>
          <w:bCs/>
          <w:szCs w:val="20"/>
        </w:rPr>
      </w:pPr>
      <w:r w:rsidRPr="0046317C">
        <w:rPr>
          <w:rFonts w:cs="Times New Roman"/>
          <w:b/>
          <w:szCs w:val="20"/>
        </w:rPr>
        <w:t>No Later Than Early July</w:t>
      </w:r>
      <w:r w:rsidRPr="0046317C">
        <w:rPr>
          <w:rFonts w:cs="Times New Roman"/>
          <w:bCs/>
          <w:szCs w:val="20"/>
        </w:rPr>
        <w:t>:  CPE receives total jurisdictional share of multi-year local RA requirements for the applicable compliance years.</w:t>
      </w:r>
    </w:p>
    <w:p w:rsidRPr="0046317C" w:rsidR="00BB7CF6" w:rsidP="00BB7CF6" w:rsidRDefault="00BB7CF6" w14:paraId="7DC5C0C2" w14:textId="77777777">
      <w:pPr>
        <w:numPr>
          <w:ilvl w:val="0"/>
          <w:numId w:val="13"/>
        </w:numPr>
        <w:spacing w:after="120" w:line="240" w:lineRule="auto"/>
        <w:ind w:right="1440"/>
        <w:rPr>
          <w:rFonts w:cs="Times New Roman"/>
          <w:bCs/>
          <w:szCs w:val="20"/>
        </w:rPr>
      </w:pPr>
      <w:r w:rsidRPr="0046317C">
        <w:rPr>
          <w:rFonts w:cs="Times New Roman"/>
          <w:b/>
          <w:szCs w:val="20"/>
        </w:rPr>
        <w:t>July</w:t>
      </w:r>
      <w:r w:rsidRPr="0046317C">
        <w:rPr>
          <w:rFonts w:cs="Times New Roman"/>
          <w:bCs/>
          <w:szCs w:val="20"/>
        </w:rPr>
        <w:t xml:space="preserve">:  </w:t>
      </w:r>
    </w:p>
    <w:p w:rsidRPr="0046317C" w:rsidR="00BB7CF6" w:rsidP="00BB7CF6" w:rsidRDefault="00BB7CF6" w14:paraId="2680C7F7" w14:textId="77777777">
      <w:pPr>
        <w:numPr>
          <w:ilvl w:val="1"/>
          <w:numId w:val="13"/>
        </w:numPr>
        <w:spacing w:after="120" w:line="240" w:lineRule="auto"/>
        <w:ind w:left="1440" w:right="1440"/>
        <w:rPr>
          <w:rFonts w:cs="Times New Roman"/>
          <w:bCs/>
          <w:szCs w:val="20"/>
        </w:rPr>
      </w:pPr>
      <w:r w:rsidRPr="0046317C">
        <w:rPr>
          <w:rFonts w:cs="Times New Roman"/>
          <w:bCs/>
          <w:szCs w:val="20"/>
        </w:rPr>
        <w:t xml:space="preserve">For the SCE and PG&amp;E TAC areas, LSEs receive initial RA allocations, including </w:t>
      </w:r>
      <w:r w:rsidRPr="00545ED3">
        <w:rPr>
          <w:rFonts w:cs="Times New Roman"/>
          <w:bCs/>
          <w:szCs w:val="20"/>
        </w:rPr>
        <w:t xml:space="preserve">Cost Allocation Mechanism </w:t>
      </w:r>
      <w:r>
        <w:rPr>
          <w:rFonts w:cs="Times New Roman"/>
          <w:bCs/>
          <w:szCs w:val="20"/>
        </w:rPr>
        <w:t>(</w:t>
      </w:r>
      <w:r w:rsidRPr="0046317C">
        <w:rPr>
          <w:rFonts w:cs="Times New Roman"/>
          <w:bCs/>
          <w:szCs w:val="20"/>
        </w:rPr>
        <w:t>CAM</w:t>
      </w:r>
      <w:r>
        <w:rPr>
          <w:rFonts w:cs="Times New Roman"/>
          <w:bCs/>
          <w:szCs w:val="20"/>
        </w:rPr>
        <w:t>)</w:t>
      </w:r>
      <w:r w:rsidRPr="0046317C">
        <w:rPr>
          <w:rFonts w:cs="Times New Roman"/>
          <w:bCs/>
          <w:szCs w:val="20"/>
        </w:rPr>
        <w:t xml:space="preserve"> credits from CPE</w:t>
      </w:r>
      <w:r>
        <w:rPr>
          <w:rFonts w:cs="Times New Roman"/>
          <w:bCs/>
          <w:szCs w:val="20"/>
        </w:rPr>
        <w:t>-</w:t>
      </w:r>
      <w:r w:rsidRPr="0046317C">
        <w:rPr>
          <w:rFonts w:cs="Times New Roman"/>
          <w:bCs/>
          <w:szCs w:val="20"/>
        </w:rPr>
        <w:t xml:space="preserve">procured system and flexible capacity from the prior year and any bilateral contracts. </w:t>
      </w:r>
    </w:p>
    <w:p w:rsidRPr="0046317C" w:rsidR="00BB7CF6" w:rsidP="00BB7CF6" w:rsidRDefault="00BB7CF6" w14:paraId="35842161" w14:textId="77777777">
      <w:pPr>
        <w:numPr>
          <w:ilvl w:val="1"/>
          <w:numId w:val="13"/>
        </w:numPr>
        <w:spacing w:after="120" w:line="240" w:lineRule="auto"/>
        <w:ind w:left="1440" w:right="1440"/>
        <w:rPr>
          <w:rFonts w:cs="Times New Roman"/>
          <w:bCs/>
          <w:szCs w:val="20"/>
        </w:rPr>
      </w:pPr>
      <w:r w:rsidRPr="0046317C">
        <w:rPr>
          <w:rFonts w:cs="Times New Roman"/>
          <w:bCs/>
          <w:szCs w:val="20"/>
        </w:rPr>
        <w:t xml:space="preserve">For </w:t>
      </w:r>
      <w:r>
        <w:rPr>
          <w:rFonts w:cs="Times New Roman"/>
          <w:bCs/>
          <w:szCs w:val="20"/>
        </w:rPr>
        <w:t>the San Diego Gas and Electric Company (</w:t>
      </w:r>
      <w:r w:rsidRPr="0046317C">
        <w:rPr>
          <w:rFonts w:cs="Times New Roman"/>
          <w:bCs/>
          <w:szCs w:val="20"/>
        </w:rPr>
        <w:t>SDG&amp;E</w:t>
      </w:r>
      <w:r>
        <w:rPr>
          <w:rFonts w:cs="Times New Roman"/>
          <w:bCs/>
          <w:szCs w:val="20"/>
        </w:rPr>
        <w:t>)</w:t>
      </w:r>
      <w:r w:rsidRPr="0046317C">
        <w:rPr>
          <w:rFonts w:cs="Times New Roman"/>
          <w:bCs/>
          <w:szCs w:val="20"/>
        </w:rPr>
        <w:t xml:space="preserve"> TAC area, LSEs receive initial RA allocations (system, flexible, local requirements) and CAM credits.</w:t>
      </w:r>
    </w:p>
    <w:p w:rsidRPr="0046317C" w:rsidR="00BB7CF6" w:rsidP="00BB7CF6" w:rsidRDefault="00BB7CF6" w14:paraId="29014721" w14:textId="77777777">
      <w:pPr>
        <w:numPr>
          <w:ilvl w:val="0"/>
          <w:numId w:val="13"/>
        </w:numPr>
        <w:spacing w:after="120" w:line="240" w:lineRule="auto"/>
        <w:ind w:right="1440"/>
        <w:rPr>
          <w:rFonts w:cs="Times New Roman"/>
          <w:bCs/>
          <w:szCs w:val="20"/>
        </w:rPr>
      </w:pPr>
      <w:r w:rsidRPr="0046317C">
        <w:rPr>
          <w:rFonts w:cs="Times New Roman"/>
          <w:b/>
          <w:szCs w:val="20"/>
        </w:rPr>
        <w:t>Mid-August</w:t>
      </w:r>
      <w:r w:rsidRPr="0046317C">
        <w:rPr>
          <w:rFonts w:cs="Times New Roman"/>
          <w:bCs/>
          <w:szCs w:val="20"/>
        </w:rPr>
        <w:t>:  CPE makes local RA showing to the Commission.</w:t>
      </w:r>
    </w:p>
    <w:p w:rsidRPr="0046317C" w:rsidR="00BB7CF6" w:rsidP="00BB7CF6" w:rsidRDefault="00BB7CF6" w14:paraId="31127C01" w14:textId="77777777">
      <w:pPr>
        <w:numPr>
          <w:ilvl w:val="0"/>
          <w:numId w:val="13"/>
        </w:numPr>
        <w:spacing w:after="120" w:line="240" w:lineRule="auto"/>
        <w:ind w:right="1440"/>
        <w:rPr>
          <w:rFonts w:cs="Times New Roman"/>
          <w:bCs/>
          <w:szCs w:val="26"/>
        </w:rPr>
      </w:pPr>
      <w:r w:rsidRPr="0046317C">
        <w:rPr>
          <w:rFonts w:cs="Times New Roman"/>
          <w:b/>
          <w:szCs w:val="26"/>
        </w:rPr>
        <w:lastRenderedPageBreak/>
        <w:t>End of August</w:t>
      </w:r>
      <w:r w:rsidRPr="0046317C">
        <w:rPr>
          <w:rFonts w:cs="Times New Roman"/>
          <w:bCs/>
          <w:szCs w:val="26"/>
        </w:rPr>
        <w:t xml:space="preserve">:  </w:t>
      </w:r>
      <w:r w:rsidRPr="0046317C">
        <w:rPr>
          <w:rFonts w:cs="Times New Roman"/>
          <w:bCs/>
          <w:color w:val="000000"/>
          <w:szCs w:val="26"/>
        </w:rPr>
        <w:t xml:space="preserve">LSEs in the SCE and PG&amp;E TAC areas receive updated CAM credits for multi-year system/flexible capacity that was procured by the CPE as a result of the CPE’s multi-year local RA showing to the Commission in Mid-August. </w:t>
      </w:r>
    </w:p>
    <w:p w:rsidRPr="0046317C" w:rsidR="00BB7CF6" w:rsidP="00BB7CF6" w:rsidRDefault="00BB7CF6" w14:paraId="2D2C02FD" w14:textId="77777777">
      <w:pPr>
        <w:numPr>
          <w:ilvl w:val="0"/>
          <w:numId w:val="13"/>
        </w:numPr>
        <w:spacing w:after="120" w:line="240" w:lineRule="auto"/>
        <w:ind w:right="1440"/>
        <w:rPr>
          <w:rFonts w:cs="Times New Roman"/>
          <w:bCs/>
          <w:szCs w:val="20"/>
        </w:rPr>
      </w:pPr>
      <w:r w:rsidRPr="0046317C">
        <w:rPr>
          <w:rFonts w:cs="Times New Roman"/>
          <w:b/>
          <w:szCs w:val="20"/>
        </w:rPr>
        <w:t>September</w:t>
      </w:r>
      <w:r w:rsidRPr="0046317C">
        <w:rPr>
          <w:rFonts w:cs="Times New Roman"/>
          <w:bCs/>
          <w:szCs w:val="20"/>
        </w:rPr>
        <w:t xml:space="preserve">:  </w:t>
      </w:r>
    </w:p>
    <w:p w:rsidRPr="0046317C" w:rsidR="00BB7CF6" w:rsidP="00BB7CF6" w:rsidRDefault="00BB7CF6" w14:paraId="0C7B6879" w14:textId="77777777">
      <w:pPr>
        <w:numPr>
          <w:ilvl w:val="1"/>
          <w:numId w:val="13"/>
        </w:numPr>
        <w:spacing w:after="120" w:line="240" w:lineRule="auto"/>
        <w:ind w:left="1440" w:right="1440"/>
        <w:rPr>
          <w:rFonts w:cs="Times New Roman"/>
          <w:bCs/>
          <w:szCs w:val="20"/>
        </w:rPr>
      </w:pPr>
      <w:r w:rsidRPr="0046317C">
        <w:rPr>
          <w:rFonts w:cs="Times New Roman"/>
          <w:bCs/>
          <w:szCs w:val="20"/>
        </w:rPr>
        <w:t>For PG&amp;E and SCE’s TAC areas, LSEs are allocated final year-ahead system and flexible RA allocations, including CAM credits from CPE-procured system and flexible RA capacity based on revised year-ahead load forecast load ratios.</w:t>
      </w:r>
    </w:p>
    <w:p w:rsidRPr="0046317C" w:rsidR="00BB7CF6" w:rsidP="00BB7CF6" w:rsidRDefault="00BB7CF6" w14:paraId="7563A526" w14:textId="77777777">
      <w:pPr>
        <w:numPr>
          <w:ilvl w:val="1"/>
          <w:numId w:val="13"/>
        </w:numPr>
        <w:spacing w:after="120" w:line="240" w:lineRule="auto"/>
        <w:ind w:left="1440" w:right="1440"/>
        <w:rPr>
          <w:rFonts w:cs="Times New Roman"/>
          <w:bCs/>
          <w:szCs w:val="20"/>
        </w:rPr>
      </w:pPr>
      <w:r w:rsidRPr="0046317C">
        <w:rPr>
          <w:rFonts w:cs="Times New Roman"/>
          <w:bCs/>
          <w:szCs w:val="20"/>
        </w:rPr>
        <w:t xml:space="preserve">For the SDG&amp;E TAC area, LSEs receive final RA allocations (system, flexible, local requirements) and CAM credits. </w:t>
      </w:r>
    </w:p>
    <w:p w:rsidRPr="0046317C" w:rsidR="00BB7CF6" w:rsidP="00BB7CF6" w:rsidRDefault="00BB7CF6" w14:paraId="0AC38FAE" w14:textId="77777777">
      <w:pPr>
        <w:numPr>
          <w:ilvl w:val="0"/>
          <w:numId w:val="13"/>
        </w:numPr>
        <w:spacing w:after="120" w:line="240" w:lineRule="auto"/>
        <w:ind w:right="1440"/>
        <w:rPr>
          <w:rFonts w:cs="Times New Roman"/>
          <w:bCs/>
          <w:szCs w:val="20"/>
        </w:rPr>
      </w:pPr>
      <w:r w:rsidRPr="0046317C">
        <w:rPr>
          <w:rFonts w:cs="Times New Roman"/>
          <w:b/>
          <w:szCs w:val="20"/>
        </w:rPr>
        <w:t>End of October</w:t>
      </w:r>
      <w:r w:rsidRPr="0046317C">
        <w:rPr>
          <w:rFonts w:cs="Times New Roman"/>
          <w:bCs/>
          <w:szCs w:val="20"/>
        </w:rPr>
        <w:t xml:space="preserve">:  </w:t>
      </w:r>
    </w:p>
    <w:p w:rsidRPr="0046317C" w:rsidR="00BB7CF6" w:rsidP="00BB7CF6" w:rsidRDefault="00BB7CF6" w14:paraId="0B6BB6D8" w14:textId="77777777">
      <w:pPr>
        <w:numPr>
          <w:ilvl w:val="1"/>
          <w:numId w:val="13"/>
        </w:numPr>
        <w:spacing w:after="120" w:line="240" w:lineRule="auto"/>
        <w:ind w:left="1440" w:right="1440"/>
        <w:rPr>
          <w:rFonts w:cs="Times New Roman"/>
          <w:bCs/>
          <w:szCs w:val="20"/>
        </w:rPr>
      </w:pPr>
      <w:r w:rsidRPr="0046317C">
        <w:rPr>
          <w:rFonts w:cs="Times New Roman"/>
          <w:bCs/>
          <w:szCs w:val="20"/>
        </w:rPr>
        <w:t xml:space="preserve">LSEs in </w:t>
      </w:r>
      <w:r>
        <w:rPr>
          <w:rFonts w:cs="Times New Roman"/>
          <w:bCs/>
          <w:szCs w:val="20"/>
        </w:rPr>
        <w:t xml:space="preserve">the </w:t>
      </w:r>
      <w:r w:rsidRPr="0046317C">
        <w:rPr>
          <w:rFonts w:cs="Times New Roman"/>
          <w:bCs/>
          <w:szCs w:val="20"/>
        </w:rPr>
        <w:t xml:space="preserve">SDG&amp;E TAC make system, flexible, and </w:t>
      </w:r>
      <w:r>
        <w:rPr>
          <w:rFonts w:cs="Times New Roman"/>
          <w:bCs/>
          <w:szCs w:val="20"/>
        </w:rPr>
        <w:t>three</w:t>
      </w:r>
      <w:r w:rsidRPr="0046317C">
        <w:rPr>
          <w:rFonts w:cs="Times New Roman"/>
          <w:bCs/>
          <w:szCs w:val="20"/>
        </w:rPr>
        <w:t xml:space="preserve">-year local RA showing.  </w:t>
      </w:r>
    </w:p>
    <w:p w:rsidRPr="0046317C" w:rsidR="00BB7CF6" w:rsidP="00BB7CF6" w:rsidRDefault="00BB7CF6" w14:paraId="3E522B86" w14:textId="77777777">
      <w:pPr>
        <w:numPr>
          <w:ilvl w:val="1"/>
          <w:numId w:val="13"/>
        </w:numPr>
        <w:spacing w:after="120" w:line="240" w:lineRule="auto"/>
        <w:ind w:left="1440" w:right="1440"/>
        <w:rPr>
          <w:rFonts w:cs="Times New Roman"/>
          <w:bCs/>
          <w:szCs w:val="20"/>
        </w:rPr>
      </w:pPr>
      <w:r w:rsidRPr="0046317C">
        <w:rPr>
          <w:rFonts w:cs="Times New Roman"/>
          <w:bCs/>
          <w:szCs w:val="20"/>
        </w:rPr>
        <w:t>LSEs in PG&amp;E and SCE TACs make year-ahead system and flexible showings, and provide justification statements</w:t>
      </w:r>
      <w:r>
        <w:rPr>
          <w:rFonts w:cs="Times New Roman"/>
          <w:bCs/>
          <w:szCs w:val="20"/>
        </w:rPr>
        <w:t>, if applicable,</w:t>
      </w:r>
      <w:r w:rsidRPr="0046317C">
        <w:rPr>
          <w:rFonts w:cs="Times New Roman"/>
          <w:bCs/>
          <w:szCs w:val="20"/>
        </w:rPr>
        <w:t xml:space="preserve"> for local resources not self-shown or bid to the CPE.</w:t>
      </w:r>
    </w:p>
    <w:p w:rsidRPr="0046317C" w:rsidR="00BB7CF6" w:rsidP="00BB7CF6" w:rsidRDefault="00BB7CF6" w14:paraId="715C9037" w14:textId="77777777">
      <w:pPr>
        <w:numPr>
          <w:ilvl w:val="1"/>
          <w:numId w:val="13"/>
        </w:numPr>
        <w:spacing w:after="120" w:line="240" w:lineRule="auto"/>
        <w:ind w:left="1440" w:right="1440"/>
        <w:rPr>
          <w:rFonts w:cs="Times New Roman"/>
          <w:bCs/>
          <w:szCs w:val="20"/>
        </w:rPr>
      </w:pPr>
      <w:r>
        <w:rPr>
          <w:rFonts w:cs="Times New Roman"/>
          <w:bCs/>
          <w:szCs w:val="20"/>
        </w:rPr>
        <w:t xml:space="preserve">The </w:t>
      </w:r>
      <w:r w:rsidRPr="00E34DC1">
        <w:rPr>
          <w:rFonts w:cs="Times New Roman"/>
          <w:bCs/>
          <w:szCs w:val="20"/>
        </w:rPr>
        <w:t>CPE</w:t>
      </w:r>
      <w:r>
        <w:rPr>
          <w:rFonts w:cs="Times New Roman"/>
          <w:bCs/>
          <w:szCs w:val="20"/>
        </w:rPr>
        <w:t>s and LSEs that committed to self-show</w:t>
      </w:r>
      <w:r w:rsidRPr="00E34DC1">
        <w:rPr>
          <w:rFonts w:cs="Times New Roman"/>
          <w:bCs/>
          <w:szCs w:val="20"/>
        </w:rPr>
        <w:t xml:space="preserve"> make year-ahead showing to CAISO.</w:t>
      </w:r>
    </w:p>
    <w:p w:rsidRPr="006F0C0E" w:rsidR="006F0C0E" w:rsidP="00BB7CF6" w:rsidRDefault="006F0C0E" w14:paraId="347AC303" w14:textId="5CC74CD4">
      <w:pPr>
        <w:pStyle w:val="OP"/>
        <w:ind w:left="0"/>
      </w:pPr>
      <w:r>
        <w:t>F</w:t>
      </w:r>
      <w:r w:rsidRPr="008966DB">
        <w:t xml:space="preserve">or 2023 </w:t>
      </w:r>
      <w:r>
        <w:t>year-ahead Resource Adequacy</w:t>
      </w:r>
      <w:r w:rsidRPr="008966DB">
        <w:t xml:space="preserve"> compliance only, Energy Division will not send deficiency notices to </w:t>
      </w:r>
      <w:r>
        <w:t>load-serving entities</w:t>
      </w:r>
      <w:r w:rsidRPr="008966DB">
        <w:t xml:space="preserve"> </w:t>
      </w:r>
      <w:r>
        <w:t xml:space="preserve">serving load </w:t>
      </w:r>
      <w:r w:rsidRPr="008966DB">
        <w:t>in the P</w:t>
      </w:r>
      <w:r>
        <w:t>acific Gas and Electric Company</w:t>
      </w:r>
      <w:r w:rsidRPr="008966DB">
        <w:t xml:space="preserve"> </w:t>
      </w:r>
      <w:r>
        <w:t>transmission access charge</w:t>
      </w:r>
      <w:r w:rsidRPr="008966DB">
        <w:t xml:space="preserve"> area earlier than January 1 following the year-ahead showing deadline.</w:t>
      </w:r>
      <w:r>
        <w:t xml:space="preserve">  </w:t>
      </w:r>
    </w:p>
    <w:p w:rsidRPr="000C5657" w:rsidR="00BB7CF6" w:rsidP="00BB7CF6" w:rsidRDefault="00BB7CF6" w14:paraId="07157456" w14:textId="5E245FC4">
      <w:pPr>
        <w:pStyle w:val="OP"/>
        <w:ind w:left="0"/>
      </w:pPr>
      <w:r w:rsidRPr="0046317C">
        <w:rPr>
          <w:rFonts w:cs="Times New Roman"/>
          <w:szCs w:val="20"/>
        </w:rPr>
        <w:t>Ordering Paragraph 3 of D</w:t>
      </w:r>
      <w:r>
        <w:rPr>
          <w:rFonts w:cs="Times New Roman"/>
          <w:szCs w:val="20"/>
        </w:rPr>
        <w:t xml:space="preserve">ecision </w:t>
      </w:r>
      <w:r w:rsidRPr="0046317C">
        <w:rPr>
          <w:rFonts w:cs="Times New Roman"/>
          <w:szCs w:val="20"/>
        </w:rPr>
        <w:t>20-12-006 is modified as follows:</w:t>
      </w:r>
    </w:p>
    <w:p w:rsidRPr="0046317C" w:rsidR="00BB7CF6" w:rsidP="00BB7CF6" w:rsidRDefault="00BB7CF6" w14:paraId="5D1CBF83" w14:textId="77777777">
      <w:pPr>
        <w:spacing w:after="120" w:line="240" w:lineRule="auto"/>
        <w:ind w:left="1080" w:right="1440" w:firstLine="0"/>
        <w:rPr>
          <w:rFonts w:eastAsia="Times New Roman" w:cs="Times New Roman"/>
          <w:szCs w:val="20"/>
        </w:rPr>
      </w:pPr>
      <w:r w:rsidRPr="0046317C">
        <w:rPr>
          <w:rFonts w:eastAsia="Times New Roman" w:cs="Times New Roman"/>
          <w:szCs w:val="20"/>
        </w:rPr>
        <w:t xml:space="preserve">If selected, the </w:t>
      </w:r>
      <w:r>
        <w:rPr>
          <w:rFonts w:eastAsia="Times New Roman" w:cs="Times New Roman"/>
          <w:szCs w:val="20"/>
        </w:rPr>
        <w:t xml:space="preserve">load-serving entity </w:t>
      </w:r>
      <w:r w:rsidRPr="0046317C">
        <w:rPr>
          <w:rFonts w:eastAsia="Times New Roman" w:cs="Times New Roman"/>
          <w:szCs w:val="20"/>
        </w:rPr>
        <w:t>shall be paid the showing price (pre</w:t>
      </w:r>
      <w:r>
        <w:rPr>
          <w:rFonts w:eastAsia="Times New Roman" w:cs="Times New Roman"/>
          <w:szCs w:val="20"/>
        </w:rPr>
        <w:noBreakHyphen/>
      </w:r>
      <w:r w:rsidRPr="0046317C">
        <w:rPr>
          <w:rFonts w:eastAsia="Times New Roman" w:cs="Times New Roman"/>
          <w:szCs w:val="20"/>
        </w:rPr>
        <w:t>determined or below) without annual adjustment for effectiveness.  The showing price shall no</w:t>
      </w:r>
      <w:r>
        <w:rPr>
          <w:rFonts w:eastAsia="Times New Roman" w:cs="Times New Roman"/>
          <w:szCs w:val="20"/>
        </w:rPr>
        <w:t>t</w:t>
      </w:r>
      <w:r w:rsidRPr="0046317C">
        <w:rPr>
          <w:rFonts w:eastAsia="Times New Roman" w:cs="Times New Roman"/>
          <w:szCs w:val="20"/>
        </w:rPr>
        <w:t xml:space="preserve"> exceed the pre</w:t>
      </w:r>
      <w:r>
        <w:rPr>
          <w:rFonts w:eastAsia="Times New Roman" w:cs="Times New Roman"/>
          <w:szCs w:val="20"/>
        </w:rPr>
        <w:noBreakHyphen/>
      </w:r>
      <w:r w:rsidRPr="0046317C">
        <w:rPr>
          <w:rFonts w:eastAsia="Times New Roman" w:cs="Times New Roman"/>
          <w:szCs w:val="20"/>
        </w:rPr>
        <w:t>determined local price, which is calculated as follows:</w:t>
      </w:r>
    </w:p>
    <w:p w:rsidRPr="0046317C" w:rsidR="00BB7CF6" w:rsidP="00BB7CF6" w:rsidRDefault="00BB7CF6" w14:paraId="32EBEE3D" w14:textId="77777777">
      <w:pPr>
        <w:numPr>
          <w:ilvl w:val="0"/>
          <w:numId w:val="29"/>
        </w:numPr>
        <w:spacing w:after="120" w:line="240" w:lineRule="auto"/>
        <w:ind w:left="1440" w:right="1440"/>
        <w:rPr>
          <w:rFonts w:cs="Times New Roman"/>
          <w:szCs w:val="20"/>
        </w:rPr>
      </w:pPr>
      <w:r w:rsidRPr="0046317C">
        <w:rPr>
          <w:rFonts w:cs="Times New Roman"/>
          <w:szCs w:val="20"/>
        </w:rPr>
        <w:lastRenderedPageBreak/>
        <w:t xml:space="preserve">Use the weighted average price from the last four quarters of the Energy Division </w:t>
      </w:r>
      <w:r>
        <w:rPr>
          <w:rFonts w:cs="Times New Roman"/>
          <w:szCs w:val="20"/>
        </w:rPr>
        <w:t>Power Charge Indifference Adjustment</w:t>
      </w:r>
      <w:r w:rsidRPr="0046317C">
        <w:rPr>
          <w:rFonts w:cs="Times New Roman"/>
          <w:szCs w:val="20"/>
        </w:rPr>
        <w:t xml:space="preserve"> responses for system and local </w:t>
      </w:r>
      <w:r>
        <w:rPr>
          <w:rFonts w:cs="Times New Roman"/>
          <w:szCs w:val="20"/>
        </w:rPr>
        <w:t>Resource Adequacy (</w:t>
      </w:r>
      <w:r w:rsidRPr="0046317C">
        <w:rPr>
          <w:rFonts w:cs="Times New Roman"/>
          <w:szCs w:val="20"/>
        </w:rPr>
        <w:t>RA</w:t>
      </w:r>
      <w:r>
        <w:rPr>
          <w:rFonts w:cs="Times New Roman"/>
          <w:szCs w:val="20"/>
        </w:rPr>
        <w:t>)</w:t>
      </w:r>
      <w:r w:rsidRPr="0046317C">
        <w:rPr>
          <w:rFonts w:cs="Times New Roman"/>
          <w:szCs w:val="20"/>
        </w:rPr>
        <w:t xml:space="preserve">; subtract system RA price from local RA price.  </w:t>
      </w:r>
    </w:p>
    <w:p w:rsidRPr="00F1658B" w:rsidR="00BB7CF6" w:rsidP="00BB7CF6" w:rsidRDefault="00BB7CF6" w14:paraId="201F7859" w14:textId="77777777">
      <w:pPr>
        <w:pStyle w:val="OP"/>
        <w:ind w:left="0"/>
      </w:pPr>
      <w:r w:rsidRPr="0046317C">
        <w:rPr>
          <w:rFonts w:cs="Times New Roman"/>
          <w:szCs w:val="20"/>
        </w:rPr>
        <w:t>The levelized fixed cost requirement adopted in Ordering Paragraph 11 of D</w:t>
      </w:r>
      <w:r>
        <w:rPr>
          <w:rFonts w:cs="Times New Roman"/>
          <w:szCs w:val="20"/>
        </w:rPr>
        <w:t xml:space="preserve">ecision </w:t>
      </w:r>
      <w:r w:rsidRPr="0046317C">
        <w:rPr>
          <w:rFonts w:cs="Times New Roman"/>
          <w:szCs w:val="20"/>
        </w:rPr>
        <w:t>20-06-002 is eliminated</w:t>
      </w:r>
      <w:r>
        <w:rPr>
          <w:rFonts w:cs="Times New Roman"/>
          <w:szCs w:val="20"/>
        </w:rPr>
        <w:t>. I</w:t>
      </w:r>
      <w:r w:rsidRPr="00B258D7">
        <w:rPr>
          <w:rFonts w:cs="Times New Roman"/>
          <w:szCs w:val="20"/>
        </w:rPr>
        <w:t>nvestor-owned utilit</w:t>
      </w:r>
      <w:r>
        <w:rPr>
          <w:rFonts w:cs="Times New Roman"/>
          <w:szCs w:val="20"/>
        </w:rPr>
        <w:t xml:space="preserve">ies </w:t>
      </w:r>
      <w:r w:rsidRPr="0046317C">
        <w:rPr>
          <w:rFonts w:cs="Times New Roman"/>
          <w:szCs w:val="20"/>
        </w:rPr>
        <w:t xml:space="preserve">are permitted to bid their resources into the </w:t>
      </w:r>
      <w:r w:rsidRPr="00B90A8E">
        <w:rPr>
          <w:rFonts w:cs="Times New Roman"/>
          <w:szCs w:val="20"/>
        </w:rPr>
        <w:t>central procurement entity</w:t>
      </w:r>
      <w:r w:rsidRPr="0046317C">
        <w:rPr>
          <w:rFonts w:cs="Times New Roman"/>
          <w:szCs w:val="20"/>
        </w:rPr>
        <w:t xml:space="preserve">’s solicitation at competitive market prices.  </w:t>
      </w:r>
    </w:p>
    <w:p w:rsidRPr="000C5657" w:rsidR="00BB7CF6" w:rsidP="00BB7CF6" w:rsidRDefault="00BB7CF6" w14:paraId="7258AE2B" w14:textId="77777777">
      <w:pPr>
        <w:pStyle w:val="OP"/>
        <w:ind w:left="0"/>
      </w:pPr>
      <w:r>
        <w:rPr>
          <w:rFonts w:cs="Times New Roman"/>
          <w:szCs w:val="20"/>
        </w:rPr>
        <w:t>Each</w:t>
      </w:r>
      <w:r w:rsidRPr="0046317C">
        <w:rPr>
          <w:rFonts w:cs="Times New Roman"/>
          <w:szCs w:val="20"/>
        </w:rPr>
        <w:t xml:space="preserve"> </w:t>
      </w:r>
      <w:r w:rsidRPr="00B90A8E">
        <w:rPr>
          <w:rFonts w:cs="Times New Roman"/>
          <w:szCs w:val="20"/>
        </w:rPr>
        <w:t>central procurement entity</w:t>
      </w:r>
      <w:r>
        <w:rPr>
          <w:rFonts w:cs="Times New Roman"/>
          <w:szCs w:val="20"/>
        </w:rPr>
        <w:t>‘s (</w:t>
      </w:r>
      <w:r w:rsidRPr="0046317C">
        <w:rPr>
          <w:rFonts w:cs="Times New Roman"/>
          <w:szCs w:val="20"/>
        </w:rPr>
        <w:t>CPE</w:t>
      </w:r>
      <w:r>
        <w:rPr>
          <w:rFonts w:cs="Times New Roman"/>
          <w:szCs w:val="20"/>
        </w:rPr>
        <w:t>)</w:t>
      </w:r>
      <w:r w:rsidRPr="0046317C">
        <w:rPr>
          <w:rFonts w:cs="Times New Roman"/>
          <w:szCs w:val="20"/>
        </w:rPr>
        <w:t xml:space="preserve"> Annual Compliance Report shall include the following information:</w:t>
      </w:r>
    </w:p>
    <w:p w:rsidR="00BB7CF6" w:rsidP="00BB7CF6" w:rsidRDefault="00BB7CF6" w14:paraId="4F1E9E88" w14:textId="77777777">
      <w:pPr>
        <w:pStyle w:val="ListAlpha"/>
        <w:ind w:right="1440"/>
      </w:pPr>
      <w:r w:rsidRPr="001A2924">
        <w:t xml:space="preserve">Total local </w:t>
      </w:r>
      <w:r w:rsidRPr="0088455C">
        <w:t xml:space="preserve">Resource Adequacy </w:t>
      </w:r>
      <w:r>
        <w:t xml:space="preserve">(RA) </w:t>
      </w:r>
      <w:r w:rsidRPr="001A2924">
        <w:t>allocation for the CPE from the Commission</w:t>
      </w:r>
      <w:r>
        <w:t>;</w:t>
      </w:r>
    </w:p>
    <w:p w:rsidR="00BB7CF6" w:rsidP="00BB7CF6" w:rsidRDefault="00BB7CF6" w14:paraId="64B4AB6F" w14:textId="77777777">
      <w:pPr>
        <w:pStyle w:val="ListAlpha"/>
        <w:ind w:right="1440"/>
      </w:pPr>
      <w:r>
        <w:t>Total local demand response (DR) resources allocated for the CPE by the Commission;</w:t>
      </w:r>
    </w:p>
    <w:p w:rsidR="00BB7CF6" w:rsidP="00BB7CF6" w:rsidRDefault="00BB7CF6" w14:paraId="0221ADF9" w14:textId="77777777">
      <w:pPr>
        <w:pStyle w:val="ListAlpha"/>
        <w:ind w:right="1440"/>
      </w:pPr>
      <w:r>
        <w:t xml:space="preserve">Total local </w:t>
      </w:r>
      <w:r w:rsidRPr="00B258D7">
        <w:t>Cost Allocation Mechanism</w:t>
      </w:r>
      <w:r>
        <w:t xml:space="preserve"> resources (non-DR) </w:t>
      </w:r>
      <w:r>
        <w:rPr>
          <w:rFonts w:eastAsia="Century Gothic" w:cs="Century Gothic"/>
          <w:szCs w:val="26"/>
        </w:rPr>
        <w:t>applied towards CPE requirements</w:t>
      </w:r>
      <w:r>
        <w:t>;</w:t>
      </w:r>
    </w:p>
    <w:p w:rsidR="00BB7CF6" w:rsidP="00BB7CF6" w:rsidRDefault="00BB7CF6" w14:paraId="611BEB78" w14:textId="77777777">
      <w:pPr>
        <w:pStyle w:val="ListAlpha"/>
        <w:ind w:right="1440"/>
      </w:pPr>
      <w:r>
        <w:t>Total local resources procured by the CPE;</w:t>
      </w:r>
    </w:p>
    <w:p w:rsidR="00BB7CF6" w:rsidP="00BB7CF6" w:rsidRDefault="00BB7CF6" w14:paraId="0725356A" w14:textId="77777777">
      <w:pPr>
        <w:pStyle w:val="ListAlpha"/>
        <w:ind w:right="1440"/>
      </w:pPr>
      <w:r>
        <w:t xml:space="preserve">Total </w:t>
      </w:r>
      <w:r w:rsidRPr="00545ED3">
        <w:t xml:space="preserve">load-serving entity </w:t>
      </w:r>
      <w:r>
        <w:t xml:space="preserve">self-shown local resources; </w:t>
      </w:r>
    </w:p>
    <w:p w:rsidR="00BB7CF6" w:rsidP="00BB7CF6" w:rsidRDefault="00BB7CF6" w14:paraId="397ECD52" w14:textId="77777777">
      <w:pPr>
        <w:pStyle w:val="ListAlpha"/>
        <w:ind w:right="1440"/>
      </w:pPr>
      <w:r>
        <w:t>Net total position associated with the CPE;</w:t>
      </w:r>
    </w:p>
    <w:p w:rsidR="00BB7CF6" w:rsidP="00BB7CF6" w:rsidRDefault="00BB7CF6" w14:paraId="509783E7" w14:textId="77777777">
      <w:pPr>
        <w:pStyle w:val="ListAlpha"/>
        <w:ind w:right="1440"/>
      </w:pPr>
      <w:r>
        <w:t xml:space="preserve">Total capacity of preferred resources that were bid or shown to the CPE; </w:t>
      </w:r>
    </w:p>
    <w:p w:rsidR="00BB7CF6" w:rsidP="00BB7CF6" w:rsidRDefault="00BB7CF6" w14:paraId="5FAC08D6" w14:textId="77777777">
      <w:pPr>
        <w:pStyle w:val="ListAlpha"/>
        <w:ind w:right="1440"/>
      </w:pPr>
      <w:r>
        <w:t>Total capacity of preferred resources selected and not selected by the CPE; and</w:t>
      </w:r>
    </w:p>
    <w:p w:rsidR="00BB7CF6" w:rsidP="00BB7CF6" w:rsidRDefault="00BB7CF6" w14:paraId="65DBE45D" w14:textId="77777777">
      <w:pPr>
        <w:pStyle w:val="ListAlpha"/>
        <w:ind w:right="1440"/>
      </w:pPr>
      <w:r>
        <w:t>Total capacity of MW procured by the CPE from generation facilities located in Disadvantaged Communities.</w:t>
      </w:r>
    </w:p>
    <w:p w:rsidRPr="00F1658B" w:rsidR="00BB7CF6" w:rsidP="00BB7CF6" w:rsidRDefault="00BB7CF6" w14:paraId="3FD4AFD5" w14:textId="77777777">
      <w:pPr>
        <w:pStyle w:val="OP"/>
        <w:numPr>
          <w:ilvl w:val="0"/>
          <w:numId w:val="0"/>
        </w:numPr>
        <w:ind w:firstLine="547"/>
      </w:pPr>
      <w:r w:rsidRPr="0046317C">
        <w:rPr>
          <w:rFonts w:cs="Times New Roman"/>
          <w:szCs w:val="20"/>
        </w:rPr>
        <w:t xml:space="preserve">The new data requirements for the Annual Compliance Report shall be effective for the 2023 Annual Compliance Report.  </w:t>
      </w:r>
    </w:p>
    <w:p w:rsidRPr="004A3366" w:rsidR="00BB7CF6" w:rsidP="00BB7CF6" w:rsidRDefault="00BB7CF6" w14:paraId="5D6A555F" w14:textId="77777777">
      <w:pPr>
        <w:pStyle w:val="OP"/>
        <w:ind w:left="0"/>
      </w:pPr>
      <w:r w:rsidRPr="0046317C">
        <w:rPr>
          <w:rFonts w:cs="Times New Roman"/>
          <w:szCs w:val="20"/>
        </w:rPr>
        <w:lastRenderedPageBreak/>
        <w:t xml:space="preserve">The confidentiality matrix attached as </w:t>
      </w:r>
      <w:r>
        <w:rPr>
          <w:rFonts w:cs="Times New Roman"/>
          <w:szCs w:val="20"/>
        </w:rPr>
        <w:t>Appendix</w:t>
      </w:r>
      <w:r w:rsidRPr="0046317C">
        <w:rPr>
          <w:rFonts w:cs="Times New Roman"/>
          <w:szCs w:val="20"/>
        </w:rPr>
        <w:t xml:space="preserve"> A is adopted to apply to the </w:t>
      </w:r>
      <w:r w:rsidRPr="00AA2EEF">
        <w:rPr>
          <w:rFonts w:cs="Times New Roman"/>
          <w:szCs w:val="20"/>
        </w:rPr>
        <w:t>central procurement entity</w:t>
      </w:r>
      <w:r w:rsidRPr="0046317C">
        <w:rPr>
          <w:rFonts w:cs="Times New Roman"/>
          <w:szCs w:val="20"/>
        </w:rPr>
        <w:t xml:space="preserve"> </w:t>
      </w:r>
      <w:r>
        <w:rPr>
          <w:rFonts w:cs="Times New Roman"/>
          <w:szCs w:val="20"/>
        </w:rPr>
        <w:t>(CPE) framework</w:t>
      </w:r>
      <w:r w:rsidRPr="0046317C">
        <w:rPr>
          <w:rFonts w:cs="Times New Roman"/>
          <w:szCs w:val="20"/>
        </w:rPr>
        <w:t>.</w:t>
      </w:r>
      <w:r>
        <w:rPr>
          <w:rFonts w:cs="Times New Roman"/>
          <w:szCs w:val="20"/>
        </w:rPr>
        <w:t xml:space="preserve">  The CPEs shall track whether information previously designated as confidential becomes public and provide such tracking to Energy Division Staff upon request.</w:t>
      </w:r>
    </w:p>
    <w:p w:rsidR="00BB7CF6" w:rsidP="00BB7CF6" w:rsidRDefault="00BB7CF6" w14:paraId="5359F2EE" w14:textId="647D4DDF">
      <w:pPr>
        <w:pStyle w:val="OP"/>
        <w:ind w:left="0"/>
      </w:pPr>
      <w:r>
        <w:t>Central procurement entity (CPE)</w:t>
      </w:r>
      <w:r w:rsidRPr="0046317C">
        <w:t xml:space="preserve"> procurement costs shall be forecasted and implemented in rates through the annual </w:t>
      </w:r>
      <w:r>
        <w:t>Energy Resource Recovery Account (</w:t>
      </w:r>
      <w:r w:rsidRPr="0046317C">
        <w:t>ERRA</w:t>
      </w:r>
      <w:r>
        <w:t>)</w:t>
      </w:r>
      <w:r w:rsidRPr="0046317C">
        <w:t xml:space="preserve"> </w:t>
      </w:r>
      <w:r>
        <w:t>f</w:t>
      </w:r>
      <w:r w:rsidRPr="0046317C">
        <w:t>orecast proceeding.  The CPE procurement costs shall be handled in a separate confidential chapter in ERRA forecast testimony, whereby the confidential contents shall only be viewable to the CPE’s personnel and support personnel, including staff such as contract management, law and regulatory compliance</w:t>
      </w:r>
      <w:r>
        <w:t xml:space="preserve"> staff</w:t>
      </w:r>
      <w:r w:rsidRPr="0046317C">
        <w:t xml:space="preserve">.  </w:t>
      </w:r>
      <w:r>
        <w:t>On</w:t>
      </w:r>
      <w:r w:rsidRPr="0046317C">
        <w:t xml:space="preserve">ly CPE transactions that include </w:t>
      </w:r>
      <w:r w:rsidR="00B47C9B">
        <w:t>L</w:t>
      </w:r>
      <w:r w:rsidR="00FC7F27">
        <w:t xml:space="preserve">ocal </w:t>
      </w:r>
      <w:r w:rsidR="00B47C9B">
        <w:t>C</w:t>
      </w:r>
      <w:r w:rsidR="00FC7F27">
        <w:t xml:space="preserve">apacity </w:t>
      </w:r>
      <w:r w:rsidR="00B47C9B">
        <w:t>R</w:t>
      </w:r>
      <w:r w:rsidR="00FC7F27">
        <w:t xml:space="preserve">equirement </w:t>
      </w:r>
      <w:r w:rsidR="00B47C9B">
        <w:t>R</w:t>
      </w:r>
      <w:r w:rsidR="00FC7F27">
        <w:t xml:space="preserve">eduction </w:t>
      </w:r>
      <w:r w:rsidR="00B47C9B">
        <w:t>C</w:t>
      </w:r>
      <w:r w:rsidR="00FC7F27">
        <w:t xml:space="preserve">ompensation </w:t>
      </w:r>
      <w:r w:rsidR="00B47C9B">
        <w:t>M</w:t>
      </w:r>
      <w:r w:rsidR="00FC7F27">
        <w:t xml:space="preserve">echanism </w:t>
      </w:r>
      <w:r w:rsidRPr="0046317C">
        <w:t>compensation or sale of system R</w:t>
      </w:r>
      <w:r>
        <w:t xml:space="preserve">esource </w:t>
      </w:r>
      <w:r w:rsidRPr="0046317C">
        <w:t>A</w:t>
      </w:r>
      <w:r>
        <w:t>dequacy</w:t>
      </w:r>
      <w:r w:rsidRPr="0046317C">
        <w:t xml:space="preserve"> attributes to the CPE shall be required for inclusion in supporting workpapers or other testimony.</w:t>
      </w:r>
    </w:p>
    <w:p w:rsidRPr="00B86087" w:rsidR="00BB7CF6" w:rsidP="00BB7CF6" w:rsidRDefault="00BB7CF6" w14:paraId="3CC970FF" w14:textId="77777777">
      <w:pPr>
        <w:pStyle w:val="OP"/>
        <w:ind w:left="0"/>
      </w:pPr>
      <w:r>
        <w:rPr>
          <w:rFonts w:cs="Times New Roman"/>
          <w:szCs w:val="20"/>
        </w:rPr>
        <w:t>The</w:t>
      </w:r>
      <w:r w:rsidRPr="00B86087">
        <w:rPr>
          <w:rFonts w:cs="Times New Roman"/>
          <w:szCs w:val="20"/>
        </w:rPr>
        <w:t xml:space="preserve"> following requirements are adopted: </w:t>
      </w:r>
    </w:p>
    <w:p w:rsidR="00BB7CF6" w:rsidP="00BB7CF6" w:rsidRDefault="00BB7CF6" w14:paraId="1700CCFE" w14:textId="77777777">
      <w:pPr>
        <w:pStyle w:val="ListAlpha"/>
        <w:numPr>
          <w:ilvl w:val="7"/>
          <w:numId w:val="35"/>
        </w:numPr>
        <w:ind w:right="1440"/>
        <w:rPr>
          <w:rFonts w:cs="Times New Roman"/>
          <w:szCs w:val="20"/>
        </w:rPr>
      </w:pPr>
      <w:r>
        <w:rPr>
          <w:rFonts w:cs="Times New Roman"/>
          <w:szCs w:val="20"/>
        </w:rPr>
        <w:t>An i</w:t>
      </w:r>
      <w:r w:rsidRPr="00067944">
        <w:rPr>
          <w:rFonts w:cs="Times New Roman"/>
          <w:szCs w:val="20"/>
        </w:rPr>
        <w:t xml:space="preserve">nvestor-owned utility (IOU) load-serving entity (LSE) </w:t>
      </w:r>
      <w:r w:rsidRPr="00067944">
        <w:t>transaction</w:t>
      </w:r>
      <w:r w:rsidRPr="00067944">
        <w:rPr>
          <w:rFonts w:cs="Times New Roman"/>
          <w:szCs w:val="20"/>
        </w:rPr>
        <w:t xml:space="preserve"> with the central procurement entity (CPE) shall be presented as </w:t>
      </w:r>
      <w:r>
        <w:rPr>
          <w:rFonts w:cs="Times New Roman"/>
          <w:szCs w:val="20"/>
        </w:rPr>
        <w:t>it</w:t>
      </w:r>
      <w:r w:rsidRPr="00067944">
        <w:rPr>
          <w:rFonts w:cs="Times New Roman"/>
          <w:szCs w:val="20"/>
        </w:rPr>
        <w:t xml:space="preserve"> would if the transaction was with an LSE.</w:t>
      </w:r>
    </w:p>
    <w:p w:rsidR="00BB7CF6" w:rsidP="00BB7CF6" w:rsidRDefault="00BB7CF6" w14:paraId="14C4E466" w14:textId="77777777">
      <w:pPr>
        <w:pStyle w:val="ListAlpha"/>
        <w:numPr>
          <w:ilvl w:val="7"/>
          <w:numId w:val="35"/>
        </w:numPr>
        <w:ind w:right="1440"/>
        <w:rPr>
          <w:rFonts w:cs="Times New Roman"/>
          <w:szCs w:val="20"/>
        </w:rPr>
      </w:pPr>
      <w:r w:rsidRPr="00067944">
        <w:rPr>
          <w:rFonts w:cs="Times New Roman"/>
          <w:szCs w:val="20"/>
        </w:rPr>
        <w:t xml:space="preserve">Existing </w:t>
      </w:r>
      <w:r>
        <w:rPr>
          <w:rFonts w:cs="Times New Roman"/>
          <w:szCs w:val="20"/>
        </w:rPr>
        <w:t>principles</w:t>
      </w:r>
      <w:r w:rsidRPr="00067944">
        <w:rPr>
          <w:rFonts w:cs="Times New Roman"/>
          <w:szCs w:val="20"/>
        </w:rPr>
        <w:t xml:space="preserve"> on how attributes are sold between entities and presented for cost recovery </w:t>
      </w:r>
      <w:r>
        <w:rPr>
          <w:rFonts w:cs="Times New Roman"/>
          <w:szCs w:val="20"/>
        </w:rPr>
        <w:t>shall</w:t>
      </w:r>
      <w:r w:rsidRPr="00067944">
        <w:rPr>
          <w:rFonts w:cs="Times New Roman"/>
          <w:szCs w:val="20"/>
        </w:rPr>
        <w:t xml:space="preserve"> be maintained.</w:t>
      </w:r>
    </w:p>
    <w:p w:rsidR="00BB7CF6" w:rsidP="00BB7CF6" w:rsidRDefault="00BB7CF6" w14:paraId="607AD267" w14:textId="77777777">
      <w:pPr>
        <w:pStyle w:val="ListAlpha"/>
        <w:numPr>
          <w:ilvl w:val="7"/>
          <w:numId w:val="35"/>
        </w:numPr>
        <w:ind w:right="1440"/>
        <w:rPr>
          <w:rFonts w:cs="Times New Roman"/>
          <w:szCs w:val="20"/>
        </w:rPr>
      </w:pPr>
      <w:r w:rsidRPr="00067944">
        <w:rPr>
          <w:rFonts w:cs="Times New Roman"/>
          <w:szCs w:val="20"/>
        </w:rPr>
        <w:t xml:space="preserve">Only attributes identified in a CPE agreement as sold to the CPE </w:t>
      </w:r>
      <w:r>
        <w:rPr>
          <w:rFonts w:cs="Times New Roman"/>
          <w:szCs w:val="20"/>
        </w:rPr>
        <w:t>shall</w:t>
      </w:r>
      <w:r w:rsidRPr="00067944">
        <w:rPr>
          <w:rFonts w:cs="Times New Roman"/>
          <w:szCs w:val="20"/>
        </w:rPr>
        <w:t xml:space="preserve"> be recovered as volumes and costs with </w:t>
      </w:r>
      <w:r>
        <w:rPr>
          <w:rFonts w:cs="Times New Roman"/>
          <w:szCs w:val="20"/>
        </w:rPr>
        <w:t>cost allocation mechanism (</w:t>
      </w:r>
      <w:r w:rsidRPr="00067944">
        <w:rPr>
          <w:rFonts w:cs="Times New Roman"/>
          <w:szCs w:val="20"/>
        </w:rPr>
        <w:t>CAM</w:t>
      </w:r>
      <w:r>
        <w:rPr>
          <w:rFonts w:cs="Times New Roman"/>
          <w:szCs w:val="20"/>
        </w:rPr>
        <w:t>)</w:t>
      </w:r>
      <w:r w:rsidRPr="00067944">
        <w:rPr>
          <w:rFonts w:cs="Times New Roman"/>
          <w:szCs w:val="20"/>
        </w:rPr>
        <w:t>.</w:t>
      </w:r>
    </w:p>
    <w:p w:rsidR="00BB7CF6" w:rsidP="00BB7CF6" w:rsidRDefault="00BB7CF6" w14:paraId="62E69FD8" w14:textId="672A7E8C">
      <w:pPr>
        <w:pStyle w:val="ListAlpha"/>
        <w:numPr>
          <w:ilvl w:val="7"/>
          <w:numId w:val="35"/>
        </w:numPr>
        <w:ind w:right="1440"/>
        <w:rPr>
          <w:rFonts w:cs="Times New Roman"/>
          <w:szCs w:val="20"/>
        </w:rPr>
      </w:pPr>
      <w:r w:rsidRPr="00067944">
        <w:rPr>
          <w:rFonts w:cs="Times New Roman"/>
          <w:szCs w:val="20"/>
        </w:rPr>
        <w:t xml:space="preserve">Self-shown IOU resources with no transaction </w:t>
      </w:r>
      <w:r>
        <w:rPr>
          <w:rFonts w:cs="Times New Roman"/>
          <w:szCs w:val="20"/>
        </w:rPr>
        <w:t>shall</w:t>
      </w:r>
      <w:r w:rsidRPr="00067944">
        <w:rPr>
          <w:rFonts w:cs="Times New Roman"/>
          <w:szCs w:val="20"/>
        </w:rPr>
        <w:t xml:space="preserve"> not be recorded as a</w:t>
      </w:r>
      <w:r>
        <w:rPr>
          <w:rFonts w:cs="Times New Roman"/>
          <w:szCs w:val="20"/>
        </w:rPr>
        <w:t xml:space="preserve"> Resource Adequacy (</w:t>
      </w:r>
      <w:r w:rsidRPr="00067944">
        <w:rPr>
          <w:rFonts w:cs="Times New Roman"/>
          <w:szCs w:val="20"/>
        </w:rPr>
        <w:t>RA</w:t>
      </w:r>
      <w:r>
        <w:rPr>
          <w:rFonts w:cs="Times New Roman"/>
          <w:szCs w:val="20"/>
        </w:rPr>
        <w:t>)</w:t>
      </w:r>
      <w:r w:rsidRPr="00067944">
        <w:rPr>
          <w:rFonts w:cs="Times New Roman"/>
          <w:szCs w:val="20"/>
        </w:rPr>
        <w:t xml:space="preserve"> purchase by the CPE within CAM or the underlying cost recovery mechanism.  Self-shown IOU resources that receive a </w:t>
      </w:r>
      <w:r w:rsidR="00B47C9B">
        <w:rPr>
          <w:rFonts w:cs="Times New Roman"/>
          <w:szCs w:val="20"/>
        </w:rPr>
        <w:t>L</w:t>
      </w:r>
      <w:r>
        <w:rPr>
          <w:rFonts w:cs="Times New Roman"/>
          <w:szCs w:val="20"/>
        </w:rPr>
        <w:t xml:space="preserve">ocal </w:t>
      </w:r>
      <w:r w:rsidR="00B47C9B">
        <w:rPr>
          <w:rFonts w:cs="Times New Roman"/>
          <w:szCs w:val="20"/>
        </w:rPr>
        <w:t>C</w:t>
      </w:r>
      <w:r>
        <w:rPr>
          <w:rFonts w:cs="Times New Roman"/>
          <w:szCs w:val="20"/>
        </w:rPr>
        <w:t xml:space="preserve">apacity </w:t>
      </w:r>
      <w:r w:rsidR="00B47C9B">
        <w:rPr>
          <w:rFonts w:cs="Times New Roman"/>
          <w:szCs w:val="20"/>
        </w:rPr>
        <w:t>R</w:t>
      </w:r>
      <w:r>
        <w:rPr>
          <w:rFonts w:cs="Times New Roman"/>
          <w:szCs w:val="20"/>
        </w:rPr>
        <w:t xml:space="preserve">equirement </w:t>
      </w:r>
      <w:r w:rsidR="00B47C9B">
        <w:rPr>
          <w:rFonts w:cs="Times New Roman"/>
          <w:szCs w:val="20"/>
        </w:rPr>
        <w:t>R</w:t>
      </w:r>
      <w:r>
        <w:rPr>
          <w:rFonts w:cs="Times New Roman"/>
          <w:szCs w:val="20"/>
        </w:rPr>
        <w:t xml:space="preserve">eduction </w:t>
      </w:r>
      <w:r w:rsidR="00B47C9B">
        <w:rPr>
          <w:rFonts w:cs="Times New Roman"/>
          <w:szCs w:val="20"/>
        </w:rPr>
        <w:t>C</w:t>
      </w:r>
      <w:r>
        <w:rPr>
          <w:rFonts w:cs="Times New Roman"/>
          <w:szCs w:val="20"/>
        </w:rPr>
        <w:t xml:space="preserve">ompensation </w:t>
      </w:r>
      <w:r w:rsidR="00B47C9B">
        <w:rPr>
          <w:rFonts w:cs="Times New Roman"/>
          <w:szCs w:val="20"/>
        </w:rPr>
        <w:lastRenderedPageBreak/>
        <w:t>M</w:t>
      </w:r>
      <w:r>
        <w:rPr>
          <w:rFonts w:cs="Times New Roman"/>
          <w:szCs w:val="20"/>
        </w:rPr>
        <w:t xml:space="preserve">echanism </w:t>
      </w:r>
      <w:r w:rsidRPr="00067944">
        <w:rPr>
          <w:rFonts w:cs="Times New Roman"/>
          <w:szCs w:val="20"/>
        </w:rPr>
        <w:t xml:space="preserve">credit </w:t>
      </w:r>
      <w:r>
        <w:rPr>
          <w:rFonts w:cs="Times New Roman"/>
          <w:szCs w:val="20"/>
        </w:rPr>
        <w:t>shall</w:t>
      </w:r>
      <w:r w:rsidRPr="00067944">
        <w:rPr>
          <w:rFonts w:cs="Times New Roman"/>
          <w:szCs w:val="20"/>
        </w:rPr>
        <w:t xml:space="preserve"> be modeled as revenue only transactions, but no system RA volumes </w:t>
      </w:r>
      <w:r>
        <w:rPr>
          <w:rFonts w:cs="Times New Roman"/>
          <w:szCs w:val="20"/>
        </w:rPr>
        <w:t>shall</w:t>
      </w:r>
      <w:r w:rsidRPr="00067944">
        <w:rPr>
          <w:rFonts w:cs="Times New Roman"/>
          <w:szCs w:val="20"/>
        </w:rPr>
        <w:t xml:space="preserve"> be presented as being sold from one cost recovery mechanism to CAM.</w:t>
      </w:r>
    </w:p>
    <w:p w:rsidRPr="00034A99" w:rsidR="00BB7CF6" w:rsidP="00BB7CF6" w:rsidRDefault="00BB7CF6" w14:paraId="448F06EC" w14:textId="614BE8A8">
      <w:pPr>
        <w:pStyle w:val="ListAlpha"/>
        <w:numPr>
          <w:ilvl w:val="7"/>
          <w:numId w:val="35"/>
        </w:numPr>
        <w:ind w:right="1440"/>
        <w:rPr>
          <w:rFonts w:cs="Times New Roman"/>
          <w:szCs w:val="20"/>
        </w:rPr>
      </w:pPr>
      <w:r>
        <w:rPr>
          <w:rFonts w:cs="Times New Roman"/>
          <w:szCs w:val="20"/>
        </w:rPr>
        <w:t>Power Charge Indifference Adjustment</w:t>
      </w:r>
      <w:r w:rsidRPr="00067944">
        <w:rPr>
          <w:rFonts w:cs="Times New Roman"/>
          <w:szCs w:val="20"/>
        </w:rPr>
        <w:t>-eligible resource</w:t>
      </w:r>
      <w:r>
        <w:rPr>
          <w:rFonts w:cs="Times New Roman"/>
          <w:szCs w:val="20"/>
        </w:rPr>
        <w:t>s</w:t>
      </w:r>
      <w:r w:rsidRPr="00067944">
        <w:rPr>
          <w:rFonts w:cs="Times New Roman"/>
          <w:szCs w:val="20"/>
        </w:rPr>
        <w:t xml:space="preserve"> with system RA within a local area </w:t>
      </w:r>
      <w:r>
        <w:rPr>
          <w:rFonts w:cs="Times New Roman"/>
          <w:szCs w:val="20"/>
        </w:rPr>
        <w:t>shall</w:t>
      </w:r>
      <w:r w:rsidRPr="00067944">
        <w:rPr>
          <w:rFonts w:cs="Times New Roman"/>
          <w:szCs w:val="20"/>
        </w:rPr>
        <w:t xml:space="preserve"> continue to be </w:t>
      </w:r>
      <w:r w:rsidR="0025275F">
        <w:rPr>
          <w:rFonts w:cs="Times New Roman"/>
          <w:szCs w:val="20"/>
        </w:rPr>
        <w:t>valued</w:t>
      </w:r>
      <w:r w:rsidRPr="00067944" w:rsidR="0025275F">
        <w:rPr>
          <w:rFonts w:cs="Times New Roman"/>
          <w:szCs w:val="20"/>
        </w:rPr>
        <w:t xml:space="preserve"> </w:t>
      </w:r>
      <w:r w:rsidRPr="00067944">
        <w:rPr>
          <w:rFonts w:cs="Times New Roman"/>
          <w:szCs w:val="20"/>
        </w:rPr>
        <w:t>based on the local RA price benchmark</w:t>
      </w:r>
      <w:r w:rsidR="0025275F">
        <w:rPr>
          <w:rFonts w:cs="Times New Roman"/>
          <w:szCs w:val="20"/>
        </w:rPr>
        <w:t xml:space="preserve"> if it is retained for IOU compliance</w:t>
      </w:r>
      <w:r w:rsidRPr="00067944">
        <w:rPr>
          <w:rFonts w:cs="Times New Roman"/>
          <w:szCs w:val="20"/>
        </w:rPr>
        <w:t>.  The underlying position for PCIA</w:t>
      </w:r>
      <w:r w:rsidRPr="00067944">
        <w:rPr>
          <w:rFonts w:cs="Times New Roman"/>
          <w:szCs w:val="20"/>
        </w:rPr>
        <w:noBreakHyphen/>
        <w:t xml:space="preserve">eligible resources self-shown or unsold will continue to be retained based on the local RA benchmark in the </w:t>
      </w:r>
      <w:r>
        <w:t>Energy Resource Recovery Account</w:t>
      </w:r>
      <w:r w:rsidRPr="00067944">
        <w:rPr>
          <w:rFonts w:cs="Times New Roman"/>
          <w:szCs w:val="20"/>
        </w:rPr>
        <w:t xml:space="preserve"> </w:t>
      </w:r>
      <w:r>
        <w:rPr>
          <w:rFonts w:cs="Times New Roman"/>
          <w:szCs w:val="20"/>
        </w:rPr>
        <w:t>f</w:t>
      </w:r>
      <w:r w:rsidRPr="00067944">
        <w:rPr>
          <w:rFonts w:cs="Times New Roman"/>
          <w:szCs w:val="20"/>
        </w:rPr>
        <w:t>orecast proceeding.</w:t>
      </w:r>
    </w:p>
    <w:p w:rsidRPr="008444F1" w:rsidR="008444F1" w:rsidP="008444F1" w:rsidRDefault="008444F1" w14:paraId="1187C11D" w14:textId="18230291">
      <w:pPr>
        <w:pStyle w:val="OP"/>
        <w:ind w:left="0"/>
      </w:pPr>
      <w:r>
        <w:t xml:space="preserve">Energy Division is authorized to </w:t>
      </w:r>
      <w:r w:rsidRPr="0046317C">
        <w:t xml:space="preserve">prepare a report assessing the effectiveness of the </w:t>
      </w:r>
      <w:r>
        <w:t>central procurement entity</w:t>
      </w:r>
      <w:r w:rsidRPr="0046317C">
        <w:t xml:space="preserve"> </w:t>
      </w:r>
      <w:r w:rsidR="00994039">
        <w:t>framework</w:t>
      </w:r>
      <w:r w:rsidRPr="0046317C">
        <w:t xml:space="preserve"> by </w:t>
      </w:r>
      <w:r>
        <w:t>2024</w:t>
      </w:r>
      <w:r w:rsidRPr="0046317C">
        <w:t xml:space="preserve">.  </w:t>
      </w:r>
      <w:r>
        <w:t>This replaces the authorization in</w:t>
      </w:r>
      <w:r w:rsidRPr="0046317C">
        <w:t xml:space="preserve"> </w:t>
      </w:r>
      <w:r>
        <w:t xml:space="preserve">Ordering Paragraph </w:t>
      </w:r>
      <w:r w:rsidR="00994039">
        <w:t>29</w:t>
      </w:r>
      <w:r>
        <w:t xml:space="preserve"> of </w:t>
      </w:r>
      <w:r w:rsidRPr="0046317C">
        <w:t>D</w:t>
      </w:r>
      <w:r>
        <w:t xml:space="preserve">ecision </w:t>
      </w:r>
      <w:r w:rsidRPr="0046317C">
        <w:t>20-06-002</w:t>
      </w:r>
      <w:r>
        <w:t xml:space="preserve"> </w:t>
      </w:r>
      <w:r w:rsidR="006D75CC">
        <w:t>to</w:t>
      </w:r>
      <w:r>
        <w:t xml:space="preserve"> submit </w:t>
      </w:r>
      <w:r w:rsidR="0028732E">
        <w:t xml:space="preserve">this </w:t>
      </w:r>
      <w:r>
        <w:t xml:space="preserve">report in </w:t>
      </w:r>
      <w:r w:rsidR="00994039">
        <w:t>2025</w:t>
      </w:r>
      <w:r>
        <w:t xml:space="preserve">.  </w:t>
      </w:r>
    </w:p>
    <w:p w:rsidRPr="0003340C" w:rsidR="00BB7CF6" w:rsidP="00BB7CF6" w:rsidRDefault="00BB7CF6" w14:paraId="3E096353" w14:textId="473D30D9">
      <w:pPr>
        <w:pStyle w:val="OP"/>
        <w:ind w:left="0"/>
      </w:pPr>
      <w:r w:rsidRPr="0046317C">
        <w:rPr>
          <w:rFonts w:cs="Times New Roman"/>
          <w:szCs w:val="20"/>
        </w:rPr>
        <w:t xml:space="preserve">Rulemaking 21-10-002 remains open. </w:t>
      </w:r>
    </w:p>
    <w:p w:rsidR="00BB7CF6" w:rsidP="00BB7CF6" w:rsidRDefault="00BB7CF6" w14:paraId="09344DF5" w14:textId="77777777">
      <w:r>
        <w:t>This order is effective today.</w:t>
      </w:r>
    </w:p>
    <w:p w:rsidR="00BB7CF6" w:rsidP="00BB7CF6" w:rsidRDefault="00BB7CF6" w14:paraId="369F6B93" w14:textId="698D1CF8">
      <w:pPr>
        <w:sectPr w:rsidR="00BB7CF6" w:rsidSect="00D15DC0">
          <w:footerReference w:type="default" r:id="rId13"/>
          <w:pgSz w:w="12240" w:h="15840"/>
          <w:pgMar w:top="1728" w:right="1440" w:bottom="1440" w:left="1440" w:header="720" w:footer="720" w:gutter="0"/>
          <w:pgNumType w:start="2"/>
          <w:cols w:space="720"/>
          <w:docGrid w:linePitch="360"/>
        </w:sectPr>
      </w:pPr>
      <w:r>
        <w:t xml:space="preserve">Dated </w:t>
      </w:r>
      <w:r>
        <w:rPr>
          <w:u w:val="single"/>
        </w:rPr>
        <w:tab/>
      </w:r>
      <w:r>
        <w:rPr>
          <w:u w:val="single"/>
        </w:rPr>
        <w:tab/>
      </w:r>
      <w:r>
        <w:rPr>
          <w:u w:val="single"/>
        </w:rPr>
        <w:tab/>
      </w:r>
      <w:r>
        <w:rPr>
          <w:u w:val="single"/>
        </w:rPr>
        <w:tab/>
      </w:r>
      <w:r>
        <w:rPr>
          <w:u w:val="single"/>
        </w:rPr>
        <w:tab/>
      </w:r>
      <w:r>
        <w:t>, at Sa</w:t>
      </w:r>
      <w:r w:rsidR="006B04B4">
        <w:t>n Francisco</w:t>
      </w:r>
      <w:r>
        <w:t>, California.</w:t>
      </w:r>
    </w:p>
    <w:p w:rsidR="00BB7CF6" w:rsidP="00BB7CF6" w:rsidRDefault="00BB7CF6" w14:paraId="1CEEA964" w14:textId="77777777">
      <w:pPr>
        <w:tabs>
          <w:tab w:val="left" w:pos="3040"/>
        </w:tabs>
      </w:pPr>
    </w:p>
    <w:p w:rsidR="00BB7CF6" w:rsidP="00BB7CF6" w:rsidRDefault="00BB7CF6" w14:paraId="0AE523A5" w14:textId="77777777">
      <w:pPr>
        <w:tabs>
          <w:tab w:val="left" w:pos="3040"/>
        </w:tabs>
        <w:jc w:val="center"/>
        <w:rPr>
          <w:sz w:val="52"/>
          <w:szCs w:val="52"/>
        </w:rPr>
      </w:pPr>
    </w:p>
    <w:p w:rsidR="00BB7CF6" w:rsidP="00BB7CF6" w:rsidRDefault="00BB7CF6" w14:paraId="13951AE7" w14:textId="77777777">
      <w:pPr>
        <w:tabs>
          <w:tab w:val="left" w:pos="3040"/>
        </w:tabs>
        <w:jc w:val="center"/>
        <w:rPr>
          <w:sz w:val="52"/>
          <w:szCs w:val="52"/>
        </w:rPr>
      </w:pPr>
    </w:p>
    <w:p w:rsidR="00BB7CF6" w:rsidP="00BB7CF6" w:rsidRDefault="00BB7CF6" w14:paraId="5A35DEF7" w14:textId="77777777">
      <w:pPr>
        <w:tabs>
          <w:tab w:val="left" w:pos="3040"/>
        </w:tabs>
        <w:jc w:val="center"/>
        <w:rPr>
          <w:sz w:val="52"/>
          <w:szCs w:val="52"/>
        </w:rPr>
      </w:pPr>
    </w:p>
    <w:p w:rsidRPr="00C44DB5" w:rsidR="00BB7CF6" w:rsidP="00BB7CF6" w:rsidRDefault="00BB7CF6" w14:paraId="5FB79BC5" w14:textId="77777777">
      <w:pPr>
        <w:tabs>
          <w:tab w:val="left" w:pos="3040"/>
        </w:tabs>
        <w:jc w:val="center"/>
        <w:rPr>
          <w:sz w:val="52"/>
          <w:szCs w:val="52"/>
        </w:rPr>
      </w:pPr>
      <w:r w:rsidRPr="00C44DB5">
        <w:rPr>
          <w:sz w:val="52"/>
          <w:szCs w:val="52"/>
        </w:rPr>
        <w:t>APPENDIX A</w:t>
      </w:r>
    </w:p>
    <w:p w:rsidRPr="00C44DB5" w:rsidR="00BB7CF6" w:rsidP="00BB7CF6" w:rsidRDefault="00BB7CF6" w14:paraId="21DFBFF1" w14:textId="77777777">
      <w:pPr>
        <w:spacing w:line="240" w:lineRule="auto"/>
        <w:ind w:firstLine="0"/>
        <w:jc w:val="center"/>
        <w:rPr>
          <w:sz w:val="52"/>
          <w:szCs w:val="52"/>
        </w:rPr>
      </w:pPr>
      <w:r w:rsidRPr="00C44DB5">
        <w:rPr>
          <w:sz w:val="52"/>
          <w:szCs w:val="52"/>
        </w:rPr>
        <w:t xml:space="preserve">Confidential Treatment </w:t>
      </w:r>
      <w:r>
        <w:rPr>
          <w:sz w:val="52"/>
          <w:szCs w:val="52"/>
        </w:rPr>
        <w:t>o</w:t>
      </w:r>
      <w:r w:rsidRPr="00C44DB5">
        <w:rPr>
          <w:sz w:val="52"/>
          <w:szCs w:val="52"/>
        </w:rPr>
        <w:t>f Central</w:t>
      </w:r>
      <w:r>
        <w:rPr>
          <w:sz w:val="52"/>
          <w:szCs w:val="52"/>
        </w:rPr>
        <w:br/>
      </w:r>
      <w:r w:rsidRPr="00C44DB5">
        <w:rPr>
          <w:sz w:val="52"/>
          <w:szCs w:val="52"/>
        </w:rPr>
        <w:t>Procurement Entity Information</w:t>
      </w:r>
    </w:p>
    <w:p w:rsidR="00BB7CF6" w:rsidP="00BB7CF6" w:rsidRDefault="00BB7CF6" w14:paraId="1FD33F31" w14:textId="77777777"/>
    <w:p w:rsidR="00BB7CF6" w:rsidP="00BB7CF6" w:rsidRDefault="00BB7CF6" w14:paraId="062C0EF3" w14:textId="77777777"/>
    <w:p w:rsidR="00BB7CF6" w:rsidP="00BB7CF6" w:rsidRDefault="00BB7CF6" w14:paraId="63463314" w14:textId="77777777"/>
    <w:p w:rsidR="00BB7CF6" w:rsidP="00BB7CF6" w:rsidRDefault="00BB7CF6" w14:paraId="172265F4" w14:textId="77777777">
      <w:pPr>
        <w:sectPr w:rsidR="00BB7CF6" w:rsidSect="00D15DC0">
          <w:headerReference w:type="default" r:id="rId14"/>
          <w:footerReference w:type="default" r:id="rId15"/>
          <w:pgSz w:w="12240" w:h="15840"/>
          <w:pgMar w:top="1728" w:right="1440" w:bottom="1440" w:left="1440" w:header="720" w:footer="720" w:gutter="0"/>
          <w:pgNumType w:start="2"/>
          <w:cols w:space="720"/>
          <w:docGrid w:linePitch="360"/>
        </w:sectPr>
      </w:pPr>
    </w:p>
    <w:p w:rsidRPr="009E2A06" w:rsidR="00BB7CF6" w:rsidP="00BB7CF6" w:rsidRDefault="00BB7CF6" w14:paraId="1DADF365" w14:textId="77777777">
      <w:pPr>
        <w:spacing w:after="160" w:line="259" w:lineRule="auto"/>
        <w:ind w:firstLine="0"/>
        <w:jc w:val="center"/>
        <w:rPr>
          <w:szCs w:val="26"/>
        </w:rPr>
      </w:pPr>
    </w:p>
    <w:tbl>
      <w:tblPr>
        <w:tblStyle w:val="TableGrid"/>
        <w:tblW w:w="14130" w:type="dxa"/>
        <w:tblInd w:w="-455" w:type="dxa"/>
        <w:tblLook w:val="04A0" w:firstRow="1" w:lastRow="0" w:firstColumn="1" w:lastColumn="0" w:noHBand="0" w:noVBand="1"/>
      </w:tblPr>
      <w:tblGrid>
        <w:gridCol w:w="1536"/>
        <w:gridCol w:w="3399"/>
        <w:gridCol w:w="2195"/>
        <w:gridCol w:w="2158"/>
        <w:gridCol w:w="4842"/>
      </w:tblGrid>
      <w:tr w:rsidRPr="009E2A06" w:rsidR="00BB7CF6" w:rsidTr="002270C9" w14:paraId="1AB114A0" w14:textId="77777777">
        <w:tc>
          <w:tcPr>
            <w:tcW w:w="1536" w:type="dxa"/>
          </w:tcPr>
          <w:p w:rsidRPr="009E2A06" w:rsidR="00BB7CF6" w:rsidP="002270C9" w:rsidRDefault="00BB7CF6" w14:paraId="355F348C" w14:textId="77777777">
            <w:pPr>
              <w:spacing w:line="240" w:lineRule="auto"/>
              <w:ind w:firstLine="0"/>
              <w:rPr>
                <w:sz w:val="24"/>
                <w:szCs w:val="24"/>
              </w:rPr>
            </w:pPr>
            <w:r w:rsidRPr="009E2A06">
              <w:rPr>
                <w:b/>
                <w:bCs/>
                <w:sz w:val="24"/>
                <w:szCs w:val="24"/>
              </w:rPr>
              <w:t xml:space="preserve">Category </w:t>
            </w:r>
          </w:p>
        </w:tc>
        <w:tc>
          <w:tcPr>
            <w:tcW w:w="3399" w:type="dxa"/>
          </w:tcPr>
          <w:p w:rsidRPr="009E2A06" w:rsidR="00BB7CF6" w:rsidP="002270C9" w:rsidRDefault="00BB7CF6" w14:paraId="206FA3F2" w14:textId="77777777">
            <w:pPr>
              <w:spacing w:line="240" w:lineRule="auto"/>
              <w:ind w:firstLine="0"/>
              <w:rPr>
                <w:sz w:val="24"/>
                <w:szCs w:val="24"/>
              </w:rPr>
            </w:pPr>
            <w:r w:rsidRPr="009E2A06">
              <w:rPr>
                <w:b/>
                <w:bCs/>
                <w:sz w:val="24"/>
                <w:szCs w:val="24"/>
              </w:rPr>
              <w:t xml:space="preserve">Item </w:t>
            </w:r>
          </w:p>
        </w:tc>
        <w:tc>
          <w:tcPr>
            <w:tcW w:w="2195" w:type="dxa"/>
          </w:tcPr>
          <w:p w:rsidRPr="009E2A06" w:rsidR="00BB7CF6" w:rsidP="002270C9" w:rsidRDefault="00BB7CF6" w14:paraId="75F14085" w14:textId="77777777">
            <w:pPr>
              <w:spacing w:line="240" w:lineRule="auto"/>
              <w:ind w:firstLine="0"/>
              <w:rPr>
                <w:sz w:val="24"/>
                <w:szCs w:val="24"/>
              </w:rPr>
            </w:pPr>
            <w:r w:rsidRPr="009E2A06">
              <w:rPr>
                <w:b/>
                <w:bCs/>
                <w:sz w:val="24"/>
                <w:szCs w:val="24"/>
              </w:rPr>
              <w:t xml:space="preserve">Public / Confidential Treatment </w:t>
            </w:r>
          </w:p>
        </w:tc>
        <w:tc>
          <w:tcPr>
            <w:tcW w:w="2158" w:type="dxa"/>
          </w:tcPr>
          <w:p w:rsidRPr="009E2A06" w:rsidR="00BB7CF6" w:rsidP="002270C9" w:rsidRDefault="00BB7CF6" w14:paraId="434524B4" w14:textId="77777777">
            <w:pPr>
              <w:spacing w:line="240" w:lineRule="auto"/>
              <w:ind w:firstLine="0"/>
              <w:rPr>
                <w:sz w:val="24"/>
                <w:szCs w:val="24"/>
              </w:rPr>
            </w:pPr>
            <w:r w:rsidRPr="009E2A06">
              <w:rPr>
                <w:b/>
                <w:bCs/>
                <w:sz w:val="24"/>
                <w:szCs w:val="24"/>
              </w:rPr>
              <w:t xml:space="preserve">Time Period for Data To Be Kept Confidential </w:t>
            </w:r>
          </w:p>
        </w:tc>
        <w:tc>
          <w:tcPr>
            <w:tcW w:w="4842" w:type="dxa"/>
          </w:tcPr>
          <w:p w:rsidRPr="009E2A06" w:rsidR="00BB7CF6" w:rsidP="002270C9" w:rsidRDefault="00BB7CF6" w14:paraId="4E9DE6EE" w14:textId="77777777">
            <w:pPr>
              <w:spacing w:line="240" w:lineRule="auto"/>
              <w:ind w:firstLine="0"/>
              <w:rPr>
                <w:sz w:val="24"/>
                <w:szCs w:val="24"/>
              </w:rPr>
            </w:pPr>
            <w:r w:rsidRPr="009E2A06">
              <w:rPr>
                <w:b/>
                <w:bCs/>
                <w:sz w:val="24"/>
                <w:szCs w:val="24"/>
              </w:rPr>
              <w:t xml:space="preserve">Justification for Confidentiality </w:t>
            </w:r>
          </w:p>
        </w:tc>
      </w:tr>
      <w:tr w:rsidRPr="009E2A06" w:rsidR="00BB7CF6" w:rsidTr="002270C9" w14:paraId="41826157" w14:textId="77777777">
        <w:tc>
          <w:tcPr>
            <w:tcW w:w="1536" w:type="dxa"/>
          </w:tcPr>
          <w:p w:rsidRPr="009E2A06" w:rsidR="00BB7CF6" w:rsidP="002270C9" w:rsidRDefault="00BB7CF6" w14:paraId="167101A3" w14:textId="77777777">
            <w:pPr>
              <w:spacing w:line="240" w:lineRule="auto"/>
              <w:ind w:firstLine="0"/>
              <w:rPr>
                <w:sz w:val="24"/>
                <w:szCs w:val="24"/>
              </w:rPr>
            </w:pPr>
            <w:r w:rsidRPr="009E2A06">
              <w:rPr>
                <w:sz w:val="24"/>
                <w:szCs w:val="24"/>
              </w:rPr>
              <w:t xml:space="preserve">Contract Terms and Conditions </w:t>
            </w:r>
          </w:p>
        </w:tc>
        <w:tc>
          <w:tcPr>
            <w:tcW w:w="3399" w:type="dxa"/>
          </w:tcPr>
          <w:p w:rsidRPr="009E2A06" w:rsidR="00BB7CF6" w:rsidP="002270C9" w:rsidRDefault="00BB7CF6" w14:paraId="085896F2" w14:textId="77777777">
            <w:pPr>
              <w:spacing w:line="240" w:lineRule="auto"/>
              <w:ind w:firstLine="0"/>
              <w:rPr>
                <w:sz w:val="24"/>
                <w:szCs w:val="24"/>
              </w:rPr>
            </w:pPr>
            <w:r w:rsidRPr="009E2A06">
              <w:rPr>
                <w:sz w:val="24"/>
                <w:szCs w:val="24"/>
              </w:rPr>
              <w:t xml:space="preserve">Contracts and power purchase agreements </w:t>
            </w:r>
          </w:p>
        </w:tc>
        <w:tc>
          <w:tcPr>
            <w:tcW w:w="2195" w:type="dxa"/>
          </w:tcPr>
          <w:p w:rsidRPr="009E2A06" w:rsidR="00BB7CF6" w:rsidP="002270C9" w:rsidRDefault="00BB7CF6" w14:paraId="49A37564" w14:textId="77777777">
            <w:pPr>
              <w:spacing w:line="240" w:lineRule="auto"/>
              <w:ind w:firstLine="0"/>
              <w:rPr>
                <w:sz w:val="24"/>
                <w:szCs w:val="24"/>
              </w:rPr>
            </w:pPr>
            <w:r w:rsidRPr="009E2A06">
              <w:rPr>
                <w:sz w:val="24"/>
                <w:szCs w:val="24"/>
              </w:rPr>
              <w:t>Confidential</w:t>
            </w:r>
          </w:p>
        </w:tc>
        <w:tc>
          <w:tcPr>
            <w:tcW w:w="2158" w:type="dxa"/>
          </w:tcPr>
          <w:p w:rsidRPr="009E2A06" w:rsidR="00BB7CF6" w:rsidP="002270C9" w:rsidRDefault="00BB7CF6" w14:paraId="1EDB4F01" w14:textId="77777777">
            <w:pPr>
              <w:spacing w:line="240" w:lineRule="auto"/>
              <w:ind w:firstLine="0"/>
              <w:rPr>
                <w:sz w:val="24"/>
                <w:szCs w:val="24"/>
              </w:rPr>
            </w:pPr>
            <w:r w:rsidRPr="009E2A06">
              <w:rPr>
                <w:sz w:val="24"/>
                <w:szCs w:val="24"/>
              </w:rPr>
              <w:t xml:space="preserve">3-years from contract execution date </w:t>
            </w:r>
          </w:p>
        </w:tc>
        <w:tc>
          <w:tcPr>
            <w:tcW w:w="4842" w:type="dxa"/>
          </w:tcPr>
          <w:p w:rsidRPr="009E2A06" w:rsidR="00BB7CF6" w:rsidP="002270C9" w:rsidRDefault="00BB7CF6" w14:paraId="5E728C63" w14:textId="77777777">
            <w:pPr>
              <w:spacing w:line="240" w:lineRule="auto"/>
              <w:ind w:firstLine="0"/>
              <w:rPr>
                <w:sz w:val="24"/>
                <w:szCs w:val="24"/>
              </w:rPr>
            </w:pPr>
            <w:r w:rsidRPr="009E2A06">
              <w:rPr>
                <w:sz w:val="24"/>
                <w:szCs w:val="24"/>
              </w:rPr>
              <w:t xml:space="preserve">Disclosure of the contract terms and conditions of CPE executed contracts could potentially have an adverse effect on the market, put the CPE at a competitive disadvantage with regard to other market participants, and impact participants’ future bidding behavior for capacity that has not yet been procured. </w:t>
            </w:r>
          </w:p>
          <w:p w:rsidRPr="009E2A06" w:rsidR="00BB7CF6" w:rsidP="002270C9" w:rsidRDefault="00BB7CF6" w14:paraId="6B80A68D" w14:textId="77777777">
            <w:pPr>
              <w:spacing w:line="240" w:lineRule="auto"/>
              <w:ind w:firstLine="0"/>
              <w:rPr>
                <w:sz w:val="24"/>
                <w:szCs w:val="24"/>
              </w:rPr>
            </w:pPr>
          </w:p>
        </w:tc>
      </w:tr>
      <w:tr w:rsidRPr="009E2A06" w:rsidR="00BB7CF6" w:rsidTr="002270C9" w14:paraId="30E29FC3" w14:textId="77777777">
        <w:tc>
          <w:tcPr>
            <w:tcW w:w="1536" w:type="dxa"/>
          </w:tcPr>
          <w:p w:rsidRPr="009E2A06" w:rsidR="00BB7CF6" w:rsidP="002270C9" w:rsidRDefault="00BB7CF6" w14:paraId="41DD12A8"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59219EE1" w14:textId="77777777">
            <w:pPr>
              <w:spacing w:line="240" w:lineRule="auto"/>
              <w:ind w:firstLine="0"/>
              <w:rPr>
                <w:sz w:val="24"/>
                <w:szCs w:val="24"/>
              </w:rPr>
            </w:pPr>
            <w:r w:rsidRPr="009E2A06">
              <w:rPr>
                <w:sz w:val="24"/>
                <w:szCs w:val="24"/>
              </w:rPr>
              <w:t xml:space="preserve">RA Requirements/Allocations megawatt (“MW”) -Aggregate </w:t>
            </w:r>
          </w:p>
        </w:tc>
        <w:tc>
          <w:tcPr>
            <w:tcW w:w="2195" w:type="dxa"/>
          </w:tcPr>
          <w:p w:rsidRPr="009E2A06" w:rsidR="00BB7CF6" w:rsidP="002270C9" w:rsidRDefault="00BB7CF6" w14:paraId="79D9147F" w14:textId="77777777">
            <w:pPr>
              <w:spacing w:line="240" w:lineRule="auto"/>
              <w:ind w:firstLine="0"/>
              <w:rPr>
                <w:sz w:val="24"/>
                <w:szCs w:val="24"/>
              </w:rPr>
            </w:pPr>
            <w:r w:rsidRPr="009E2A06">
              <w:rPr>
                <w:sz w:val="24"/>
                <w:szCs w:val="24"/>
              </w:rPr>
              <w:t xml:space="preserve">Public </w:t>
            </w:r>
          </w:p>
        </w:tc>
        <w:tc>
          <w:tcPr>
            <w:tcW w:w="2158" w:type="dxa"/>
          </w:tcPr>
          <w:p w:rsidRPr="009E2A06" w:rsidR="00BB7CF6" w:rsidP="002270C9" w:rsidRDefault="00BB7CF6" w14:paraId="17F44885" w14:textId="77777777">
            <w:pPr>
              <w:spacing w:line="240" w:lineRule="auto"/>
              <w:ind w:firstLine="0"/>
              <w:rPr>
                <w:sz w:val="24"/>
                <w:szCs w:val="24"/>
              </w:rPr>
            </w:pPr>
            <w:r w:rsidRPr="009E2A06">
              <w:rPr>
                <w:sz w:val="24"/>
                <w:szCs w:val="24"/>
              </w:rPr>
              <w:t xml:space="preserve">N/A </w:t>
            </w:r>
          </w:p>
        </w:tc>
        <w:tc>
          <w:tcPr>
            <w:tcW w:w="4842" w:type="dxa"/>
          </w:tcPr>
          <w:p w:rsidRPr="009E2A06" w:rsidR="00BB7CF6" w:rsidP="002270C9" w:rsidRDefault="00BB7CF6" w14:paraId="118EDDE0" w14:textId="77777777">
            <w:pPr>
              <w:spacing w:line="240" w:lineRule="auto"/>
              <w:ind w:firstLine="0"/>
              <w:rPr>
                <w:sz w:val="24"/>
                <w:szCs w:val="24"/>
              </w:rPr>
            </w:pPr>
            <w:r w:rsidRPr="009E2A06">
              <w:rPr>
                <w:sz w:val="24"/>
                <w:szCs w:val="24"/>
              </w:rPr>
              <w:t xml:space="preserve">N/A </w:t>
            </w:r>
          </w:p>
        </w:tc>
      </w:tr>
      <w:tr w:rsidRPr="009E2A06" w:rsidR="00BB7CF6" w:rsidTr="002270C9" w14:paraId="70298D70" w14:textId="77777777">
        <w:tc>
          <w:tcPr>
            <w:tcW w:w="1536" w:type="dxa"/>
          </w:tcPr>
          <w:p w:rsidRPr="009E2A06" w:rsidR="00BB7CF6" w:rsidP="002270C9" w:rsidRDefault="00BB7CF6" w14:paraId="0117B6F6"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05D2BAE9" w14:textId="77777777">
            <w:pPr>
              <w:spacing w:line="240" w:lineRule="auto"/>
              <w:ind w:firstLine="0"/>
              <w:rPr>
                <w:sz w:val="24"/>
                <w:szCs w:val="24"/>
              </w:rPr>
            </w:pPr>
            <w:r w:rsidRPr="009E2A06">
              <w:rPr>
                <w:sz w:val="24"/>
                <w:szCs w:val="24"/>
              </w:rPr>
              <w:t xml:space="preserve">RA Requirements/Allocations (MW) -Local Area </w:t>
            </w:r>
          </w:p>
        </w:tc>
        <w:tc>
          <w:tcPr>
            <w:tcW w:w="2195" w:type="dxa"/>
          </w:tcPr>
          <w:p w:rsidRPr="009E2A06" w:rsidR="00BB7CF6" w:rsidP="002270C9" w:rsidRDefault="00BB7CF6" w14:paraId="00593153" w14:textId="77777777">
            <w:pPr>
              <w:spacing w:line="240" w:lineRule="auto"/>
              <w:ind w:firstLine="0"/>
              <w:rPr>
                <w:sz w:val="24"/>
                <w:szCs w:val="24"/>
              </w:rPr>
            </w:pPr>
            <w:r w:rsidRPr="009E2A06">
              <w:rPr>
                <w:sz w:val="24"/>
                <w:szCs w:val="24"/>
              </w:rPr>
              <w:t xml:space="preserve">Public </w:t>
            </w:r>
          </w:p>
        </w:tc>
        <w:tc>
          <w:tcPr>
            <w:tcW w:w="2158" w:type="dxa"/>
          </w:tcPr>
          <w:p w:rsidRPr="009E2A06" w:rsidR="00BB7CF6" w:rsidP="002270C9" w:rsidRDefault="00BB7CF6" w14:paraId="78C5F05C" w14:textId="77777777">
            <w:pPr>
              <w:spacing w:line="240" w:lineRule="auto"/>
              <w:ind w:firstLine="0"/>
              <w:rPr>
                <w:sz w:val="24"/>
                <w:szCs w:val="24"/>
              </w:rPr>
            </w:pPr>
            <w:r w:rsidRPr="009E2A06">
              <w:rPr>
                <w:sz w:val="24"/>
                <w:szCs w:val="24"/>
              </w:rPr>
              <w:t xml:space="preserve">N/A </w:t>
            </w:r>
          </w:p>
        </w:tc>
        <w:tc>
          <w:tcPr>
            <w:tcW w:w="4842" w:type="dxa"/>
          </w:tcPr>
          <w:p w:rsidRPr="009E2A06" w:rsidR="00BB7CF6" w:rsidP="002270C9" w:rsidRDefault="00BB7CF6" w14:paraId="5CA2E49F" w14:textId="77777777">
            <w:pPr>
              <w:spacing w:line="240" w:lineRule="auto"/>
              <w:ind w:firstLine="0"/>
              <w:rPr>
                <w:sz w:val="24"/>
                <w:szCs w:val="24"/>
              </w:rPr>
            </w:pPr>
            <w:r w:rsidRPr="009E2A06">
              <w:rPr>
                <w:sz w:val="24"/>
                <w:szCs w:val="24"/>
              </w:rPr>
              <w:t xml:space="preserve">N/A </w:t>
            </w:r>
          </w:p>
        </w:tc>
      </w:tr>
      <w:tr w:rsidRPr="009E2A06" w:rsidR="00BB7CF6" w:rsidTr="002270C9" w14:paraId="5CFE68B0" w14:textId="77777777">
        <w:tc>
          <w:tcPr>
            <w:tcW w:w="1536" w:type="dxa"/>
          </w:tcPr>
          <w:p w:rsidRPr="009E2A06" w:rsidR="00BB7CF6" w:rsidP="002270C9" w:rsidRDefault="00BB7CF6" w14:paraId="0523EE30"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4E755B83" w14:textId="77777777">
            <w:pPr>
              <w:spacing w:line="240" w:lineRule="auto"/>
              <w:ind w:firstLine="0"/>
              <w:rPr>
                <w:sz w:val="24"/>
                <w:szCs w:val="24"/>
              </w:rPr>
            </w:pPr>
            <w:r w:rsidRPr="009E2A06">
              <w:rPr>
                <w:sz w:val="24"/>
                <w:szCs w:val="24"/>
              </w:rPr>
              <w:t xml:space="preserve">Total Capacity Procured (Purchased or Self-Shown) – Aggregate </w:t>
            </w:r>
          </w:p>
        </w:tc>
        <w:tc>
          <w:tcPr>
            <w:tcW w:w="2195" w:type="dxa"/>
          </w:tcPr>
          <w:p w:rsidRPr="009E2A06" w:rsidR="00BB7CF6" w:rsidP="002270C9" w:rsidRDefault="00BB7CF6" w14:paraId="074493A6" w14:textId="77777777">
            <w:pPr>
              <w:spacing w:line="240" w:lineRule="auto"/>
              <w:ind w:firstLine="0"/>
              <w:rPr>
                <w:sz w:val="24"/>
                <w:szCs w:val="24"/>
              </w:rPr>
            </w:pPr>
            <w:r w:rsidRPr="009E2A06">
              <w:rPr>
                <w:sz w:val="24"/>
                <w:szCs w:val="24"/>
              </w:rPr>
              <w:t xml:space="preserve">Public </w:t>
            </w:r>
          </w:p>
        </w:tc>
        <w:tc>
          <w:tcPr>
            <w:tcW w:w="2158" w:type="dxa"/>
          </w:tcPr>
          <w:p w:rsidRPr="009E2A06" w:rsidR="00BB7CF6" w:rsidP="002270C9" w:rsidRDefault="00BB7CF6" w14:paraId="6CE0FFB9" w14:textId="77777777">
            <w:pPr>
              <w:spacing w:line="240" w:lineRule="auto"/>
              <w:ind w:firstLine="0"/>
              <w:rPr>
                <w:sz w:val="24"/>
                <w:szCs w:val="24"/>
              </w:rPr>
            </w:pPr>
            <w:r w:rsidRPr="009E2A06">
              <w:rPr>
                <w:sz w:val="24"/>
                <w:szCs w:val="24"/>
              </w:rPr>
              <w:t xml:space="preserve">N/A </w:t>
            </w:r>
          </w:p>
        </w:tc>
        <w:tc>
          <w:tcPr>
            <w:tcW w:w="4842" w:type="dxa"/>
          </w:tcPr>
          <w:p w:rsidRPr="009E2A06" w:rsidR="00BB7CF6" w:rsidP="002270C9" w:rsidRDefault="00BB7CF6" w14:paraId="0EBF53CC" w14:textId="77777777">
            <w:pPr>
              <w:spacing w:line="240" w:lineRule="auto"/>
              <w:ind w:firstLine="0"/>
              <w:rPr>
                <w:sz w:val="24"/>
                <w:szCs w:val="24"/>
              </w:rPr>
            </w:pPr>
            <w:r w:rsidRPr="009E2A06">
              <w:rPr>
                <w:sz w:val="24"/>
                <w:szCs w:val="24"/>
              </w:rPr>
              <w:t xml:space="preserve">N/A </w:t>
            </w:r>
          </w:p>
        </w:tc>
      </w:tr>
      <w:tr w:rsidRPr="009E2A06" w:rsidR="00BB7CF6" w:rsidTr="002270C9" w14:paraId="6A9C7B03" w14:textId="77777777">
        <w:tc>
          <w:tcPr>
            <w:tcW w:w="1536" w:type="dxa"/>
          </w:tcPr>
          <w:p w:rsidRPr="009E2A06" w:rsidR="00BB7CF6" w:rsidP="002270C9" w:rsidRDefault="00BB7CF6" w14:paraId="27030EE4"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3B5F0A55" w14:textId="77777777">
            <w:pPr>
              <w:spacing w:line="240" w:lineRule="auto"/>
              <w:ind w:firstLine="0"/>
              <w:rPr>
                <w:sz w:val="24"/>
                <w:szCs w:val="24"/>
              </w:rPr>
            </w:pPr>
            <w:r w:rsidRPr="009E2A06">
              <w:rPr>
                <w:sz w:val="24"/>
                <w:szCs w:val="24"/>
              </w:rPr>
              <w:t xml:space="preserve">Total Capacity Procured (Purchased or Self-Shown) - Local Area </w:t>
            </w:r>
          </w:p>
        </w:tc>
        <w:tc>
          <w:tcPr>
            <w:tcW w:w="2195" w:type="dxa"/>
          </w:tcPr>
          <w:p w:rsidRPr="009E2A06" w:rsidR="00BB7CF6" w:rsidP="002270C9" w:rsidRDefault="00BB7CF6" w14:paraId="481C3FFC"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7ECF8FF8" w14:textId="77777777">
            <w:pPr>
              <w:spacing w:line="240" w:lineRule="auto"/>
              <w:ind w:firstLine="0"/>
              <w:rPr>
                <w:sz w:val="24"/>
                <w:szCs w:val="24"/>
              </w:rPr>
            </w:pPr>
            <w:r w:rsidRPr="009E2A06">
              <w:rPr>
                <w:sz w:val="24"/>
                <w:szCs w:val="24"/>
              </w:rPr>
              <w:t xml:space="preserve">Front 3 years </w:t>
            </w:r>
          </w:p>
        </w:tc>
        <w:tc>
          <w:tcPr>
            <w:tcW w:w="4842" w:type="dxa"/>
          </w:tcPr>
          <w:p w:rsidRPr="009E2A06" w:rsidR="00BB7CF6" w:rsidP="002270C9" w:rsidRDefault="00BB7CF6" w14:paraId="7BD30CBC" w14:textId="77777777">
            <w:pPr>
              <w:spacing w:line="240" w:lineRule="auto"/>
              <w:ind w:firstLine="0"/>
              <w:rPr>
                <w:sz w:val="24"/>
                <w:szCs w:val="24"/>
              </w:rPr>
            </w:pPr>
            <w:r w:rsidRPr="009E2A06">
              <w:rPr>
                <w:sz w:val="24"/>
                <w:szCs w:val="24"/>
              </w:rPr>
              <w:t xml:space="preserve">Disclosure of the capacity that was procured in each local area could potentially have an adverse effect on the market, put the CPE at a competitive disadvantage with regard to other market participants, and impact participants’ </w:t>
            </w:r>
            <w:r w:rsidRPr="009E2A06">
              <w:rPr>
                <w:sz w:val="24"/>
                <w:szCs w:val="24"/>
              </w:rPr>
              <w:lastRenderedPageBreak/>
              <w:t xml:space="preserve">future bidding behavior for capacity that has not yet been procured. </w:t>
            </w:r>
          </w:p>
        </w:tc>
      </w:tr>
      <w:tr w:rsidRPr="009E2A06" w:rsidR="00BB7CF6" w:rsidTr="002270C9" w14:paraId="6C5383D9" w14:textId="77777777">
        <w:tc>
          <w:tcPr>
            <w:tcW w:w="1536" w:type="dxa"/>
          </w:tcPr>
          <w:p w:rsidRPr="009E2A06" w:rsidR="00BB7CF6" w:rsidP="002270C9" w:rsidRDefault="00BB7CF6" w14:paraId="1027FF87" w14:textId="77777777">
            <w:pPr>
              <w:spacing w:line="240" w:lineRule="auto"/>
              <w:ind w:firstLine="0"/>
              <w:rPr>
                <w:sz w:val="24"/>
                <w:szCs w:val="24"/>
              </w:rPr>
            </w:pPr>
            <w:r w:rsidRPr="009E2A06">
              <w:rPr>
                <w:sz w:val="24"/>
                <w:szCs w:val="24"/>
              </w:rPr>
              <w:lastRenderedPageBreak/>
              <w:t xml:space="preserve">Portfolio </w:t>
            </w:r>
          </w:p>
        </w:tc>
        <w:tc>
          <w:tcPr>
            <w:tcW w:w="3399" w:type="dxa"/>
          </w:tcPr>
          <w:p w:rsidRPr="009E2A06" w:rsidR="00BB7CF6" w:rsidP="002270C9" w:rsidRDefault="00BB7CF6" w14:paraId="6982A4EC" w14:textId="77777777">
            <w:pPr>
              <w:spacing w:line="240" w:lineRule="auto"/>
              <w:ind w:firstLine="0"/>
              <w:rPr>
                <w:sz w:val="24"/>
                <w:szCs w:val="24"/>
              </w:rPr>
            </w:pPr>
            <w:r w:rsidRPr="009E2A06">
              <w:rPr>
                <w:sz w:val="24"/>
                <w:szCs w:val="24"/>
              </w:rPr>
              <w:t xml:space="preserve">Total Capacity Procured (Purchased) – Aggregate </w:t>
            </w:r>
          </w:p>
        </w:tc>
        <w:tc>
          <w:tcPr>
            <w:tcW w:w="2195" w:type="dxa"/>
          </w:tcPr>
          <w:p w:rsidRPr="009E2A06" w:rsidR="00BB7CF6" w:rsidP="002270C9" w:rsidRDefault="00BB7CF6" w14:paraId="53FDEB7E" w14:textId="77777777">
            <w:pPr>
              <w:spacing w:line="240" w:lineRule="auto"/>
              <w:ind w:firstLine="0"/>
              <w:rPr>
                <w:sz w:val="24"/>
                <w:szCs w:val="24"/>
              </w:rPr>
            </w:pPr>
            <w:r w:rsidRPr="009E2A06">
              <w:rPr>
                <w:sz w:val="24"/>
                <w:szCs w:val="24"/>
              </w:rPr>
              <w:t xml:space="preserve">Public </w:t>
            </w:r>
          </w:p>
        </w:tc>
        <w:tc>
          <w:tcPr>
            <w:tcW w:w="2158" w:type="dxa"/>
          </w:tcPr>
          <w:p w:rsidRPr="009E2A06" w:rsidR="00BB7CF6" w:rsidP="002270C9" w:rsidRDefault="00BB7CF6" w14:paraId="4F4020FB" w14:textId="77777777">
            <w:pPr>
              <w:spacing w:line="240" w:lineRule="auto"/>
              <w:ind w:firstLine="0"/>
              <w:rPr>
                <w:sz w:val="24"/>
                <w:szCs w:val="24"/>
              </w:rPr>
            </w:pPr>
            <w:r w:rsidRPr="009E2A06">
              <w:rPr>
                <w:sz w:val="24"/>
                <w:szCs w:val="24"/>
              </w:rPr>
              <w:t xml:space="preserve">N/A </w:t>
            </w:r>
          </w:p>
        </w:tc>
        <w:tc>
          <w:tcPr>
            <w:tcW w:w="4842" w:type="dxa"/>
          </w:tcPr>
          <w:p w:rsidRPr="009E2A06" w:rsidR="00BB7CF6" w:rsidP="002270C9" w:rsidRDefault="00BB7CF6" w14:paraId="6A3E1FB6" w14:textId="77777777">
            <w:pPr>
              <w:spacing w:line="240" w:lineRule="auto"/>
              <w:ind w:firstLine="0"/>
              <w:rPr>
                <w:sz w:val="24"/>
                <w:szCs w:val="24"/>
              </w:rPr>
            </w:pPr>
            <w:r w:rsidRPr="009E2A06">
              <w:rPr>
                <w:sz w:val="24"/>
                <w:szCs w:val="24"/>
              </w:rPr>
              <w:t xml:space="preserve">N/A </w:t>
            </w:r>
          </w:p>
        </w:tc>
      </w:tr>
      <w:tr w:rsidRPr="009E2A06" w:rsidR="00BB7CF6" w:rsidTr="002270C9" w14:paraId="3CDE1D59" w14:textId="77777777">
        <w:tc>
          <w:tcPr>
            <w:tcW w:w="1536" w:type="dxa"/>
          </w:tcPr>
          <w:p w:rsidRPr="009E2A06" w:rsidR="00BB7CF6" w:rsidP="002270C9" w:rsidRDefault="00BB7CF6" w14:paraId="5AF609E6"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2BE6B651" w14:textId="77777777">
            <w:pPr>
              <w:spacing w:line="240" w:lineRule="auto"/>
              <w:ind w:firstLine="0"/>
              <w:rPr>
                <w:sz w:val="24"/>
                <w:szCs w:val="24"/>
              </w:rPr>
            </w:pPr>
            <w:r w:rsidRPr="009E2A06">
              <w:rPr>
                <w:sz w:val="24"/>
                <w:szCs w:val="24"/>
              </w:rPr>
              <w:t xml:space="preserve">Total Capacity Procured (Purchased) - Local Area </w:t>
            </w:r>
          </w:p>
        </w:tc>
        <w:tc>
          <w:tcPr>
            <w:tcW w:w="2195" w:type="dxa"/>
          </w:tcPr>
          <w:p w:rsidRPr="009E2A06" w:rsidR="00BB7CF6" w:rsidP="002270C9" w:rsidRDefault="00BB7CF6" w14:paraId="4CECFB45"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3A706899" w14:textId="77777777">
            <w:pPr>
              <w:spacing w:line="240" w:lineRule="auto"/>
              <w:ind w:firstLine="0"/>
              <w:rPr>
                <w:sz w:val="24"/>
                <w:szCs w:val="24"/>
              </w:rPr>
            </w:pPr>
            <w:r w:rsidRPr="009E2A06">
              <w:rPr>
                <w:sz w:val="24"/>
                <w:szCs w:val="24"/>
              </w:rPr>
              <w:t xml:space="preserve">Front 3 years </w:t>
            </w:r>
          </w:p>
        </w:tc>
        <w:tc>
          <w:tcPr>
            <w:tcW w:w="4842" w:type="dxa"/>
          </w:tcPr>
          <w:p w:rsidRPr="009E2A06" w:rsidR="00BB7CF6" w:rsidP="002270C9" w:rsidRDefault="00BB7CF6" w14:paraId="056989F5" w14:textId="77777777">
            <w:pPr>
              <w:spacing w:line="240" w:lineRule="auto"/>
              <w:ind w:firstLine="0"/>
              <w:rPr>
                <w:sz w:val="24"/>
                <w:szCs w:val="24"/>
              </w:rPr>
            </w:pPr>
            <w:r w:rsidRPr="009E2A06">
              <w:rPr>
                <w:sz w:val="24"/>
                <w:szCs w:val="24"/>
              </w:rPr>
              <w:t xml:space="preserve">Disclosure of the capacity that was procured in each local area could potentially have an adverse effect on the market, put the CPE at a competitive disadvantage with regard to other market participants, and impact participants’ future bidding behavior for capacity that has not yet been procured. </w:t>
            </w:r>
          </w:p>
        </w:tc>
      </w:tr>
      <w:tr w:rsidRPr="009E2A06" w:rsidR="00BB7CF6" w:rsidTr="002270C9" w14:paraId="7962F5E0" w14:textId="77777777">
        <w:tc>
          <w:tcPr>
            <w:tcW w:w="1536" w:type="dxa"/>
          </w:tcPr>
          <w:p w:rsidRPr="009E2A06" w:rsidR="00BB7CF6" w:rsidP="002270C9" w:rsidRDefault="00BB7CF6" w14:paraId="3018B2A7"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3E8A89E8" w14:textId="77777777">
            <w:pPr>
              <w:spacing w:line="240" w:lineRule="auto"/>
              <w:ind w:firstLine="0"/>
              <w:rPr>
                <w:sz w:val="24"/>
                <w:szCs w:val="24"/>
              </w:rPr>
            </w:pPr>
            <w:r w:rsidRPr="009E2A06">
              <w:rPr>
                <w:sz w:val="24"/>
                <w:szCs w:val="24"/>
              </w:rPr>
              <w:t xml:space="preserve">Total Capacity Procured (Self-Shown) – Aggregate </w:t>
            </w:r>
          </w:p>
        </w:tc>
        <w:tc>
          <w:tcPr>
            <w:tcW w:w="2195" w:type="dxa"/>
          </w:tcPr>
          <w:p w:rsidRPr="009E2A06" w:rsidR="00BB7CF6" w:rsidP="002270C9" w:rsidRDefault="00BB7CF6" w14:paraId="63D96FEE" w14:textId="77777777">
            <w:pPr>
              <w:spacing w:line="240" w:lineRule="auto"/>
              <w:ind w:firstLine="0"/>
              <w:rPr>
                <w:sz w:val="24"/>
                <w:szCs w:val="24"/>
              </w:rPr>
            </w:pPr>
            <w:r w:rsidRPr="009E2A06">
              <w:rPr>
                <w:sz w:val="24"/>
                <w:szCs w:val="24"/>
              </w:rPr>
              <w:t xml:space="preserve">Public </w:t>
            </w:r>
          </w:p>
        </w:tc>
        <w:tc>
          <w:tcPr>
            <w:tcW w:w="2158" w:type="dxa"/>
          </w:tcPr>
          <w:p w:rsidRPr="009E2A06" w:rsidR="00BB7CF6" w:rsidP="002270C9" w:rsidRDefault="00BB7CF6" w14:paraId="27A7F7D2" w14:textId="77777777">
            <w:pPr>
              <w:spacing w:line="240" w:lineRule="auto"/>
              <w:ind w:firstLine="0"/>
              <w:rPr>
                <w:sz w:val="24"/>
                <w:szCs w:val="24"/>
              </w:rPr>
            </w:pPr>
            <w:r w:rsidRPr="009E2A06">
              <w:rPr>
                <w:sz w:val="24"/>
                <w:szCs w:val="24"/>
              </w:rPr>
              <w:t xml:space="preserve">N/A </w:t>
            </w:r>
          </w:p>
        </w:tc>
        <w:tc>
          <w:tcPr>
            <w:tcW w:w="4842" w:type="dxa"/>
          </w:tcPr>
          <w:p w:rsidRPr="009E2A06" w:rsidR="00BB7CF6" w:rsidP="002270C9" w:rsidRDefault="00BB7CF6" w14:paraId="71DAFE84" w14:textId="77777777">
            <w:pPr>
              <w:spacing w:line="240" w:lineRule="auto"/>
              <w:ind w:firstLine="0"/>
              <w:rPr>
                <w:sz w:val="24"/>
                <w:szCs w:val="24"/>
              </w:rPr>
            </w:pPr>
          </w:p>
        </w:tc>
      </w:tr>
      <w:tr w:rsidRPr="009E2A06" w:rsidR="00BB7CF6" w:rsidTr="002270C9" w14:paraId="458BD262" w14:textId="77777777">
        <w:tc>
          <w:tcPr>
            <w:tcW w:w="1536" w:type="dxa"/>
          </w:tcPr>
          <w:p w:rsidRPr="009E2A06" w:rsidR="00BB7CF6" w:rsidP="002270C9" w:rsidRDefault="00BB7CF6" w14:paraId="647F902D"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0CCB0DA7" w14:textId="77777777">
            <w:pPr>
              <w:spacing w:line="240" w:lineRule="auto"/>
              <w:ind w:firstLine="0"/>
              <w:rPr>
                <w:sz w:val="24"/>
                <w:szCs w:val="24"/>
              </w:rPr>
            </w:pPr>
            <w:r w:rsidRPr="009E2A06">
              <w:rPr>
                <w:sz w:val="24"/>
                <w:szCs w:val="24"/>
              </w:rPr>
              <w:t xml:space="preserve">Total Capacity Procured (Self-Shown) - Local Area </w:t>
            </w:r>
          </w:p>
        </w:tc>
        <w:tc>
          <w:tcPr>
            <w:tcW w:w="2195" w:type="dxa"/>
          </w:tcPr>
          <w:p w:rsidRPr="009E2A06" w:rsidR="00BB7CF6" w:rsidP="002270C9" w:rsidRDefault="00BB7CF6" w14:paraId="64D78A72"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3BE71BE5" w14:textId="77777777">
            <w:pPr>
              <w:spacing w:line="240" w:lineRule="auto"/>
              <w:ind w:firstLine="0"/>
              <w:rPr>
                <w:sz w:val="24"/>
                <w:szCs w:val="24"/>
              </w:rPr>
            </w:pPr>
            <w:r w:rsidRPr="009E2A06">
              <w:rPr>
                <w:sz w:val="24"/>
                <w:szCs w:val="24"/>
              </w:rPr>
              <w:t xml:space="preserve">Front 3 years </w:t>
            </w:r>
          </w:p>
        </w:tc>
        <w:tc>
          <w:tcPr>
            <w:tcW w:w="4842" w:type="dxa"/>
          </w:tcPr>
          <w:p w:rsidRPr="009E2A06" w:rsidR="00BB7CF6" w:rsidP="002270C9" w:rsidRDefault="00BB7CF6" w14:paraId="2C25E9EC" w14:textId="77777777">
            <w:pPr>
              <w:spacing w:line="240" w:lineRule="auto"/>
              <w:ind w:firstLine="0"/>
              <w:rPr>
                <w:sz w:val="24"/>
                <w:szCs w:val="24"/>
              </w:rPr>
            </w:pPr>
            <w:r w:rsidRPr="009E2A06">
              <w:rPr>
                <w:sz w:val="24"/>
                <w:szCs w:val="24"/>
              </w:rPr>
              <w:t xml:space="preserve">Disclosure of the capacity that was procured in each local area could potentially have an adverse effect on the market, put the CPE at a competitive disadvantage with regard to other market participants, and impact participants’ future bidding behavior for capacity that has not yet been procured. </w:t>
            </w:r>
          </w:p>
        </w:tc>
      </w:tr>
      <w:tr w:rsidRPr="009E2A06" w:rsidR="00BB7CF6" w:rsidTr="002270C9" w14:paraId="730BED98" w14:textId="77777777">
        <w:tc>
          <w:tcPr>
            <w:tcW w:w="1536" w:type="dxa"/>
          </w:tcPr>
          <w:p w:rsidRPr="009E2A06" w:rsidR="00BB7CF6" w:rsidP="002270C9" w:rsidRDefault="00BB7CF6" w14:paraId="2012D6AA"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0DC2022A" w14:textId="77777777">
            <w:pPr>
              <w:spacing w:line="240" w:lineRule="auto"/>
              <w:ind w:firstLine="0"/>
              <w:rPr>
                <w:sz w:val="24"/>
                <w:szCs w:val="24"/>
              </w:rPr>
            </w:pPr>
            <w:r w:rsidRPr="009E2A06">
              <w:rPr>
                <w:sz w:val="24"/>
                <w:szCs w:val="24"/>
              </w:rPr>
              <w:t xml:space="preserve">Net Open Position Capacity (MW) – Aggregate </w:t>
            </w:r>
          </w:p>
        </w:tc>
        <w:tc>
          <w:tcPr>
            <w:tcW w:w="2195" w:type="dxa"/>
          </w:tcPr>
          <w:p w:rsidRPr="009E2A06" w:rsidR="00BB7CF6" w:rsidP="002270C9" w:rsidRDefault="00BB7CF6" w14:paraId="66D9C6E5" w14:textId="77777777">
            <w:pPr>
              <w:spacing w:line="240" w:lineRule="auto"/>
              <w:ind w:firstLine="0"/>
              <w:rPr>
                <w:sz w:val="24"/>
                <w:szCs w:val="24"/>
              </w:rPr>
            </w:pPr>
            <w:r w:rsidRPr="009E2A06">
              <w:rPr>
                <w:sz w:val="24"/>
                <w:szCs w:val="24"/>
              </w:rPr>
              <w:t xml:space="preserve">Public </w:t>
            </w:r>
          </w:p>
        </w:tc>
        <w:tc>
          <w:tcPr>
            <w:tcW w:w="2158" w:type="dxa"/>
          </w:tcPr>
          <w:p w:rsidRPr="009E2A06" w:rsidR="00BB7CF6" w:rsidP="002270C9" w:rsidRDefault="00BB7CF6" w14:paraId="4BB01D87" w14:textId="77777777">
            <w:pPr>
              <w:spacing w:line="240" w:lineRule="auto"/>
              <w:ind w:firstLine="0"/>
              <w:rPr>
                <w:sz w:val="24"/>
                <w:szCs w:val="24"/>
              </w:rPr>
            </w:pPr>
            <w:r w:rsidRPr="009E2A06">
              <w:rPr>
                <w:sz w:val="24"/>
                <w:szCs w:val="24"/>
              </w:rPr>
              <w:t xml:space="preserve">N/A </w:t>
            </w:r>
          </w:p>
        </w:tc>
        <w:tc>
          <w:tcPr>
            <w:tcW w:w="4842" w:type="dxa"/>
          </w:tcPr>
          <w:p w:rsidRPr="009E2A06" w:rsidR="00BB7CF6" w:rsidP="002270C9" w:rsidRDefault="00BB7CF6" w14:paraId="3E6991D2" w14:textId="77777777">
            <w:pPr>
              <w:spacing w:line="240" w:lineRule="auto"/>
              <w:ind w:firstLine="0"/>
              <w:rPr>
                <w:sz w:val="24"/>
                <w:szCs w:val="24"/>
              </w:rPr>
            </w:pPr>
            <w:r w:rsidRPr="009E2A06">
              <w:rPr>
                <w:sz w:val="24"/>
                <w:szCs w:val="24"/>
              </w:rPr>
              <w:t xml:space="preserve">N/A </w:t>
            </w:r>
          </w:p>
        </w:tc>
      </w:tr>
      <w:tr w:rsidRPr="009E2A06" w:rsidR="00BB7CF6" w:rsidTr="002270C9" w14:paraId="7E771E52" w14:textId="77777777">
        <w:tc>
          <w:tcPr>
            <w:tcW w:w="1536" w:type="dxa"/>
          </w:tcPr>
          <w:p w:rsidRPr="009E2A06" w:rsidR="00BB7CF6" w:rsidP="002270C9" w:rsidRDefault="00BB7CF6" w14:paraId="2BA6C4ED" w14:textId="77777777">
            <w:pPr>
              <w:spacing w:line="240" w:lineRule="auto"/>
              <w:ind w:firstLine="0"/>
              <w:rPr>
                <w:sz w:val="24"/>
                <w:szCs w:val="24"/>
              </w:rPr>
            </w:pPr>
            <w:r w:rsidRPr="009E2A06">
              <w:rPr>
                <w:sz w:val="24"/>
                <w:szCs w:val="24"/>
              </w:rPr>
              <w:t xml:space="preserve">Portfolio </w:t>
            </w:r>
          </w:p>
        </w:tc>
        <w:tc>
          <w:tcPr>
            <w:tcW w:w="3399" w:type="dxa"/>
          </w:tcPr>
          <w:p w:rsidRPr="009E2A06" w:rsidR="00BB7CF6" w:rsidP="002270C9" w:rsidRDefault="00BB7CF6" w14:paraId="37DD705F" w14:textId="77777777">
            <w:pPr>
              <w:spacing w:line="240" w:lineRule="auto"/>
              <w:ind w:firstLine="0"/>
              <w:rPr>
                <w:sz w:val="24"/>
                <w:szCs w:val="24"/>
              </w:rPr>
            </w:pPr>
            <w:r w:rsidRPr="009E2A06">
              <w:rPr>
                <w:sz w:val="24"/>
                <w:szCs w:val="24"/>
              </w:rPr>
              <w:t xml:space="preserve">Net Open Position Capacity (MW) - Local Area </w:t>
            </w:r>
          </w:p>
        </w:tc>
        <w:tc>
          <w:tcPr>
            <w:tcW w:w="2195" w:type="dxa"/>
          </w:tcPr>
          <w:p w:rsidRPr="009E2A06" w:rsidR="00BB7CF6" w:rsidP="002270C9" w:rsidRDefault="00BB7CF6" w14:paraId="452CAFCC"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5E61034B" w14:textId="77777777">
            <w:pPr>
              <w:spacing w:line="240" w:lineRule="auto"/>
              <w:ind w:firstLine="0"/>
              <w:rPr>
                <w:sz w:val="24"/>
                <w:szCs w:val="24"/>
              </w:rPr>
            </w:pPr>
            <w:r w:rsidRPr="009E2A06">
              <w:rPr>
                <w:sz w:val="24"/>
                <w:szCs w:val="24"/>
              </w:rPr>
              <w:t xml:space="preserve">Front 3 years </w:t>
            </w:r>
          </w:p>
        </w:tc>
        <w:tc>
          <w:tcPr>
            <w:tcW w:w="4842" w:type="dxa"/>
          </w:tcPr>
          <w:p w:rsidRPr="009E2A06" w:rsidR="00BB7CF6" w:rsidP="002270C9" w:rsidRDefault="00BB7CF6" w14:paraId="4AC83A73" w14:textId="77777777">
            <w:pPr>
              <w:spacing w:line="240" w:lineRule="auto"/>
              <w:ind w:firstLine="0"/>
              <w:rPr>
                <w:sz w:val="24"/>
                <w:szCs w:val="24"/>
              </w:rPr>
            </w:pPr>
            <w:r w:rsidRPr="009E2A06">
              <w:rPr>
                <w:sz w:val="24"/>
                <w:szCs w:val="24"/>
              </w:rPr>
              <w:t xml:space="preserve">Disclosure of the capacity that was procured in each local area could potentially have an adverse effect on the market, put the CPE at a competitive disadvantage with regard to other market participants, and impact participants’ </w:t>
            </w:r>
            <w:r w:rsidRPr="009E2A06">
              <w:rPr>
                <w:sz w:val="24"/>
                <w:szCs w:val="24"/>
              </w:rPr>
              <w:lastRenderedPageBreak/>
              <w:t xml:space="preserve">future bidding behavior for capacity that has not yet been procured. </w:t>
            </w:r>
          </w:p>
        </w:tc>
      </w:tr>
      <w:tr w:rsidRPr="009E2A06" w:rsidR="00BB7CF6" w:rsidTr="002270C9" w14:paraId="41F0E243" w14:textId="77777777">
        <w:tc>
          <w:tcPr>
            <w:tcW w:w="1536" w:type="dxa"/>
          </w:tcPr>
          <w:p w:rsidRPr="009E2A06" w:rsidR="00BB7CF6" w:rsidP="002270C9" w:rsidRDefault="00BB7CF6" w14:paraId="3AD33A1B" w14:textId="77777777">
            <w:pPr>
              <w:spacing w:line="240" w:lineRule="auto"/>
              <w:ind w:firstLine="0"/>
              <w:rPr>
                <w:sz w:val="24"/>
                <w:szCs w:val="24"/>
              </w:rPr>
            </w:pPr>
            <w:r w:rsidRPr="009E2A06">
              <w:rPr>
                <w:sz w:val="24"/>
                <w:szCs w:val="24"/>
              </w:rPr>
              <w:lastRenderedPageBreak/>
              <w:t xml:space="preserve">Forecast </w:t>
            </w:r>
          </w:p>
        </w:tc>
        <w:tc>
          <w:tcPr>
            <w:tcW w:w="3399" w:type="dxa"/>
          </w:tcPr>
          <w:p w:rsidRPr="009E2A06" w:rsidR="00BB7CF6" w:rsidP="002270C9" w:rsidRDefault="00BB7CF6" w14:paraId="546903A3" w14:textId="77777777">
            <w:pPr>
              <w:spacing w:line="240" w:lineRule="auto"/>
              <w:ind w:firstLine="0"/>
              <w:rPr>
                <w:sz w:val="24"/>
                <w:szCs w:val="24"/>
              </w:rPr>
            </w:pPr>
            <w:r w:rsidRPr="009E2A06">
              <w:rPr>
                <w:sz w:val="24"/>
                <w:szCs w:val="24"/>
              </w:rPr>
              <w:t xml:space="preserve">Forecasted Wholesale Market Purchases </w:t>
            </w:r>
          </w:p>
        </w:tc>
        <w:tc>
          <w:tcPr>
            <w:tcW w:w="2195" w:type="dxa"/>
          </w:tcPr>
          <w:p w:rsidRPr="009E2A06" w:rsidR="00BB7CF6" w:rsidP="002270C9" w:rsidRDefault="00BB7CF6" w14:paraId="5BBD5848"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09F0BAB8" w14:textId="77777777">
            <w:pPr>
              <w:spacing w:line="240" w:lineRule="auto"/>
              <w:ind w:firstLine="0"/>
              <w:rPr>
                <w:sz w:val="24"/>
                <w:szCs w:val="24"/>
              </w:rPr>
            </w:pPr>
            <w:r w:rsidRPr="009E2A06">
              <w:rPr>
                <w:sz w:val="24"/>
                <w:szCs w:val="24"/>
              </w:rPr>
              <w:t xml:space="preserve">Front 3 years </w:t>
            </w:r>
          </w:p>
        </w:tc>
        <w:tc>
          <w:tcPr>
            <w:tcW w:w="4842" w:type="dxa"/>
          </w:tcPr>
          <w:p w:rsidRPr="009E2A06" w:rsidR="00BB7CF6" w:rsidP="002270C9" w:rsidRDefault="00BB7CF6" w14:paraId="7337E248" w14:textId="77777777">
            <w:pPr>
              <w:spacing w:line="240" w:lineRule="auto"/>
              <w:ind w:firstLine="0"/>
              <w:rPr>
                <w:sz w:val="24"/>
                <w:szCs w:val="24"/>
              </w:rPr>
            </w:pPr>
            <w:r w:rsidRPr="009E2A06">
              <w:rPr>
                <w:sz w:val="24"/>
                <w:szCs w:val="24"/>
              </w:rPr>
              <w:t xml:space="preserve">Disclosure of the capacity that is forecasted to be procured in each local area could potentially have an adverse effect on the market, put the CPE at a competitive disadvantage with regard to other market participants, and impact participants’ future bidding behavior for capacity that has not yet been procured. </w:t>
            </w:r>
          </w:p>
        </w:tc>
      </w:tr>
      <w:tr w:rsidRPr="009E2A06" w:rsidR="00BB7CF6" w:rsidTr="002270C9" w14:paraId="1BD153D0" w14:textId="77777777">
        <w:tc>
          <w:tcPr>
            <w:tcW w:w="1536" w:type="dxa"/>
          </w:tcPr>
          <w:p w:rsidRPr="009E2A06" w:rsidR="00BB7CF6" w:rsidP="002270C9" w:rsidRDefault="00BB7CF6" w14:paraId="5124F2CA" w14:textId="77777777">
            <w:pPr>
              <w:spacing w:line="240" w:lineRule="auto"/>
              <w:ind w:firstLine="0"/>
              <w:rPr>
                <w:sz w:val="24"/>
                <w:szCs w:val="24"/>
              </w:rPr>
            </w:pPr>
            <w:r w:rsidRPr="009E2A06">
              <w:rPr>
                <w:sz w:val="24"/>
                <w:szCs w:val="24"/>
              </w:rPr>
              <w:t xml:space="preserve">Forecast </w:t>
            </w:r>
          </w:p>
        </w:tc>
        <w:tc>
          <w:tcPr>
            <w:tcW w:w="3399" w:type="dxa"/>
          </w:tcPr>
          <w:p w:rsidRPr="009E2A06" w:rsidR="00BB7CF6" w:rsidP="002270C9" w:rsidRDefault="00BB7CF6" w14:paraId="1183100B" w14:textId="77777777">
            <w:pPr>
              <w:spacing w:line="240" w:lineRule="auto"/>
              <w:ind w:firstLine="0"/>
              <w:rPr>
                <w:sz w:val="24"/>
                <w:szCs w:val="24"/>
              </w:rPr>
            </w:pPr>
            <w:r w:rsidRPr="009E2A06">
              <w:rPr>
                <w:sz w:val="24"/>
                <w:szCs w:val="24"/>
              </w:rPr>
              <w:t xml:space="preserve">Forecasted Wholesale Market Sales </w:t>
            </w:r>
          </w:p>
        </w:tc>
        <w:tc>
          <w:tcPr>
            <w:tcW w:w="2195" w:type="dxa"/>
          </w:tcPr>
          <w:p w:rsidRPr="009E2A06" w:rsidR="00BB7CF6" w:rsidP="002270C9" w:rsidRDefault="00BB7CF6" w14:paraId="6C0B359C"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051483AF" w14:textId="77777777">
            <w:pPr>
              <w:spacing w:line="240" w:lineRule="auto"/>
              <w:ind w:firstLine="0"/>
              <w:rPr>
                <w:sz w:val="24"/>
                <w:szCs w:val="24"/>
              </w:rPr>
            </w:pPr>
            <w:r w:rsidRPr="009E2A06">
              <w:rPr>
                <w:sz w:val="24"/>
                <w:szCs w:val="24"/>
              </w:rPr>
              <w:t xml:space="preserve">Front 3 years </w:t>
            </w:r>
          </w:p>
        </w:tc>
        <w:tc>
          <w:tcPr>
            <w:tcW w:w="4842" w:type="dxa"/>
          </w:tcPr>
          <w:p w:rsidRPr="009E2A06" w:rsidR="00BB7CF6" w:rsidP="002270C9" w:rsidRDefault="00BB7CF6" w14:paraId="7F0C7429" w14:textId="77777777">
            <w:pPr>
              <w:spacing w:line="240" w:lineRule="auto"/>
              <w:ind w:firstLine="0"/>
              <w:rPr>
                <w:sz w:val="24"/>
                <w:szCs w:val="24"/>
              </w:rPr>
            </w:pPr>
            <w:r w:rsidRPr="009E2A06">
              <w:rPr>
                <w:sz w:val="24"/>
                <w:szCs w:val="24"/>
              </w:rPr>
              <w:t xml:space="preserve">Disclosure of the capacity that is forecasted to be sold in each local area could potentially have an adverse effect on the market, put the CPE at a competitive disadvantage with regard to other market participants, and impact participants’ future bidding behavior for capacity that has not yet been procured. </w:t>
            </w:r>
          </w:p>
        </w:tc>
      </w:tr>
      <w:tr w:rsidRPr="009E2A06" w:rsidR="00BB7CF6" w:rsidTr="002270C9" w14:paraId="26086E98" w14:textId="77777777">
        <w:tc>
          <w:tcPr>
            <w:tcW w:w="1536" w:type="dxa"/>
          </w:tcPr>
          <w:p w:rsidRPr="009E2A06" w:rsidR="00BB7CF6" w:rsidP="002270C9" w:rsidRDefault="00BB7CF6" w14:paraId="48892369" w14:textId="77777777">
            <w:pPr>
              <w:spacing w:line="240" w:lineRule="auto"/>
              <w:ind w:firstLine="0"/>
              <w:rPr>
                <w:sz w:val="24"/>
                <w:szCs w:val="24"/>
              </w:rPr>
            </w:pPr>
            <w:r w:rsidRPr="009E2A06">
              <w:rPr>
                <w:sz w:val="24"/>
                <w:szCs w:val="24"/>
              </w:rPr>
              <w:t xml:space="preserve">Forecast </w:t>
            </w:r>
          </w:p>
        </w:tc>
        <w:tc>
          <w:tcPr>
            <w:tcW w:w="3399" w:type="dxa"/>
          </w:tcPr>
          <w:p w:rsidRPr="009E2A06" w:rsidR="00BB7CF6" w:rsidP="002270C9" w:rsidRDefault="00BB7CF6" w14:paraId="50204C9C" w14:textId="77777777">
            <w:pPr>
              <w:spacing w:line="240" w:lineRule="auto"/>
              <w:ind w:firstLine="0"/>
              <w:rPr>
                <w:sz w:val="24"/>
                <w:szCs w:val="24"/>
              </w:rPr>
            </w:pPr>
            <w:r w:rsidRPr="009E2A06">
              <w:rPr>
                <w:sz w:val="24"/>
                <w:szCs w:val="24"/>
              </w:rPr>
              <w:t xml:space="preserve">Forecasted Contract Costs </w:t>
            </w:r>
          </w:p>
        </w:tc>
        <w:tc>
          <w:tcPr>
            <w:tcW w:w="2195" w:type="dxa"/>
          </w:tcPr>
          <w:p w:rsidRPr="009E2A06" w:rsidR="00BB7CF6" w:rsidP="002270C9" w:rsidRDefault="00BB7CF6" w14:paraId="0227D1DF"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4CAAF948" w14:textId="77777777">
            <w:pPr>
              <w:spacing w:line="240" w:lineRule="auto"/>
              <w:ind w:firstLine="0"/>
              <w:rPr>
                <w:sz w:val="24"/>
                <w:szCs w:val="24"/>
              </w:rPr>
            </w:pPr>
            <w:r w:rsidRPr="009E2A06">
              <w:rPr>
                <w:sz w:val="24"/>
                <w:szCs w:val="24"/>
              </w:rPr>
              <w:t xml:space="preserve">Front 3 years </w:t>
            </w:r>
          </w:p>
        </w:tc>
        <w:tc>
          <w:tcPr>
            <w:tcW w:w="4842" w:type="dxa"/>
          </w:tcPr>
          <w:p w:rsidRPr="009E2A06" w:rsidR="00BB7CF6" w:rsidP="002270C9" w:rsidRDefault="00BB7CF6" w14:paraId="562A0B82" w14:textId="77777777">
            <w:pPr>
              <w:spacing w:line="240" w:lineRule="auto"/>
              <w:ind w:firstLine="0"/>
              <w:rPr>
                <w:sz w:val="24"/>
                <w:szCs w:val="24"/>
              </w:rPr>
            </w:pPr>
            <w:r w:rsidRPr="009E2A06">
              <w:rPr>
                <w:sz w:val="24"/>
                <w:szCs w:val="24"/>
              </w:rPr>
              <w:t xml:space="preserve">Disclosure of the contract costs that are forecasted to be incurred by the CPE could potentially have an adverse effect on the market, put the CPE at a competitive disadvantage with regard to other market participants, and impact participants’ future bidding behavior for capacity that has not yet been procured by allowing market participants to determine the prices of CPE transactions. </w:t>
            </w:r>
          </w:p>
        </w:tc>
      </w:tr>
      <w:tr w:rsidRPr="009E2A06" w:rsidR="00BB7CF6" w:rsidTr="002270C9" w14:paraId="1277C496" w14:textId="77777777">
        <w:tc>
          <w:tcPr>
            <w:tcW w:w="1536" w:type="dxa"/>
          </w:tcPr>
          <w:p w:rsidRPr="009E2A06" w:rsidR="00BB7CF6" w:rsidP="002270C9" w:rsidRDefault="00BB7CF6" w14:paraId="2C877411" w14:textId="77777777">
            <w:pPr>
              <w:spacing w:line="240" w:lineRule="auto"/>
              <w:ind w:firstLine="0"/>
              <w:rPr>
                <w:sz w:val="24"/>
                <w:szCs w:val="24"/>
              </w:rPr>
            </w:pPr>
            <w:r w:rsidRPr="009E2A06">
              <w:rPr>
                <w:sz w:val="24"/>
                <w:szCs w:val="24"/>
              </w:rPr>
              <w:lastRenderedPageBreak/>
              <w:t xml:space="preserve">Competitive Solicitation Information </w:t>
            </w:r>
          </w:p>
        </w:tc>
        <w:tc>
          <w:tcPr>
            <w:tcW w:w="3399" w:type="dxa"/>
          </w:tcPr>
          <w:p w:rsidRPr="009E2A06" w:rsidR="00BB7CF6" w:rsidP="002270C9" w:rsidRDefault="00BB7CF6" w14:paraId="637C8884" w14:textId="77777777">
            <w:pPr>
              <w:spacing w:line="240" w:lineRule="auto"/>
              <w:ind w:firstLine="0"/>
              <w:rPr>
                <w:sz w:val="24"/>
                <w:szCs w:val="24"/>
              </w:rPr>
            </w:pPr>
            <w:r w:rsidRPr="009E2A06">
              <w:rPr>
                <w:sz w:val="24"/>
                <w:szCs w:val="24"/>
              </w:rPr>
              <w:t xml:space="preserve">Score sheets, analysis and evaluation </w:t>
            </w:r>
          </w:p>
        </w:tc>
        <w:tc>
          <w:tcPr>
            <w:tcW w:w="2195" w:type="dxa"/>
          </w:tcPr>
          <w:p w:rsidRPr="009E2A06" w:rsidR="00BB7CF6" w:rsidP="002270C9" w:rsidRDefault="00BB7CF6" w14:paraId="3B8E0FB6"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53FD9833" w14:textId="77777777">
            <w:pPr>
              <w:spacing w:line="240" w:lineRule="auto"/>
              <w:ind w:firstLine="0"/>
              <w:rPr>
                <w:sz w:val="24"/>
                <w:szCs w:val="24"/>
              </w:rPr>
            </w:pPr>
            <w:r w:rsidRPr="009E2A06">
              <w:rPr>
                <w:sz w:val="24"/>
                <w:szCs w:val="24"/>
              </w:rPr>
              <w:t xml:space="preserve">3 years after conclusion of solicitation </w:t>
            </w:r>
          </w:p>
        </w:tc>
        <w:tc>
          <w:tcPr>
            <w:tcW w:w="4842" w:type="dxa"/>
          </w:tcPr>
          <w:p w:rsidRPr="009E2A06" w:rsidR="00BB7CF6" w:rsidP="002270C9" w:rsidRDefault="00BB7CF6" w14:paraId="42C4C9A0" w14:textId="77777777">
            <w:pPr>
              <w:spacing w:line="240" w:lineRule="auto"/>
              <w:ind w:firstLine="0"/>
              <w:rPr>
                <w:sz w:val="24"/>
                <w:szCs w:val="24"/>
              </w:rPr>
            </w:pPr>
            <w:r w:rsidRPr="009E2A06">
              <w:rPr>
                <w:sz w:val="24"/>
                <w:szCs w:val="24"/>
              </w:rPr>
              <w:t xml:space="preserve">Disclosure of the score sheets, analysis and evaluation for CPE procurement could potentially have an adverse effect on the market, put the CPE at a competitive disadvantage with regard to other market participants, and impact participants’ future bidding behavior for capacity that has not yet been procured. </w:t>
            </w:r>
          </w:p>
        </w:tc>
      </w:tr>
      <w:tr w:rsidRPr="009E2A06" w:rsidR="00BB7CF6" w:rsidTr="002270C9" w14:paraId="2016BE5B" w14:textId="77777777">
        <w:tc>
          <w:tcPr>
            <w:tcW w:w="1536" w:type="dxa"/>
          </w:tcPr>
          <w:p w:rsidRPr="009E2A06" w:rsidR="00BB7CF6" w:rsidP="002270C9" w:rsidRDefault="00BB7CF6" w14:paraId="17BD7095" w14:textId="77777777">
            <w:pPr>
              <w:spacing w:line="240" w:lineRule="auto"/>
              <w:ind w:firstLine="0"/>
              <w:rPr>
                <w:sz w:val="24"/>
                <w:szCs w:val="24"/>
              </w:rPr>
            </w:pPr>
            <w:r w:rsidRPr="009E2A06">
              <w:rPr>
                <w:sz w:val="24"/>
                <w:szCs w:val="24"/>
              </w:rPr>
              <w:t xml:space="preserve">Competitive Solicitation Information </w:t>
            </w:r>
          </w:p>
        </w:tc>
        <w:tc>
          <w:tcPr>
            <w:tcW w:w="3399" w:type="dxa"/>
          </w:tcPr>
          <w:p w:rsidRPr="009E2A06" w:rsidR="00BB7CF6" w:rsidP="002270C9" w:rsidRDefault="00BB7CF6" w14:paraId="5994BF8C" w14:textId="77777777">
            <w:pPr>
              <w:spacing w:line="240" w:lineRule="auto"/>
              <w:ind w:firstLine="0"/>
              <w:rPr>
                <w:sz w:val="24"/>
                <w:szCs w:val="24"/>
              </w:rPr>
            </w:pPr>
            <w:r w:rsidRPr="009E2A06">
              <w:rPr>
                <w:sz w:val="24"/>
                <w:szCs w:val="24"/>
              </w:rPr>
              <w:t xml:space="preserve">Bid/Offer data </w:t>
            </w:r>
          </w:p>
        </w:tc>
        <w:tc>
          <w:tcPr>
            <w:tcW w:w="2195" w:type="dxa"/>
          </w:tcPr>
          <w:p w:rsidRPr="009E2A06" w:rsidR="00BB7CF6" w:rsidP="002270C9" w:rsidRDefault="00BB7CF6" w14:paraId="3A853946" w14:textId="77777777">
            <w:pPr>
              <w:spacing w:line="240" w:lineRule="auto"/>
              <w:ind w:firstLine="0"/>
              <w:rPr>
                <w:sz w:val="24"/>
                <w:szCs w:val="24"/>
              </w:rPr>
            </w:pPr>
            <w:r w:rsidRPr="009E2A06">
              <w:rPr>
                <w:sz w:val="24"/>
                <w:szCs w:val="24"/>
              </w:rPr>
              <w:t xml:space="preserve">Confidential </w:t>
            </w:r>
          </w:p>
        </w:tc>
        <w:tc>
          <w:tcPr>
            <w:tcW w:w="2158" w:type="dxa"/>
          </w:tcPr>
          <w:p w:rsidRPr="009E2A06" w:rsidR="00BB7CF6" w:rsidP="002270C9" w:rsidRDefault="00BB7CF6" w14:paraId="23F2FCFC" w14:textId="77777777">
            <w:pPr>
              <w:spacing w:line="240" w:lineRule="auto"/>
              <w:ind w:firstLine="0"/>
              <w:rPr>
                <w:sz w:val="24"/>
                <w:szCs w:val="24"/>
              </w:rPr>
            </w:pPr>
            <w:r w:rsidRPr="009E2A06">
              <w:rPr>
                <w:sz w:val="24"/>
                <w:szCs w:val="24"/>
              </w:rPr>
              <w:t xml:space="preserve">3 years after conclusion of solicitation </w:t>
            </w:r>
          </w:p>
        </w:tc>
        <w:tc>
          <w:tcPr>
            <w:tcW w:w="4842" w:type="dxa"/>
          </w:tcPr>
          <w:p w:rsidRPr="009E2A06" w:rsidR="00BB7CF6" w:rsidP="002270C9" w:rsidRDefault="00BB7CF6" w14:paraId="3BE01F1F" w14:textId="77777777">
            <w:pPr>
              <w:spacing w:line="240" w:lineRule="auto"/>
              <w:ind w:firstLine="0"/>
              <w:rPr>
                <w:sz w:val="24"/>
                <w:szCs w:val="24"/>
              </w:rPr>
            </w:pPr>
            <w:r w:rsidRPr="009E2A06">
              <w:rPr>
                <w:sz w:val="24"/>
                <w:szCs w:val="24"/>
              </w:rPr>
              <w:t xml:space="preserve">Disclosure of the bid/offer data received during CPE procurement could potentially have an adverse effect on the market, put the CPE at a competitive disadvantage with regard to other market participants, and impact participants’ future bidding behavior for capacity that has not yet been procured. </w:t>
            </w:r>
          </w:p>
        </w:tc>
      </w:tr>
    </w:tbl>
    <w:p w:rsidRPr="009E2A06" w:rsidR="00BB7CF6" w:rsidP="00BB7CF6" w:rsidRDefault="00BB7CF6" w14:paraId="23917796" w14:textId="77777777">
      <w:pPr>
        <w:spacing w:after="160" w:line="259" w:lineRule="auto"/>
        <w:ind w:firstLine="0"/>
        <w:rPr>
          <w:sz w:val="24"/>
          <w:szCs w:val="24"/>
        </w:rPr>
      </w:pPr>
    </w:p>
    <w:p w:rsidRPr="00BB7CF6" w:rsidR="009E2A06" w:rsidP="00BB7CF6" w:rsidRDefault="00BB7CF6" w14:paraId="37C3CD0F" w14:textId="5DF601C3">
      <w:pPr>
        <w:jc w:val="center"/>
        <w:rPr>
          <w:sz w:val="36"/>
          <w:szCs w:val="36"/>
        </w:rPr>
      </w:pPr>
      <w:r w:rsidRPr="009E2A06">
        <w:rPr>
          <w:sz w:val="36"/>
          <w:szCs w:val="36"/>
        </w:rPr>
        <w:t>(End of Appendix A)</w:t>
      </w:r>
    </w:p>
    <w:sectPr w:rsidRPr="00BB7CF6" w:rsidR="009E2A06" w:rsidSect="009E2A06">
      <w:headerReference w:type="default" r:id="rId16"/>
      <w:footerReference w:type="default" r:id="rId17"/>
      <w:pgSz w:w="15840" w:h="12240" w:orient="landscape"/>
      <w:pgMar w:top="1440" w:right="1728" w:bottom="1440" w:left="1440" w:header="720" w:footer="720" w:gutter="0"/>
      <w:pgNumType w:start="1"/>
      <w:cols w:space="720"/>
      <w:docGrid w:linePitch="360"/>
    </w:sectPr>
    <w:p>
      <w:r>
        <w:t xml:space="preserve"/>
      </w:r>
    </w:p>
    <w:p>
      <w:r>
        <w:t xml:space="preserve">Attachment 1: </w:t>
      </w:r>
    </w:p>
    <w:p>
      <w:hyperlink w:history="true" r:id="R405a0bac7afc4762">
        <w:r w:rsidRPr="00CB1292">
          <w:rPr>
            <w:rStyle w:val="Hyperlink"/>
            <w:color w:val="2E74B5" w:themeColor="accent1" w:themeShade="BF"/>
            <w:u w:val="single"/>
          </w:rPr>
          <w:t>(Redline) R.21-10-002 Decision on Phase 1 of the Implementation Track Modifications.pdf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4501" w14:textId="77777777" w:rsidR="00E710CC" w:rsidRDefault="00E710CC" w:rsidP="0098138E">
      <w:pPr>
        <w:spacing w:line="240" w:lineRule="auto"/>
      </w:pPr>
      <w:r>
        <w:separator/>
      </w:r>
    </w:p>
  </w:endnote>
  <w:endnote w:type="continuationSeparator" w:id="0">
    <w:p w14:paraId="1BCA1228" w14:textId="77777777" w:rsidR="00E710CC" w:rsidRDefault="00E710CC"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2B1E" w14:textId="77777777" w:rsidR="00BB7CF6" w:rsidRDefault="00BB7CF6"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645B" w14:textId="38296B7E" w:rsidR="00BB7CF6" w:rsidRDefault="00E710CC"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F84DCA">
          <w:rPr>
            <w:rFonts w:ascii="Arial" w:hAnsi="Arial" w:cs="Arial"/>
            <w:sz w:val="16"/>
            <w:szCs w:val="16"/>
          </w:rPr>
          <w:t>459697950</w:t>
        </w:r>
        <w:r w:rsidR="00BB7CF6">
          <w:rPr>
            <w:rFonts w:ascii="Arial" w:hAnsi="Arial" w:cs="Arial"/>
            <w:sz w:val="16"/>
            <w:szCs w:val="16"/>
          </w:rPr>
          <w:tab/>
        </w:r>
        <w:r w:rsidR="00BB7CF6">
          <w:t>- 1</w:t>
        </w:r>
      </w:sdtContent>
    </w:sdt>
    <w:r w:rsidR="00BB7CF6">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0D80" w14:textId="77777777" w:rsidR="00BB7CF6" w:rsidRDefault="00BB7CF6" w:rsidP="007E0FEE">
    <w:pPr>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DA45" w14:textId="77777777" w:rsidR="00BB7CF6" w:rsidRDefault="00BB7CF6" w:rsidP="007E0FEE">
    <w:pPr>
      <w:ind w:firstLine="0"/>
      <w:jc w:val="center"/>
    </w:pPr>
    <w:r>
      <w:t xml:space="preserve">- </w:t>
    </w:r>
    <w:sdt>
      <w:sdtPr>
        <w:id w:val="19351648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7013" w14:textId="77777777" w:rsidR="00BB7CF6" w:rsidRDefault="00BB7CF6" w:rsidP="007E0FEE">
    <w:pPr>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7012" w14:textId="2731B02B" w:rsidR="009E2A06" w:rsidRDefault="00E710CC" w:rsidP="009E2A06">
    <w:pPr>
      <w:pStyle w:val="Footer"/>
      <w:jc w:val="center"/>
    </w:pPr>
    <w:sdt>
      <w:sdtPr>
        <w:id w:val="1570770055"/>
        <w:docPartObj>
          <w:docPartGallery w:val="Page Numbers (Bottom of Page)"/>
          <w:docPartUnique/>
        </w:docPartObj>
      </w:sdtPr>
      <w:sdtEndPr>
        <w:rPr>
          <w:noProof/>
        </w:rPr>
      </w:sdtEndPr>
      <w:sdtContent>
        <w:r w:rsidR="009E2A06">
          <w:t xml:space="preserve">- </w:t>
        </w:r>
        <w:r w:rsidR="009E2A06">
          <w:fldChar w:fldCharType="begin"/>
        </w:r>
        <w:r w:rsidR="009E2A06">
          <w:instrText xml:space="preserve"> PAGE   \* MERGEFORMAT </w:instrText>
        </w:r>
        <w:r w:rsidR="009E2A06">
          <w:fldChar w:fldCharType="separate"/>
        </w:r>
        <w:r w:rsidR="009E2A06">
          <w:rPr>
            <w:noProof/>
          </w:rPr>
          <w:t>2</w:t>
        </w:r>
        <w:r w:rsidR="009E2A06">
          <w:rPr>
            <w:noProof/>
          </w:rPr>
          <w:fldChar w:fldCharType="end"/>
        </w:r>
      </w:sdtContent>
    </w:sdt>
    <w:r w:rsidR="009E2A0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500F" w14:textId="77777777" w:rsidR="00E710CC" w:rsidRDefault="00E710CC" w:rsidP="00DF58E7">
      <w:pPr>
        <w:spacing w:line="240" w:lineRule="auto"/>
        <w:ind w:firstLine="0"/>
      </w:pPr>
      <w:r>
        <w:separator/>
      </w:r>
    </w:p>
  </w:footnote>
  <w:footnote w:type="continuationSeparator" w:id="0">
    <w:p w14:paraId="045131F9" w14:textId="77777777" w:rsidR="00E710CC" w:rsidRDefault="00E710CC" w:rsidP="00DF58E7">
      <w:pPr>
        <w:spacing w:line="240" w:lineRule="auto"/>
        <w:ind w:firstLine="0"/>
      </w:pPr>
      <w:r>
        <w:continuationSeparator/>
      </w:r>
    </w:p>
  </w:footnote>
  <w:footnote w:type="continuationNotice" w:id="1">
    <w:p w14:paraId="4BA91EC8" w14:textId="77777777" w:rsidR="00E710CC" w:rsidRPr="00DF58E7" w:rsidRDefault="00E710CC" w:rsidP="00DF58E7">
      <w:pPr>
        <w:spacing w:line="240" w:lineRule="auto"/>
        <w:ind w:firstLine="0"/>
        <w:jc w:val="right"/>
        <w:rPr>
          <w:i/>
          <w:sz w:val="22"/>
        </w:rPr>
      </w:pPr>
      <w:r w:rsidRPr="00DF58E7">
        <w:rPr>
          <w:i/>
          <w:sz w:val="22"/>
        </w:rPr>
        <w:t>Footnote continued on next page.</w:t>
      </w:r>
    </w:p>
  </w:footnote>
  <w:footnote w:id="2">
    <w:p w14:paraId="4CC9ABF8"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D.20-06-002 at 35.</w:t>
      </w:r>
    </w:p>
  </w:footnote>
  <w:footnote w:id="3">
    <w:p w14:paraId="6FD72B7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D.20-06-002 at 26.</w:t>
      </w:r>
    </w:p>
  </w:footnote>
  <w:footnote w:id="4">
    <w:p w14:paraId="2CABADC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i/>
          <w:iCs/>
          <w:szCs w:val="22"/>
        </w:rPr>
        <w:t>Id</w:t>
      </w:r>
      <w:r w:rsidRPr="001A5BD7">
        <w:rPr>
          <w:szCs w:val="22"/>
        </w:rPr>
        <w:t>. at 91.</w:t>
      </w:r>
    </w:p>
  </w:footnote>
  <w:footnote w:id="5">
    <w:p w14:paraId="5135951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i/>
          <w:iCs/>
          <w:szCs w:val="22"/>
        </w:rPr>
        <w:t>Id</w:t>
      </w:r>
      <w:r w:rsidRPr="001A5BD7">
        <w:rPr>
          <w:szCs w:val="22"/>
        </w:rPr>
        <w:t>. at Ordering Paragraph (OP) 26.</w:t>
      </w:r>
    </w:p>
  </w:footnote>
  <w:footnote w:id="6">
    <w:p w14:paraId="0FA45963"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i/>
          <w:iCs/>
          <w:szCs w:val="22"/>
        </w:rPr>
        <w:t>Id</w:t>
      </w:r>
      <w:r w:rsidRPr="001A5BD7">
        <w:rPr>
          <w:szCs w:val="22"/>
        </w:rPr>
        <w:t>. at 45.</w:t>
      </w:r>
    </w:p>
  </w:footnote>
  <w:footnote w:id="7">
    <w:p w14:paraId="2F05E4E3"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D.20-06-002 at 27.</w:t>
      </w:r>
    </w:p>
  </w:footnote>
  <w:footnote w:id="8">
    <w:p w14:paraId="102A9B9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D.20-12-006 at 20.</w:t>
      </w:r>
    </w:p>
  </w:footnote>
  <w:footnote w:id="9">
    <w:p w14:paraId="4DA0333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i/>
          <w:iCs/>
          <w:szCs w:val="22"/>
        </w:rPr>
        <w:t>Id</w:t>
      </w:r>
      <w:r w:rsidRPr="001A5BD7">
        <w:rPr>
          <w:szCs w:val="22"/>
        </w:rPr>
        <w:t>. at OP 3.</w:t>
      </w:r>
    </w:p>
  </w:footnote>
  <w:footnote w:id="10">
    <w:p w14:paraId="15D8CD3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Revised Proposal</w:t>
      </w:r>
      <w:r>
        <w:rPr>
          <w:szCs w:val="22"/>
        </w:rPr>
        <w:t>, December 23, 2021 (PG&amp;E Revised Proposal),</w:t>
      </w:r>
      <w:r w:rsidRPr="001A5BD7">
        <w:rPr>
          <w:szCs w:val="22"/>
        </w:rPr>
        <w:t xml:space="preserve"> at 4, SCE Initial Proposal</w:t>
      </w:r>
      <w:r>
        <w:rPr>
          <w:szCs w:val="22"/>
        </w:rPr>
        <w:t>, December 13, 2021 (SCE Initial Proposal),</w:t>
      </w:r>
      <w:r w:rsidRPr="001A5BD7">
        <w:rPr>
          <w:szCs w:val="22"/>
        </w:rPr>
        <w:t xml:space="preserve"> at 2.</w:t>
      </w:r>
    </w:p>
  </w:footnote>
  <w:footnote w:id="11">
    <w:p w14:paraId="3946B9B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Calpine Proposal</w:t>
      </w:r>
      <w:r>
        <w:rPr>
          <w:szCs w:val="22"/>
        </w:rPr>
        <w:t>, December 13, 2021 (Calpine Proposal),</w:t>
      </w:r>
      <w:r w:rsidRPr="001A5BD7">
        <w:rPr>
          <w:szCs w:val="22"/>
        </w:rPr>
        <w:t xml:space="preserve"> at 4, SCE Initial Proposal</w:t>
      </w:r>
      <w:r>
        <w:rPr>
          <w:szCs w:val="22"/>
        </w:rPr>
        <w:t xml:space="preserve"> </w:t>
      </w:r>
      <w:r w:rsidRPr="001A5BD7">
        <w:rPr>
          <w:szCs w:val="22"/>
        </w:rPr>
        <w:t>at 2.</w:t>
      </w:r>
    </w:p>
  </w:footnote>
  <w:footnote w:id="12">
    <w:p w14:paraId="694E599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Initial Proposal</w:t>
      </w:r>
      <w:r>
        <w:rPr>
          <w:szCs w:val="22"/>
        </w:rPr>
        <w:t>,</w:t>
      </w:r>
      <w:r w:rsidRPr="00B77F83">
        <w:rPr>
          <w:szCs w:val="22"/>
        </w:rPr>
        <w:t xml:space="preserve"> </w:t>
      </w:r>
      <w:r>
        <w:rPr>
          <w:szCs w:val="22"/>
        </w:rPr>
        <w:t>December 13, 2021 (PG&amp;E Initial Proposal),</w:t>
      </w:r>
      <w:r w:rsidRPr="001A5BD7">
        <w:rPr>
          <w:szCs w:val="22"/>
        </w:rPr>
        <w:t xml:space="preserve"> at 2.</w:t>
      </w:r>
    </w:p>
  </w:footnote>
  <w:footnote w:id="13">
    <w:p w14:paraId="7DCF1E9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Initial Proposal at 2.</w:t>
      </w:r>
    </w:p>
  </w:footnote>
  <w:footnote w:id="14">
    <w:p w14:paraId="0DD4631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Initial Proposal at 4.</w:t>
      </w:r>
    </w:p>
  </w:footnote>
  <w:footnote w:id="15">
    <w:p w14:paraId="27E9344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AReM Opening Comments at 4.</w:t>
      </w:r>
    </w:p>
  </w:footnote>
  <w:footnote w:id="16">
    <w:p w14:paraId="38867A7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 Advocates Opening Comments at 10.</w:t>
      </w:r>
    </w:p>
  </w:footnote>
  <w:footnote w:id="17">
    <w:p w14:paraId="1A15847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Opening Comments at 6.</w:t>
      </w:r>
    </w:p>
  </w:footnote>
  <w:footnote w:id="18">
    <w:p w14:paraId="4688BE6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CAISO Opening Comments at 2, MRP Opening Comments at 16.</w:t>
      </w:r>
    </w:p>
  </w:footnote>
  <w:footnote w:id="19">
    <w:p w14:paraId="06FC323C"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Initial Proposal at 3.</w:t>
      </w:r>
    </w:p>
  </w:footnote>
  <w:footnote w:id="20">
    <w:p w14:paraId="141FD49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Initial Proposal at 5.</w:t>
      </w:r>
    </w:p>
  </w:footnote>
  <w:footnote w:id="21">
    <w:p w14:paraId="242C099D"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AReM Opening Comments at 4.</w:t>
      </w:r>
    </w:p>
  </w:footnote>
  <w:footnote w:id="22">
    <w:p w14:paraId="4879949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Calpine Opening Comments at 3.</w:t>
      </w:r>
    </w:p>
  </w:footnote>
  <w:footnote w:id="23">
    <w:p w14:paraId="7B4551E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Opening Comments at 6.</w:t>
      </w:r>
    </w:p>
  </w:footnote>
  <w:footnote w:id="24">
    <w:p w14:paraId="2D649D0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 Advocates Opening Comments at 10.</w:t>
      </w:r>
    </w:p>
  </w:footnote>
  <w:footnote w:id="25">
    <w:p w14:paraId="07E81A4A"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Opening Comments at 13.</w:t>
      </w:r>
    </w:p>
  </w:footnote>
  <w:footnote w:id="26">
    <w:p w14:paraId="6E454413"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i/>
          <w:iCs/>
          <w:szCs w:val="22"/>
        </w:rPr>
        <w:t>Id</w:t>
      </w:r>
      <w:r w:rsidRPr="001A5BD7">
        <w:rPr>
          <w:szCs w:val="22"/>
        </w:rPr>
        <w:t>., Appendix A.</w:t>
      </w:r>
    </w:p>
  </w:footnote>
  <w:footnote w:id="27">
    <w:p w14:paraId="725179C5"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CAISO Opening Comments at 2, MRP Opening Comments at 16.</w:t>
      </w:r>
    </w:p>
  </w:footnote>
  <w:footnote w:id="28">
    <w:p w14:paraId="3AB977EC"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CAISO Proposal</w:t>
      </w:r>
      <w:r>
        <w:rPr>
          <w:szCs w:val="22"/>
        </w:rPr>
        <w:t>, December 23, 2021 (CAISO Proposal),</w:t>
      </w:r>
      <w:r w:rsidRPr="001A5BD7">
        <w:rPr>
          <w:szCs w:val="22"/>
        </w:rPr>
        <w:t xml:space="preserve"> at 4.</w:t>
      </w:r>
    </w:p>
  </w:footnote>
  <w:footnote w:id="29">
    <w:p w14:paraId="783A6E3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Opening Comment at 10, MRP Opening Comments at 15.</w:t>
      </w:r>
    </w:p>
  </w:footnote>
  <w:footnote w:id="30">
    <w:p w14:paraId="74A38A9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Opening Comments at 6.</w:t>
      </w:r>
    </w:p>
  </w:footnote>
  <w:footnote w:id="31">
    <w:p w14:paraId="41080BA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Reply Comments at 4.</w:t>
      </w:r>
    </w:p>
  </w:footnote>
  <w:footnote w:id="32">
    <w:p w14:paraId="6CB324C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AReM Opening Comments at 4.</w:t>
      </w:r>
    </w:p>
  </w:footnote>
  <w:footnote w:id="33">
    <w:p w14:paraId="2F97122E" w14:textId="77777777" w:rsidR="00BB7CF6" w:rsidRDefault="00BB7CF6" w:rsidP="00BB7CF6">
      <w:pPr>
        <w:pStyle w:val="FootnoteText"/>
        <w:ind w:left="360" w:hanging="360"/>
      </w:pPr>
      <w:r>
        <w:rPr>
          <w:rStyle w:val="FootnoteReference"/>
        </w:rPr>
        <w:footnoteRef/>
      </w:r>
      <w:r>
        <w:t xml:space="preserve"> </w:t>
      </w:r>
      <w:r>
        <w:tab/>
        <w:t>D.20-06-002 at OP 9(c).</w:t>
      </w:r>
    </w:p>
  </w:footnote>
  <w:footnote w:id="34">
    <w:p w14:paraId="51A13C9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D.20-06-002 at OP 14.</w:t>
      </w:r>
    </w:p>
  </w:footnote>
  <w:footnote w:id="35">
    <w:p w14:paraId="319D2F96"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Revised Proposal at 2.</w:t>
      </w:r>
    </w:p>
  </w:footnote>
  <w:footnote w:id="36">
    <w:p w14:paraId="76376E1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6340A1">
        <w:rPr>
          <w:i/>
          <w:iCs/>
          <w:szCs w:val="22"/>
        </w:rPr>
        <w:t>Id</w:t>
      </w:r>
      <w:r>
        <w:rPr>
          <w:szCs w:val="22"/>
        </w:rPr>
        <w:t>.</w:t>
      </w:r>
    </w:p>
  </w:footnote>
  <w:footnote w:id="37">
    <w:p w14:paraId="4786ADE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Calpine Opening Comments at 3, CalCCA Opening Comments at 9.</w:t>
      </w:r>
    </w:p>
  </w:footnote>
  <w:footnote w:id="38">
    <w:p w14:paraId="14CAA9C6"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 Advocates Opening Comments at 13.</w:t>
      </w:r>
    </w:p>
  </w:footnote>
  <w:footnote w:id="39">
    <w:p w14:paraId="3DDFDA8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Calpine</w:t>
      </w:r>
      <w:r>
        <w:rPr>
          <w:szCs w:val="22"/>
        </w:rPr>
        <w:t xml:space="preserve"> </w:t>
      </w:r>
      <w:r w:rsidRPr="001A5BD7">
        <w:rPr>
          <w:szCs w:val="22"/>
        </w:rPr>
        <w:t>Proposal at 7.</w:t>
      </w:r>
    </w:p>
  </w:footnote>
  <w:footnote w:id="40">
    <w:p w14:paraId="4FCE954D"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MRP Opening Comments at 19, AReM </w:t>
      </w:r>
      <w:r w:rsidRPr="00417E2B">
        <w:rPr>
          <w:szCs w:val="22"/>
        </w:rPr>
        <w:t>Opening Comments at 5.</w:t>
      </w:r>
    </w:p>
  </w:footnote>
  <w:footnote w:id="41">
    <w:p w14:paraId="43429047"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Calpine Proposal at 9.  </w:t>
      </w:r>
    </w:p>
  </w:footnote>
  <w:footnote w:id="42">
    <w:p w14:paraId="6BA5BD7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MRP Opening Comments at 19, Cal Advocates Opening Comments at 2.</w:t>
      </w:r>
    </w:p>
  </w:footnote>
  <w:footnote w:id="43">
    <w:p w14:paraId="5061AD75"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Opening Comments at 10.</w:t>
      </w:r>
    </w:p>
  </w:footnote>
  <w:footnote w:id="44">
    <w:p w14:paraId="4E4842D6"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Reply Comments at 20.</w:t>
      </w:r>
    </w:p>
  </w:footnote>
  <w:footnote w:id="45">
    <w:p w14:paraId="4538E3B5"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Proposal</w:t>
      </w:r>
      <w:r>
        <w:rPr>
          <w:szCs w:val="22"/>
        </w:rPr>
        <w:t>, December 13, 2021,</w:t>
      </w:r>
      <w:r w:rsidRPr="001A5BD7">
        <w:rPr>
          <w:szCs w:val="22"/>
        </w:rPr>
        <w:t xml:space="preserve"> at 6.</w:t>
      </w:r>
    </w:p>
  </w:footnote>
  <w:footnote w:id="46">
    <w:p w14:paraId="0ED7F6CB" w14:textId="1EB6523E" w:rsidR="009322F2" w:rsidRDefault="009322F2">
      <w:pPr>
        <w:pStyle w:val="FootnoteText"/>
      </w:pPr>
      <w:r>
        <w:rPr>
          <w:rStyle w:val="FootnoteReference"/>
        </w:rPr>
        <w:footnoteRef/>
      </w:r>
      <w:r>
        <w:t xml:space="preserve"> D.20-02-004 at 94-95.</w:t>
      </w:r>
    </w:p>
  </w:footnote>
  <w:footnote w:id="47">
    <w:p w14:paraId="32847A0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Initial Proposal at 9.</w:t>
      </w:r>
    </w:p>
  </w:footnote>
  <w:footnote w:id="48">
    <w:p w14:paraId="1F4A789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 xml:space="preserve"> </w:t>
      </w:r>
      <w:r>
        <w:rPr>
          <w:szCs w:val="22"/>
        </w:rPr>
        <w:tab/>
      </w:r>
      <w:r w:rsidRPr="001A5BD7">
        <w:rPr>
          <w:szCs w:val="22"/>
        </w:rPr>
        <w:t>SCE Initial Proposal at 8.</w:t>
      </w:r>
    </w:p>
  </w:footnote>
  <w:footnote w:id="49">
    <w:p w14:paraId="07014A7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Opening Comments at 11.</w:t>
      </w:r>
    </w:p>
  </w:footnote>
  <w:footnote w:id="50">
    <w:p w14:paraId="5791A81E"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MRP Opening Comments at 18.</w:t>
      </w:r>
    </w:p>
  </w:footnote>
  <w:footnote w:id="51">
    <w:p w14:paraId="09EB634A"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D.20-06-002 at 65.</w:t>
      </w:r>
    </w:p>
  </w:footnote>
  <w:footnote w:id="52">
    <w:p w14:paraId="264CBFF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Energy Division Proposal</w:t>
      </w:r>
      <w:r>
        <w:rPr>
          <w:szCs w:val="22"/>
        </w:rPr>
        <w:t>, December 13, 2021 (Energy Division Proposal),</w:t>
      </w:r>
      <w:r w:rsidRPr="001A5BD7">
        <w:rPr>
          <w:szCs w:val="22"/>
        </w:rPr>
        <w:t xml:space="preserve"> at 4.</w:t>
      </w:r>
    </w:p>
  </w:footnote>
  <w:footnote w:id="53">
    <w:p w14:paraId="696C1A8C"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AReM Opening Comments at 1</w:t>
      </w:r>
      <w:r>
        <w:rPr>
          <w:szCs w:val="22"/>
        </w:rPr>
        <w:t>,</w:t>
      </w:r>
      <w:r w:rsidRPr="001A5BD7">
        <w:rPr>
          <w:szCs w:val="22"/>
        </w:rPr>
        <w:t xml:space="preserve"> CAISO Opening Comments at 4.</w:t>
      </w:r>
    </w:p>
  </w:footnote>
  <w:footnote w:id="54">
    <w:p w14:paraId="73436E2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Opening Comments at 7.</w:t>
      </w:r>
    </w:p>
  </w:footnote>
  <w:footnote w:id="55">
    <w:p w14:paraId="7CE6EE8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Opening Comments at 5.</w:t>
      </w:r>
    </w:p>
  </w:footnote>
  <w:footnote w:id="56">
    <w:p w14:paraId="425A32D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Shell Opening Comments at 4.</w:t>
      </w:r>
    </w:p>
  </w:footnote>
  <w:footnote w:id="57">
    <w:p w14:paraId="195E6FE7"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Revised Proposal at 5.</w:t>
      </w:r>
    </w:p>
  </w:footnote>
  <w:footnote w:id="58">
    <w:p w14:paraId="56F7B10E"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CAISO Opening Comments at 4.</w:t>
      </w:r>
    </w:p>
  </w:footnote>
  <w:footnote w:id="59">
    <w:p w14:paraId="7750528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Opening Comments at 5.</w:t>
      </w:r>
    </w:p>
  </w:footnote>
  <w:footnote w:id="60">
    <w:p w14:paraId="5F7A18B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AReM Opening Comments at 1.</w:t>
      </w:r>
    </w:p>
  </w:footnote>
  <w:footnote w:id="61">
    <w:p w14:paraId="6A124BFD"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Opening Comments at 12.</w:t>
      </w:r>
    </w:p>
  </w:footnote>
  <w:footnote w:id="62">
    <w:p w14:paraId="5AFA154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Proposal at 10</w:t>
      </w:r>
      <w:r>
        <w:rPr>
          <w:szCs w:val="22"/>
        </w:rPr>
        <w:t>.</w:t>
      </w:r>
    </w:p>
  </w:footnote>
  <w:footnote w:id="63">
    <w:p w14:paraId="470E517A"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Shell Opening Comments at 5.</w:t>
      </w:r>
    </w:p>
  </w:footnote>
  <w:footnote w:id="64">
    <w:p w14:paraId="0B58A09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Opening Comments at 3, 5.</w:t>
      </w:r>
    </w:p>
  </w:footnote>
  <w:footnote w:id="65">
    <w:p w14:paraId="6216AB6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 Advocates Reply Comments at 3.</w:t>
      </w:r>
    </w:p>
  </w:footnote>
  <w:footnote w:id="66">
    <w:p w14:paraId="1ABB9998"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Opening Comments at 5.</w:t>
      </w:r>
    </w:p>
  </w:footnote>
  <w:footnote w:id="67">
    <w:p w14:paraId="2A000EA6"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AReM Opening Comments at 2.</w:t>
      </w:r>
    </w:p>
  </w:footnote>
  <w:footnote w:id="68">
    <w:p w14:paraId="5F3EB325"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D.20-12-006 at OP 3.</w:t>
      </w:r>
    </w:p>
  </w:footnote>
  <w:footnote w:id="69">
    <w:p w14:paraId="036B7F2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Energy Division Proposal at 2.</w:t>
      </w:r>
    </w:p>
  </w:footnote>
  <w:footnote w:id="70">
    <w:p w14:paraId="4DFA373D"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Opening Comments at 9.</w:t>
      </w:r>
    </w:p>
  </w:footnote>
  <w:footnote w:id="71">
    <w:p w14:paraId="1325F5D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Calpine Opening Comments at 2.</w:t>
      </w:r>
    </w:p>
  </w:footnote>
  <w:footnote w:id="72">
    <w:p w14:paraId="32558C1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Calpine Proposal </w:t>
      </w:r>
      <w:r>
        <w:rPr>
          <w:szCs w:val="22"/>
        </w:rPr>
        <w:t xml:space="preserve">at </w:t>
      </w:r>
      <w:r w:rsidRPr="001A5BD7">
        <w:rPr>
          <w:szCs w:val="22"/>
        </w:rPr>
        <w:t>5.</w:t>
      </w:r>
    </w:p>
  </w:footnote>
  <w:footnote w:id="73">
    <w:p w14:paraId="16ECAE78"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Opening Comments at 9.</w:t>
      </w:r>
    </w:p>
  </w:footnote>
  <w:footnote w:id="74">
    <w:p w14:paraId="10EDF016"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7027F8">
        <w:rPr>
          <w:i/>
          <w:iCs/>
          <w:szCs w:val="22"/>
        </w:rPr>
        <w:t>See</w:t>
      </w:r>
      <w:r w:rsidRPr="001A5BD7">
        <w:rPr>
          <w:szCs w:val="22"/>
        </w:rPr>
        <w:t xml:space="preserve"> Calpine Proposal </w:t>
      </w:r>
      <w:r>
        <w:rPr>
          <w:szCs w:val="22"/>
        </w:rPr>
        <w:t xml:space="preserve">at </w:t>
      </w:r>
      <w:r w:rsidRPr="001A5BD7">
        <w:rPr>
          <w:szCs w:val="22"/>
        </w:rPr>
        <w:t>5, CEJA/UCS Opening Comments at 4.</w:t>
      </w:r>
    </w:p>
  </w:footnote>
  <w:footnote w:id="75">
    <w:p w14:paraId="13204234"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D.20-12-006 at 22.</w:t>
      </w:r>
    </w:p>
  </w:footnote>
  <w:footnote w:id="76">
    <w:p w14:paraId="57987FE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D.20-06-002 at 35.</w:t>
      </w:r>
    </w:p>
  </w:footnote>
  <w:footnote w:id="77">
    <w:p w14:paraId="1070D2C3"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417E2B">
        <w:rPr>
          <w:i/>
          <w:iCs/>
          <w:szCs w:val="22"/>
        </w:rPr>
        <w:t>Id</w:t>
      </w:r>
      <w:r>
        <w:rPr>
          <w:szCs w:val="22"/>
        </w:rPr>
        <w:t>.</w:t>
      </w:r>
      <w:r w:rsidRPr="001A5BD7">
        <w:rPr>
          <w:szCs w:val="22"/>
        </w:rPr>
        <w:t xml:space="preserve"> at OP 11.</w:t>
      </w:r>
    </w:p>
  </w:footnote>
  <w:footnote w:id="78">
    <w:p w14:paraId="53523BA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7B4319">
        <w:rPr>
          <w:i/>
          <w:iCs/>
          <w:szCs w:val="22"/>
        </w:rPr>
        <w:t>Id</w:t>
      </w:r>
      <w:r w:rsidRPr="001A5BD7">
        <w:rPr>
          <w:szCs w:val="22"/>
        </w:rPr>
        <w:t>. at 48.</w:t>
      </w:r>
    </w:p>
  </w:footnote>
  <w:footnote w:id="79">
    <w:p w14:paraId="14C6A9EB"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PG&amp;E Initial Proposal at 8. </w:t>
      </w:r>
    </w:p>
  </w:footnote>
  <w:footnote w:id="80">
    <w:p w14:paraId="24715DB6"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Initial Proposal at 6.</w:t>
      </w:r>
    </w:p>
  </w:footnote>
  <w:footnote w:id="81">
    <w:p w14:paraId="2C24D195"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 Advocates Opening Comments at 7.</w:t>
      </w:r>
    </w:p>
  </w:footnote>
  <w:footnote w:id="82">
    <w:p w14:paraId="1B88F907"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Reply Comments at 19.</w:t>
      </w:r>
    </w:p>
  </w:footnote>
  <w:footnote w:id="83">
    <w:p w14:paraId="70C6485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 Opening Comments at 7.</w:t>
      </w:r>
    </w:p>
  </w:footnote>
  <w:footnote w:id="84">
    <w:p w14:paraId="01D2712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Opening Comments at 9, MRP Opening Comments at 13.</w:t>
      </w:r>
    </w:p>
  </w:footnote>
  <w:footnote w:id="85">
    <w:p w14:paraId="014A9698" w14:textId="77777777" w:rsidR="00BB7CF6" w:rsidRDefault="00BB7CF6" w:rsidP="00BB7CF6">
      <w:pPr>
        <w:pStyle w:val="FootnoteText"/>
        <w:ind w:left="360" w:hanging="360"/>
      </w:pPr>
      <w:r w:rsidRPr="00417E2B">
        <w:rPr>
          <w:rStyle w:val="FootnoteReference"/>
        </w:rPr>
        <w:footnoteRef/>
      </w:r>
      <w:r w:rsidRPr="00417E2B">
        <w:t xml:space="preserve"> </w:t>
      </w:r>
      <w:r>
        <w:tab/>
      </w:r>
      <w:r w:rsidRPr="00417E2B">
        <w:t>SCE Reply Comments at 2.</w:t>
      </w:r>
    </w:p>
  </w:footnote>
  <w:footnote w:id="86">
    <w:p w14:paraId="25800104" w14:textId="6D84C7BE"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i/>
          <w:iCs/>
          <w:szCs w:val="22"/>
        </w:rPr>
        <w:t>See</w:t>
      </w:r>
      <w:r w:rsidRPr="001A5BD7">
        <w:rPr>
          <w:szCs w:val="22"/>
        </w:rPr>
        <w:t xml:space="preserve"> WPTF Proposal</w:t>
      </w:r>
      <w:r>
        <w:rPr>
          <w:szCs w:val="22"/>
        </w:rPr>
        <w:t>, December 23, 2021 (WPTF Proposal),</w:t>
      </w:r>
      <w:r w:rsidRPr="001A5BD7">
        <w:rPr>
          <w:szCs w:val="22"/>
        </w:rPr>
        <w:t xml:space="preserve"> at 2, MRP Proposal</w:t>
      </w:r>
      <w:r>
        <w:rPr>
          <w:szCs w:val="22"/>
        </w:rPr>
        <w:t>, December</w:t>
      </w:r>
      <w:r w:rsidR="002E43C5">
        <w:rPr>
          <w:szCs w:val="22"/>
        </w:rPr>
        <w:t> </w:t>
      </w:r>
      <w:r>
        <w:rPr>
          <w:szCs w:val="22"/>
        </w:rPr>
        <w:t>23,</w:t>
      </w:r>
      <w:r w:rsidR="002E43C5">
        <w:rPr>
          <w:szCs w:val="22"/>
        </w:rPr>
        <w:t> </w:t>
      </w:r>
      <w:r>
        <w:rPr>
          <w:szCs w:val="22"/>
        </w:rPr>
        <w:t>2021 (MRP Proposal),</w:t>
      </w:r>
      <w:r w:rsidRPr="001A5BD7">
        <w:rPr>
          <w:szCs w:val="22"/>
        </w:rPr>
        <w:t xml:space="preserve"> at 6, CalCCA Proposal at 4.</w:t>
      </w:r>
    </w:p>
  </w:footnote>
  <w:footnote w:id="87">
    <w:p w14:paraId="3AB3BEFA"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WPTF Proposal at 4.</w:t>
      </w:r>
    </w:p>
  </w:footnote>
  <w:footnote w:id="88">
    <w:p w14:paraId="1CB2634A"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MRP Proposal at 4.</w:t>
      </w:r>
    </w:p>
  </w:footnote>
  <w:footnote w:id="89">
    <w:p w14:paraId="0297BD3E"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Proposal at 12.</w:t>
      </w:r>
    </w:p>
  </w:footnote>
  <w:footnote w:id="90">
    <w:p w14:paraId="12439F36"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MRP Proposal at 6.</w:t>
      </w:r>
    </w:p>
  </w:footnote>
  <w:footnote w:id="91">
    <w:p w14:paraId="473F8A20"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WPTF Proposal at 4.</w:t>
      </w:r>
    </w:p>
  </w:footnote>
  <w:footnote w:id="92">
    <w:p w14:paraId="6BA2BE3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AReM </w:t>
      </w:r>
      <w:r>
        <w:rPr>
          <w:szCs w:val="22"/>
        </w:rPr>
        <w:t xml:space="preserve">Opening </w:t>
      </w:r>
      <w:r w:rsidRPr="001A5BD7">
        <w:rPr>
          <w:szCs w:val="22"/>
        </w:rPr>
        <w:t xml:space="preserve">Comments at 5, CEJA/UCS </w:t>
      </w:r>
      <w:r>
        <w:rPr>
          <w:szCs w:val="22"/>
        </w:rPr>
        <w:t xml:space="preserve">Opening </w:t>
      </w:r>
      <w:r w:rsidRPr="001A5BD7">
        <w:rPr>
          <w:szCs w:val="22"/>
        </w:rPr>
        <w:t>Comments at 5</w:t>
      </w:r>
      <w:r>
        <w:rPr>
          <w:szCs w:val="22"/>
        </w:rPr>
        <w:t xml:space="preserve">, Calpine Opening </w:t>
      </w:r>
      <w:r w:rsidRPr="00417E2B">
        <w:rPr>
          <w:szCs w:val="22"/>
        </w:rPr>
        <w:t>Comments at 4.</w:t>
      </w:r>
    </w:p>
  </w:footnote>
  <w:footnote w:id="93">
    <w:p w14:paraId="5D6961CF"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 Advocates Reply Comments at 1.</w:t>
      </w:r>
    </w:p>
  </w:footnote>
  <w:footnote w:id="94">
    <w:p w14:paraId="2EDA23D5"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SCE </w:t>
      </w:r>
      <w:r>
        <w:rPr>
          <w:szCs w:val="22"/>
        </w:rPr>
        <w:t xml:space="preserve">Opening </w:t>
      </w:r>
      <w:r w:rsidRPr="001A5BD7">
        <w:rPr>
          <w:szCs w:val="22"/>
        </w:rPr>
        <w:t>Comments at 10</w:t>
      </w:r>
      <w:r>
        <w:rPr>
          <w:szCs w:val="22"/>
        </w:rPr>
        <w:t>,</w:t>
      </w:r>
      <w:r w:rsidRPr="001A5BD7">
        <w:rPr>
          <w:szCs w:val="22"/>
        </w:rPr>
        <w:t xml:space="preserve"> PG&amp;E</w:t>
      </w:r>
      <w:r>
        <w:rPr>
          <w:szCs w:val="22"/>
        </w:rPr>
        <w:t xml:space="preserve"> Opening</w:t>
      </w:r>
      <w:r w:rsidRPr="001A5BD7">
        <w:rPr>
          <w:szCs w:val="22"/>
        </w:rPr>
        <w:t xml:space="preserve"> Comments at 15.</w:t>
      </w:r>
    </w:p>
  </w:footnote>
  <w:footnote w:id="95">
    <w:p w14:paraId="019D6FDC"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CalCCA Reply Comments at 6, WPTF Reply Comments at 3, MRP Reply Comments at 5.</w:t>
      </w:r>
    </w:p>
  </w:footnote>
  <w:footnote w:id="96">
    <w:p w14:paraId="0FD8F75C"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 Advocates Reply Comments at 2.</w:t>
      </w:r>
    </w:p>
  </w:footnote>
  <w:footnote w:id="97">
    <w:p w14:paraId="11962CE3"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CEJA/UCS</w:t>
      </w:r>
      <w:r>
        <w:rPr>
          <w:szCs w:val="22"/>
        </w:rPr>
        <w:t xml:space="preserve"> Opening</w:t>
      </w:r>
      <w:r w:rsidRPr="001A5BD7">
        <w:rPr>
          <w:szCs w:val="22"/>
        </w:rPr>
        <w:t xml:space="preserve"> Comments at 7.</w:t>
      </w:r>
    </w:p>
  </w:footnote>
  <w:footnote w:id="98">
    <w:p w14:paraId="4944C2BD"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SCE </w:t>
      </w:r>
      <w:r>
        <w:rPr>
          <w:szCs w:val="22"/>
        </w:rPr>
        <w:t xml:space="preserve">Opening </w:t>
      </w:r>
      <w:r w:rsidRPr="001A5BD7">
        <w:rPr>
          <w:szCs w:val="22"/>
        </w:rPr>
        <w:t>Comments at 10.</w:t>
      </w:r>
    </w:p>
  </w:footnote>
  <w:footnote w:id="99">
    <w:p w14:paraId="6DEFACAE"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D.20-06-002 at 35.</w:t>
      </w:r>
    </w:p>
  </w:footnote>
  <w:footnote w:id="100">
    <w:p w14:paraId="1EC07378"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Initial Proposal at 15.</w:t>
      </w:r>
    </w:p>
  </w:footnote>
  <w:footnote w:id="101">
    <w:p w14:paraId="581A779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417E2B">
        <w:rPr>
          <w:i/>
          <w:iCs/>
          <w:szCs w:val="22"/>
        </w:rPr>
        <w:t>Id</w:t>
      </w:r>
      <w:r>
        <w:rPr>
          <w:szCs w:val="22"/>
        </w:rPr>
        <w:t>.</w:t>
      </w:r>
      <w:r w:rsidRPr="001A5BD7">
        <w:rPr>
          <w:szCs w:val="22"/>
        </w:rPr>
        <w:t>, Appendix A.</w:t>
      </w:r>
    </w:p>
  </w:footnote>
  <w:footnote w:id="102">
    <w:p w14:paraId="0A69DFA1"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CalCCA </w:t>
      </w:r>
      <w:r>
        <w:rPr>
          <w:szCs w:val="22"/>
        </w:rPr>
        <w:t xml:space="preserve">Opening </w:t>
      </w:r>
      <w:r w:rsidRPr="001A5BD7">
        <w:rPr>
          <w:szCs w:val="22"/>
        </w:rPr>
        <w:t>Comments at 13.</w:t>
      </w:r>
    </w:p>
  </w:footnote>
  <w:footnote w:id="103">
    <w:p w14:paraId="1AB4D0D3"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Reply Comments at 13.</w:t>
      </w:r>
    </w:p>
  </w:footnote>
  <w:footnote w:id="104">
    <w:p w14:paraId="25BBDE02"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GO 66-D, Section 3.4</w:t>
      </w:r>
      <w:r>
        <w:rPr>
          <w:szCs w:val="22"/>
        </w:rPr>
        <w:t>(a)</w:t>
      </w:r>
      <w:r w:rsidRPr="001A5BD7">
        <w:rPr>
          <w:szCs w:val="22"/>
        </w:rPr>
        <w:t xml:space="preserve"> provides:</w:t>
      </w:r>
    </w:p>
    <w:p w14:paraId="3340C4C6" w14:textId="77777777" w:rsidR="00BB7CF6" w:rsidRPr="001A5BD7" w:rsidRDefault="00BB7CF6" w:rsidP="00BB7CF6">
      <w:pPr>
        <w:pStyle w:val="FootnoteText"/>
        <w:ind w:left="720" w:right="1440"/>
        <w:rPr>
          <w:szCs w:val="22"/>
        </w:rPr>
      </w:pPr>
      <w:r w:rsidRPr="001A5BD7">
        <w:rPr>
          <w:szCs w:val="22"/>
        </w:rPr>
        <w:t>The Commission may adopt confidential matrices which preemptively designate certain information as confidential or public in a decision. Information submitted to the Commission per this Section shall clearly designate the relevant decision adopting the applicable confidential determination. If the information is appropriately identified as being preemptively determined to be confidential, the Commission will not release information in response to a CPRA, unless by order of the Commission.</w:t>
      </w:r>
    </w:p>
  </w:footnote>
  <w:footnote w:id="105">
    <w:p w14:paraId="56C9B5CC" w14:textId="77777777" w:rsidR="00BB7CF6" w:rsidRDefault="00BB7CF6" w:rsidP="00BB7CF6">
      <w:pPr>
        <w:pStyle w:val="FootnoteText"/>
        <w:ind w:left="360" w:hanging="360"/>
      </w:pPr>
      <w:r>
        <w:rPr>
          <w:rStyle w:val="FootnoteReference"/>
        </w:rPr>
        <w:footnoteRef/>
      </w:r>
      <w:r>
        <w:t xml:space="preserve"> </w:t>
      </w:r>
      <w:r>
        <w:tab/>
        <w:t>D.20-09-031, Conclusion of Law 6.</w:t>
      </w:r>
    </w:p>
  </w:footnote>
  <w:footnote w:id="106">
    <w:p w14:paraId="707B81E8" w14:textId="26EC869B" w:rsidR="009166C0" w:rsidRDefault="009166C0" w:rsidP="0001445A">
      <w:pPr>
        <w:pStyle w:val="FootnoteText"/>
        <w:ind w:left="288" w:hanging="288"/>
      </w:pPr>
      <w:r>
        <w:rPr>
          <w:rStyle w:val="FootnoteReference"/>
        </w:rPr>
        <w:footnoteRef/>
      </w:r>
      <w:r>
        <w:t xml:space="preserve"> </w:t>
      </w:r>
      <w:r w:rsidR="0001445A">
        <w:tab/>
      </w:r>
      <w:r>
        <w:t xml:space="preserve">D.20-07-006 at Ordering Paragraph 3: </w:t>
      </w:r>
    </w:p>
    <w:p w14:paraId="3A40D950" w14:textId="0E7FF51D" w:rsidR="009166C0" w:rsidRDefault="009166C0" w:rsidP="0001445A">
      <w:pPr>
        <w:pStyle w:val="FootnoteText"/>
        <w:ind w:left="360"/>
      </w:pPr>
      <w:r>
        <w:t>Where a party seeks confidentiality protection for data contained in the Matrix, its burden shall be to prove that the data match the Matrix category.  Once it does so, it is entitled to the protection the Matrix provides for that category.  The submitting party must file a motion in accordance with Law and Motion Resolution ALJ-164 or any successor Rule, accompanied with any proposed designation of confidentiality, proving:</w:t>
      </w:r>
    </w:p>
    <w:p w14:paraId="03F8CA72" w14:textId="74605704" w:rsidR="009166C0" w:rsidRDefault="0001445A" w:rsidP="0001445A">
      <w:pPr>
        <w:pStyle w:val="FootnoteText"/>
        <w:numPr>
          <w:ilvl w:val="0"/>
          <w:numId w:val="37"/>
        </w:numPr>
      </w:pPr>
      <w:r>
        <w:t>That the material it is submitting constitutes a particular type of data listed in the Matrix,</w:t>
      </w:r>
    </w:p>
    <w:p w14:paraId="192D03BE" w14:textId="7C5FC8AB" w:rsidR="0001445A" w:rsidRDefault="0001445A" w:rsidP="0001445A">
      <w:pPr>
        <w:pStyle w:val="FootnoteText"/>
        <w:numPr>
          <w:ilvl w:val="0"/>
          <w:numId w:val="37"/>
        </w:numPr>
      </w:pPr>
      <w:r>
        <w:t>Which category or categories in the Matrix the data correspond to,</w:t>
      </w:r>
    </w:p>
    <w:p w14:paraId="01A241BC" w14:textId="4F692D35" w:rsidR="0001445A" w:rsidRDefault="0001445A" w:rsidP="0001445A">
      <w:pPr>
        <w:pStyle w:val="FootnoteText"/>
        <w:numPr>
          <w:ilvl w:val="0"/>
          <w:numId w:val="37"/>
        </w:numPr>
      </w:pPr>
      <w:r>
        <w:t>That it is complying with the limitations on confidentiality specified in the Matrix for that type of data,</w:t>
      </w:r>
    </w:p>
    <w:p w14:paraId="10F827FE" w14:textId="3A8A66E1" w:rsidR="0001445A" w:rsidRDefault="0001445A" w:rsidP="0001445A">
      <w:pPr>
        <w:pStyle w:val="FootnoteText"/>
        <w:numPr>
          <w:ilvl w:val="0"/>
          <w:numId w:val="37"/>
        </w:numPr>
      </w:pPr>
      <w:r>
        <w:t xml:space="preserve">That the information is not already public, and </w:t>
      </w:r>
    </w:p>
    <w:p w14:paraId="6A999EFA" w14:textId="599E7750" w:rsidR="0001445A" w:rsidRDefault="0001445A" w:rsidP="008304F5">
      <w:pPr>
        <w:pStyle w:val="FootnoteText"/>
        <w:numPr>
          <w:ilvl w:val="0"/>
          <w:numId w:val="37"/>
        </w:numPr>
      </w:pPr>
      <w:r>
        <w:t>That the data cannot be aggregated, redacted, summarized, masked or otherwise protected in a way that allows partial disclosure.</w:t>
      </w:r>
    </w:p>
  </w:footnote>
  <w:footnote w:id="107">
    <w:p w14:paraId="13503318"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Calpine Proposal at 6.</w:t>
      </w:r>
    </w:p>
  </w:footnote>
  <w:footnote w:id="108">
    <w:p w14:paraId="06C4ED5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F336A">
        <w:rPr>
          <w:i/>
          <w:iCs/>
          <w:szCs w:val="22"/>
        </w:rPr>
        <w:t>Id</w:t>
      </w:r>
      <w:r w:rsidRPr="001A5BD7">
        <w:rPr>
          <w:szCs w:val="22"/>
        </w:rPr>
        <w:t>.</w:t>
      </w:r>
    </w:p>
  </w:footnote>
  <w:footnote w:id="109">
    <w:p w14:paraId="4BD229B3" w14:textId="77777777" w:rsidR="00BB7CF6" w:rsidRDefault="00BB7CF6" w:rsidP="00BB7CF6">
      <w:pPr>
        <w:pStyle w:val="FootnoteText"/>
        <w:ind w:left="360" w:hanging="360"/>
      </w:pPr>
      <w:r>
        <w:rPr>
          <w:rStyle w:val="FootnoteReference"/>
        </w:rPr>
        <w:footnoteRef/>
      </w:r>
      <w:r>
        <w:t xml:space="preserve"> </w:t>
      </w:r>
      <w:r>
        <w:tab/>
      </w:r>
      <w:r w:rsidRPr="001A5BD7">
        <w:rPr>
          <w:szCs w:val="22"/>
        </w:rPr>
        <w:t xml:space="preserve">Cal Advocates </w:t>
      </w:r>
      <w:r>
        <w:rPr>
          <w:szCs w:val="22"/>
        </w:rPr>
        <w:t xml:space="preserve">Opening </w:t>
      </w:r>
      <w:r w:rsidRPr="001A5BD7">
        <w:rPr>
          <w:szCs w:val="22"/>
        </w:rPr>
        <w:t>Comments at 4</w:t>
      </w:r>
      <w:r>
        <w:rPr>
          <w:szCs w:val="22"/>
        </w:rPr>
        <w:t xml:space="preserve">, </w:t>
      </w:r>
      <w:r w:rsidRPr="001A5BD7">
        <w:rPr>
          <w:szCs w:val="22"/>
        </w:rPr>
        <w:t>SCE</w:t>
      </w:r>
      <w:r>
        <w:rPr>
          <w:szCs w:val="22"/>
        </w:rPr>
        <w:t xml:space="preserve"> Opening</w:t>
      </w:r>
      <w:r w:rsidRPr="001A5BD7">
        <w:rPr>
          <w:szCs w:val="22"/>
        </w:rPr>
        <w:t xml:space="preserve"> Comments at 9</w:t>
      </w:r>
      <w:r>
        <w:rPr>
          <w:szCs w:val="22"/>
        </w:rPr>
        <w:t xml:space="preserve">, </w:t>
      </w:r>
      <w:r w:rsidRPr="001A5BD7">
        <w:rPr>
          <w:szCs w:val="22"/>
        </w:rPr>
        <w:t>PG&amp;E Reply Comments at 21.</w:t>
      </w:r>
    </w:p>
  </w:footnote>
  <w:footnote w:id="110">
    <w:p w14:paraId="5896A4F9"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Cal Advocates </w:t>
      </w:r>
      <w:r>
        <w:rPr>
          <w:szCs w:val="22"/>
        </w:rPr>
        <w:t xml:space="preserve">Opening </w:t>
      </w:r>
      <w:r w:rsidRPr="001A5BD7">
        <w:rPr>
          <w:szCs w:val="22"/>
        </w:rPr>
        <w:t>Comments at 4.</w:t>
      </w:r>
    </w:p>
  </w:footnote>
  <w:footnote w:id="111">
    <w:p w14:paraId="2643C258"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SCE</w:t>
      </w:r>
      <w:r>
        <w:rPr>
          <w:szCs w:val="22"/>
        </w:rPr>
        <w:t xml:space="preserve"> Opening</w:t>
      </w:r>
      <w:r w:rsidRPr="001A5BD7">
        <w:rPr>
          <w:szCs w:val="22"/>
        </w:rPr>
        <w:t xml:space="preserve"> Comments at 9.</w:t>
      </w:r>
    </w:p>
  </w:footnote>
  <w:footnote w:id="112">
    <w:p w14:paraId="1083744D"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PG&amp;E Reply Comments at 21.</w:t>
      </w:r>
    </w:p>
  </w:footnote>
  <w:footnote w:id="113">
    <w:p w14:paraId="1E1168A5" w14:textId="77777777" w:rsidR="00BB7CF6" w:rsidRPr="001A5BD7" w:rsidRDefault="00BB7CF6" w:rsidP="00BB7CF6">
      <w:pPr>
        <w:pStyle w:val="FootnoteText"/>
        <w:ind w:left="360" w:hanging="360"/>
        <w:rPr>
          <w:szCs w:val="22"/>
        </w:rPr>
      </w:pPr>
      <w:r w:rsidRPr="001A5BD7">
        <w:rPr>
          <w:rStyle w:val="FootnoteReference"/>
          <w:szCs w:val="22"/>
        </w:rPr>
        <w:footnoteRef/>
      </w:r>
      <w:r w:rsidRPr="001A5BD7">
        <w:rPr>
          <w:szCs w:val="22"/>
        </w:rPr>
        <w:t xml:space="preserve"> </w:t>
      </w:r>
      <w:r>
        <w:rPr>
          <w:szCs w:val="22"/>
        </w:rPr>
        <w:tab/>
      </w:r>
      <w:r w:rsidRPr="001A5BD7">
        <w:rPr>
          <w:szCs w:val="22"/>
        </w:rPr>
        <w:t xml:space="preserve">MRP </w:t>
      </w:r>
      <w:r>
        <w:rPr>
          <w:szCs w:val="22"/>
        </w:rPr>
        <w:t xml:space="preserve">Opening </w:t>
      </w:r>
      <w:r w:rsidRPr="001A5BD7">
        <w:rPr>
          <w:szCs w:val="22"/>
        </w:rPr>
        <w:t>Comments at 19.</w:t>
      </w:r>
    </w:p>
  </w:footnote>
  <w:footnote w:id="114">
    <w:p w14:paraId="1CE83E09" w14:textId="77777777" w:rsidR="00BB7CF6" w:rsidRDefault="00BB7CF6" w:rsidP="00BB7CF6">
      <w:pPr>
        <w:pStyle w:val="FootnoteText"/>
        <w:ind w:left="360" w:hanging="360"/>
      </w:pPr>
      <w:r>
        <w:rPr>
          <w:rStyle w:val="FootnoteReference"/>
        </w:rPr>
        <w:footnoteRef/>
      </w:r>
      <w:r>
        <w:t xml:space="preserve"> </w:t>
      </w:r>
      <w:r>
        <w:tab/>
        <w:t>D.20-06-002 at OP 16.</w:t>
      </w:r>
    </w:p>
  </w:footnote>
  <w:footnote w:id="115">
    <w:p w14:paraId="14A0ACAC" w14:textId="77777777" w:rsidR="00BB7CF6" w:rsidRDefault="00BB7CF6" w:rsidP="00BB7CF6">
      <w:pPr>
        <w:pStyle w:val="FootnoteText"/>
        <w:ind w:left="360" w:hanging="360"/>
      </w:pPr>
      <w:r>
        <w:rPr>
          <w:rStyle w:val="FootnoteReference"/>
        </w:rPr>
        <w:footnoteRef/>
      </w:r>
      <w:r>
        <w:t xml:space="preserve"> </w:t>
      </w:r>
      <w:r>
        <w:tab/>
        <w:t>PG&amp;E Initial Proposal at 10.</w:t>
      </w:r>
    </w:p>
  </w:footnote>
  <w:footnote w:id="116">
    <w:p w14:paraId="730D0E4F" w14:textId="77777777" w:rsidR="00BB7CF6" w:rsidRDefault="00BB7CF6" w:rsidP="00BB7CF6">
      <w:pPr>
        <w:pStyle w:val="FootnoteText"/>
        <w:ind w:left="360" w:hanging="360"/>
      </w:pPr>
      <w:r>
        <w:rPr>
          <w:rStyle w:val="FootnoteReference"/>
        </w:rPr>
        <w:footnoteRef/>
      </w:r>
      <w:r>
        <w:t xml:space="preserve"> </w:t>
      </w:r>
      <w:r>
        <w:tab/>
        <w:t>Cal Advocates Opening Comments at 9.</w:t>
      </w:r>
    </w:p>
  </w:footnote>
  <w:footnote w:id="117">
    <w:p w14:paraId="56EAE602" w14:textId="77777777" w:rsidR="00BB7CF6" w:rsidRDefault="00BB7CF6" w:rsidP="00BB7CF6">
      <w:pPr>
        <w:pStyle w:val="FootnoteText"/>
        <w:ind w:left="360" w:hanging="360"/>
      </w:pPr>
      <w:r>
        <w:rPr>
          <w:rStyle w:val="FootnoteReference"/>
        </w:rPr>
        <w:footnoteRef/>
      </w:r>
      <w:r>
        <w:t xml:space="preserve"> </w:t>
      </w:r>
      <w:r>
        <w:tab/>
        <w:t>PG&amp;E Reply Comments at 8.</w:t>
      </w:r>
    </w:p>
  </w:footnote>
  <w:footnote w:id="118">
    <w:p w14:paraId="0C86B791" w14:textId="77777777" w:rsidR="00BB7CF6" w:rsidRDefault="00BB7CF6" w:rsidP="00BB7CF6">
      <w:pPr>
        <w:pStyle w:val="FootnoteText"/>
        <w:ind w:left="360" w:hanging="360"/>
      </w:pPr>
      <w:r>
        <w:rPr>
          <w:rStyle w:val="FootnoteReference"/>
        </w:rPr>
        <w:footnoteRef/>
      </w:r>
      <w:r>
        <w:t xml:space="preserve"> </w:t>
      </w:r>
      <w:r>
        <w:tab/>
        <w:t>D.20-06-002 at OP 12.</w:t>
      </w:r>
    </w:p>
  </w:footnote>
  <w:footnote w:id="119">
    <w:p w14:paraId="273CEB2D" w14:textId="77777777" w:rsidR="00BB7CF6" w:rsidRDefault="00BB7CF6" w:rsidP="00BB7CF6">
      <w:pPr>
        <w:pStyle w:val="FootnoteText"/>
        <w:ind w:left="360" w:hanging="360"/>
      </w:pPr>
      <w:r>
        <w:rPr>
          <w:rStyle w:val="FootnoteReference"/>
        </w:rPr>
        <w:footnoteRef/>
      </w:r>
      <w:r>
        <w:t xml:space="preserve"> </w:t>
      </w:r>
      <w:r>
        <w:tab/>
        <w:t>PG&amp;E Initial Proposal at 11.</w:t>
      </w:r>
    </w:p>
  </w:footnote>
  <w:footnote w:id="120">
    <w:p w14:paraId="6716EB59" w14:textId="77777777" w:rsidR="00BB7CF6" w:rsidRDefault="00BB7CF6" w:rsidP="00BB7CF6">
      <w:pPr>
        <w:pStyle w:val="FootnoteText"/>
        <w:ind w:left="360" w:hanging="360"/>
      </w:pPr>
      <w:r>
        <w:rPr>
          <w:rStyle w:val="FootnoteReference"/>
        </w:rPr>
        <w:footnoteRef/>
      </w:r>
      <w:r>
        <w:t xml:space="preserve"> </w:t>
      </w:r>
      <w:r>
        <w:tab/>
        <w:t>SCE Initial Proposal at 9.</w:t>
      </w:r>
    </w:p>
  </w:footnote>
  <w:footnote w:id="121">
    <w:p w14:paraId="754F928A" w14:textId="77777777" w:rsidR="00BB7CF6" w:rsidRDefault="00BB7CF6" w:rsidP="00BB7CF6">
      <w:pPr>
        <w:pStyle w:val="FootnoteText"/>
        <w:ind w:left="360" w:hanging="360"/>
      </w:pPr>
      <w:r>
        <w:rPr>
          <w:rStyle w:val="FootnoteReference"/>
        </w:rPr>
        <w:footnoteRef/>
      </w:r>
      <w:r>
        <w:t xml:space="preserve"> </w:t>
      </w:r>
      <w:r>
        <w:tab/>
        <w:t>CalCCA Proposal at 5 (citing D.20-06-002 at 77).</w:t>
      </w:r>
    </w:p>
  </w:footnote>
  <w:footnote w:id="122">
    <w:p w14:paraId="23F8FA06" w14:textId="4502578A" w:rsidR="00F84EB4" w:rsidRDefault="00F84EB4" w:rsidP="008304F5">
      <w:pPr>
        <w:pStyle w:val="FootnoteText"/>
        <w:ind w:left="288" w:hanging="288"/>
      </w:pPr>
      <w:r>
        <w:rPr>
          <w:rStyle w:val="FootnoteReference"/>
        </w:rPr>
        <w:footnoteRef/>
      </w:r>
      <w:r>
        <w:t xml:space="preserve"> D.20-07-005, Decision Granting In Part Petition to Modify Decision 06-06-066, at Ordering Paragraph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B6D7" w14:textId="77777777" w:rsidR="00BB7CF6" w:rsidRDefault="00BB7CF6"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tab/>
    </w:r>
    <w:r>
      <w:rPr>
        <w:b/>
      </w:rPr>
      <w:t>PROPOSED DECISION</w:t>
    </w:r>
  </w:p>
  <w:p w14:paraId="3E340F93" w14:textId="77777777" w:rsidR="00BB7CF6" w:rsidRPr="00585390" w:rsidRDefault="00BB7CF6"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95DD" w14:textId="0324F353" w:rsidR="00BB7CF6" w:rsidRDefault="00BB7CF6" w:rsidP="00D177FF">
    <w:pPr>
      <w:tabs>
        <w:tab w:val="right" w:pos="9360"/>
      </w:tabs>
      <w:spacing w:line="240" w:lineRule="auto"/>
      <w:ind w:firstLine="0"/>
      <w:rPr>
        <w:b/>
        <w:szCs w:val="26"/>
      </w:rPr>
    </w:pPr>
    <w:r>
      <w:t>R.21-10-002</w:t>
    </w:r>
    <w:r w:rsidRPr="00D177FF">
      <w:t xml:space="preserve">  ALJ/</w:t>
    </w:r>
    <w:r>
      <w:t>DBB</w:t>
    </w:r>
    <w:r w:rsidRPr="00D177FF">
      <w:t>/lil</w:t>
    </w:r>
    <w:r w:rsidRPr="00D177FF">
      <w:tab/>
    </w:r>
    <w:r w:rsidRPr="00AC2330">
      <w:rPr>
        <w:b/>
        <w:szCs w:val="26"/>
      </w:rPr>
      <w:t>PROPOSED DECISION</w:t>
    </w:r>
    <w:r w:rsidR="002B734E">
      <w:rPr>
        <w:b/>
        <w:szCs w:val="26"/>
      </w:rPr>
      <w:t xml:space="preserve">  (Rev. 1)</w:t>
    </w:r>
  </w:p>
  <w:p w14:paraId="6923209D" w14:textId="77777777" w:rsidR="00BB7CF6" w:rsidRDefault="00BB7CF6" w:rsidP="00D177FF">
    <w:pPr>
      <w:tabs>
        <w:tab w:val="right" w:pos="9360"/>
      </w:tabs>
      <w:spacing w:line="240" w:lineRule="auto"/>
      <w:ind w:firstLine="0"/>
      <w:rPr>
        <w:b/>
        <w:szCs w:val="26"/>
      </w:rPr>
    </w:pPr>
  </w:p>
  <w:p w14:paraId="03A7255E" w14:textId="77777777" w:rsidR="00BB7CF6" w:rsidRPr="00D177FF" w:rsidRDefault="00BB7CF6" w:rsidP="00D177FF">
    <w:pPr>
      <w:tabs>
        <w:tab w:val="right" w:pos="9360"/>
      </w:tabs>
      <w:spacing w:line="240" w:lineRule="auto"/>
      <w:ind w:firstLine="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A96A" w14:textId="6B16512F" w:rsidR="00BB7CF6" w:rsidRDefault="00BB7CF6" w:rsidP="00D177FF">
    <w:pPr>
      <w:tabs>
        <w:tab w:val="right" w:pos="9360"/>
      </w:tabs>
      <w:spacing w:line="240" w:lineRule="auto"/>
      <w:ind w:firstLine="0"/>
      <w:rPr>
        <w:b/>
        <w:szCs w:val="26"/>
      </w:rPr>
    </w:pPr>
    <w:r>
      <w:t>R.21-10-002</w:t>
    </w:r>
    <w:r w:rsidRPr="00D177FF">
      <w:t xml:space="preserve">  ALJ/</w:t>
    </w:r>
    <w:r>
      <w:t>DBB</w:t>
    </w:r>
    <w:r w:rsidRPr="00D177FF">
      <w:t>/lil</w:t>
    </w:r>
    <w:r w:rsidRPr="00D177FF">
      <w:tab/>
    </w:r>
    <w:r w:rsidRPr="00AC2330">
      <w:rPr>
        <w:b/>
        <w:szCs w:val="26"/>
      </w:rPr>
      <w:t>PROPOSED DECISION</w:t>
    </w:r>
    <w:r w:rsidR="002B734E">
      <w:rPr>
        <w:b/>
        <w:szCs w:val="26"/>
      </w:rPr>
      <w:t xml:space="preserve">  (Rev. 1)</w:t>
    </w:r>
  </w:p>
  <w:p w14:paraId="2500B4D6" w14:textId="27262C24" w:rsidR="00EC02BB" w:rsidRDefault="00EC02BB" w:rsidP="00D177FF">
    <w:pPr>
      <w:tabs>
        <w:tab w:val="right" w:pos="9360"/>
      </w:tabs>
      <w:spacing w:line="240" w:lineRule="auto"/>
      <w:ind w:firstLine="0"/>
      <w:rPr>
        <w:b/>
        <w:szCs w:val="26"/>
      </w:rPr>
    </w:pPr>
  </w:p>
  <w:p w14:paraId="7E7835F8" w14:textId="77777777" w:rsidR="00EC02BB" w:rsidRPr="00D177FF" w:rsidRDefault="00EC02BB" w:rsidP="00D177FF">
    <w:pPr>
      <w:tabs>
        <w:tab w:val="right" w:pos="9360"/>
      </w:tabs>
      <w:spacing w:line="240" w:lineRule="auto"/>
      <w:ind w:firstLine="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AC2F" w14:textId="3C8A2070" w:rsidR="009E2A06" w:rsidRDefault="009E2A06" w:rsidP="00D177FF">
    <w:pPr>
      <w:tabs>
        <w:tab w:val="right" w:pos="9360"/>
      </w:tabs>
      <w:spacing w:line="240" w:lineRule="auto"/>
      <w:ind w:firstLine="0"/>
      <w:rPr>
        <w:b/>
        <w:szCs w:val="26"/>
      </w:rPr>
    </w:pPr>
    <w:r>
      <w:t>R.21-10-002</w:t>
    </w:r>
    <w:r w:rsidRPr="00D177FF">
      <w:t xml:space="preserve">  ALJ/</w:t>
    </w:r>
    <w:r>
      <w:t>DBB</w:t>
    </w:r>
    <w:r w:rsidRPr="00D177FF">
      <w:t>/lil</w:t>
    </w:r>
    <w:r w:rsidRPr="00D177FF">
      <w:tab/>
    </w:r>
    <w:r w:rsidRPr="00AC2330">
      <w:rPr>
        <w:b/>
        <w:szCs w:val="26"/>
      </w:rPr>
      <w:t>PROPOSED DECISION</w:t>
    </w:r>
    <w:r w:rsidR="002B734E">
      <w:rPr>
        <w:b/>
        <w:szCs w:val="26"/>
      </w:rPr>
      <w:t xml:space="preserve">  (Rev. 1)</w:t>
    </w:r>
  </w:p>
  <w:p w14:paraId="5E7CB03B" w14:textId="7081BDBE" w:rsidR="00BB7CF6" w:rsidRDefault="00BB7CF6" w:rsidP="00D177FF">
    <w:pPr>
      <w:tabs>
        <w:tab w:val="right" w:pos="9360"/>
      </w:tabs>
      <w:spacing w:line="240" w:lineRule="auto"/>
      <w:ind w:firstLine="0"/>
      <w:rPr>
        <w:b/>
        <w:szCs w:val="26"/>
      </w:rPr>
    </w:pPr>
  </w:p>
  <w:p w14:paraId="3C591AF5" w14:textId="77777777" w:rsidR="00BB7CF6" w:rsidRPr="00D177FF" w:rsidRDefault="00BB7CF6" w:rsidP="00D177FF">
    <w:pPr>
      <w:tabs>
        <w:tab w:val="right" w:pos="9360"/>
      </w:tabs>
      <w:spacing w:line="240" w:lineRule="auto"/>
      <w:ind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A526F"/>
    <w:multiLevelType w:val="hybridMultilevel"/>
    <w:tmpl w:val="61845C90"/>
    <w:lvl w:ilvl="0" w:tplc="4ADA2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C1C14"/>
    <w:multiLevelType w:val="multilevel"/>
    <w:tmpl w:val="18F4A5AC"/>
    <w:styleLink w:val="FoFCoLOP"/>
    <w:lvl w:ilvl="0">
      <w:start w:val="1"/>
      <w:numFmt w:val="decimal"/>
      <w:lvlText w:val="%1."/>
      <w:lvlJc w:val="right"/>
      <w:pPr>
        <w:ind w:left="-54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styleLink w:val="FoFCoLOP3"/>
    <w:lvl w:ilvl="0">
      <w:start w:val="1"/>
      <w:numFmt w:val="decimal"/>
      <w:pStyle w:val="CoL"/>
      <w:lvlText w:val="%1."/>
      <w:lvlJc w:val="right"/>
      <w:pPr>
        <w:ind w:left="-54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CF6327A"/>
    <w:multiLevelType w:val="hybridMultilevel"/>
    <w:tmpl w:val="1B0CD9C6"/>
    <w:lvl w:ilvl="0" w:tplc="59A8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010D01"/>
    <w:multiLevelType w:val="hybridMultilevel"/>
    <w:tmpl w:val="2BDAB852"/>
    <w:lvl w:ilvl="0" w:tplc="93F80C28">
      <w:start w:val="1"/>
      <w:numFmt w:val="decimal"/>
      <w:pStyle w:val="conclusionoflaw"/>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E2CED"/>
    <w:multiLevelType w:val="hybridMultilevel"/>
    <w:tmpl w:val="601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F357B"/>
    <w:multiLevelType w:val="hybridMultilevel"/>
    <w:tmpl w:val="D4B82E1E"/>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8" w15:restartNumberingAfterBreak="0">
    <w:nsid w:val="2CF20D07"/>
    <w:multiLevelType w:val="hybridMultilevel"/>
    <w:tmpl w:val="E42E4ED2"/>
    <w:lvl w:ilvl="0" w:tplc="FFFFFFFF">
      <w:start w:val="1"/>
      <w:numFmt w:val="lowerLetter"/>
      <w:lvlText w:val="%1."/>
      <w:lvlJc w:val="left"/>
      <w:rPr>
        <w:rFonts w:hint="default"/>
      </w:rPr>
    </w:lvl>
    <w:lvl w:ilvl="1" w:tplc="FFFFFFFF">
      <w:start w:val="1"/>
      <w:numFmt w:val="decimal"/>
      <w:lvlText w:val="(%2)"/>
      <w:lvlJc w:val="left"/>
      <w:pPr>
        <w:ind w:left="1800" w:hanging="360"/>
      </w:pPr>
      <w:rPr>
        <w:rFonts w:ascii="Palatino" w:eastAsia="Times New Roman" w:hAnsi="Palatino"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1E421DB"/>
    <w:multiLevelType w:val="hybridMultilevel"/>
    <w:tmpl w:val="EDD217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640612A"/>
    <w:multiLevelType w:val="hybridMultilevel"/>
    <w:tmpl w:val="A3D813A2"/>
    <w:lvl w:ilvl="0" w:tplc="A6FA6FDA">
      <w:start w:val="1"/>
      <w:numFmt w:val="decimal"/>
      <w:pStyle w:val="ALJOP"/>
      <w:lvlText w:val="%1."/>
      <w:lvlJc w:val="left"/>
      <w:pPr>
        <w:ind w:left="1710" w:hanging="360"/>
      </w:pPr>
      <w:rPr>
        <w:rFonts w:ascii="Book Antiqua" w:eastAsiaTheme="minorHAnsi" w:hAnsi="Book Antiqua"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2E132A"/>
    <w:multiLevelType w:val="singleLevel"/>
    <w:tmpl w:val="2DFEAF46"/>
    <w:lvl w:ilvl="0">
      <w:start w:val="1"/>
      <w:numFmt w:val="decimal"/>
      <w:pStyle w:val="num2"/>
      <w:lvlText w:val="%1."/>
      <w:legacy w:legacy="1" w:legacySpace="144" w:legacyIndent="0"/>
      <w:lvlJc w:val="left"/>
    </w:lvl>
  </w:abstractNum>
  <w:abstractNum w:abstractNumId="13" w15:restartNumberingAfterBreak="0">
    <w:nsid w:val="3AC90361"/>
    <w:multiLevelType w:val="hybridMultilevel"/>
    <w:tmpl w:val="ADC62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F77958"/>
    <w:multiLevelType w:val="hybridMultilevel"/>
    <w:tmpl w:val="E42E4ED2"/>
    <w:lvl w:ilvl="0" w:tplc="FFFFFFFF">
      <w:start w:val="1"/>
      <w:numFmt w:val="lowerLetter"/>
      <w:lvlText w:val="%1."/>
      <w:lvlJc w:val="left"/>
      <w:rPr>
        <w:rFonts w:hint="default"/>
      </w:rPr>
    </w:lvl>
    <w:lvl w:ilvl="1" w:tplc="FFFFFFFF">
      <w:start w:val="1"/>
      <w:numFmt w:val="decimal"/>
      <w:lvlText w:val="(%2)"/>
      <w:lvlJc w:val="left"/>
      <w:pPr>
        <w:ind w:left="1800" w:hanging="360"/>
      </w:pPr>
      <w:rPr>
        <w:rFonts w:ascii="Palatino" w:eastAsia="Times New Roman" w:hAnsi="Palatino"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1713CD"/>
    <w:multiLevelType w:val="hybridMultilevel"/>
    <w:tmpl w:val="BAA86DD8"/>
    <w:lvl w:ilvl="0" w:tplc="E6644334">
      <w:start w:val="1"/>
      <w:numFmt w:val="decimal"/>
      <w:pStyle w:val="ALJ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EA1C5E"/>
    <w:multiLevelType w:val="hybridMultilevel"/>
    <w:tmpl w:val="16E49F86"/>
    <w:lvl w:ilvl="0" w:tplc="D5968976">
      <w:start w:val="1"/>
      <w:numFmt w:val="decimal"/>
      <w:lvlText w:val="(%1)"/>
      <w:lvlJc w:val="left"/>
      <w:pPr>
        <w:ind w:left="1092" w:hanging="37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451D37"/>
    <w:multiLevelType w:val="hybridMultilevel"/>
    <w:tmpl w:val="AB627DE4"/>
    <w:lvl w:ilvl="0" w:tplc="04090001">
      <w:start w:val="1"/>
      <w:numFmt w:val="bullet"/>
      <w:lvlText w:val=""/>
      <w:lvlJc w:val="left"/>
      <w:pPr>
        <w:ind w:left="1440" w:hanging="360"/>
      </w:pPr>
      <w:rPr>
        <w:rFonts w:ascii="Symbol" w:hAnsi="Symbol" w:hint="default"/>
      </w:rPr>
    </w:lvl>
    <w:lvl w:ilvl="1" w:tplc="F81A81DE">
      <w:numFmt w:val="bullet"/>
      <w:lvlText w:val="•"/>
      <w:lvlJc w:val="left"/>
      <w:pPr>
        <w:ind w:left="2160" w:hanging="360"/>
      </w:pPr>
      <w:rPr>
        <w:rFonts w:ascii="Book Antiqua" w:eastAsia="SymbolMT" w:hAnsi="Book Antiqua"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AD23B5"/>
    <w:multiLevelType w:val="multilevel"/>
    <w:tmpl w:val="AE6009A0"/>
    <w:lvl w:ilvl="0">
      <w:start w:val="1"/>
      <w:numFmt w:val="decimal"/>
      <w:pStyle w:val="ALJHeading1"/>
      <w:lvlText w:val="%1."/>
      <w:lvlJc w:val="left"/>
      <w:pPr>
        <w:ind w:left="360" w:hanging="360"/>
      </w:pPr>
    </w:lvl>
    <w:lvl w:ilvl="1">
      <w:start w:val="1"/>
      <w:numFmt w:val="decimal"/>
      <w:pStyle w:val="ALJHeading2"/>
      <w:lvlText w:val="%1.%2."/>
      <w:lvlJc w:val="left"/>
      <w:pPr>
        <w:ind w:left="792" w:hanging="432"/>
      </w:pPr>
    </w:lvl>
    <w:lvl w:ilvl="2">
      <w:start w:val="1"/>
      <w:numFmt w:val="decimal"/>
      <w:pStyle w:val="ALJ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D042D7"/>
    <w:multiLevelType w:val="multilevel"/>
    <w:tmpl w:val="18F4A5AC"/>
    <w:numStyleLink w:val="FoFCoLOP"/>
  </w:abstractNum>
  <w:abstractNum w:abstractNumId="20" w15:restartNumberingAfterBreak="0">
    <w:nsid w:val="5BBF65FE"/>
    <w:multiLevelType w:val="hybridMultilevel"/>
    <w:tmpl w:val="F1A25BA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8515DC"/>
    <w:multiLevelType w:val="hybridMultilevel"/>
    <w:tmpl w:val="C1BE1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25780"/>
    <w:multiLevelType w:val="multilevel"/>
    <w:tmpl w:val="3C526EDE"/>
    <w:numStyleLink w:val="Headings"/>
  </w:abstractNum>
  <w:abstractNum w:abstractNumId="23" w15:restartNumberingAfterBreak="0">
    <w:nsid w:val="6A7F604D"/>
    <w:multiLevelType w:val="hybridMultilevel"/>
    <w:tmpl w:val="E42E4ED2"/>
    <w:lvl w:ilvl="0" w:tplc="FFFFFFFF">
      <w:start w:val="1"/>
      <w:numFmt w:val="lowerLetter"/>
      <w:lvlText w:val="%1."/>
      <w:lvlJc w:val="left"/>
      <w:rPr>
        <w:rFonts w:hint="default"/>
      </w:rPr>
    </w:lvl>
    <w:lvl w:ilvl="1" w:tplc="FFFFFFFF">
      <w:start w:val="1"/>
      <w:numFmt w:val="decimal"/>
      <w:lvlText w:val="(%2)"/>
      <w:lvlJc w:val="left"/>
      <w:pPr>
        <w:ind w:left="1800" w:hanging="360"/>
      </w:pPr>
      <w:rPr>
        <w:rFonts w:ascii="Palatino" w:eastAsia="Times New Roman" w:hAnsi="Palatino"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973931"/>
    <w:multiLevelType w:val="hybridMultilevel"/>
    <w:tmpl w:val="57D05CB2"/>
    <w:lvl w:ilvl="0" w:tplc="04090019">
      <w:start w:val="1"/>
      <w:numFmt w:val="lowerLetter"/>
      <w:lvlText w:val="%1."/>
      <w:lvlJc w:val="left"/>
      <w:pPr>
        <w:ind w:left="1080" w:hanging="360"/>
      </w:pPr>
      <w:rPr>
        <w:rFonts w:hint="default"/>
      </w:rPr>
    </w:lvl>
    <w:lvl w:ilvl="1" w:tplc="A9408148">
      <w:start w:val="1"/>
      <w:numFmt w:val="decimal"/>
      <w:lvlText w:val="(%2)"/>
      <w:lvlJc w:val="left"/>
      <w:pPr>
        <w:ind w:left="1800" w:hanging="360"/>
      </w:pPr>
      <w:rPr>
        <w:rFonts w:ascii="Palatino" w:eastAsia="Times New Roman" w:hAnsi="Palatino"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8E0B9C"/>
    <w:multiLevelType w:val="hybridMultilevel"/>
    <w:tmpl w:val="F74CE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D792D"/>
    <w:multiLevelType w:val="hybridMultilevel"/>
    <w:tmpl w:val="1A28EB4C"/>
    <w:lvl w:ilvl="0" w:tplc="D1E6F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9A0AFE"/>
    <w:multiLevelType w:val="multilevel"/>
    <w:tmpl w:val="E9FAC778"/>
    <w:lvl w:ilvl="0">
      <w:start w:val="1"/>
      <w:numFmt w:val="decimal"/>
      <w:pStyle w:val="OP"/>
      <w:lvlText w:val="%1."/>
      <w:lvlJc w:val="right"/>
      <w:pPr>
        <w:ind w:left="-540" w:firstLine="540"/>
      </w:pPr>
      <w:rPr>
        <w:rFonts w:hint="default"/>
      </w:rPr>
    </w:lvl>
    <w:lvl w:ilvl="1">
      <w:start w:val="1"/>
      <w:numFmt w:val="lowerLetter"/>
      <w:lvlText w:val="%2."/>
      <w:lvlJc w:val="right"/>
      <w:pPr>
        <w:ind w:left="1152" w:hanging="72"/>
      </w:pPr>
      <w:rPr>
        <w:rFonts w:ascii="Book Antiqua" w:eastAsiaTheme="minorHAnsi" w:hAnsi="Book Antiqua" w:cs="Times New Roman"/>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8" w15:restartNumberingAfterBreak="0">
    <w:nsid w:val="78DA2670"/>
    <w:multiLevelType w:val="hybridMultilevel"/>
    <w:tmpl w:val="891EE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A1E0C"/>
    <w:multiLevelType w:val="hybridMultilevel"/>
    <w:tmpl w:val="CAD8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A355B"/>
    <w:multiLevelType w:val="hybridMultilevel"/>
    <w:tmpl w:val="91AE493A"/>
    <w:lvl w:ilvl="0" w:tplc="94A88440">
      <w:start w:val="1"/>
      <w:numFmt w:val="decimal"/>
      <w:pStyle w:val="FindingofFAc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9"/>
  </w:num>
  <w:num w:numId="3">
    <w:abstractNumId w:val="3"/>
  </w:num>
  <w:num w:numId="4">
    <w:abstractNumId w:val="27"/>
  </w:num>
  <w:num w:numId="5">
    <w:abstractNumId w:val="10"/>
  </w:num>
  <w:num w:numId="6">
    <w:abstractNumId w:val="0"/>
  </w:num>
  <w:num w:numId="7">
    <w:abstractNumId w:val="22"/>
  </w:num>
  <w:num w:numId="8">
    <w:abstractNumId w:val="18"/>
  </w:num>
  <w:num w:numId="9">
    <w:abstractNumId w:val="30"/>
  </w:num>
  <w:num w:numId="10">
    <w:abstractNumId w:val="5"/>
  </w:num>
  <w:num w:numId="11">
    <w:abstractNumId w:val="11"/>
  </w:num>
  <w:num w:numId="12">
    <w:abstractNumId w:val="15"/>
  </w:num>
  <w:num w:numId="13">
    <w:abstractNumId w:val="20"/>
  </w:num>
  <w:num w:numId="14">
    <w:abstractNumId w:val="12"/>
    <w:lvlOverride w:ilvl="0">
      <w:lvl w:ilvl="0">
        <w:start w:val="10"/>
        <w:numFmt w:val="decimal"/>
        <w:pStyle w:val="num2"/>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4"/>
  </w:num>
  <w:num w:numId="16">
    <w:abstractNumId w:val="28"/>
  </w:num>
  <w:num w:numId="17">
    <w:abstractNumId w:val="21"/>
  </w:num>
  <w:num w:numId="18">
    <w:abstractNumId w:val="6"/>
  </w:num>
  <w:num w:numId="19">
    <w:abstractNumId w:val="25"/>
  </w:num>
  <w:num w:numId="20">
    <w:abstractNumId w:val="8"/>
  </w:num>
  <w:num w:numId="21">
    <w:abstractNumId w:val="4"/>
  </w:num>
  <w:num w:numId="22">
    <w:abstractNumId w:val="16"/>
  </w:num>
  <w:num w:numId="23">
    <w:abstractNumId w:val="9"/>
  </w:num>
  <w:num w:numId="24">
    <w:abstractNumId w:val="17"/>
  </w:num>
  <w:num w:numId="25">
    <w:abstractNumId w:val="29"/>
  </w:num>
  <w:num w:numId="26">
    <w:abstractNumId w:val="26"/>
  </w:num>
  <w:num w:numId="27">
    <w:abstractNumId w:val="13"/>
  </w:num>
  <w:num w:numId="28">
    <w:abstractNumId w:val="23"/>
  </w:num>
  <w:num w:numId="29">
    <w:abstractNumId w:val="7"/>
  </w:num>
  <w:num w:numId="30">
    <w:abstractNumId w:val="14"/>
  </w:num>
  <w:num w:numId="31">
    <w:abstractNumId w:val="27"/>
  </w:num>
  <w:num w:numId="32">
    <w:abstractNumId w:val="27"/>
  </w:num>
  <w:num w:numId="33">
    <w:abstractNumId w:val="27"/>
  </w:num>
  <w:num w:numId="34">
    <w:abstractNumId w:val="2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1F"/>
    <w:rsid w:val="00000F6A"/>
    <w:rsid w:val="00002DCF"/>
    <w:rsid w:val="00006669"/>
    <w:rsid w:val="00007121"/>
    <w:rsid w:val="000072DE"/>
    <w:rsid w:val="0001066F"/>
    <w:rsid w:val="000107D2"/>
    <w:rsid w:val="0001445A"/>
    <w:rsid w:val="000174D3"/>
    <w:rsid w:val="000242ED"/>
    <w:rsid w:val="00025F37"/>
    <w:rsid w:val="00031E2E"/>
    <w:rsid w:val="000325D4"/>
    <w:rsid w:val="00032E3F"/>
    <w:rsid w:val="00034A99"/>
    <w:rsid w:val="00037BA6"/>
    <w:rsid w:val="00042488"/>
    <w:rsid w:val="000435B5"/>
    <w:rsid w:val="00046E5D"/>
    <w:rsid w:val="00051691"/>
    <w:rsid w:val="000547F3"/>
    <w:rsid w:val="000551FB"/>
    <w:rsid w:val="000626A1"/>
    <w:rsid w:val="00062878"/>
    <w:rsid w:val="00063435"/>
    <w:rsid w:val="00063D09"/>
    <w:rsid w:val="00065EAD"/>
    <w:rsid w:val="00067944"/>
    <w:rsid w:val="00067CDE"/>
    <w:rsid w:val="00070302"/>
    <w:rsid w:val="00070935"/>
    <w:rsid w:val="0007115A"/>
    <w:rsid w:val="00071D31"/>
    <w:rsid w:val="000743CF"/>
    <w:rsid w:val="00081BEE"/>
    <w:rsid w:val="00082370"/>
    <w:rsid w:val="0008363E"/>
    <w:rsid w:val="00086000"/>
    <w:rsid w:val="000872E2"/>
    <w:rsid w:val="0009243C"/>
    <w:rsid w:val="00092D99"/>
    <w:rsid w:val="00094628"/>
    <w:rsid w:val="000959D8"/>
    <w:rsid w:val="000968B7"/>
    <w:rsid w:val="000973C8"/>
    <w:rsid w:val="000A2A85"/>
    <w:rsid w:val="000A2AA9"/>
    <w:rsid w:val="000A38AB"/>
    <w:rsid w:val="000A56F2"/>
    <w:rsid w:val="000A6E05"/>
    <w:rsid w:val="000B00FF"/>
    <w:rsid w:val="000B12FA"/>
    <w:rsid w:val="000B1C3D"/>
    <w:rsid w:val="000B7407"/>
    <w:rsid w:val="000C08BF"/>
    <w:rsid w:val="000C1FD1"/>
    <w:rsid w:val="000C2AA6"/>
    <w:rsid w:val="000C31C8"/>
    <w:rsid w:val="000C344C"/>
    <w:rsid w:val="000C3B9A"/>
    <w:rsid w:val="000C5657"/>
    <w:rsid w:val="000D25A8"/>
    <w:rsid w:val="000D59EA"/>
    <w:rsid w:val="000D5AAB"/>
    <w:rsid w:val="000D6C57"/>
    <w:rsid w:val="000D71C1"/>
    <w:rsid w:val="000E270A"/>
    <w:rsid w:val="000E4C53"/>
    <w:rsid w:val="000E7337"/>
    <w:rsid w:val="000E7AF6"/>
    <w:rsid w:val="000F0E1C"/>
    <w:rsid w:val="000F2122"/>
    <w:rsid w:val="000F5D03"/>
    <w:rsid w:val="000F6234"/>
    <w:rsid w:val="000F744D"/>
    <w:rsid w:val="000F7D61"/>
    <w:rsid w:val="00101842"/>
    <w:rsid w:val="001018C7"/>
    <w:rsid w:val="001053B6"/>
    <w:rsid w:val="00105E29"/>
    <w:rsid w:val="001065FA"/>
    <w:rsid w:val="00112131"/>
    <w:rsid w:val="0011301D"/>
    <w:rsid w:val="0011627E"/>
    <w:rsid w:val="001172B5"/>
    <w:rsid w:val="001172C5"/>
    <w:rsid w:val="00121089"/>
    <w:rsid w:val="00122441"/>
    <w:rsid w:val="00122629"/>
    <w:rsid w:val="00123188"/>
    <w:rsid w:val="00124693"/>
    <w:rsid w:val="00125A44"/>
    <w:rsid w:val="00127326"/>
    <w:rsid w:val="00127A65"/>
    <w:rsid w:val="00127C58"/>
    <w:rsid w:val="00132A43"/>
    <w:rsid w:val="001376DE"/>
    <w:rsid w:val="00141F3F"/>
    <w:rsid w:val="00144685"/>
    <w:rsid w:val="00144EFE"/>
    <w:rsid w:val="00145F82"/>
    <w:rsid w:val="001479D3"/>
    <w:rsid w:val="001562FA"/>
    <w:rsid w:val="00157413"/>
    <w:rsid w:val="00170E78"/>
    <w:rsid w:val="00175A8E"/>
    <w:rsid w:val="001778D0"/>
    <w:rsid w:val="0018240D"/>
    <w:rsid w:val="001856EC"/>
    <w:rsid w:val="0018622D"/>
    <w:rsid w:val="00194E4D"/>
    <w:rsid w:val="0019587A"/>
    <w:rsid w:val="00197554"/>
    <w:rsid w:val="001A2924"/>
    <w:rsid w:val="001A2C28"/>
    <w:rsid w:val="001A76BF"/>
    <w:rsid w:val="001B085E"/>
    <w:rsid w:val="001B3888"/>
    <w:rsid w:val="001B63B1"/>
    <w:rsid w:val="001B77D2"/>
    <w:rsid w:val="001C2953"/>
    <w:rsid w:val="001C3070"/>
    <w:rsid w:val="001C363F"/>
    <w:rsid w:val="001D346B"/>
    <w:rsid w:val="001D6A0B"/>
    <w:rsid w:val="001D7F93"/>
    <w:rsid w:val="001E02ED"/>
    <w:rsid w:val="001E2A62"/>
    <w:rsid w:val="001E3463"/>
    <w:rsid w:val="001F00F6"/>
    <w:rsid w:val="001F0CED"/>
    <w:rsid w:val="001F1D69"/>
    <w:rsid w:val="001F2819"/>
    <w:rsid w:val="001F2BC1"/>
    <w:rsid w:val="001F3ADD"/>
    <w:rsid w:val="001F63DB"/>
    <w:rsid w:val="001F6591"/>
    <w:rsid w:val="001F6944"/>
    <w:rsid w:val="001F6F6D"/>
    <w:rsid w:val="00202870"/>
    <w:rsid w:val="002043EC"/>
    <w:rsid w:val="00205C09"/>
    <w:rsid w:val="0020782D"/>
    <w:rsid w:val="00212A0B"/>
    <w:rsid w:val="00214340"/>
    <w:rsid w:val="00215302"/>
    <w:rsid w:val="00215915"/>
    <w:rsid w:val="00216893"/>
    <w:rsid w:val="00221309"/>
    <w:rsid w:val="00222CBF"/>
    <w:rsid w:val="00234187"/>
    <w:rsid w:val="00243DC0"/>
    <w:rsid w:val="00247477"/>
    <w:rsid w:val="0025275F"/>
    <w:rsid w:val="0025376F"/>
    <w:rsid w:val="00254D72"/>
    <w:rsid w:val="00262C2F"/>
    <w:rsid w:val="00265016"/>
    <w:rsid w:val="00265AAC"/>
    <w:rsid w:val="00270440"/>
    <w:rsid w:val="00270B93"/>
    <w:rsid w:val="00270E6F"/>
    <w:rsid w:val="002715CE"/>
    <w:rsid w:val="00272A04"/>
    <w:rsid w:val="00274719"/>
    <w:rsid w:val="00274E6D"/>
    <w:rsid w:val="0027518F"/>
    <w:rsid w:val="002762E2"/>
    <w:rsid w:val="00282CE5"/>
    <w:rsid w:val="00284329"/>
    <w:rsid w:val="00285F57"/>
    <w:rsid w:val="0028605A"/>
    <w:rsid w:val="00286278"/>
    <w:rsid w:val="0028732E"/>
    <w:rsid w:val="00287BC5"/>
    <w:rsid w:val="0029005E"/>
    <w:rsid w:val="00293DEE"/>
    <w:rsid w:val="002953B9"/>
    <w:rsid w:val="00297A61"/>
    <w:rsid w:val="002A0B5D"/>
    <w:rsid w:val="002A6FD1"/>
    <w:rsid w:val="002B098A"/>
    <w:rsid w:val="002B136B"/>
    <w:rsid w:val="002B4B2D"/>
    <w:rsid w:val="002B734E"/>
    <w:rsid w:val="002C1366"/>
    <w:rsid w:val="002C1E4E"/>
    <w:rsid w:val="002C55E0"/>
    <w:rsid w:val="002C5D00"/>
    <w:rsid w:val="002C6BFF"/>
    <w:rsid w:val="002C7FE9"/>
    <w:rsid w:val="002D008B"/>
    <w:rsid w:val="002D0BDD"/>
    <w:rsid w:val="002D0DC5"/>
    <w:rsid w:val="002D4EFD"/>
    <w:rsid w:val="002D59D6"/>
    <w:rsid w:val="002D5F6E"/>
    <w:rsid w:val="002E3D68"/>
    <w:rsid w:val="002E43C5"/>
    <w:rsid w:val="002E48B3"/>
    <w:rsid w:val="002F04AF"/>
    <w:rsid w:val="002F092C"/>
    <w:rsid w:val="002F3B9E"/>
    <w:rsid w:val="002F7FF5"/>
    <w:rsid w:val="00300963"/>
    <w:rsid w:val="00301DCD"/>
    <w:rsid w:val="00306F7F"/>
    <w:rsid w:val="00313297"/>
    <w:rsid w:val="0031350A"/>
    <w:rsid w:val="00314CCB"/>
    <w:rsid w:val="0031573D"/>
    <w:rsid w:val="00316071"/>
    <w:rsid w:val="0032275C"/>
    <w:rsid w:val="003307D4"/>
    <w:rsid w:val="00333310"/>
    <w:rsid w:val="00340A57"/>
    <w:rsid w:val="00341827"/>
    <w:rsid w:val="00343E5C"/>
    <w:rsid w:val="00346275"/>
    <w:rsid w:val="003478B4"/>
    <w:rsid w:val="00351AAC"/>
    <w:rsid w:val="00352666"/>
    <w:rsid w:val="00354489"/>
    <w:rsid w:val="00354941"/>
    <w:rsid w:val="0035683B"/>
    <w:rsid w:val="00356D38"/>
    <w:rsid w:val="0035794B"/>
    <w:rsid w:val="0036017B"/>
    <w:rsid w:val="00360A03"/>
    <w:rsid w:val="00360F74"/>
    <w:rsid w:val="00362755"/>
    <w:rsid w:val="00362AF1"/>
    <w:rsid w:val="0036712E"/>
    <w:rsid w:val="00367CDC"/>
    <w:rsid w:val="00370B5C"/>
    <w:rsid w:val="0037311F"/>
    <w:rsid w:val="00373B93"/>
    <w:rsid w:val="00375272"/>
    <w:rsid w:val="00377440"/>
    <w:rsid w:val="00380CD1"/>
    <w:rsid w:val="0038347B"/>
    <w:rsid w:val="003864BE"/>
    <w:rsid w:val="00391742"/>
    <w:rsid w:val="003934A3"/>
    <w:rsid w:val="003A0450"/>
    <w:rsid w:val="003A3249"/>
    <w:rsid w:val="003A382B"/>
    <w:rsid w:val="003A38F0"/>
    <w:rsid w:val="003A454F"/>
    <w:rsid w:val="003A752B"/>
    <w:rsid w:val="003B3F4E"/>
    <w:rsid w:val="003B4043"/>
    <w:rsid w:val="003B5F89"/>
    <w:rsid w:val="003C050E"/>
    <w:rsid w:val="003C1D70"/>
    <w:rsid w:val="003C5A15"/>
    <w:rsid w:val="003D1591"/>
    <w:rsid w:val="003D4265"/>
    <w:rsid w:val="003D52C9"/>
    <w:rsid w:val="003E06F4"/>
    <w:rsid w:val="003E3CB4"/>
    <w:rsid w:val="003E45E0"/>
    <w:rsid w:val="003E5D26"/>
    <w:rsid w:val="003E6722"/>
    <w:rsid w:val="003F0627"/>
    <w:rsid w:val="003F069A"/>
    <w:rsid w:val="003F08C3"/>
    <w:rsid w:val="003F174F"/>
    <w:rsid w:val="003F209A"/>
    <w:rsid w:val="003F4329"/>
    <w:rsid w:val="00400341"/>
    <w:rsid w:val="00403347"/>
    <w:rsid w:val="00404FE0"/>
    <w:rsid w:val="00405AF7"/>
    <w:rsid w:val="00407119"/>
    <w:rsid w:val="00412534"/>
    <w:rsid w:val="00412C83"/>
    <w:rsid w:val="00414253"/>
    <w:rsid w:val="00414707"/>
    <w:rsid w:val="00424C07"/>
    <w:rsid w:val="00426014"/>
    <w:rsid w:val="00432664"/>
    <w:rsid w:val="004349EF"/>
    <w:rsid w:val="00434C37"/>
    <w:rsid w:val="00436989"/>
    <w:rsid w:val="004419A0"/>
    <w:rsid w:val="00441D8D"/>
    <w:rsid w:val="00443BF5"/>
    <w:rsid w:val="004523EB"/>
    <w:rsid w:val="00454EA5"/>
    <w:rsid w:val="00454FB8"/>
    <w:rsid w:val="00456B0B"/>
    <w:rsid w:val="004607FD"/>
    <w:rsid w:val="00460B7D"/>
    <w:rsid w:val="0046317C"/>
    <w:rsid w:val="004705EA"/>
    <w:rsid w:val="00472AAF"/>
    <w:rsid w:val="004748C3"/>
    <w:rsid w:val="00477B16"/>
    <w:rsid w:val="004802AB"/>
    <w:rsid w:val="00480CB0"/>
    <w:rsid w:val="00484301"/>
    <w:rsid w:val="004943F0"/>
    <w:rsid w:val="00497439"/>
    <w:rsid w:val="004A3366"/>
    <w:rsid w:val="004A38BD"/>
    <w:rsid w:val="004B2D33"/>
    <w:rsid w:val="004B34EA"/>
    <w:rsid w:val="004B5494"/>
    <w:rsid w:val="004B5A2F"/>
    <w:rsid w:val="004B7DED"/>
    <w:rsid w:val="004C223F"/>
    <w:rsid w:val="004C2520"/>
    <w:rsid w:val="004C4174"/>
    <w:rsid w:val="004C605C"/>
    <w:rsid w:val="004C7A2B"/>
    <w:rsid w:val="004C7D3A"/>
    <w:rsid w:val="004D0B44"/>
    <w:rsid w:val="004D1617"/>
    <w:rsid w:val="004D4A15"/>
    <w:rsid w:val="004E26F3"/>
    <w:rsid w:val="004E5630"/>
    <w:rsid w:val="004E5FD1"/>
    <w:rsid w:val="004F1792"/>
    <w:rsid w:val="004F4820"/>
    <w:rsid w:val="004F4C23"/>
    <w:rsid w:val="004F4E82"/>
    <w:rsid w:val="004F5D15"/>
    <w:rsid w:val="005018A8"/>
    <w:rsid w:val="00505177"/>
    <w:rsid w:val="00505A39"/>
    <w:rsid w:val="00506340"/>
    <w:rsid w:val="0050724B"/>
    <w:rsid w:val="00512038"/>
    <w:rsid w:val="00512492"/>
    <w:rsid w:val="00513F62"/>
    <w:rsid w:val="0051519F"/>
    <w:rsid w:val="00517A50"/>
    <w:rsid w:val="0052107E"/>
    <w:rsid w:val="005210D7"/>
    <w:rsid w:val="005240BF"/>
    <w:rsid w:val="00525010"/>
    <w:rsid w:val="00531358"/>
    <w:rsid w:val="00533242"/>
    <w:rsid w:val="005348FD"/>
    <w:rsid w:val="00535ACB"/>
    <w:rsid w:val="005412B8"/>
    <w:rsid w:val="0054409B"/>
    <w:rsid w:val="00545242"/>
    <w:rsid w:val="00545ED3"/>
    <w:rsid w:val="0054798F"/>
    <w:rsid w:val="00547B79"/>
    <w:rsid w:val="00554F96"/>
    <w:rsid w:val="0055606D"/>
    <w:rsid w:val="0055722F"/>
    <w:rsid w:val="00563CC2"/>
    <w:rsid w:val="00564A6D"/>
    <w:rsid w:val="005655FC"/>
    <w:rsid w:val="00565B33"/>
    <w:rsid w:val="00570F2B"/>
    <w:rsid w:val="00571EA5"/>
    <w:rsid w:val="00576794"/>
    <w:rsid w:val="00581BEA"/>
    <w:rsid w:val="00582C8E"/>
    <w:rsid w:val="00585390"/>
    <w:rsid w:val="005862CF"/>
    <w:rsid w:val="00586D3D"/>
    <w:rsid w:val="005939A5"/>
    <w:rsid w:val="00594D9F"/>
    <w:rsid w:val="00597DC7"/>
    <w:rsid w:val="005A148C"/>
    <w:rsid w:val="005B11D7"/>
    <w:rsid w:val="005B76EC"/>
    <w:rsid w:val="005C311C"/>
    <w:rsid w:val="005C6242"/>
    <w:rsid w:val="005C6261"/>
    <w:rsid w:val="005C7931"/>
    <w:rsid w:val="005D37B6"/>
    <w:rsid w:val="005D4EB5"/>
    <w:rsid w:val="005D583E"/>
    <w:rsid w:val="005D6B7B"/>
    <w:rsid w:val="005E0D1C"/>
    <w:rsid w:val="005E2294"/>
    <w:rsid w:val="005E2B6E"/>
    <w:rsid w:val="005E3A17"/>
    <w:rsid w:val="005E70B1"/>
    <w:rsid w:val="005E75E2"/>
    <w:rsid w:val="005F03D7"/>
    <w:rsid w:val="005F2DEF"/>
    <w:rsid w:val="005F3201"/>
    <w:rsid w:val="005F50B0"/>
    <w:rsid w:val="005F5B2B"/>
    <w:rsid w:val="005F5BE9"/>
    <w:rsid w:val="00605074"/>
    <w:rsid w:val="00605FD8"/>
    <w:rsid w:val="006071E1"/>
    <w:rsid w:val="006115B6"/>
    <w:rsid w:val="00621799"/>
    <w:rsid w:val="00622D02"/>
    <w:rsid w:val="00623E3E"/>
    <w:rsid w:val="00627420"/>
    <w:rsid w:val="00630E88"/>
    <w:rsid w:val="00632207"/>
    <w:rsid w:val="0063491C"/>
    <w:rsid w:val="00634A70"/>
    <w:rsid w:val="00637F97"/>
    <w:rsid w:val="006412A0"/>
    <w:rsid w:val="00647178"/>
    <w:rsid w:val="00653582"/>
    <w:rsid w:val="006551BB"/>
    <w:rsid w:val="00655EF8"/>
    <w:rsid w:val="00661AFE"/>
    <w:rsid w:val="00686F44"/>
    <w:rsid w:val="0069277B"/>
    <w:rsid w:val="006A2577"/>
    <w:rsid w:val="006A3CCE"/>
    <w:rsid w:val="006A47AD"/>
    <w:rsid w:val="006A4909"/>
    <w:rsid w:val="006B04B4"/>
    <w:rsid w:val="006B17A7"/>
    <w:rsid w:val="006C1F10"/>
    <w:rsid w:val="006C3192"/>
    <w:rsid w:val="006C64A8"/>
    <w:rsid w:val="006C653E"/>
    <w:rsid w:val="006C7BB6"/>
    <w:rsid w:val="006D047A"/>
    <w:rsid w:val="006D04C5"/>
    <w:rsid w:val="006D1129"/>
    <w:rsid w:val="006D39FA"/>
    <w:rsid w:val="006D4873"/>
    <w:rsid w:val="006D545B"/>
    <w:rsid w:val="006D75CC"/>
    <w:rsid w:val="006E03C3"/>
    <w:rsid w:val="006E1BF7"/>
    <w:rsid w:val="006E41DB"/>
    <w:rsid w:val="006E532F"/>
    <w:rsid w:val="006E5E28"/>
    <w:rsid w:val="006E6574"/>
    <w:rsid w:val="006E77E8"/>
    <w:rsid w:val="006E7A3C"/>
    <w:rsid w:val="006F0C0E"/>
    <w:rsid w:val="00700101"/>
    <w:rsid w:val="0070155C"/>
    <w:rsid w:val="00704049"/>
    <w:rsid w:val="00712103"/>
    <w:rsid w:val="007123BE"/>
    <w:rsid w:val="00714009"/>
    <w:rsid w:val="00714CF2"/>
    <w:rsid w:val="007156B9"/>
    <w:rsid w:val="00717A83"/>
    <w:rsid w:val="00720817"/>
    <w:rsid w:val="00722850"/>
    <w:rsid w:val="007277E9"/>
    <w:rsid w:val="0073233C"/>
    <w:rsid w:val="0073353F"/>
    <w:rsid w:val="00735A91"/>
    <w:rsid w:val="00735E1F"/>
    <w:rsid w:val="007366DA"/>
    <w:rsid w:val="00737491"/>
    <w:rsid w:val="00740D1E"/>
    <w:rsid w:val="0074192A"/>
    <w:rsid w:val="00742E45"/>
    <w:rsid w:val="007447AF"/>
    <w:rsid w:val="00745A6B"/>
    <w:rsid w:val="00746A4E"/>
    <w:rsid w:val="00750816"/>
    <w:rsid w:val="00753B47"/>
    <w:rsid w:val="00754EB1"/>
    <w:rsid w:val="007624CA"/>
    <w:rsid w:val="00764401"/>
    <w:rsid w:val="00764AB4"/>
    <w:rsid w:val="0076542E"/>
    <w:rsid w:val="007657C1"/>
    <w:rsid w:val="00766FEB"/>
    <w:rsid w:val="0076735A"/>
    <w:rsid w:val="00770071"/>
    <w:rsid w:val="0077007B"/>
    <w:rsid w:val="00773ABB"/>
    <w:rsid w:val="007759C3"/>
    <w:rsid w:val="00775F7C"/>
    <w:rsid w:val="0077755F"/>
    <w:rsid w:val="00783368"/>
    <w:rsid w:val="007840A4"/>
    <w:rsid w:val="00785BD8"/>
    <w:rsid w:val="00786DB8"/>
    <w:rsid w:val="00794231"/>
    <w:rsid w:val="00796DB9"/>
    <w:rsid w:val="00797515"/>
    <w:rsid w:val="00797913"/>
    <w:rsid w:val="007A047E"/>
    <w:rsid w:val="007A05DB"/>
    <w:rsid w:val="007A33C6"/>
    <w:rsid w:val="007A406D"/>
    <w:rsid w:val="007A53F9"/>
    <w:rsid w:val="007A62B0"/>
    <w:rsid w:val="007B1A02"/>
    <w:rsid w:val="007C28AB"/>
    <w:rsid w:val="007C491F"/>
    <w:rsid w:val="007C5A0C"/>
    <w:rsid w:val="007C69B2"/>
    <w:rsid w:val="007D050E"/>
    <w:rsid w:val="007D0C45"/>
    <w:rsid w:val="007D53DB"/>
    <w:rsid w:val="007D618D"/>
    <w:rsid w:val="007E0FEE"/>
    <w:rsid w:val="007E636C"/>
    <w:rsid w:val="007E76F7"/>
    <w:rsid w:val="007F2017"/>
    <w:rsid w:val="007F4BA0"/>
    <w:rsid w:val="007F76E0"/>
    <w:rsid w:val="008008EA"/>
    <w:rsid w:val="00802DFA"/>
    <w:rsid w:val="008044F2"/>
    <w:rsid w:val="008049D9"/>
    <w:rsid w:val="008067E5"/>
    <w:rsid w:val="0081243A"/>
    <w:rsid w:val="00812665"/>
    <w:rsid w:val="00813FE8"/>
    <w:rsid w:val="00816145"/>
    <w:rsid w:val="008165B6"/>
    <w:rsid w:val="00817B92"/>
    <w:rsid w:val="00821E36"/>
    <w:rsid w:val="00826A22"/>
    <w:rsid w:val="00827E82"/>
    <w:rsid w:val="008304F5"/>
    <w:rsid w:val="0083059D"/>
    <w:rsid w:val="00832403"/>
    <w:rsid w:val="008339BB"/>
    <w:rsid w:val="00834D8F"/>
    <w:rsid w:val="0084173F"/>
    <w:rsid w:val="008444F1"/>
    <w:rsid w:val="00844EBA"/>
    <w:rsid w:val="00846622"/>
    <w:rsid w:val="00846DF4"/>
    <w:rsid w:val="00847D60"/>
    <w:rsid w:val="00850BC3"/>
    <w:rsid w:val="00861247"/>
    <w:rsid w:val="00861E9D"/>
    <w:rsid w:val="0086419A"/>
    <w:rsid w:val="008658CC"/>
    <w:rsid w:val="00865F37"/>
    <w:rsid w:val="0086735A"/>
    <w:rsid w:val="0087023B"/>
    <w:rsid w:val="0087504B"/>
    <w:rsid w:val="00881DFC"/>
    <w:rsid w:val="00882AE3"/>
    <w:rsid w:val="0088455C"/>
    <w:rsid w:val="00884E88"/>
    <w:rsid w:val="00885EFE"/>
    <w:rsid w:val="008900E9"/>
    <w:rsid w:val="00891361"/>
    <w:rsid w:val="00895E4F"/>
    <w:rsid w:val="008966DB"/>
    <w:rsid w:val="008A0DDE"/>
    <w:rsid w:val="008A179F"/>
    <w:rsid w:val="008A1EC3"/>
    <w:rsid w:val="008A475F"/>
    <w:rsid w:val="008A508F"/>
    <w:rsid w:val="008B0864"/>
    <w:rsid w:val="008B2202"/>
    <w:rsid w:val="008B3BE3"/>
    <w:rsid w:val="008B4D92"/>
    <w:rsid w:val="008C1078"/>
    <w:rsid w:val="008C4242"/>
    <w:rsid w:val="008C64CC"/>
    <w:rsid w:val="008C7256"/>
    <w:rsid w:val="008C7413"/>
    <w:rsid w:val="008D16B7"/>
    <w:rsid w:val="008D2943"/>
    <w:rsid w:val="008E1F05"/>
    <w:rsid w:val="008E408B"/>
    <w:rsid w:val="008E6AE6"/>
    <w:rsid w:val="008E770F"/>
    <w:rsid w:val="008E79A7"/>
    <w:rsid w:val="008F0116"/>
    <w:rsid w:val="008F0479"/>
    <w:rsid w:val="008F0CC0"/>
    <w:rsid w:val="008F143D"/>
    <w:rsid w:val="008F5CC0"/>
    <w:rsid w:val="008F5CFD"/>
    <w:rsid w:val="00900BAB"/>
    <w:rsid w:val="00902116"/>
    <w:rsid w:val="00902AF3"/>
    <w:rsid w:val="00912434"/>
    <w:rsid w:val="00912777"/>
    <w:rsid w:val="009166C0"/>
    <w:rsid w:val="0092311C"/>
    <w:rsid w:val="00924726"/>
    <w:rsid w:val="00925AFA"/>
    <w:rsid w:val="009322F2"/>
    <w:rsid w:val="00932865"/>
    <w:rsid w:val="00934939"/>
    <w:rsid w:val="00935482"/>
    <w:rsid w:val="00935F0D"/>
    <w:rsid w:val="00936B16"/>
    <w:rsid w:val="009378F8"/>
    <w:rsid w:val="009418BC"/>
    <w:rsid w:val="0094192B"/>
    <w:rsid w:val="00943BD9"/>
    <w:rsid w:val="009523E4"/>
    <w:rsid w:val="00953218"/>
    <w:rsid w:val="009545CA"/>
    <w:rsid w:val="00954979"/>
    <w:rsid w:val="00954981"/>
    <w:rsid w:val="00956655"/>
    <w:rsid w:val="00957E07"/>
    <w:rsid w:val="00963FB3"/>
    <w:rsid w:val="009646E6"/>
    <w:rsid w:val="00964B32"/>
    <w:rsid w:val="00965839"/>
    <w:rsid w:val="00967291"/>
    <w:rsid w:val="009719FA"/>
    <w:rsid w:val="00971EFC"/>
    <w:rsid w:val="00972F77"/>
    <w:rsid w:val="0097311B"/>
    <w:rsid w:val="0098138E"/>
    <w:rsid w:val="0098655A"/>
    <w:rsid w:val="00987483"/>
    <w:rsid w:val="009918BF"/>
    <w:rsid w:val="00991FBD"/>
    <w:rsid w:val="00992971"/>
    <w:rsid w:val="0099309A"/>
    <w:rsid w:val="00993E34"/>
    <w:rsid w:val="00994039"/>
    <w:rsid w:val="00996AC8"/>
    <w:rsid w:val="00997A79"/>
    <w:rsid w:val="009A40B2"/>
    <w:rsid w:val="009A6AC4"/>
    <w:rsid w:val="009A7299"/>
    <w:rsid w:val="009B08A5"/>
    <w:rsid w:val="009B1209"/>
    <w:rsid w:val="009B5EA5"/>
    <w:rsid w:val="009B694E"/>
    <w:rsid w:val="009C0A0F"/>
    <w:rsid w:val="009C5B07"/>
    <w:rsid w:val="009C7753"/>
    <w:rsid w:val="009D4E32"/>
    <w:rsid w:val="009D541A"/>
    <w:rsid w:val="009D762E"/>
    <w:rsid w:val="009E0C95"/>
    <w:rsid w:val="009E2A06"/>
    <w:rsid w:val="009E59CD"/>
    <w:rsid w:val="009E7C7F"/>
    <w:rsid w:val="009F4351"/>
    <w:rsid w:val="00A02F11"/>
    <w:rsid w:val="00A11559"/>
    <w:rsid w:val="00A13664"/>
    <w:rsid w:val="00A158B4"/>
    <w:rsid w:val="00A160C2"/>
    <w:rsid w:val="00A17CE0"/>
    <w:rsid w:val="00A206B9"/>
    <w:rsid w:val="00A22BC3"/>
    <w:rsid w:val="00A23D48"/>
    <w:rsid w:val="00A27637"/>
    <w:rsid w:val="00A2798F"/>
    <w:rsid w:val="00A42306"/>
    <w:rsid w:val="00A4233C"/>
    <w:rsid w:val="00A44E8D"/>
    <w:rsid w:val="00A454DA"/>
    <w:rsid w:val="00A501AF"/>
    <w:rsid w:val="00A51FF4"/>
    <w:rsid w:val="00A52B03"/>
    <w:rsid w:val="00A55ACD"/>
    <w:rsid w:val="00A56A94"/>
    <w:rsid w:val="00A56DAB"/>
    <w:rsid w:val="00A5791B"/>
    <w:rsid w:val="00A57948"/>
    <w:rsid w:val="00A57F8E"/>
    <w:rsid w:val="00A604AB"/>
    <w:rsid w:val="00A7034A"/>
    <w:rsid w:val="00A72446"/>
    <w:rsid w:val="00A741C3"/>
    <w:rsid w:val="00A82E5C"/>
    <w:rsid w:val="00A849DC"/>
    <w:rsid w:val="00A85FAD"/>
    <w:rsid w:val="00A91F06"/>
    <w:rsid w:val="00A947E4"/>
    <w:rsid w:val="00A95D9F"/>
    <w:rsid w:val="00AA2EEF"/>
    <w:rsid w:val="00AA389B"/>
    <w:rsid w:val="00AA7F18"/>
    <w:rsid w:val="00AB09A5"/>
    <w:rsid w:val="00AB1947"/>
    <w:rsid w:val="00AB1D45"/>
    <w:rsid w:val="00AB485A"/>
    <w:rsid w:val="00AB6460"/>
    <w:rsid w:val="00AB7875"/>
    <w:rsid w:val="00AB7E0A"/>
    <w:rsid w:val="00AC1BCB"/>
    <w:rsid w:val="00AC2330"/>
    <w:rsid w:val="00AC68EE"/>
    <w:rsid w:val="00AD3ED2"/>
    <w:rsid w:val="00AD4FE5"/>
    <w:rsid w:val="00AD78EC"/>
    <w:rsid w:val="00AE3DB6"/>
    <w:rsid w:val="00AE5F03"/>
    <w:rsid w:val="00AE6716"/>
    <w:rsid w:val="00AF0B7B"/>
    <w:rsid w:val="00AF16BC"/>
    <w:rsid w:val="00AF399F"/>
    <w:rsid w:val="00AF3CBB"/>
    <w:rsid w:val="00AF3F59"/>
    <w:rsid w:val="00AF61EF"/>
    <w:rsid w:val="00AF6F96"/>
    <w:rsid w:val="00B00EE4"/>
    <w:rsid w:val="00B01F7E"/>
    <w:rsid w:val="00B06F4E"/>
    <w:rsid w:val="00B139DE"/>
    <w:rsid w:val="00B13C7D"/>
    <w:rsid w:val="00B15572"/>
    <w:rsid w:val="00B15C27"/>
    <w:rsid w:val="00B15E78"/>
    <w:rsid w:val="00B16EC5"/>
    <w:rsid w:val="00B226DB"/>
    <w:rsid w:val="00B23A17"/>
    <w:rsid w:val="00B258D7"/>
    <w:rsid w:val="00B3087D"/>
    <w:rsid w:val="00B31058"/>
    <w:rsid w:val="00B324D5"/>
    <w:rsid w:val="00B33B62"/>
    <w:rsid w:val="00B34794"/>
    <w:rsid w:val="00B34D75"/>
    <w:rsid w:val="00B35D03"/>
    <w:rsid w:val="00B42DD2"/>
    <w:rsid w:val="00B42E14"/>
    <w:rsid w:val="00B44069"/>
    <w:rsid w:val="00B44ECE"/>
    <w:rsid w:val="00B45397"/>
    <w:rsid w:val="00B45B1E"/>
    <w:rsid w:val="00B4656F"/>
    <w:rsid w:val="00B47C9B"/>
    <w:rsid w:val="00B51F27"/>
    <w:rsid w:val="00B55DAE"/>
    <w:rsid w:val="00B56337"/>
    <w:rsid w:val="00B56519"/>
    <w:rsid w:val="00B60421"/>
    <w:rsid w:val="00B661EC"/>
    <w:rsid w:val="00B741DD"/>
    <w:rsid w:val="00B76A57"/>
    <w:rsid w:val="00B81FDF"/>
    <w:rsid w:val="00B835A3"/>
    <w:rsid w:val="00B86087"/>
    <w:rsid w:val="00B90A8E"/>
    <w:rsid w:val="00B9504E"/>
    <w:rsid w:val="00B9758B"/>
    <w:rsid w:val="00B97B9A"/>
    <w:rsid w:val="00BA24C5"/>
    <w:rsid w:val="00BA7A85"/>
    <w:rsid w:val="00BB0243"/>
    <w:rsid w:val="00BB0943"/>
    <w:rsid w:val="00BB2016"/>
    <w:rsid w:val="00BB449E"/>
    <w:rsid w:val="00BB5BE3"/>
    <w:rsid w:val="00BB7CF6"/>
    <w:rsid w:val="00BC2DFE"/>
    <w:rsid w:val="00BC3093"/>
    <w:rsid w:val="00BC3540"/>
    <w:rsid w:val="00BC7EB9"/>
    <w:rsid w:val="00BD0D6E"/>
    <w:rsid w:val="00BD15A8"/>
    <w:rsid w:val="00BD2E7D"/>
    <w:rsid w:val="00BD35A7"/>
    <w:rsid w:val="00BD49A2"/>
    <w:rsid w:val="00BD611B"/>
    <w:rsid w:val="00BD7382"/>
    <w:rsid w:val="00BD76AF"/>
    <w:rsid w:val="00BE61D1"/>
    <w:rsid w:val="00BF0D90"/>
    <w:rsid w:val="00BF14E9"/>
    <w:rsid w:val="00BF3737"/>
    <w:rsid w:val="00BF44CF"/>
    <w:rsid w:val="00BF7415"/>
    <w:rsid w:val="00C030F7"/>
    <w:rsid w:val="00C0540D"/>
    <w:rsid w:val="00C0697B"/>
    <w:rsid w:val="00C07F22"/>
    <w:rsid w:val="00C10623"/>
    <w:rsid w:val="00C1080A"/>
    <w:rsid w:val="00C10B5F"/>
    <w:rsid w:val="00C1299D"/>
    <w:rsid w:val="00C1710D"/>
    <w:rsid w:val="00C25D5D"/>
    <w:rsid w:val="00C44DB5"/>
    <w:rsid w:val="00C52381"/>
    <w:rsid w:val="00C52B6F"/>
    <w:rsid w:val="00C5767C"/>
    <w:rsid w:val="00C6396C"/>
    <w:rsid w:val="00C64BDD"/>
    <w:rsid w:val="00C745FB"/>
    <w:rsid w:val="00C913A1"/>
    <w:rsid w:val="00C95398"/>
    <w:rsid w:val="00C97A77"/>
    <w:rsid w:val="00CA15B8"/>
    <w:rsid w:val="00CA16CD"/>
    <w:rsid w:val="00CA748B"/>
    <w:rsid w:val="00CB0BDA"/>
    <w:rsid w:val="00CB125D"/>
    <w:rsid w:val="00CB566E"/>
    <w:rsid w:val="00CC07CE"/>
    <w:rsid w:val="00CC1964"/>
    <w:rsid w:val="00CC612F"/>
    <w:rsid w:val="00CC6A99"/>
    <w:rsid w:val="00CC7E85"/>
    <w:rsid w:val="00CD311D"/>
    <w:rsid w:val="00CD51D6"/>
    <w:rsid w:val="00CD5662"/>
    <w:rsid w:val="00CD744E"/>
    <w:rsid w:val="00CE3259"/>
    <w:rsid w:val="00CE791F"/>
    <w:rsid w:val="00CF025D"/>
    <w:rsid w:val="00CF2A87"/>
    <w:rsid w:val="00CF3B45"/>
    <w:rsid w:val="00CF6AD5"/>
    <w:rsid w:val="00D00AA3"/>
    <w:rsid w:val="00D03487"/>
    <w:rsid w:val="00D0473E"/>
    <w:rsid w:val="00D051E9"/>
    <w:rsid w:val="00D065AC"/>
    <w:rsid w:val="00D071CB"/>
    <w:rsid w:val="00D07F73"/>
    <w:rsid w:val="00D106C7"/>
    <w:rsid w:val="00D110B2"/>
    <w:rsid w:val="00D120C0"/>
    <w:rsid w:val="00D14844"/>
    <w:rsid w:val="00D15DC0"/>
    <w:rsid w:val="00D15F3E"/>
    <w:rsid w:val="00D162C5"/>
    <w:rsid w:val="00D1731F"/>
    <w:rsid w:val="00D17701"/>
    <w:rsid w:val="00D177FF"/>
    <w:rsid w:val="00D2041C"/>
    <w:rsid w:val="00D2272A"/>
    <w:rsid w:val="00D23081"/>
    <w:rsid w:val="00D24AB3"/>
    <w:rsid w:val="00D25ADE"/>
    <w:rsid w:val="00D27C83"/>
    <w:rsid w:val="00D31122"/>
    <w:rsid w:val="00D344F1"/>
    <w:rsid w:val="00D3707C"/>
    <w:rsid w:val="00D3739A"/>
    <w:rsid w:val="00D43297"/>
    <w:rsid w:val="00D440D4"/>
    <w:rsid w:val="00D445DB"/>
    <w:rsid w:val="00D44DB6"/>
    <w:rsid w:val="00D50119"/>
    <w:rsid w:val="00D52357"/>
    <w:rsid w:val="00D531C1"/>
    <w:rsid w:val="00D55A40"/>
    <w:rsid w:val="00D5733B"/>
    <w:rsid w:val="00D63243"/>
    <w:rsid w:val="00D64EB9"/>
    <w:rsid w:val="00D71614"/>
    <w:rsid w:val="00D72669"/>
    <w:rsid w:val="00D744AA"/>
    <w:rsid w:val="00D74B7E"/>
    <w:rsid w:val="00D74ED1"/>
    <w:rsid w:val="00D805A9"/>
    <w:rsid w:val="00D82A43"/>
    <w:rsid w:val="00D831C9"/>
    <w:rsid w:val="00D83DFE"/>
    <w:rsid w:val="00D9087C"/>
    <w:rsid w:val="00D96F8E"/>
    <w:rsid w:val="00D97CB6"/>
    <w:rsid w:val="00DA5ADC"/>
    <w:rsid w:val="00DA629D"/>
    <w:rsid w:val="00DA7B5D"/>
    <w:rsid w:val="00DA7B7E"/>
    <w:rsid w:val="00DB05A4"/>
    <w:rsid w:val="00DB0BF8"/>
    <w:rsid w:val="00DC00B9"/>
    <w:rsid w:val="00DC152D"/>
    <w:rsid w:val="00DC1D1F"/>
    <w:rsid w:val="00DC3737"/>
    <w:rsid w:val="00DC49F5"/>
    <w:rsid w:val="00DC4AFA"/>
    <w:rsid w:val="00DD65BC"/>
    <w:rsid w:val="00DD6F43"/>
    <w:rsid w:val="00DF1429"/>
    <w:rsid w:val="00DF58E7"/>
    <w:rsid w:val="00DF716B"/>
    <w:rsid w:val="00E04912"/>
    <w:rsid w:val="00E04B64"/>
    <w:rsid w:val="00E05DA9"/>
    <w:rsid w:val="00E06E37"/>
    <w:rsid w:val="00E078DB"/>
    <w:rsid w:val="00E106A6"/>
    <w:rsid w:val="00E10DDE"/>
    <w:rsid w:val="00E11876"/>
    <w:rsid w:val="00E126D4"/>
    <w:rsid w:val="00E23CBB"/>
    <w:rsid w:val="00E24EF5"/>
    <w:rsid w:val="00E26D8A"/>
    <w:rsid w:val="00E27130"/>
    <w:rsid w:val="00E3154C"/>
    <w:rsid w:val="00E317DB"/>
    <w:rsid w:val="00E34DC1"/>
    <w:rsid w:val="00E37B59"/>
    <w:rsid w:val="00E37DFE"/>
    <w:rsid w:val="00E5196F"/>
    <w:rsid w:val="00E53438"/>
    <w:rsid w:val="00E53A8E"/>
    <w:rsid w:val="00E56254"/>
    <w:rsid w:val="00E6246D"/>
    <w:rsid w:val="00E66344"/>
    <w:rsid w:val="00E66616"/>
    <w:rsid w:val="00E67F1F"/>
    <w:rsid w:val="00E710CC"/>
    <w:rsid w:val="00E725FC"/>
    <w:rsid w:val="00E74727"/>
    <w:rsid w:val="00E76156"/>
    <w:rsid w:val="00E863F6"/>
    <w:rsid w:val="00E86BD1"/>
    <w:rsid w:val="00E90F14"/>
    <w:rsid w:val="00E91FC2"/>
    <w:rsid w:val="00E94922"/>
    <w:rsid w:val="00EA218E"/>
    <w:rsid w:val="00EA36C6"/>
    <w:rsid w:val="00EA4011"/>
    <w:rsid w:val="00EA5772"/>
    <w:rsid w:val="00EA62CA"/>
    <w:rsid w:val="00EA7A79"/>
    <w:rsid w:val="00EA7F24"/>
    <w:rsid w:val="00EB08ED"/>
    <w:rsid w:val="00EC02BB"/>
    <w:rsid w:val="00EC30F9"/>
    <w:rsid w:val="00EC4FBB"/>
    <w:rsid w:val="00ED1ED5"/>
    <w:rsid w:val="00ED1FA7"/>
    <w:rsid w:val="00ED5725"/>
    <w:rsid w:val="00ED5F5E"/>
    <w:rsid w:val="00ED7031"/>
    <w:rsid w:val="00EE025C"/>
    <w:rsid w:val="00EE0A57"/>
    <w:rsid w:val="00EE0A84"/>
    <w:rsid w:val="00EE3060"/>
    <w:rsid w:val="00EE4315"/>
    <w:rsid w:val="00EE5504"/>
    <w:rsid w:val="00EE7696"/>
    <w:rsid w:val="00EF42F2"/>
    <w:rsid w:val="00EF47C0"/>
    <w:rsid w:val="00EF66A1"/>
    <w:rsid w:val="00EF6925"/>
    <w:rsid w:val="00F00ACD"/>
    <w:rsid w:val="00F00CEA"/>
    <w:rsid w:val="00F00D7C"/>
    <w:rsid w:val="00F017B2"/>
    <w:rsid w:val="00F01B35"/>
    <w:rsid w:val="00F01E58"/>
    <w:rsid w:val="00F05A92"/>
    <w:rsid w:val="00F05CCE"/>
    <w:rsid w:val="00F068D2"/>
    <w:rsid w:val="00F06A67"/>
    <w:rsid w:val="00F14678"/>
    <w:rsid w:val="00F1658B"/>
    <w:rsid w:val="00F1692C"/>
    <w:rsid w:val="00F210B6"/>
    <w:rsid w:val="00F21257"/>
    <w:rsid w:val="00F22985"/>
    <w:rsid w:val="00F22BA0"/>
    <w:rsid w:val="00F241E6"/>
    <w:rsid w:val="00F256EE"/>
    <w:rsid w:val="00F2683C"/>
    <w:rsid w:val="00F26ED3"/>
    <w:rsid w:val="00F3545C"/>
    <w:rsid w:val="00F37A55"/>
    <w:rsid w:val="00F408C4"/>
    <w:rsid w:val="00F41729"/>
    <w:rsid w:val="00F42B19"/>
    <w:rsid w:val="00F43B20"/>
    <w:rsid w:val="00F446DA"/>
    <w:rsid w:val="00F44B60"/>
    <w:rsid w:val="00F460CB"/>
    <w:rsid w:val="00F46BC6"/>
    <w:rsid w:val="00F47153"/>
    <w:rsid w:val="00F53EDF"/>
    <w:rsid w:val="00F616CD"/>
    <w:rsid w:val="00F619D2"/>
    <w:rsid w:val="00F62B7A"/>
    <w:rsid w:val="00F6397D"/>
    <w:rsid w:val="00F64CC5"/>
    <w:rsid w:val="00F7293E"/>
    <w:rsid w:val="00F76650"/>
    <w:rsid w:val="00F84DCA"/>
    <w:rsid w:val="00F84EB4"/>
    <w:rsid w:val="00F86074"/>
    <w:rsid w:val="00F86125"/>
    <w:rsid w:val="00F90922"/>
    <w:rsid w:val="00F90BD7"/>
    <w:rsid w:val="00F9187B"/>
    <w:rsid w:val="00F92385"/>
    <w:rsid w:val="00F963DE"/>
    <w:rsid w:val="00FA0EF1"/>
    <w:rsid w:val="00FA1B07"/>
    <w:rsid w:val="00FA1B4F"/>
    <w:rsid w:val="00FA2252"/>
    <w:rsid w:val="00FA2702"/>
    <w:rsid w:val="00FA543F"/>
    <w:rsid w:val="00FB03C3"/>
    <w:rsid w:val="00FB2676"/>
    <w:rsid w:val="00FB5880"/>
    <w:rsid w:val="00FC0C6A"/>
    <w:rsid w:val="00FC3314"/>
    <w:rsid w:val="00FC47F9"/>
    <w:rsid w:val="00FC5729"/>
    <w:rsid w:val="00FC61E5"/>
    <w:rsid w:val="00FC7F27"/>
    <w:rsid w:val="00FD0E03"/>
    <w:rsid w:val="00FD2558"/>
    <w:rsid w:val="00FD2A84"/>
    <w:rsid w:val="00FD3EA6"/>
    <w:rsid w:val="00FD6543"/>
    <w:rsid w:val="00FE2351"/>
    <w:rsid w:val="00FE5580"/>
    <w:rsid w:val="00FE68EF"/>
    <w:rsid w:val="00FF110C"/>
    <w:rsid w:val="00FF3230"/>
    <w:rsid w:val="00FF44E1"/>
    <w:rsid w:val="00FF547D"/>
    <w:rsid w:val="00FF5C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7A5C"/>
  <w15:chartTrackingRefBased/>
  <w15:docId w15:val="{9D136055-7B24-4252-8F39-6A95F78E2C9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uiPriority="0" w:qFormat="1"/>
    <w:lsdException w:name="heading 7" w:semiHidden="1" w:uiPriority="0" w:qFormat="1"/>
    <w:lsdException w:name="heading 8" w:semiHidden="1" w:uiPriority="9"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7CF6"/>
    <w:pPr>
      <w:spacing w:after="0" w:line="360" w:lineRule="auto"/>
      <w:ind w:firstLine="720"/>
    </w:pPr>
    <w:rPr>
      <w:rFonts w:ascii="Book Antiqua" w:hAnsi="Book Antiqua"/>
      <w:sz w:val="26"/>
    </w:rPr>
  </w:style>
  <w:style w:type="paragraph" w:styleId="Heading1">
    <w:name w:val="heading 1"/>
    <w:basedOn w:val="Dummy"/>
    <w:next w:val="Standard"/>
    <w:link w:val="Heading1Char"/>
    <w:qFormat/>
    <w:rsid w:val="000E270A"/>
    <w:pPr>
      <w:numPr>
        <w:numId w:val="7"/>
      </w:numPr>
      <w:ind w:right="2160"/>
    </w:pPr>
    <w:rPr>
      <w:rFonts w:eastAsiaTheme="majorEastAsia" w:cstheme="majorBidi"/>
      <w:szCs w:val="32"/>
    </w:rPr>
  </w:style>
  <w:style w:type="paragraph" w:styleId="Heading2">
    <w:name w:val="heading 2"/>
    <w:basedOn w:val="Dummy"/>
    <w:next w:val="Standard"/>
    <w:link w:val="Heading2Char"/>
    <w:qFormat/>
    <w:rsid w:val="008658CC"/>
    <w:pPr>
      <w:numPr>
        <w:ilvl w:val="1"/>
        <w:numId w:val="7"/>
      </w:numPr>
      <w:tabs>
        <w:tab w:val="clear" w:pos="1080"/>
      </w:tabs>
      <w:ind w:left="1530" w:right="2160" w:hanging="810"/>
      <w:outlineLvl w:val="1"/>
    </w:pPr>
  </w:style>
  <w:style w:type="paragraph" w:styleId="Heading3">
    <w:name w:val="heading 3"/>
    <w:basedOn w:val="Dummy"/>
    <w:next w:val="Standard"/>
    <w:link w:val="Heading3Char"/>
    <w:qFormat/>
    <w:rsid w:val="000E270A"/>
    <w:pPr>
      <w:numPr>
        <w:ilvl w:val="2"/>
        <w:numId w:val="7"/>
      </w:numPr>
      <w:ind w:right="2160"/>
      <w:outlineLvl w:val="2"/>
    </w:pPr>
    <w:rPr>
      <w:rFonts w:eastAsiaTheme="majorEastAsia" w:cstheme="majorBidi"/>
      <w:szCs w:val="24"/>
    </w:rPr>
  </w:style>
  <w:style w:type="paragraph" w:styleId="Heading4">
    <w:name w:val="heading 4"/>
    <w:basedOn w:val="Dummy"/>
    <w:next w:val="Standard"/>
    <w:link w:val="Heading4Char"/>
    <w:rsid w:val="000E270A"/>
    <w:pPr>
      <w:numPr>
        <w:ilvl w:val="3"/>
        <w:numId w:val="7"/>
      </w:numPr>
      <w:ind w:right="2160"/>
      <w:outlineLvl w:val="3"/>
    </w:pPr>
    <w:rPr>
      <w:rFonts w:eastAsiaTheme="majorEastAsia" w:cstheme="majorBidi"/>
      <w:iCs/>
    </w:rPr>
  </w:style>
  <w:style w:type="paragraph" w:styleId="Heading5">
    <w:name w:val="heading 5"/>
    <w:basedOn w:val="Dummy"/>
    <w:next w:val="Standard"/>
    <w:link w:val="Heading5Char"/>
    <w:qFormat/>
    <w:rsid w:val="000E270A"/>
    <w:pPr>
      <w:numPr>
        <w:ilvl w:val="4"/>
        <w:numId w:val="7"/>
      </w:numPr>
      <w:ind w:right="2160"/>
      <w:outlineLvl w:val="4"/>
    </w:pPr>
    <w:rPr>
      <w:rFonts w:eastAsiaTheme="majorEastAsia" w:cstheme="majorBidi"/>
    </w:rPr>
  </w:style>
  <w:style w:type="paragraph" w:styleId="Heading6">
    <w:name w:val="heading 6"/>
    <w:basedOn w:val="Dummy"/>
    <w:next w:val="Standard"/>
    <w:link w:val="Heading6Char"/>
    <w:qFormat/>
    <w:rsid w:val="000E270A"/>
    <w:pPr>
      <w:numPr>
        <w:ilvl w:val="5"/>
        <w:numId w:val="7"/>
      </w:numPr>
      <w:spacing w:before="40"/>
      <w:ind w:right="2160"/>
      <w:outlineLvl w:val="5"/>
    </w:pPr>
    <w:rPr>
      <w:rFonts w:eastAsiaTheme="majorEastAsia" w:cstheme="majorBidi"/>
    </w:rPr>
  </w:style>
  <w:style w:type="paragraph" w:styleId="Heading7">
    <w:name w:val="heading 7"/>
    <w:basedOn w:val="Normal"/>
    <w:next w:val="Normal"/>
    <w:link w:val="Heading7Char"/>
    <w:qFormat/>
    <w:rsid w:val="0046317C"/>
    <w:pPr>
      <w:tabs>
        <w:tab w:val="left" w:pos="2520"/>
      </w:tabs>
      <w:spacing w:before="120" w:after="120" w:line="240" w:lineRule="auto"/>
      <w:ind w:left="2520" w:hanging="1800"/>
      <w:outlineLvl w:val="6"/>
    </w:pPr>
    <w:rPr>
      <w:rFonts w:ascii="Helvetica" w:eastAsia="Times New Roman" w:hAnsi="Helvetica" w:cs="Times New Roman"/>
      <w:b/>
      <w:szCs w:val="20"/>
    </w:rPr>
  </w:style>
  <w:style w:type="paragraph" w:styleId="Heading9">
    <w:name w:val="heading 9"/>
    <w:basedOn w:val="Normal"/>
    <w:next w:val="Normal"/>
    <w:link w:val="Heading9Char"/>
    <w:autoRedefine/>
    <w:qFormat/>
    <w:rsid w:val="0046317C"/>
    <w:pPr>
      <w:tabs>
        <w:tab w:val="left" w:pos="2880"/>
      </w:tabs>
      <w:spacing w:before="120" w:after="120" w:line="240" w:lineRule="auto"/>
      <w:ind w:left="2880" w:hanging="2160"/>
      <w:outlineLvl w:val="8"/>
    </w:pPr>
    <w:rPr>
      <w:rFonts w:ascii="Helvetica" w:eastAsia="Times New Roman" w:hAnsi="Helvetic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rsid w:val="008658CC"/>
    <w:rPr>
      <w:rFonts w:ascii="Arial" w:hAnsi="Arial" w:cs="Arial"/>
      <w:b/>
      <w:sz w:val="26"/>
      <w:szCs w:val="26"/>
    </w:rPr>
  </w:style>
  <w:style w:type="character" w:customStyle="1" w:styleId="Heading3Char">
    <w:name w:val="Heading 3 Char"/>
    <w:basedOn w:val="DefaultParagraphFont"/>
    <w:link w:val="Heading3"/>
    <w:rsid w:val="00287BC5"/>
    <w:rPr>
      <w:rFonts w:ascii="Arial" w:eastAsiaTheme="majorEastAsia" w:hAnsi="Arial" w:cstheme="majorBidi"/>
      <w:b/>
      <w:sz w:val="26"/>
      <w:szCs w:val="24"/>
    </w:rPr>
  </w:style>
  <w:style w:type="character" w:customStyle="1" w:styleId="Heading4Char">
    <w:name w:val="Heading 4 Char"/>
    <w:basedOn w:val="DefaultParagraphFont"/>
    <w:link w:val="Heading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Style 58,Style 15,Style 9,Style 18,Style 7,Style 8,Style 19,Styl"/>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2"/>
      </w:numPr>
      <w:ind w:left="0"/>
    </w:pPr>
  </w:style>
  <w:style w:type="paragraph" w:customStyle="1" w:styleId="CoL">
    <w:name w:val="CoL"/>
    <w:basedOn w:val="Standard"/>
    <w:uiPriority w:val="7"/>
    <w:qFormat/>
    <w:rsid w:val="001E2A62"/>
    <w:pPr>
      <w:numPr>
        <w:numId w:val="3"/>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4"/>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7"/>
      </w:numPr>
      <w:spacing w:after="120" w:line="240" w:lineRule="auto"/>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9418BC"/>
    <w:pPr>
      <w:tabs>
        <w:tab w:val="right" w:leader="dot" w:pos="9350"/>
      </w:tabs>
      <w:spacing w:line="240" w:lineRule="auto"/>
      <w:ind w:left="2880" w:hanging="99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7"/>
      </w:numPr>
      <w:spacing w:after="120" w:line="240" w:lineRule="auto"/>
    </w:pPr>
  </w:style>
  <w:style w:type="paragraph" w:styleId="ListParagraph">
    <w:name w:val="List Paragraph"/>
    <w:basedOn w:val="Normal"/>
    <w:uiPriority w:val="34"/>
    <w:qFormat/>
    <w:rsid w:val="0055722F"/>
    <w:pPr>
      <w:ind w:left="720"/>
      <w:contextualSpacing/>
    </w:pPr>
  </w:style>
  <w:style w:type="paragraph" w:customStyle="1" w:styleId="xmsonormal">
    <w:name w:val="x_msonormal"/>
    <w:basedOn w:val="Normal"/>
    <w:rsid w:val="00797913"/>
    <w:pPr>
      <w:spacing w:line="240" w:lineRule="auto"/>
      <w:ind w:firstLine="0"/>
    </w:pPr>
    <w:rPr>
      <w:rFonts w:ascii="Calibri" w:hAnsi="Calibri" w:cs="Calibri"/>
      <w:sz w:val="22"/>
    </w:rPr>
  </w:style>
  <w:style w:type="paragraph" w:customStyle="1" w:styleId="sub2">
    <w:name w:val="sub2"/>
    <w:basedOn w:val="Normal"/>
    <w:rsid w:val="00797913"/>
    <w:rPr>
      <w:rFonts w:ascii="Palatino" w:eastAsia="Times New Roman" w:hAnsi="Palatino" w:cs="Times New Roman"/>
      <w:szCs w:val="20"/>
    </w:rPr>
  </w:style>
  <w:style w:type="paragraph" w:customStyle="1" w:styleId="sub1">
    <w:name w:val="sub1"/>
    <w:basedOn w:val="Normal"/>
    <w:rsid w:val="00797913"/>
    <w:rPr>
      <w:rFonts w:ascii="Palatino" w:eastAsia="Times New Roman" w:hAnsi="Palatino" w:cs="Times New Roman"/>
      <w:szCs w:val="20"/>
    </w:rPr>
  </w:style>
  <w:style w:type="paragraph" w:styleId="NormalWeb">
    <w:name w:val="Normal (Web)"/>
    <w:basedOn w:val="Normal"/>
    <w:uiPriority w:val="99"/>
    <w:unhideWhenUsed/>
    <w:rsid w:val="0079791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79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7913"/>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97913"/>
    <w:rPr>
      <w:sz w:val="16"/>
      <w:szCs w:val="16"/>
    </w:rPr>
  </w:style>
  <w:style w:type="paragraph" w:styleId="CommentText">
    <w:name w:val="annotation text"/>
    <w:basedOn w:val="Normal"/>
    <w:link w:val="CommentTextChar"/>
    <w:uiPriority w:val="99"/>
    <w:unhideWhenUsed/>
    <w:rsid w:val="00797913"/>
    <w:pPr>
      <w:spacing w:line="240" w:lineRule="auto"/>
    </w:pPr>
    <w:rPr>
      <w:sz w:val="20"/>
      <w:szCs w:val="20"/>
    </w:rPr>
  </w:style>
  <w:style w:type="character" w:customStyle="1" w:styleId="CommentTextChar">
    <w:name w:val="Comment Text Char"/>
    <w:basedOn w:val="DefaultParagraphFont"/>
    <w:link w:val="CommentText"/>
    <w:uiPriority w:val="99"/>
    <w:rsid w:val="0079791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97913"/>
    <w:rPr>
      <w:b/>
      <w:bCs/>
    </w:rPr>
  </w:style>
  <w:style w:type="character" w:customStyle="1" w:styleId="CommentSubjectChar">
    <w:name w:val="Comment Subject Char"/>
    <w:basedOn w:val="CommentTextChar"/>
    <w:link w:val="CommentSubject"/>
    <w:uiPriority w:val="99"/>
    <w:semiHidden/>
    <w:rsid w:val="00797913"/>
    <w:rPr>
      <w:rFonts w:ascii="Book Antiqua" w:hAnsi="Book Antiqua"/>
      <w:b/>
      <w:bCs/>
      <w:sz w:val="20"/>
      <w:szCs w:val="20"/>
    </w:rPr>
  </w:style>
  <w:style w:type="paragraph" w:customStyle="1" w:styleId="Default">
    <w:name w:val="Default"/>
    <w:rsid w:val="007979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97913"/>
    <w:pPr>
      <w:spacing w:after="0" w:line="240" w:lineRule="auto"/>
    </w:pPr>
    <w:rPr>
      <w:rFonts w:ascii="Book Antiqua" w:hAnsi="Book Antiqua"/>
      <w:sz w:val="26"/>
    </w:rPr>
  </w:style>
  <w:style w:type="numbering" w:customStyle="1" w:styleId="FoFCoLOP1">
    <w:name w:val="FoF/CoL/OP1"/>
    <w:uiPriority w:val="99"/>
    <w:rsid w:val="00797913"/>
  </w:style>
  <w:style w:type="numbering" w:customStyle="1" w:styleId="FoFCoLOP2">
    <w:name w:val="FoF/CoL/OP2"/>
    <w:uiPriority w:val="99"/>
    <w:rsid w:val="00797913"/>
  </w:style>
  <w:style w:type="character" w:customStyle="1" w:styleId="normaltextrun">
    <w:name w:val="normaltextrun"/>
    <w:basedOn w:val="DefaultParagraphFont"/>
    <w:rsid w:val="00797913"/>
  </w:style>
  <w:style w:type="character" w:customStyle="1" w:styleId="eop">
    <w:name w:val="eop"/>
    <w:basedOn w:val="DefaultParagraphFont"/>
    <w:rsid w:val="00797913"/>
  </w:style>
  <w:style w:type="character" w:customStyle="1" w:styleId="contextualspellingandgrammarerror">
    <w:name w:val="contextualspellingandgrammarerror"/>
    <w:basedOn w:val="DefaultParagraphFont"/>
    <w:rsid w:val="00797913"/>
  </w:style>
  <w:style w:type="character" w:customStyle="1" w:styleId="spellingerror">
    <w:name w:val="spellingerror"/>
    <w:basedOn w:val="DefaultParagraphFont"/>
    <w:rsid w:val="00797913"/>
  </w:style>
  <w:style w:type="character" w:customStyle="1" w:styleId="superscript">
    <w:name w:val="superscript"/>
    <w:basedOn w:val="DefaultParagraphFont"/>
    <w:rsid w:val="00797913"/>
  </w:style>
  <w:style w:type="character" w:customStyle="1" w:styleId="Heading7Char">
    <w:name w:val="Heading 7 Char"/>
    <w:basedOn w:val="DefaultParagraphFont"/>
    <w:link w:val="Heading7"/>
    <w:rsid w:val="0046317C"/>
    <w:rPr>
      <w:rFonts w:ascii="Helvetica" w:eastAsia="Times New Roman" w:hAnsi="Helvetica" w:cs="Times New Roman"/>
      <w:b/>
      <w:sz w:val="26"/>
      <w:szCs w:val="20"/>
    </w:rPr>
  </w:style>
  <w:style w:type="character" w:customStyle="1" w:styleId="Heading9Char">
    <w:name w:val="Heading 9 Char"/>
    <w:basedOn w:val="DefaultParagraphFont"/>
    <w:link w:val="Heading9"/>
    <w:rsid w:val="0046317C"/>
    <w:rPr>
      <w:rFonts w:ascii="Helvetica" w:eastAsia="Times New Roman" w:hAnsi="Helvetica" w:cs="Times New Roman"/>
      <w:b/>
      <w:sz w:val="26"/>
      <w:szCs w:val="24"/>
    </w:rPr>
  </w:style>
  <w:style w:type="numbering" w:customStyle="1" w:styleId="NoList1">
    <w:name w:val="No List1"/>
    <w:next w:val="NoList"/>
    <w:uiPriority w:val="99"/>
    <w:semiHidden/>
    <w:unhideWhenUsed/>
    <w:rsid w:val="0046317C"/>
  </w:style>
  <w:style w:type="paragraph" w:customStyle="1" w:styleId="ALJBodyText">
    <w:name w:val="ALJ Body Text"/>
    <w:basedOn w:val="Normal"/>
    <w:link w:val="ALJBodyTextChar"/>
    <w:qFormat/>
    <w:rsid w:val="0046317C"/>
    <w:rPr>
      <w:rFonts w:cs="Times New Roman"/>
      <w:szCs w:val="20"/>
    </w:rPr>
  </w:style>
  <w:style w:type="paragraph" w:customStyle="1" w:styleId="ALJHeading1">
    <w:name w:val="ALJ Heading 1"/>
    <w:basedOn w:val="ALJBodyText"/>
    <w:next w:val="ALJBodyText"/>
    <w:link w:val="ALJHeading1Char"/>
    <w:qFormat/>
    <w:rsid w:val="0046317C"/>
    <w:pPr>
      <w:keepNext/>
      <w:numPr>
        <w:numId w:val="8"/>
      </w:numPr>
      <w:spacing w:before="120" w:after="120" w:line="240" w:lineRule="auto"/>
      <w:ind w:right="720"/>
    </w:pPr>
    <w:rPr>
      <w:rFonts w:ascii="Arial" w:hAnsi="Arial" w:cs="Arial"/>
      <w:b/>
    </w:rPr>
  </w:style>
  <w:style w:type="character" w:customStyle="1" w:styleId="ALJBodyTextChar">
    <w:name w:val="ALJ Body Text Char"/>
    <w:basedOn w:val="DefaultParagraphFont"/>
    <w:link w:val="ALJBodyText"/>
    <w:rsid w:val="0046317C"/>
    <w:rPr>
      <w:rFonts w:ascii="Book Antiqua" w:hAnsi="Book Antiqua" w:cs="Times New Roman"/>
      <w:sz w:val="26"/>
      <w:szCs w:val="20"/>
    </w:rPr>
  </w:style>
  <w:style w:type="paragraph" w:customStyle="1" w:styleId="ALJHeading2">
    <w:name w:val="ALJ Heading 2"/>
    <w:basedOn w:val="ALJBodyText"/>
    <w:next w:val="ALJBodyText"/>
    <w:link w:val="ALJHeading2Char"/>
    <w:qFormat/>
    <w:rsid w:val="0046317C"/>
    <w:pPr>
      <w:keepNext/>
      <w:numPr>
        <w:ilvl w:val="1"/>
        <w:numId w:val="8"/>
      </w:numPr>
      <w:tabs>
        <w:tab w:val="left" w:pos="1080"/>
      </w:tabs>
      <w:spacing w:before="120" w:after="120" w:line="240" w:lineRule="auto"/>
    </w:pPr>
    <w:rPr>
      <w:rFonts w:ascii="Arial" w:hAnsi="Arial" w:cs="Arial"/>
      <w:b/>
    </w:rPr>
  </w:style>
  <w:style w:type="character" w:customStyle="1" w:styleId="ALJHeading1Char">
    <w:name w:val="ALJ Heading 1 Char"/>
    <w:basedOn w:val="ALJBodyTextChar"/>
    <w:link w:val="ALJHeading1"/>
    <w:rsid w:val="0046317C"/>
    <w:rPr>
      <w:rFonts w:ascii="Arial" w:hAnsi="Arial" w:cs="Arial"/>
      <w:b/>
      <w:sz w:val="26"/>
      <w:szCs w:val="20"/>
    </w:rPr>
  </w:style>
  <w:style w:type="paragraph" w:customStyle="1" w:styleId="ALJHeading3">
    <w:name w:val="ALJ Heading 3"/>
    <w:basedOn w:val="ALJBodyText"/>
    <w:next w:val="ALJBodyText"/>
    <w:link w:val="ALJHeading3Char"/>
    <w:qFormat/>
    <w:rsid w:val="0046317C"/>
    <w:pPr>
      <w:keepNext/>
      <w:numPr>
        <w:ilvl w:val="2"/>
        <w:numId w:val="8"/>
      </w:numPr>
      <w:spacing w:before="120" w:after="120" w:line="240" w:lineRule="auto"/>
    </w:pPr>
    <w:rPr>
      <w:rFonts w:ascii="Arial" w:hAnsi="Arial" w:cs="Arial"/>
      <w:b/>
    </w:rPr>
  </w:style>
  <w:style w:type="character" w:customStyle="1" w:styleId="ALJHeading2Char">
    <w:name w:val="ALJ Heading 2 Char"/>
    <w:basedOn w:val="ALJBodyTextChar"/>
    <w:link w:val="ALJHeading2"/>
    <w:rsid w:val="0046317C"/>
    <w:rPr>
      <w:rFonts w:ascii="Arial" w:hAnsi="Arial" w:cs="Arial"/>
      <w:b/>
      <w:sz w:val="26"/>
      <w:szCs w:val="20"/>
    </w:rPr>
  </w:style>
  <w:style w:type="character" w:customStyle="1" w:styleId="ALJHeading3Char">
    <w:name w:val="ALJ Heading 3 Char"/>
    <w:basedOn w:val="ALJBodyTextChar"/>
    <w:link w:val="ALJHeading3"/>
    <w:rsid w:val="0046317C"/>
    <w:rPr>
      <w:rFonts w:ascii="Arial" w:hAnsi="Arial" w:cs="Arial"/>
      <w:b/>
      <w:sz w:val="26"/>
      <w:szCs w:val="20"/>
    </w:rPr>
  </w:style>
  <w:style w:type="table" w:customStyle="1" w:styleId="TableGrid1">
    <w:name w:val="Table Grid1"/>
    <w:basedOn w:val="TableNormal"/>
    <w:next w:val="TableGrid"/>
    <w:uiPriority w:val="39"/>
    <w:rsid w:val="0046317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JHeadingNo">
    <w:name w:val="ALJ Heading No #"/>
    <w:basedOn w:val="ALJBodyText"/>
    <w:next w:val="ALJBodyText"/>
    <w:link w:val="ALJHeadingNoChar"/>
    <w:qFormat/>
    <w:rsid w:val="0046317C"/>
    <w:pPr>
      <w:keepNext/>
      <w:spacing w:before="120" w:after="120" w:line="240" w:lineRule="auto"/>
      <w:ind w:firstLine="0"/>
    </w:pPr>
    <w:rPr>
      <w:rFonts w:ascii="Arial" w:hAnsi="Arial" w:cs="Arial"/>
      <w:b/>
    </w:rPr>
  </w:style>
  <w:style w:type="character" w:customStyle="1" w:styleId="ALJHeadingNoChar">
    <w:name w:val="ALJ Heading No # Char"/>
    <w:basedOn w:val="ALJBodyTextChar"/>
    <w:link w:val="ALJHeadingNo"/>
    <w:rsid w:val="0046317C"/>
    <w:rPr>
      <w:rFonts w:ascii="Arial" w:hAnsi="Arial" w:cs="Arial"/>
      <w:b/>
      <w:sz w:val="26"/>
      <w:szCs w:val="20"/>
    </w:rPr>
  </w:style>
  <w:style w:type="paragraph" w:customStyle="1" w:styleId="contentservernumber">
    <w:name w:val="content server number"/>
    <w:basedOn w:val="Footer"/>
    <w:link w:val="contentservernumberChar"/>
    <w:rsid w:val="0046317C"/>
    <w:pPr>
      <w:ind w:firstLine="0"/>
    </w:pPr>
    <w:rPr>
      <w:rFonts w:ascii="Arial" w:hAnsi="Arial" w:cs="Arial"/>
      <w:sz w:val="16"/>
      <w:szCs w:val="16"/>
    </w:rPr>
  </w:style>
  <w:style w:type="character" w:customStyle="1" w:styleId="contentservernumberChar">
    <w:name w:val="content server number Char"/>
    <w:basedOn w:val="FooterChar"/>
    <w:link w:val="contentservernumber"/>
    <w:rsid w:val="0046317C"/>
    <w:rPr>
      <w:rFonts w:ascii="Arial" w:hAnsi="Arial" w:cs="Arial"/>
      <w:sz w:val="16"/>
      <w:szCs w:val="16"/>
    </w:rPr>
  </w:style>
  <w:style w:type="paragraph" w:customStyle="1" w:styleId="ALJFootnote">
    <w:name w:val="ALJ Footnote"/>
    <w:basedOn w:val="FootnoteText"/>
    <w:link w:val="ALJFootnoteChar"/>
    <w:qFormat/>
    <w:rsid w:val="0046317C"/>
    <w:rPr>
      <w:rFonts w:cs="Times New Roman"/>
      <w:sz w:val="24"/>
      <w:szCs w:val="24"/>
    </w:rPr>
  </w:style>
  <w:style w:type="paragraph" w:customStyle="1" w:styleId="ALJTitle">
    <w:name w:val="ALJ Title"/>
    <w:basedOn w:val="ALJBodyText"/>
    <w:next w:val="ALJBodyText"/>
    <w:link w:val="ALJTitleChar"/>
    <w:qFormat/>
    <w:rsid w:val="0046317C"/>
    <w:pPr>
      <w:spacing w:after="240" w:line="240" w:lineRule="auto"/>
      <w:ind w:firstLine="0"/>
      <w:jc w:val="center"/>
    </w:pPr>
    <w:rPr>
      <w:rFonts w:ascii="Arial" w:hAnsi="Arial" w:cs="Arial"/>
      <w:b/>
    </w:rPr>
  </w:style>
  <w:style w:type="character" w:customStyle="1" w:styleId="ALJFootnoteChar">
    <w:name w:val="ALJ Footnote Char"/>
    <w:basedOn w:val="DefaultParagraphFont"/>
    <w:link w:val="ALJFootnote"/>
    <w:rsid w:val="0046317C"/>
    <w:rPr>
      <w:rFonts w:ascii="Book Antiqua" w:hAnsi="Book Antiqua" w:cs="Times New Roman"/>
      <w:sz w:val="24"/>
      <w:szCs w:val="24"/>
    </w:rPr>
  </w:style>
  <w:style w:type="paragraph" w:customStyle="1" w:styleId="FindingofFAct">
    <w:name w:val="Finding of FAct"/>
    <w:basedOn w:val="ALJBodyText"/>
    <w:link w:val="FindingofFActChar"/>
    <w:qFormat/>
    <w:rsid w:val="0046317C"/>
    <w:pPr>
      <w:numPr>
        <w:numId w:val="9"/>
      </w:numPr>
      <w:ind w:left="0" w:firstLine="720"/>
    </w:pPr>
  </w:style>
  <w:style w:type="character" w:customStyle="1" w:styleId="ALJTitleChar">
    <w:name w:val="ALJ Title Char"/>
    <w:basedOn w:val="ALJBodyTextChar"/>
    <w:link w:val="ALJTitle"/>
    <w:rsid w:val="0046317C"/>
    <w:rPr>
      <w:rFonts w:ascii="Arial" w:hAnsi="Arial" w:cs="Arial"/>
      <w:b/>
      <w:sz w:val="26"/>
      <w:szCs w:val="20"/>
    </w:rPr>
  </w:style>
  <w:style w:type="paragraph" w:customStyle="1" w:styleId="conclusionoflaw">
    <w:name w:val="conclusion of law"/>
    <w:basedOn w:val="ALJBodyText"/>
    <w:link w:val="conclusionoflawChar"/>
    <w:qFormat/>
    <w:rsid w:val="0046317C"/>
    <w:pPr>
      <w:numPr>
        <w:numId w:val="10"/>
      </w:numPr>
      <w:ind w:left="0" w:firstLine="720"/>
    </w:pPr>
  </w:style>
  <w:style w:type="character" w:customStyle="1" w:styleId="FindingofFActChar">
    <w:name w:val="Finding of FAct Char"/>
    <w:basedOn w:val="ALJBodyTextChar"/>
    <w:link w:val="FindingofFAct"/>
    <w:rsid w:val="0046317C"/>
    <w:rPr>
      <w:rFonts w:ascii="Book Antiqua" w:hAnsi="Book Antiqua" w:cs="Times New Roman"/>
      <w:sz w:val="26"/>
      <w:szCs w:val="20"/>
    </w:rPr>
  </w:style>
  <w:style w:type="paragraph" w:customStyle="1" w:styleId="ALJHeading4">
    <w:name w:val="ALJ Heading 4"/>
    <w:basedOn w:val="ALJHeading3"/>
    <w:next w:val="ALJBodyText"/>
    <w:link w:val="ALJHeading4Char"/>
    <w:qFormat/>
    <w:rsid w:val="0046317C"/>
    <w:pPr>
      <w:numPr>
        <w:ilvl w:val="0"/>
        <w:numId w:val="12"/>
      </w:numPr>
    </w:pPr>
  </w:style>
  <w:style w:type="character" w:customStyle="1" w:styleId="conclusionoflawChar">
    <w:name w:val="conclusion of law Char"/>
    <w:basedOn w:val="ALJBodyTextChar"/>
    <w:link w:val="conclusionoflaw"/>
    <w:rsid w:val="0046317C"/>
    <w:rPr>
      <w:rFonts w:ascii="Book Antiqua" w:hAnsi="Book Antiqua" w:cs="Times New Roman"/>
      <w:sz w:val="26"/>
      <w:szCs w:val="20"/>
    </w:rPr>
  </w:style>
  <w:style w:type="character" w:customStyle="1" w:styleId="ALJHeading4Char">
    <w:name w:val="ALJ Heading 4 Char"/>
    <w:basedOn w:val="ALJBodyTextChar"/>
    <w:link w:val="ALJHeading4"/>
    <w:rsid w:val="0046317C"/>
    <w:rPr>
      <w:rFonts w:ascii="Arial" w:hAnsi="Arial" w:cs="Arial"/>
      <w:b/>
      <w:sz w:val="26"/>
      <w:szCs w:val="20"/>
    </w:rPr>
  </w:style>
  <w:style w:type="paragraph" w:customStyle="1" w:styleId="tabletext0">
    <w:name w:val="table text"/>
    <w:basedOn w:val="ALJBodyText"/>
    <w:link w:val="tabletextChar"/>
    <w:qFormat/>
    <w:rsid w:val="0046317C"/>
    <w:pPr>
      <w:spacing w:after="120" w:line="240" w:lineRule="auto"/>
      <w:ind w:firstLine="0"/>
    </w:pPr>
  </w:style>
  <w:style w:type="paragraph" w:customStyle="1" w:styleId="TableColumnHeading">
    <w:name w:val="Table Column Heading"/>
    <w:basedOn w:val="ALJBodyText"/>
    <w:link w:val="TableColumnHeadingChar"/>
    <w:qFormat/>
    <w:rsid w:val="0046317C"/>
    <w:pPr>
      <w:ind w:firstLine="0"/>
      <w:jc w:val="center"/>
    </w:pPr>
    <w:rPr>
      <w:rFonts w:ascii="Arial" w:hAnsi="Arial" w:cs="Arial"/>
      <w:b/>
    </w:rPr>
  </w:style>
  <w:style w:type="character" w:customStyle="1" w:styleId="tabletextChar">
    <w:name w:val="table text Char"/>
    <w:basedOn w:val="ALJBodyTextChar"/>
    <w:link w:val="tabletext0"/>
    <w:rsid w:val="0046317C"/>
    <w:rPr>
      <w:rFonts w:ascii="Book Antiqua" w:hAnsi="Book Antiqua" w:cs="Times New Roman"/>
      <w:sz w:val="26"/>
      <w:szCs w:val="20"/>
    </w:rPr>
  </w:style>
  <w:style w:type="paragraph" w:customStyle="1" w:styleId="ALJOP">
    <w:name w:val="ALJ OP"/>
    <w:basedOn w:val="ALJBodyText"/>
    <w:link w:val="ALJOPChar"/>
    <w:qFormat/>
    <w:rsid w:val="0046317C"/>
    <w:pPr>
      <w:numPr>
        <w:numId w:val="11"/>
      </w:numPr>
    </w:pPr>
  </w:style>
  <w:style w:type="character" w:customStyle="1" w:styleId="TableColumnHeadingChar">
    <w:name w:val="Table Column Heading Char"/>
    <w:basedOn w:val="ALJBodyTextChar"/>
    <w:link w:val="TableColumnHeading"/>
    <w:rsid w:val="0046317C"/>
    <w:rPr>
      <w:rFonts w:ascii="Arial" w:hAnsi="Arial" w:cs="Arial"/>
      <w:b/>
      <w:sz w:val="26"/>
      <w:szCs w:val="20"/>
    </w:rPr>
  </w:style>
  <w:style w:type="paragraph" w:customStyle="1" w:styleId="ALJBlockQuote">
    <w:name w:val="ALJ Block Quote"/>
    <w:basedOn w:val="ALJBodyText"/>
    <w:next w:val="ALJBodyText"/>
    <w:link w:val="ALJBlockQuoteChar"/>
    <w:qFormat/>
    <w:rsid w:val="0046317C"/>
    <w:pPr>
      <w:spacing w:before="120" w:after="120" w:line="240" w:lineRule="auto"/>
      <w:ind w:left="1440" w:right="1440" w:firstLine="0"/>
    </w:pPr>
  </w:style>
  <w:style w:type="character" w:customStyle="1" w:styleId="ALJOPChar">
    <w:name w:val="ALJ OP Char"/>
    <w:basedOn w:val="ALJBodyTextChar"/>
    <w:link w:val="ALJOP"/>
    <w:rsid w:val="0046317C"/>
    <w:rPr>
      <w:rFonts w:ascii="Book Antiqua" w:hAnsi="Book Antiqua" w:cs="Times New Roman"/>
      <w:sz w:val="26"/>
      <w:szCs w:val="20"/>
    </w:rPr>
  </w:style>
  <w:style w:type="paragraph" w:customStyle="1" w:styleId="standard0">
    <w:name w:val="standard"/>
    <w:basedOn w:val="Normal"/>
    <w:link w:val="standardChar"/>
    <w:rsid w:val="0046317C"/>
    <w:rPr>
      <w:rFonts w:ascii="Palatino" w:eastAsia="Times New Roman" w:hAnsi="Palatino" w:cs="Times New Roman"/>
      <w:szCs w:val="20"/>
    </w:rPr>
  </w:style>
  <w:style w:type="character" w:customStyle="1" w:styleId="ALJBlockQuoteChar">
    <w:name w:val="ALJ Block Quote Char"/>
    <w:basedOn w:val="ALJBodyTextChar"/>
    <w:link w:val="ALJBlockQuote"/>
    <w:rsid w:val="0046317C"/>
    <w:rPr>
      <w:rFonts w:ascii="Book Antiqua" w:hAnsi="Book Antiqua" w:cs="Times New Roman"/>
      <w:sz w:val="26"/>
      <w:szCs w:val="20"/>
    </w:rPr>
  </w:style>
  <w:style w:type="character" w:customStyle="1" w:styleId="standardChar">
    <w:name w:val="standard Char"/>
    <w:link w:val="standard0"/>
    <w:rsid w:val="0046317C"/>
    <w:rPr>
      <w:rFonts w:ascii="Palatino" w:eastAsia="Times New Roman" w:hAnsi="Palatino" w:cs="Times New Roman"/>
      <w:sz w:val="26"/>
      <w:szCs w:val="20"/>
    </w:rPr>
  </w:style>
  <w:style w:type="paragraph" w:customStyle="1" w:styleId="dummy0">
    <w:name w:val="dummy"/>
    <w:basedOn w:val="Heading1"/>
    <w:rsid w:val="0046317C"/>
    <w:pPr>
      <w:keepNext w:val="0"/>
      <w:keepLines w:val="0"/>
      <w:numPr>
        <w:numId w:val="0"/>
      </w:numPr>
      <w:ind w:left="72" w:right="0"/>
      <w:outlineLvl w:val="9"/>
    </w:pPr>
    <w:rPr>
      <w:rFonts w:ascii="Helvetica" w:eastAsia="Times New Roman" w:hAnsi="Helvetica" w:cs="Times New Roman"/>
      <w:kern w:val="28"/>
      <w:szCs w:val="26"/>
    </w:rPr>
  </w:style>
  <w:style w:type="paragraph" w:customStyle="1" w:styleId="mainex0">
    <w:name w:val="mainex"/>
    <w:basedOn w:val="Normal"/>
    <w:rsid w:val="0046317C"/>
    <w:pPr>
      <w:spacing w:line="240" w:lineRule="auto"/>
      <w:ind w:firstLine="0"/>
      <w:jc w:val="center"/>
    </w:pPr>
    <w:rPr>
      <w:rFonts w:ascii="Helvetica" w:eastAsia="Times New Roman" w:hAnsi="Helvetica" w:cs="Times New Roman"/>
      <w:b/>
      <w:spacing w:val="120"/>
      <w:szCs w:val="20"/>
    </w:rPr>
  </w:style>
  <w:style w:type="paragraph" w:styleId="EndnoteText">
    <w:name w:val="endnote text"/>
    <w:basedOn w:val="Normal"/>
    <w:link w:val="EndnoteTextChar"/>
    <w:uiPriority w:val="99"/>
    <w:unhideWhenUsed/>
    <w:rsid w:val="0046317C"/>
    <w:pPr>
      <w:spacing w:line="240" w:lineRule="auto"/>
      <w:ind w:firstLine="0"/>
    </w:pPr>
    <w:rPr>
      <w:rFonts w:cs="Times New Roman"/>
      <w:sz w:val="24"/>
      <w:szCs w:val="24"/>
    </w:rPr>
  </w:style>
  <w:style w:type="character" w:customStyle="1" w:styleId="EndnoteTextChar">
    <w:name w:val="Endnote Text Char"/>
    <w:basedOn w:val="DefaultParagraphFont"/>
    <w:link w:val="EndnoteText"/>
    <w:uiPriority w:val="99"/>
    <w:rsid w:val="0046317C"/>
    <w:rPr>
      <w:rFonts w:ascii="Book Antiqua" w:hAnsi="Book Antiqua" w:cs="Times New Roman"/>
      <w:sz w:val="24"/>
      <w:szCs w:val="24"/>
    </w:rPr>
  </w:style>
  <w:style w:type="character" w:styleId="EndnoteReference">
    <w:name w:val="endnote reference"/>
    <w:basedOn w:val="DefaultParagraphFont"/>
    <w:uiPriority w:val="99"/>
    <w:unhideWhenUsed/>
    <w:rsid w:val="0046317C"/>
    <w:rPr>
      <w:vertAlign w:val="superscript"/>
    </w:rPr>
  </w:style>
  <w:style w:type="paragraph" w:customStyle="1" w:styleId="num1">
    <w:name w:val="num1"/>
    <w:basedOn w:val="Normal"/>
    <w:rsid w:val="0046317C"/>
    <w:pPr>
      <w:tabs>
        <w:tab w:val="left" w:pos="-720"/>
      </w:tabs>
      <w:suppressAutoHyphens/>
      <w:ind w:firstLine="360"/>
    </w:pPr>
    <w:rPr>
      <w:rFonts w:ascii="Palatino" w:eastAsia="Times New Roman" w:hAnsi="Palatino" w:cs="Times New Roman"/>
      <w:szCs w:val="20"/>
    </w:rPr>
  </w:style>
  <w:style w:type="paragraph" w:customStyle="1" w:styleId="num2">
    <w:name w:val="num2"/>
    <w:basedOn w:val="Normal"/>
    <w:rsid w:val="0046317C"/>
    <w:pPr>
      <w:numPr>
        <w:numId w:val="14"/>
      </w:numPr>
      <w:tabs>
        <w:tab w:val="left" w:pos="-720"/>
      </w:tabs>
      <w:suppressAutoHyphens/>
      <w:spacing w:before="40"/>
    </w:pPr>
    <w:rPr>
      <w:rFonts w:ascii="Palatino" w:eastAsia="Times New Roman" w:hAnsi="Palatino" w:cs="Times New Roman"/>
      <w:szCs w:val="20"/>
    </w:rPr>
  </w:style>
  <w:style w:type="character" w:styleId="UnresolvedMention">
    <w:name w:val="Unresolved Mention"/>
    <w:basedOn w:val="DefaultParagraphFont"/>
    <w:uiPriority w:val="99"/>
    <w:rsid w:val="0046317C"/>
    <w:rPr>
      <w:color w:val="605E5C"/>
      <w:shd w:val="clear" w:color="auto" w:fill="E1DFDD"/>
    </w:rPr>
  </w:style>
  <w:style w:type="character" w:customStyle="1" w:styleId="displayonly">
    <w:name w:val="display_only"/>
    <w:basedOn w:val="DefaultParagraphFont"/>
    <w:rsid w:val="0046317C"/>
  </w:style>
  <w:style w:type="numbering" w:customStyle="1" w:styleId="FoFCoLOP3">
    <w:name w:val="FoF/CoL/OP3"/>
    <w:uiPriority w:val="99"/>
    <w:rsid w:val="0046317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3165">
      <w:bodyDiv w:val="1"/>
      <w:marLeft w:val="0"/>
      <w:marRight w:val="0"/>
      <w:marTop w:val="0"/>
      <w:marBottom w:val="0"/>
      <w:divBdr>
        <w:top w:val="none" w:sz="0" w:space="0" w:color="auto"/>
        <w:left w:val="none" w:sz="0" w:space="0" w:color="auto"/>
        <w:bottom w:val="none" w:sz="0" w:space="0" w:color="auto"/>
        <w:right w:val="none" w:sz="0" w:space="0" w:color="auto"/>
      </w:divBdr>
    </w:div>
    <w:div w:id="20822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footer" Target="footer6.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hyperlink" Target="http://docs.cpuc.ca.gov/PublishedDocs/Published/G000/M459/K697/459697957.pdf" TargetMode="External" Id="R405a0bac7afc47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0F43-E299-4AB8-8D84-0EA4E7F3522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86</ap:Pages>
  <ap:Words>19901</ap:Words>
  <ap:Characters>113441</ap:Characters>
  <ap:Application>Microsoft Office Word</ap:Application>
  <ap:DocSecurity>0</ap:DocSecurity>
  <ap:Lines>945</ap:Lines>
  <ap:Paragraphs>266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133076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2022-03-15T17:58:00Z</cp:lastPrinted>
  <dcterms:created xsi:type="dcterms:W3CDTF">2022-03-15T11:12:40Z</dcterms:created>
  <dcterms:modified xsi:type="dcterms:W3CDTF">2022-03-15T11:12:40Z</dcterms:modified>
</cp:coreProperties>
</file>