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1359" w:rsidR="008658CC" w:rsidP="00C84A55" w:rsidRDefault="008658CC" w14:paraId="34E612B7" w14:textId="4A35504C">
      <w:pPr>
        <w:tabs>
          <w:tab w:val="right" w:pos="9360"/>
        </w:tabs>
        <w:spacing w:line="240" w:lineRule="auto"/>
        <w:ind w:firstLine="0"/>
        <w:rPr>
          <w:b/>
          <w:bCs/>
        </w:rPr>
      </w:pPr>
      <w:r w:rsidRPr="00BE29FD">
        <w:t>ALJ/</w:t>
      </w:r>
      <w:r w:rsidRPr="00BE29FD" w:rsidR="00C829B4">
        <w:t>EC2</w:t>
      </w:r>
      <w:r w:rsidRPr="00BE29FD">
        <w:t>/</w:t>
      </w:r>
      <w:proofErr w:type="spellStart"/>
      <w:r w:rsidRPr="00BE29FD">
        <w:t>lil</w:t>
      </w:r>
      <w:proofErr w:type="spellEnd"/>
      <w:r w:rsidR="001D0BC9">
        <w:t>/nd3</w:t>
      </w:r>
      <w:r w:rsidR="00C84A55">
        <w:tab/>
      </w:r>
      <w:r w:rsidRPr="00C84A55" w:rsidR="00C84A55">
        <w:rPr>
          <w:b/>
          <w:bCs/>
        </w:rPr>
        <w:t>Date of Issuance  3/23/2022</w:t>
      </w:r>
    </w:p>
    <w:p w:rsidR="00DA7B5D" w:rsidP="00C84A55" w:rsidRDefault="00DA7B5D" w14:paraId="3F40BB02" w14:textId="554B3B25">
      <w:pPr>
        <w:spacing w:line="240" w:lineRule="auto"/>
        <w:ind w:firstLine="0"/>
      </w:pPr>
    </w:p>
    <w:p w:rsidRPr="00BE29FD" w:rsidR="00C84A55" w:rsidP="00C84A55" w:rsidRDefault="00C84A55" w14:paraId="4228E06B" w14:textId="77777777">
      <w:pPr>
        <w:spacing w:line="240" w:lineRule="auto"/>
        <w:ind w:firstLine="0"/>
      </w:pPr>
    </w:p>
    <w:p w:rsidRPr="00BE29FD" w:rsidR="008658CC" w:rsidP="00C84A55" w:rsidRDefault="008658CC" w14:paraId="3EF1E058" w14:textId="35B6EF33">
      <w:pPr>
        <w:spacing w:line="240" w:lineRule="auto"/>
        <w:ind w:firstLine="0"/>
      </w:pPr>
      <w:r w:rsidRPr="00BE29FD">
        <w:t>Decision</w:t>
      </w:r>
      <w:r w:rsidR="00C84A55">
        <w:t xml:space="preserve"> </w:t>
      </w:r>
      <w:r w:rsidRPr="00A1163F" w:rsidR="009C2916">
        <w:t>22-03-003</w:t>
      </w:r>
      <w:r w:rsidRPr="009C2916" w:rsidR="009C2916">
        <w:t xml:space="preserve">  March 17, 2022</w:t>
      </w:r>
    </w:p>
    <w:p w:rsidRPr="009C2916" w:rsidR="00DA7B5D" w:rsidP="00F04225" w:rsidRDefault="00DA7B5D" w14:paraId="5D85D54B" w14:textId="7AB97251">
      <w:pPr>
        <w:spacing w:line="240" w:lineRule="auto"/>
        <w:ind w:firstLine="0"/>
      </w:pPr>
    </w:p>
    <w:p w:rsidRPr="00BE29FD" w:rsidR="00C84A55" w:rsidP="00F04225" w:rsidRDefault="00C84A55" w14:paraId="37638FF4" w14:textId="77777777">
      <w:pPr>
        <w:spacing w:line="240" w:lineRule="auto"/>
        <w:ind w:firstLine="0"/>
        <w:rPr>
          <w:u w:val="single"/>
        </w:rPr>
      </w:pPr>
    </w:p>
    <w:p w:rsidRPr="00BE29FD" w:rsidR="00DA7B5D" w:rsidP="00BB0243" w:rsidRDefault="00DA7B5D" w14:paraId="72547862" w14:textId="77777777">
      <w:pPr>
        <w:spacing w:line="240" w:lineRule="auto"/>
        <w:ind w:firstLine="0"/>
        <w:jc w:val="center"/>
        <w:rPr>
          <w:rFonts w:ascii="Arial" w:hAnsi="Arial" w:cs="Arial"/>
          <w:sz w:val="24"/>
          <w:szCs w:val="24"/>
        </w:rPr>
      </w:pPr>
      <w:r w:rsidRPr="00BE29FD">
        <w:rPr>
          <w:rFonts w:ascii="Arial" w:hAnsi="Arial" w:cs="Arial"/>
          <w:b/>
          <w:sz w:val="24"/>
          <w:szCs w:val="24"/>
        </w:rPr>
        <w:t>BEFORE THE PUBLIC UTILITIES COMMISSION OF THE STATE OF CALIFORNIA</w:t>
      </w:r>
    </w:p>
    <w:p w:rsidRPr="00BE29FD" w:rsidR="00DA7B5D" w:rsidP="008F0116" w:rsidRDefault="00DA7B5D" w14:paraId="2D9B3526"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5040"/>
        <w:gridCol w:w="4320"/>
      </w:tblGrid>
      <w:tr w:rsidR="00F8596A" w:rsidTr="00F8596A" w14:paraId="3A467FFE" w14:textId="77777777">
        <w:trPr>
          <w:jc w:val="center"/>
        </w:trPr>
        <w:tc>
          <w:tcPr>
            <w:tcW w:w="5040" w:type="dxa"/>
            <w:tcBorders>
              <w:top w:val="nil"/>
              <w:left w:val="nil"/>
              <w:bottom w:val="single" w:color="auto" w:sz="4" w:space="0"/>
              <w:right w:val="single" w:color="auto" w:sz="4" w:space="0"/>
            </w:tcBorders>
          </w:tcPr>
          <w:p w:rsidR="00F8596A" w:rsidP="007C1686" w:rsidRDefault="00F8596A" w14:paraId="374FC1B9" w14:textId="74A0FB8E">
            <w:pPr>
              <w:spacing w:line="240" w:lineRule="auto"/>
              <w:ind w:firstLine="0"/>
              <w:rPr>
                <w:rFonts w:cs="Arial"/>
                <w:szCs w:val="26"/>
              </w:rPr>
            </w:pPr>
            <w:r w:rsidRPr="00F8596A">
              <w:rPr>
                <w:rFonts w:cs="Arial"/>
                <w:szCs w:val="26"/>
              </w:rPr>
              <w:t xml:space="preserve">Application of </w:t>
            </w:r>
            <w:r w:rsidR="00B720AB">
              <w:rPr>
                <w:rFonts w:cs="Arial"/>
                <w:szCs w:val="26"/>
              </w:rPr>
              <w:t>San </w:t>
            </w:r>
            <w:r w:rsidRPr="00F8596A">
              <w:rPr>
                <w:rFonts w:cs="Arial"/>
                <w:szCs w:val="26"/>
              </w:rPr>
              <w:t>Diego Gas</w:t>
            </w:r>
            <w:r w:rsidR="00B720AB">
              <w:rPr>
                <w:rFonts w:cs="Arial"/>
                <w:szCs w:val="26"/>
              </w:rPr>
              <w:t xml:space="preserve"> &amp; </w:t>
            </w:r>
            <w:r w:rsidRPr="00F8596A">
              <w:rPr>
                <w:rFonts w:cs="Arial"/>
                <w:szCs w:val="26"/>
              </w:rPr>
              <w:t>Electric Company (U902E) for Approval of Its 2022 Electric Sales Forecast</w:t>
            </w:r>
            <w:r>
              <w:rPr>
                <w:rFonts w:cs="Arial"/>
                <w:szCs w:val="26"/>
              </w:rPr>
              <w:t>.</w:t>
            </w:r>
          </w:p>
          <w:p w:rsidRPr="00DA7B5D" w:rsidR="00F8596A" w:rsidP="007C1686" w:rsidRDefault="00F8596A" w14:paraId="53493433" w14:textId="09C7AC14">
            <w:pPr>
              <w:spacing w:line="240" w:lineRule="auto"/>
              <w:ind w:firstLine="0"/>
              <w:rPr>
                <w:rFonts w:cs="Arial"/>
                <w:szCs w:val="26"/>
              </w:rPr>
            </w:pPr>
          </w:p>
        </w:tc>
        <w:tc>
          <w:tcPr>
            <w:tcW w:w="4320" w:type="dxa"/>
            <w:tcBorders>
              <w:top w:val="nil"/>
              <w:left w:val="single" w:color="auto" w:sz="4" w:space="0"/>
              <w:bottom w:val="nil"/>
              <w:right w:val="nil"/>
            </w:tcBorders>
            <w:vAlign w:val="center"/>
          </w:tcPr>
          <w:p w:rsidRPr="00DA7B5D" w:rsidR="00F8596A" w:rsidP="007C1686" w:rsidRDefault="00F8596A" w14:paraId="3A6470C1" w14:textId="2F7FF43F">
            <w:pPr>
              <w:spacing w:line="240" w:lineRule="auto"/>
              <w:ind w:firstLine="0"/>
              <w:jc w:val="center"/>
              <w:rPr>
                <w:rFonts w:cs="Arial"/>
                <w:szCs w:val="26"/>
              </w:rPr>
            </w:pPr>
            <w:r w:rsidRPr="00F8596A">
              <w:rPr>
                <w:rFonts w:cs="Arial"/>
                <w:szCs w:val="26"/>
              </w:rPr>
              <w:t>Application 21-08-010</w:t>
            </w:r>
          </w:p>
        </w:tc>
      </w:tr>
    </w:tbl>
    <w:p w:rsidR="00F8596A" w:rsidP="00F8596A" w:rsidRDefault="00F8596A" w14:paraId="3DA911FC" w14:textId="77777777">
      <w:pPr>
        <w:spacing w:line="240" w:lineRule="auto"/>
        <w:ind w:firstLine="0"/>
        <w:rPr>
          <w:rFonts w:ascii="Arial" w:hAnsi="Arial" w:cs="Arial"/>
          <w:sz w:val="24"/>
          <w:szCs w:val="24"/>
        </w:rPr>
      </w:pPr>
    </w:p>
    <w:p w:rsidRPr="00BE29FD" w:rsidR="00C829B4" w:rsidP="008F0116" w:rsidRDefault="00C829B4" w14:paraId="6B20A4D5" w14:textId="77777777">
      <w:pPr>
        <w:spacing w:line="240" w:lineRule="auto"/>
        <w:ind w:firstLine="0"/>
        <w:rPr>
          <w:rFonts w:ascii="Arial" w:hAnsi="Arial" w:cs="Arial"/>
          <w:sz w:val="24"/>
          <w:szCs w:val="24"/>
        </w:rPr>
      </w:pPr>
    </w:p>
    <w:p w:rsidRPr="00D01B5C" w:rsidR="008658CC" w:rsidP="00D177FF" w:rsidRDefault="00C829B4" w14:paraId="365AF782" w14:textId="3DDFEC01">
      <w:pPr>
        <w:pStyle w:val="Main"/>
        <w:rPr>
          <w:rFonts w:eastAsiaTheme="majorEastAsia" w:cstheme="majorBidi"/>
        </w:rPr>
      </w:pPr>
      <w:bookmarkStart w:name="_Toc98143099" w:id="0"/>
      <w:bookmarkStart w:name="_Hlk54356077" w:id="1"/>
      <w:r w:rsidRPr="00D01B5C">
        <w:rPr>
          <w:rFonts w:eastAsiaTheme="majorEastAsia" w:cstheme="majorBidi"/>
        </w:rPr>
        <w:t>DECISION ADOPTING 2022 ELECTRIC SALES FORECAST</w:t>
      </w:r>
      <w:r w:rsidR="001D0BC9">
        <w:rPr>
          <w:rFonts w:eastAsiaTheme="majorEastAsia" w:cstheme="majorBidi"/>
        </w:rPr>
        <w:br/>
      </w:r>
      <w:r w:rsidRPr="00D01B5C">
        <w:rPr>
          <w:rFonts w:eastAsiaTheme="majorEastAsia" w:cstheme="majorBidi"/>
        </w:rPr>
        <w:t>FOR SAN</w:t>
      </w:r>
      <w:r w:rsidR="00B720AB">
        <w:rPr>
          <w:rFonts w:eastAsiaTheme="majorEastAsia" w:cstheme="majorBidi"/>
        </w:rPr>
        <w:t> </w:t>
      </w:r>
      <w:r w:rsidRPr="00D01B5C">
        <w:rPr>
          <w:rFonts w:eastAsiaTheme="majorEastAsia" w:cstheme="majorBidi"/>
        </w:rPr>
        <w:t>DIEGO GAS</w:t>
      </w:r>
      <w:r w:rsidR="00B720AB">
        <w:rPr>
          <w:rFonts w:eastAsiaTheme="majorEastAsia" w:cstheme="majorBidi"/>
        </w:rPr>
        <w:t xml:space="preserve"> &amp; </w:t>
      </w:r>
      <w:r w:rsidRPr="00D01B5C">
        <w:rPr>
          <w:rFonts w:eastAsiaTheme="majorEastAsia" w:cstheme="majorBidi"/>
        </w:rPr>
        <w:t>ELECTRIC COMPANY</w:t>
      </w:r>
      <w:bookmarkEnd w:id="0"/>
    </w:p>
    <w:bookmarkEnd w:id="1"/>
    <w:p w:rsidRPr="004B3667" w:rsidR="008658CC" w:rsidP="008658CC" w:rsidRDefault="008658CC" w14:paraId="5AD60F77" w14:textId="77777777">
      <w:pPr>
        <w:spacing w:line="240" w:lineRule="auto"/>
        <w:ind w:right="-1123" w:firstLine="0"/>
        <w:rPr>
          <w:szCs w:val="26"/>
        </w:rPr>
      </w:pPr>
    </w:p>
    <w:p w:rsidRPr="004B3667" w:rsidR="00DA7B5D" w:rsidP="008F0116" w:rsidRDefault="00DA7B5D" w14:paraId="5CA751C0" w14:textId="77777777">
      <w:pPr>
        <w:spacing w:line="240" w:lineRule="auto"/>
        <w:ind w:firstLine="0"/>
        <w:rPr>
          <w:rFonts w:ascii="Arial" w:hAnsi="Arial" w:cs="Arial"/>
          <w:sz w:val="24"/>
          <w:szCs w:val="24"/>
        </w:rPr>
      </w:pPr>
    </w:p>
    <w:p w:rsidRPr="004B3667" w:rsidR="00F92385" w:rsidP="00B3087D" w:rsidRDefault="00F92385" w14:paraId="19F80AB8" w14:textId="0E3B08BD">
      <w:pPr>
        <w:pStyle w:val="Dummy"/>
        <w:jc w:val="center"/>
        <w:sectPr w:rsidRPr="004B3667" w:rsidR="00F92385" w:rsidSect="001D0BC9">
          <w:headerReference w:type="default" r:id="rId8"/>
          <w:footerReference w:type="default" r:id="rId9"/>
          <w:headerReference w:type="first" r:id="rId10"/>
          <w:footerReference w:type="first" r:id="rId11"/>
          <w:pgSz w:w="12240" w:h="15840"/>
          <w:pgMar w:top="1728" w:right="1440" w:bottom="1440" w:left="1440" w:header="720" w:footer="720" w:gutter="0"/>
          <w:pgNumType w:start="1"/>
          <w:cols w:space="720"/>
          <w:titlePg/>
          <w:docGrid w:linePitch="360"/>
        </w:sectPr>
      </w:pPr>
    </w:p>
    <w:p w:rsidRPr="004B3667" w:rsidR="00D50119" w:rsidP="009418BC" w:rsidRDefault="00D50119" w14:paraId="5BBFF1C2" w14:textId="77777777">
      <w:pPr>
        <w:jc w:val="center"/>
        <w:rPr>
          <w:b/>
          <w:bCs/>
        </w:rPr>
      </w:pPr>
      <w:bookmarkStart w:name="_Toc54711126" w:id="2"/>
      <w:bookmarkStart w:name="_Toc54711966" w:id="3"/>
      <w:r w:rsidRPr="004B3667">
        <w:rPr>
          <w:b/>
          <w:bCs/>
        </w:rPr>
        <w:lastRenderedPageBreak/>
        <w:t>TABLE OF CONTENTS</w:t>
      </w:r>
      <w:bookmarkEnd w:id="2"/>
      <w:bookmarkEnd w:id="3"/>
    </w:p>
    <w:p w:rsidRPr="004B3667" w:rsidR="00D50119" w:rsidP="007E0FEE" w:rsidRDefault="00D50119" w14:paraId="6DAA932A" w14:textId="71A7CAF6">
      <w:pPr>
        <w:tabs>
          <w:tab w:val="right" w:pos="9360"/>
        </w:tabs>
        <w:ind w:firstLine="0"/>
        <w:rPr>
          <w:b/>
          <w:u w:val="single"/>
        </w:rPr>
      </w:pPr>
      <w:r w:rsidRPr="004B3667">
        <w:rPr>
          <w:b/>
          <w:u w:val="single"/>
        </w:rPr>
        <w:t>Title</w:t>
      </w:r>
      <w:r w:rsidRPr="004B3667">
        <w:tab/>
      </w:r>
      <w:r w:rsidRPr="004B3667">
        <w:rPr>
          <w:b/>
          <w:u w:val="single"/>
        </w:rPr>
        <w:t>Page</w:t>
      </w:r>
    </w:p>
    <w:sdt>
      <w:sdtPr>
        <w:rPr>
          <w:rFonts w:eastAsiaTheme="minorEastAsia"/>
        </w:rPr>
        <w:id w:val="-1224440197"/>
        <w:docPartObj>
          <w:docPartGallery w:val="Table of Contents"/>
          <w:docPartUnique/>
        </w:docPartObj>
      </w:sdtPr>
      <w:sdtEndPr>
        <w:rPr>
          <w:b/>
          <w:bCs/>
          <w:noProof/>
        </w:rPr>
      </w:sdtEndPr>
      <w:sdtContent>
        <w:p w:rsidR="00AF09C6" w:rsidP="00AF09C6" w:rsidRDefault="00D15DC0" w14:paraId="6F1F8408" w14:textId="46D6BFF4">
          <w:pPr>
            <w:pStyle w:val="TOC1"/>
            <w:tabs>
              <w:tab w:val="right" w:leader="dot" w:pos="9350"/>
            </w:tabs>
            <w:ind w:left="0" w:firstLine="0"/>
            <w:rPr>
              <w:rFonts w:asciiTheme="minorHAnsi" w:hAnsiTheme="minorHAnsi" w:eastAsiaTheme="minorEastAsia" w:cstheme="minorBidi"/>
              <w:noProof/>
              <w:sz w:val="22"/>
            </w:rPr>
          </w:pPr>
          <w:r w:rsidRPr="00D01B5C">
            <w:rPr>
              <w:rFonts w:asciiTheme="minorHAnsi" w:hAnsiTheme="minorHAnsi" w:eastAsiaTheme="minorEastAsia"/>
              <w:sz w:val="22"/>
            </w:rPr>
            <w:fldChar w:fldCharType="begin"/>
          </w:r>
          <w:r w:rsidRPr="00D01B5C">
            <w:rPr>
              <w:rFonts w:asciiTheme="minorHAnsi" w:hAnsiTheme="minorHAnsi" w:eastAsiaTheme="minorEastAsia"/>
              <w:sz w:val="22"/>
            </w:rPr>
            <w:instrText xml:space="preserve"> TOC \o "1-4" \h \z \t "Main,1" </w:instrText>
          </w:r>
          <w:r w:rsidRPr="00D01B5C">
            <w:rPr>
              <w:rFonts w:asciiTheme="minorHAnsi" w:hAnsiTheme="minorHAnsi" w:eastAsiaTheme="minorEastAsia"/>
              <w:sz w:val="22"/>
            </w:rPr>
            <w:fldChar w:fldCharType="separate"/>
          </w:r>
          <w:hyperlink w:history="1" w:anchor="_Toc98143099">
            <w:r w:rsidRPr="00D03117" w:rsidR="00AF09C6">
              <w:rPr>
                <w:rStyle w:val="Hyperlink"/>
                <w:rFonts w:eastAsiaTheme="majorEastAsia" w:cstheme="majorBidi"/>
                <w:noProof/>
              </w:rPr>
              <w:t>DECISION ADOPTING 2022 ELECTRIC SALES FORECAST FOR SAN DIEGO GAS &amp; ELECTRIC COMPANY</w:t>
            </w:r>
            <w:r w:rsidR="00AF09C6">
              <w:rPr>
                <w:noProof/>
                <w:webHidden/>
              </w:rPr>
              <w:tab/>
            </w:r>
            <w:r w:rsidR="00AF09C6">
              <w:rPr>
                <w:noProof/>
                <w:webHidden/>
              </w:rPr>
              <w:fldChar w:fldCharType="begin"/>
            </w:r>
            <w:r w:rsidR="00AF09C6">
              <w:rPr>
                <w:noProof/>
                <w:webHidden/>
              </w:rPr>
              <w:instrText xml:space="preserve"> PAGEREF _Toc98143099 \h </w:instrText>
            </w:r>
            <w:r w:rsidR="00AF09C6">
              <w:rPr>
                <w:noProof/>
                <w:webHidden/>
              </w:rPr>
            </w:r>
            <w:r w:rsidR="00AF09C6">
              <w:rPr>
                <w:noProof/>
                <w:webHidden/>
              </w:rPr>
              <w:fldChar w:fldCharType="separate"/>
            </w:r>
            <w:r w:rsidR="0022243F">
              <w:rPr>
                <w:noProof/>
                <w:webHidden/>
              </w:rPr>
              <w:t>1</w:t>
            </w:r>
            <w:r w:rsidR="00AF09C6">
              <w:rPr>
                <w:noProof/>
                <w:webHidden/>
              </w:rPr>
              <w:fldChar w:fldCharType="end"/>
            </w:r>
          </w:hyperlink>
        </w:p>
        <w:p w:rsidR="00AF09C6" w:rsidRDefault="008B226B" w14:paraId="27190851" w14:textId="7999C251">
          <w:pPr>
            <w:pStyle w:val="TOC1"/>
            <w:tabs>
              <w:tab w:val="right" w:leader="dot" w:pos="9350"/>
            </w:tabs>
            <w:rPr>
              <w:rFonts w:asciiTheme="minorHAnsi" w:hAnsiTheme="minorHAnsi" w:eastAsiaTheme="minorEastAsia" w:cstheme="minorBidi"/>
              <w:noProof/>
              <w:sz w:val="22"/>
            </w:rPr>
          </w:pPr>
          <w:hyperlink w:history="1" w:anchor="_Toc98143100">
            <w:r w:rsidRPr="00D03117" w:rsidR="00AF09C6">
              <w:rPr>
                <w:rStyle w:val="Hyperlink"/>
                <w:rFonts w:eastAsiaTheme="majorEastAsia" w:cstheme="majorBidi"/>
                <w:noProof/>
              </w:rPr>
              <w:t>Summary</w:t>
            </w:r>
            <w:r w:rsidR="00AF09C6">
              <w:rPr>
                <w:noProof/>
                <w:webHidden/>
              </w:rPr>
              <w:tab/>
            </w:r>
            <w:r w:rsidR="00AF09C6">
              <w:rPr>
                <w:noProof/>
                <w:webHidden/>
              </w:rPr>
              <w:fldChar w:fldCharType="begin"/>
            </w:r>
            <w:r w:rsidR="00AF09C6">
              <w:rPr>
                <w:noProof/>
                <w:webHidden/>
              </w:rPr>
              <w:instrText xml:space="preserve"> PAGEREF _Toc98143100 \h </w:instrText>
            </w:r>
            <w:r w:rsidR="00AF09C6">
              <w:rPr>
                <w:noProof/>
                <w:webHidden/>
              </w:rPr>
            </w:r>
            <w:r w:rsidR="00AF09C6">
              <w:rPr>
                <w:noProof/>
                <w:webHidden/>
              </w:rPr>
              <w:fldChar w:fldCharType="separate"/>
            </w:r>
            <w:r w:rsidR="0022243F">
              <w:rPr>
                <w:noProof/>
                <w:webHidden/>
              </w:rPr>
              <w:t>2</w:t>
            </w:r>
            <w:r w:rsidR="00AF09C6">
              <w:rPr>
                <w:noProof/>
                <w:webHidden/>
              </w:rPr>
              <w:fldChar w:fldCharType="end"/>
            </w:r>
          </w:hyperlink>
        </w:p>
        <w:p w:rsidR="00AF09C6" w:rsidRDefault="008B226B" w14:paraId="0660C400" w14:textId="69216A08">
          <w:pPr>
            <w:pStyle w:val="TOC1"/>
            <w:tabs>
              <w:tab w:val="right" w:leader="dot" w:pos="9350"/>
            </w:tabs>
            <w:rPr>
              <w:rFonts w:asciiTheme="minorHAnsi" w:hAnsiTheme="minorHAnsi" w:eastAsiaTheme="minorEastAsia" w:cstheme="minorBidi"/>
              <w:noProof/>
              <w:sz w:val="22"/>
            </w:rPr>
          </w:pPr>
          <w:hyperlink w:history="1" w:anchor="_Toc98143101">
            <w:r w:rsidRPr="00D03117" w:rsidR="00AF09C6">
              <w:rPr>
                <w:rStyle w:val="Hyperlink"/>
                <w:rFonts w:eastAsiaTheme="majorEastAsia" w:cstheme="majorBidi"/>
                <w:noProof/>
              </w:rPr>
              <w:t>1.</w:t>
            </w:r>
            <w:r w:rsidR="00AF09C6">
              <w:rPr>
                <w:rFonts w:asciiTheme="minorHAnsi" w:hAnsiTheme="minorHAnsi" w:eastAsiaTheme="minorEastAsia" w:cstheme="minorBidi"/>
                <w:noProof/>
                <w:sz w:val="22"/>
              </w:rPr>
              <w:tab/>
            </w:r>
            <w:r w:rsidRPr="00D03117" w:rsidR="00AF09C6">
              <w:rPr>
                <w:rStyle w:val="Hyperlink"/>
                <w:rFonts w:eastAsiaTheme="majorEastAsia" w:cstheme="majorBidi"/>
                <w:noProof/>
              </w:rPr>
              <w:t>Background</w:t>
            </w:r>
            <w:r w:rsidR="00AF09C6">
              <w:rPr>
                <w:noProof/>
                <w:webHidden/>
              </w:rPr>
              <w:tab/>
            </w:r>
            <w:r w:rsidR="00AF09C6">
              <w:rPr>
                <w:noProof/>
                <w:webHidden/>
              </w:rPr>
              <w:fldChar w:fldCharType="begin"/>
            </w:r>
            <w:r w:rsidR="00AF09C6">
              <w:rPr>
                <w:noProof/>
                <w:webHidden/>
              </w:rPr>
              <w:instrText xml:space="preserve"> PAGEREF _Toc98143101 \h </w:instrText>
            </w:r>
            <w:r w:rsidR="00AF09C6">
              <w:rPr>
                <w:noProof/>
                <w:webHidden/>
              </w:rPr>
            </w:r>
            <w:r w:rsidR="00AF09C6">
              <w:rPr>
                <w:noProof/>
                <w:webHidden/>
              </w:rPr>
              <w:fldChar w:fldCharType="separate"/>
            </w:r>
            <w:r w:rsidR="0022243F">
              <w:rPr>
                <w:noProof/>
                <w:webHidden/>
              </w:rPr>
              <w:t>2</w:t>
            </w:r>
            <w:r w:rsidR="00AF09C6">
              <w:rPr>
                <w:noProof/>
                <w:webHidden/>
              </w:rPr>
              <w:fldChar w:fldCharType="end"/>
            </w:r>
          </w:hyperlink>
        </w:p>
        <w:p w:rsidR="00AF09C6" w:rsidRDefault="008B226B" w14:paraId="494BECCC" w14:textId="5381106D">
          <w:pPr>
            <w:pStyle w:val="TOC1"/>
            <w:tabs>
              <w:tab w:val="right" w:leader="dot" w:pos="9350"/>
            </w:tabs>
            <w:rPr>
              <w:rFonts w:asciiTheme="minorHAnsi" w:hAnsiTheme="minorHAnsi" w:eastAsiaTheme="minorEastAsia" w:cstheme="minorBidi"/>
              <w:noProof/>
              <w:sz w:val="22"/>
            </w:rPr>
          </w:pPr>
          <w:hyperlink w:history="1" w:anchor="_Toc98143102">
            <w:r w:rsidRPr="00D03117" w:rsidR="00AF09C6">
              <w:rPr>
                <w:rStyle w:val="Hyperlink"/>
                <w:rFonts w:eastAsiaTheme="majorEastAsia" w:cstheme="majorBidi"/>
                <w:noProof/>
              </w:rPr>
              <w:t>2.</w:t>
            </w:r>
            <w:r w:rsidR="00AF09C6">
              <w:rPr>
                <w:rFonts w:asciiTheme="minorHAnsi" w:hAnsiTheme="minorHAnsi" w:eastAsiaTheme="minorEastAsia" w:cstheme="minorBidi"/>
                <w:noProof/>
                <w:sz w:val="22"/>
              </w:rPr>
              <w:tab/>
            </w:r>
            <w:r w:rsidRPr="00D03117" w:rsidR="00AF09C6">
              <w:rPr>
                <w:rStyle w:val="Hyperlink"/>
                <w:rFonts w:eastAsiaTheme="majorEastAsia" w:cstheme="majorBidi"/>
                <w:noProof/>
              </w:rPr>
              <w:t>Issues Before the Commission</w:t>
            </w:r>
            <w:r w:rsidR="00AF09C6">
              <w:rPr>
                <w:noProof/>
                <w:webHidden/>
              </w:rPr>
              <w:tab/>
            </w:r>
            <w:r w:rsidR="00AF09C6">
              <w:rPr>
                <w:noProof/>
                <w:webHidden/>
              </w:rPr>
              <w:fldChar w:fldCharType="begin"/>
            </w:r>
            <w:r w:rsidR="00AF09C6">
              <w:rPr>
                <w:noProof/>
                <w:webHidden/>
              </w:rPr>
              <w:instrText xml:space="preserve"> PAGEREF _Toc98143102 \h </w:instrText>
            </w:r>
            <w:r w:rsidR="00AF09C6">
              <w:rPr>
                <w:noProof/>
                <w:webHidden/>
              </w:rPr>
            </w:r>
            <w:r w:rsidR="00AF09C6">
              <w:rPr>
                <w:noProof/>
                <w:webHidden/>
              </w:rPr>
              <w:fldChar w:fldCharType="separate"/>
            </w:r>
            <w:r w:rsidR="0022243F">
              <w:rPr>
                <w:noProof/>
                <w:webHidden/>
              </w:rPr>
              <w:t>4</w:t>
            </w:r>
            <w:r w:rsidR="00AF09C6">
              <w:rPr>
                <w:noProof/>
                <w:webHidden/>
              </w:rPr>
              <w:fldChar w:fldCharType="end"/>
            </w:r>
          </w:hyperlink>
        </w:p>
        <w:p w:rsidR="00AF09C6" w:rsidRDefault="008B226B" w14:paraId="00C81BD0" w14:textId="13EE10D1">
          <w:pPr>
            <w:pStyle w:val="TOC1"/>
            <w:tabs>
              <w:tab w:val="right" w:leader="dot" w:pos="9350"/>
            </w:tabs>
            <w:rPr>
              <w:rFonts w:asciiTheme="minorHAnsi" w:hAnsiTheme="minorHAnsi" w:eastAsiaTheme="minorEastAsia" w:cstheme="minorBidi"/>
              <w:noProof/>
              <w:sz w:val="22"/>
            </w:rPr>
          </w:pPr>
          <w:hyperlink w:history="1" w:anchor="_Toc98143103">
            <w:r w:rsidRPr="00D03117" w:rsidR="00AF09C6">
              <w:rPr>
                <w:rStyle w:val="Hyperlink"/>
                <w:rFonts w:eastAsiaTheme="majorEastAsia" w:cstheme="majorBidi"/>
                <w:noProof/>
              </w:rPr>
              <w:t>3.</w:t>
            </w:r>
            <w:r w:rsidR="00AF09C6">
              <w:rPr>
                <w:rFonts w:asciiTheme="minorHAnsi" w:hAnsiTheme="minorHAnsi" w:eastAsiaTheme="minorEastAsia" w:cstheme="minorBidi"/>
                <w:noProof/>
                <w:sz w:val="22"/>
              </w:rPr>
              <w:tab/>
            </w:r>
            <w:r w:rsidRPr="00D03117" w:rsidR="00AF09C6">
              <w:rPr>
                <w:rStyle w:val="Hyperlink"/>
                <w:rFonts w:eastAsiaTheme="majorEastAsia" w:cstheme="majorBidi"/>
                <w:noProof/>
              </w:rPr>
              <w:t>2022 Electric Sales Forecast</w:t>
            </w:r>
            <w:r w:rsidR="00AF09C6">
              <w:rPr>
                <w:noProof/>
                <w:webHidden/>
              </w:rPr>
              <w:tab/>
            </w:r>
            <w:r w:rsidR="00AF09C6">
              <w:rPr>
                <w:noProof/>
                <w:webHidden/>
              </w:rPr>
              <w:fldChar w:fldCharType="begin"/>
            </w:r>
            <w:r w:rsidR="00AF09C6">
              <w:rPr>
                <w:noProof/>
                <w:webHidden/>
              </w:rPr>
              <w:instrText xml:space="preserve"> PAGEREF _Toc98143103 \h </w:instrText>
            </w:r>
            <w:r w:rsidR="00AF09C6">
              <w:rPr>
                <w:noProof/>
                <w:webHidden/>
              </w:rPr>
            </w:r>
            <w:r w:rsidR="00AF09C6">
              <w:rPr>
                <w:noProof/>
                <w:webHidden/>
              </w:rPr>
              <w:fldChar w:fldCharType="separate"/>
            </w:r>
            <w:r w:rsidR="0022243F">
              <w:rPr>
                <w:noProof/>
                <w:webHidden/>
              </w:rPr>
              <w:t>4</w:t>
            </w:r>
            <w:r w:rsidR="00AF09C6">
              <w:rPr>
                <w:noProof/>
                <w:webHidden/>
              </w:rPr>
              <w:fldChar w:fldCharType="end"/>
            </w:r>
          </w:hyperlink>
        </w:p>
        <w:p w:rsidR="00AF09C6" w:rsidRDefault="008B226B" w14:paraId="17DFBBE7" w14:textId="5DD71C74">
          <w:pPr>
            <w:pStyle w:val="TOC2"/>
            <w:tabs>
              <w:tab w:val="left" w:pos="1123"/>
              <w:tab w:val="right" w:leader="dot" w:pos="9350"/>
            </w:tabs>
            <w:rPr>
              <w:rFonts w:asciiTheme="minorHAnsi" w:hAnsiTheme="minorHAnsi" w:eastAsiaTheme="minorEastAsia" w:cstheme="minorBidi"/>
              <w:noProof/>
              <w:sz w:val="22"/>
            </w:rPr>
          </w:pPr>
          <w:hyperlink w:history="1" w:anchor="_Toc98143104">
            <w:r w:rsidRPr="00D03117" w:rsidR="00AF09C6">
              <w:rPr>
                <w:rStyle w:val="Hyperlink"/>
                <w:noProof/>
              </w:rPr>
              <w:t>3.1.</w:t>
            </w:r>
            <w:r w:rsidR="00AF09C6">
              <w:rPr>
                <w:rFonts w:asciiTheme="minorHAnsi" w:hAnsiTheme="minorHAnsi" w:eastAsiaTheme="minorEastAsia" w:cstheme="minorBidi"/>
                <w:noProof/>
                <w:sz w:val="22"/>
              </w:rPr>
              <w:tab/>
            </w:r>
            <w:r w:rsidRPr="00D03117" w:rsidR="00AF09C6">
              <w:rPr>
                <w:rStyle w:val="Hyperlink"/>
                <w:noProof/>
              </w:rPr>
              <w:t>Parties’ Concerns about SDG&amp;E’s Proposed Forecast</w:t>
            </w:r>
            <w:r w:rsidR="00AF09C6">
              <w:rPr>
                <w:noProof/>
                <w:webHidden/>
              </w:rPr>
              <w:tab/>
            </w:r>
            <w:r w:rsidR="00AF09C6">
              <w:rPr>
                <w:noProof/>
                <w:webHidden/>
              </w:rPr>
              <w:fldChar w:fldCharType="begin"/>
            </w:r>
            <w:r w:rsidR="00AF09C6">
              <w:rPr>
                <w:noProof/>
                <w:webHidden/>
              </w:rPr>
              <w:instrText xml:space="preserve"> PAGEREF _Toc98143104 \h </w:instrText>
            </w:r>
            <w:r w:rsidR="00AF09C6">
              <w:rPr>
                <w:noProof/>
                <w:webHidden/>
              </w:rPr>
            </w:r>
            <w:r w:rsidR="00AF09C6">
              <w:rPr>
                <w:noProof/>
                <w:webHidden/>
              </w:rPr>
              <w:fldChar w:fldCharType="separate"/>
            </w:r>
            <w:r w:rsidR="0022243F">
              <w:rPr>
                <w:noProof/>
                <w:webHidden/>
              </w:rPr>
              <w:t>5</w:t>
            </w:r>
            <w:r w:rsidR="00AF09C6">
              <w:rPr>
                <w:noProof/>
                <w:webHidden/>
              </w:rPr>
              <w:fldChar w:fldCharType="end"/>
            </w:r>
          </w:hyperlink>
        </w:p>
        <w:p w:rsidR="00AF09C6" w:rsidRDefault="008B226B" w14:paraId="7D384F61" w14:textId="57B1099E">
          <w:pPr>
            <w:pStyle w:val="TOC2"/>
            <w:tabs>
              <w:tab w:val="left" w:pos="1123"/>
              <w:tab w:val="right" w:leader="dot" w:pos="9350"/>
            </w:tabs>
            <w:rPr>
              <w:rFonts w:asciiTheme="minorHAnsi" w:hAnsiTheme="minorHAnsi" w:eastAsiaTheme="minorEastAsia" w:cstheme="minorBidi"/>
              <w:noProof/>
              <w:sz w:val="22"/>
            </w:rPr>
          </w:pPr>
          <w:hyperlink w:history="1" w:anchor="_Toc98143105">
            <w:r w:rsidRPr="00D03117" w:rsidR="00AF09C6">
              <w:rPr>
                <w:rStyle w:val="Hyperlink"/>
                <w:noProof/>
              </w:rPr>
              <w:t>3.2.</w:t>
            </w:r>
            <w:r w:rsidR="00AF09C6">
              <w:rPr>
                <w:rFonts w:asciiTheme="minorHAnsi" w:hAnsiTheme="minorHAnsi" w:eastAsiaTheme="minorEastAsia" w:cstheme="minorBidi"/>
                <w:noProof/>
                <w:sz w:val="22"/>
              </w:rPr>
              <w:tab/>
            </w:r>
            <w:r w:rsidRPr="00D03117" w:rsidR="00AF09C6">
              <w:rPr>
                <w:rStyle w:val="Hyperlink"/>
                <w:noProof/>
              </w:rPr>
              <w:t>Cal Advocates’ Proposed Sales Forecast</w:t>
            </w:r>
            <w:r w:rsidR="00AF09C6">
              <w:rPr>
                <w:noProof/>
                <w:webHidden/>
              </w:rPr>
              <w:tab/>
            </w:r>
            <w:r w:rsidR="00AF09C6">
              <w:rPr>
                <w:noProof/>
                <w:webHidden/>
              </w:rPr>
              <w:fldChar w:fldCharType="begin"/>
            </w:r>
            <w:r w:rsidR="00AF09C6">
              <w:rPr>
                <w:noProof/>
                <w:webHidden/>
              </w:rPr>
              <w:instrText xml:space="preserve"> PAGEREF _Toc98143105 \h </w:instrText>
            </w:r>
            <w:r w:rsidR="00AF09C6">
              <w:rPr>
                <w:noProof/>
                <w:webHidden/>
              </w:rPr>
            </w:r>
            <w:r w:rsidR="00AF09C6">
              <w:rPr>
                <w:noProof/>
                <w:webHidden/>
              </w:rPr>
              <w:fldChar w:fldCharType="separate"/>
            </w:r>
            <w:r w:rsidR="0022243F">
              <w:rPr>
                <w:noProof/>
                <w:webHidden/>
              </w:rPr>
              <w:t>6</w:t>
            </w:r>
            <w:r w:rsidR="00AF09C6">
              <w:rPr>
                <w:noProof/>
                <w:webHidden/>
              </w:rPr>
              <w:fldChar w:fldCharType="end"/>
            </w:r>
          </w:hyperlink>
        </w:p>
        <w:p w:rsidR="00AF09C6" w:rsidRDefault="008B226B" w14:paraId="744A25FF" w14:textId="27943723">
          <w:pPr>
            <w:pStyle w:val="TOC2"/>
            <w:tabs>
              <w:tab w:val="left" w:pos="1123"/>
              <w:tab w:val="right" w:leader="dot" w:pos="9350"/>
            </w:tabs>
            <w:rPr>
              <w:rFonts w:asciiTheme="minorHAnsi" w:hAnsiTheme="minorHAnsi" w:eastAsiaTheme="minorEastAsia" w:cstheme="minorBidi"/>
              <w:noProof/>
              <w:sz w:val="22"/>
            </w:rPr>
          </w:pPr>
          <w:hyperlink w:history="1" w:anchor="_Toc98143106">
            <w:r w:rsidRPr="00D03117" w:rsidR="00AF09C6">
              <w:rPr>
                <w:rStyle w:val="Hyperlink"/>
                <w:noProof/>
              </w:rPr>
              <w:t>3.3.</w:t>
            </w:r>
            <w:r w:rsidR="00AF09C6">
              <w:rPr>
                <w:rFonts w:asciiTheme="minorHAnsi" w:hAnsiTheme="minorHAnsi" w:eastAsiaTheme="minorEastAsia" w:cstheme="minorBidi"/>
                <w:noProof/>
                <w:sz w:val="22"/>
              </w:rPr>
              <w:tab/>
            </w:r>
            <w:r w:rsidRPr="00D03117" w:rsidR="00AF09C6">
              <w:rPr>
                <w:rStyle w:val="Hyperlink"/>
                <w:noProof/>
              </w:rPr>
              <w:t>SDG&amp;E Defends Using the 2020 CEC Forecast</w:t>
            </w:r>
            <w:r w:rsidR="00AF09C6">
              <w:rPr>
                <w:noProof/>
                <w:webHidden/>
              </w:rPr>
              <w:tab/>
            </w:r>
            <w:r w:rsidR="00AF09C6">
              <w:rPr>
                <w:noProof/>
                <w:webHidden/>
              </w:rPr>
              <w:fldChar w:fldCharType="begin"/>
            </w:r>
            <w:r w:rsidR="00AF09C6">
              <w:rPr>
                <w:noProof/>
                <w:webHidden/>
              </w:rPr>
              <w:instrText xml:space="preserve"> PAGEREF _Toc98143106 \h </w:instrText>
            </w:r>
            <w:r w:rsidR="00AF09C6">
              <w:rPr>
                <w:noProof/>
                <w:webHidden/>
              </w:rPr>
            </w:r>
            <w:r w:rsidR="00AF09C6">
              <w:rPr>
                <w:noProof/>
                <w:webHidden/>
              </w:rPr>
              <w:fldChar w:fldCharType="separate"/>
            </w:r>
            <w:r w:rsidR="0022243F">
              <w:rPr>
                <w:noProof/>
                <w:webHidden/>
              </w:rPr>
              <w:t>7</w:t>
            </w:r>
            <w:r w:rsidR="00AF09C6">
              <w:rPr>
                <w:noProof/>
                <w:webHidden/>
              </w:rPr>
              <w:fldChar w:fldCharType="end"/>
            </w:r>
          </w:hyperlink>
        </w:p>
        <w:p w:rsidR="00AF09C6" w:rsidRDefault="008B226B" w14:paraId="5BA0A37E" w14:textId="25C1087B">
          <w:pPr>
            <w:pStyle w:val="TOC2"/>
            <w:tabs>
              <w:tab w:val="left" w:pos="1123"/>
              <w:tab w:val="right" w:leader="dot" w:pos="9350"/>
            </w:tabs>
            <w:rPr>
              <w:rFonts w:asciiTheme="minorHAnsi" w:hAnsiTheme="minorHAnsi" w:eastAsiaTheme="minorEastAsia" w:cstheme="minorBidi"/>
              <w:noProof/>
              <w:sz w:val="22"/>
            </w:rPr>
          </w:pPr>
          <w:hyperlink w:history="1" w:anchor="_Toc98143107">
            <w:r w:rsidRPr="00D03117" w:rsidR="00AF09C6">
              <w:rPr>
                <w:rStyle w:val="Hyperlink"/>
                <w:noProof/>
              </w:rPr>
              <w:t>3.4.</w:t>
            </w:r>
            <w:r w:rsidR="00AF09C6">
              <w:rPr>
                <w:rFonts w:asciiTheme="minorHAnsi" w:hAnsiTheme="minorHAnsi" w:eastAsiaTheme="minorEastAsia" w:cstheme="minorBidi"/>
                <w:noProof/>
                <w:sz w:val="22"/>
              </w:rPr>
              <w:tab/>
            </w:r>
            <w:r w:rsidRPr="00D03117" w:rsidR="00AF09C6">
              <w:rPr>
                <w:rStyle w:val="Hyperlink"/>
                <w:noProof/>
              </w:rPr>
              <w:t>Adopting an Electric Sales Forecast for 2022</w:t>
            </w:r>
            <w:r w:rsidR="00AF09C6">
              <w:rPr>
                <w:noProof/>
                <w:webHidden/>
              </w:rPr>
              <w:tab/>
            </w:r>
            <w:r w:rsidR="00AF09C6">
              <w:rPr>
                <w:noProof/>
                <w:webHidden/>
              </w:rPr>
              <w:fldChar w:fldCharType="begin"/>
            </w:r>
            <w:r w:rsidR="00AF09C6">
              <w:rPr>
                <w:noProof/>
                <w:webHidden/>
              </w:rPr>
              <w:instrText xml:space="preserve"> PAGEREF _Toc98143107 \h </w:instrText>
            </w:r>
            <w:r w:rsidR="00AF09C6">
              <w:rPr>
                <w:noProof/>
                <w:webHidden/>
              </w:rPr>
            </w:r>
            <w:r w:rsidR="00AF09C6">
              <w:rPr>
                <w:noProof/>
                <w:webHidden/>
              </w:rPr>
              <w:fldChar w:fldCharType="separate"/>
            </w:r>
            <w:r w:rsidR="0022243F">
              <w:rPr>
                <w:noProof/>
                <w:webHidden/>
              </w:rPr>
              <w:t>8</w:t>
            </w:r>
            <w:r w:rsidR="00AF09C6">
              <w:rPr>
                <w:noProof/>
                <w:webHidden/>
              </w:rPr>
              <w:fldChar w:fldCharType="end"/>
            </w:r>
          </w:hyperlink>
        </w:p>
        <w:p w:rsidR="00AF09C6" w:rsidRDefault="008B226B" w14:paraId="3CACFC5B" w14:textId="362FFE2F">
          <w:pPr>
            <w:pStyle w:val="TOC2"/>
            <w:tabs>
              <w:tab w:val="left" w:pos="1123"/>
              <w:tab w:val="right" w:leader="dot" w:pos="9350"/>
            </w:tabs>
            <w:rPr>
              <w:rFonts w:asciiTheme="minorHAnsi" w:hAnsiTheme="minorHAnsi" w:eastAsiaTheme="minorEastAsia" w:cstheme="minorBidi"/>
              <w:noProof/>
              <w:sz w:val="22"/>
            </w:rPr>
          </w:pPr>
          <w:hyperlink w:history="1" w:anchor="_Toc98143108">
            <w:r w:rsidRPr="00D03117" w:rsidR="00AF09C6">
              <w:rPr>
                <w:rStyle w:val="Hyperlink"/>
                <w:noProof/>
              </w:rPr>
              <w:t>3.5.</w:t>
            </w:r>
            <w:r w:rsidR="00AF09C6">
              <w:rPr>
                <w:rFonts w:asciiTheme="minorHAnsi" w:hAnsiTheme="minorHAnsi" w:eastAsiaTheme="minorEastAsia" w:cstheme="minorBidi"/>
                <w:noProof/>
                <w:sz w:val="22"/>
              </w:rPr>
              <w:tab/>
            </w:r>
            <w:r w:rsidRPr="00D03117" w:rsidR="00AF09C6">
              <w:rPr>
                <w:rStyle w:val="Hyperlink"/>
                <w:noProof/>
              </w:rPr>
              <w:t>Four-Month Implementation Delay</w:t>
            </w:r>
            <w:r w:rsidR="00AF09C6">
              <w:rPr>
                <w:noProof/>
                <w:webHidden/>
              </w:rPr>
              <w:tab/>
            </w:r>
            <w:r w:rsidR="00AF09C6">
              <w:rPr>
                <w:noProof/>
                <w:webHidden/>
              </w:rPr>
              <w:fldChar w:fldCharType="begin"/>
            </w:r>
            <w:r w:rsidR="00AF09C6">
              <w:rPr>
                <w:noProof/>
                <w:webHidden/>
              </w:rPr>
              <w:instrText xml:space="preserve"> PAGEREF _Toc98143108 \h </w:instrText>
            </w:r>
            <w:r w:rsidR="00AF09C6">
              <w:rPr>
                <w:noProof/>
                <w:webHidden/>
              </w:rPr>
            </w:r>
            <w:r w:rsidR="00AF09C6">
              <w:rPr>
                <w:noProof/>
                <w:webHidden/>
              </w:rPr>
              <w:fldChar w:fldCharType="separate"/>
            </w:r>
            <w:r w:rsidR="0022243F">
              <w:rPr>
                <w:noProof/>
                <w:webHidden/>
              </w:rPr>
              <w:t>11</w:t>
            </w:r>
            <w:r w:rsidR="00AF09C6">
              <w:rPr>
                <w:noProof/>
                <w:webHidden/>
              </w:rPr>
              <w:fldChar w:fldCharType="end"/>
            </w:r>
          </w:hyperlink>
        </w:p>
        <w:p w:rsidR="00AF09C6" w:rsidRDefault="008B226B" w14:paraId="5359F1E5" w14:textId="61E91F81">
          <w:pPr>
            <w:pStyle w:val="TOC2"/>
            <w:tabs>
              <w:tab w:val="left" w:pos="1123"/>
              <w:tab w:val="right" w:leader="dot" w:pos="9350"/>
            </w:tabs>
            <w:rPr>
              <w:rFonts w:asciiTheme="minorHAnsi" w:hAnsiTheme="minorHAnsi" w:eastAsiaTheme="minorEastAsia" w:cstheme="minorBidi"/>
              <w:noProof/>
              <w:sz w:val="22"/>
            </w:rPr>
          </w:pPr>
          <w:hyperlink w:history="1" w:anchor="_Toc98143109">
            <w:r w:rsidRPr="00D03117" w:rsidR="00AF09C6">
              <w:rPr>
                <w:rStyle w:val="Hyperlink"/>
                <w:noProof/>
              </w:rPr>
              <w:t>3.6.</w:t>
            </w:r>
            <w:r w:rsidR="00AF09C6">
              <w:rPr>
                <w:rFonts w:asciiTheme="minorHAnsi" w:hAnsiTheme="minorHAnsi" w:eastAsiaTheme="minorEastAsia" w:cstheme="minorBidi"/>
                <w:noProof/>
                <w:sz w:val="22"/>
              </w:rPr>
              <w:tab/>
            </w:r>
            <w:r w:rsidRPr="00D03117" w:rsidR="00AF09C6">
              <w:rPr>
                <w:rStyle w:val="Hyperlink"/>
                <w:noProof/>
              </w:rPr>
              <w:t>Implementation of Approved 2022 Electric Sales Forecast</w:t>
            </w:r>
            <w:r w:rsidR="00AF09C6">
              <w:rPr>
                <w:noProof/>
                <w:webHidden/>
              </w:rPr>
              <w:tab/>
            </w:r>
            <w:r w:rsidR="00AF09C6">
              <w:rPr>
                <w:noProof/>
                <w:webHidden/>
              </w:rPr>
              <w:fldChar w:fldCharType="begin"/>
            </w:r>
            <w:r w:rsidR="00AF09C6">
              <w:rPr>
                <w:noProof/>
                <w:webHidden/>
              </w:rPr>
              <w:instrText xml:space="preserve"> PAGEREF _Toc98143109 \h </w:instrText>
            </w:r>
            <w:r w:rsidR="00AF09C6">
              <w:rPr>
                <w:noProof/>
                <w:webHidden/>
              </w:rPr>
            </w:r>
            <w:r w:rsidR="00AF09C6">
              <w:rPr>
                <w:noProof/>
                <w:webHidden/>
              </w:rPr>
              <w:fldChar w:fldCharType="separate"/>
            </w:r>
            <w:r w:rsidR="0022243F">
              <w:rPr>
                <w:noProof/>
                <w:webHidden/>
              </w:rPr>
              <w:t>12</w:t>
            </w:r>
            <w:r w:rsidR="00AF09C6">
              <w:rPr>
                <w:noProof/>
                <w:webHidden/>
              </w:rPr>
              <w:fldChar w:fldCharType="end"/>
            </w:r>
          </w:hyperlink>
        </w:p>
        <w:p w:rsidR="00AF09C6" w:rsidRDefault="008B226B" w14:paraId="3CA1B8EE" w14:textId="5D926A48">
          <w:pPr>
            <w:pStyle w:val="TOC2"/>
            <w:tabs>
              <w:tab w:val="left" w:pos="1123"/>
              <w:tab w:val="right" w:leader="dot" w:pos="9350"/>
            </w:tabs>
            <w:rPr>
              <w:rFonts w:asciiTheme="minorHAnsi" w:hAnsiTheme="minorHAnsi" w:eastAsiaTheme="minorEastAsia" w:cstheme="minorBidi"/>
              <w:noProof/>
              <w:sz w:val="22"/>
            </w:rPr>
          </w:pPr>
          <w:hyperlink w:history="1" w:anchor="_Toc98143110">
            <w:r w:rsidRPr="00D03117" w:rsidR="00AF09C6">
              <w:rPr>
                <w:rStyle w:val="Hyperlink"/>
                <w:noProof/>
              </w:rPr>
              <w:t>3.7.</w:t>
            </w:r>
            <w:r w:rsidR="00AF09C6">
              <w:rPr>
                <w:rFonts w:asciiTheme="minorHAnsi" w:hAnsiTheme="minorHAnsi" w:eastAsiaTheme="minorEastAsia" w:cstheme="minorBidi"/>
                <w:noProof/>
                <w:sz w:val="22"/>
              </w:rPr>
              <w:tab/>
            </w:r>
            <w:r w:rsidRPr="00D03117" w:rsidR="00AF09C6">
              <w:rPr>
                <w:rStyle w:val="Hyperlink"/>
                <w:noProof/>
              </w:rPr>
              <w:t>Studying the Impacts of the Pandemic to Predict Sales</w:t>
            </w:r>
            <w:r w:rsidR="00AF09C6">
              <w:rPr>
                <w:noProof/>
                <w:webHidden/>
              </w:rPr>
              <w:tab/>
            </w:r>
            <w:r w:rsidR="00AF09C6">
              <w:rPr>
                <w:noProof/>
                <w:webHidden/>
              </w:rPr>
              <w:fldChar w:fldCharType="begin"/>
            </w:r>
            <w:r w:rsidR="00AF09C6">
              <w:rPr>
                <w:noProof/>
                <w:webHidden/>
              </w:rPr>
              <w:instrText xml:space="preserve"> PAGEREF _Toc98143110 \h </w:instrText>
            </w:r>
            <w:r w:rsidR="00AF09C6">
              <w:rPr>
                <w:noProof/>
                <w:webHidden/>
              </w:rPr>
            </w:r>
            <w:r w:rsidR="00AF09C6">
              <w:rPr>
                <w:noProof/>
                <w:webHidden/>
              </w:rPr>
              <w:fldChar w:fldCharType="separate"/>
            </w:r>
            <w:r w:rsidR="0022243F">
              <w:rPr>
                <w:noProof/>
                <w:webHidden/>
              </w:rPr>
              <w:t>13</w:t>
            </w:r>
            <w:r w:rsidR="00AF09C6">
              <w:rPr>
                <w:noProof/>
                <w:webHidden/>
              </w:rPr>
              <w:fldChar w:fldCharType="end"/>
            </w:r>
          </w:hyperlink>
        </w:p>
        <w:p w:rsidR="00AF09C6" w:rsidRDefault="008B226B" w14:paraId="23405B07" w14:textId="1AF8FBE6">
          <w:pPr>
            <w:pStyle w:val="TOC2"/>
            <w:tabs>
              <w:tab w:val="left" w:pos="1123"/>
              <w:tab w:val="right" w:leader="dot" w:pos="9350"/>
            </w:tabs>
            <w:rPr>
              <w:rFonts w:asciiTheme="minorHAnsi" w:hAnsiTheme="minorHAnsi" w:eastAsiaTheme="minorEastAsia" w:cstheme="minorBidi"/>
              <w:noProof/>
              <w:sz w:val="22"/>
            </w:rPr>
          </w:pPr>
          <w:hyperlink w:history="1" w:anchor="_Toc98143111">
            <w:r w:rsidRPr="00D03117" w:rsidR="00AF09C6">
              <w:rPr>
                <w:rStyle w:val="Hyperlink"/>
                <w:noProof/>
              </w:rPr>
              <w:t>3.8.</w:t>
            </w:r>
            <w:r w:rsidR="00AF09C6">
              <w:rPr>
                <w:rFonts w:asciiTheme="minorHAnsi" w:hAnsiTheme="minorHAnsi" w:eastAsiaTheme="minorEastAsia" w:cstheme="minorBidi"/>
                <w:noProof/>
                <w:sz w:val="22"/>
              </w:rPr>
              <w:tab/>
            </w:r>
            <w:r w:rsidRPr="00D03117" w:rsidR="00AF09C6">
              <w:rPr>
                <w:rStyle w:val="Hyperlink"/>
                <w:noProof/>
              </w:rPr>
              <w:t>Implementation of SAPC Methodology</w:t>
            </w:r>
            <w:r w:rsidR="00AF09C6">
              <w:rPr>
                <w:noProof/>
                <w:webHidden/>
              </w:rPr>
              <w:tab/>
            </w:r>
            <w:r w:rsidR="00AF09C6">
              <w:rPr>
                <w:noProof/>
                <w:webHidden/>
              </w:rPr>
              <w:fldChar w:fldCharType="begin"/>
            </w:r>
            <w:r w:rsidR="00AF09C6">
              <w:rPr>
                <w:noProof/>
                <w:webHidden/>
              </w:rPr>
              <w:instrText xml:space="preserve"> PAGEREF _Toc98143111 \h </w:instrText>
            </w:r>
            <w:r w:rsidR="00AF09C6">
              <w:rPr>
                <w:noProof/>
                <w:webHidden/>
              </w:rPr>
            </w:r>
            <w:r w:rsidR="00AF09C6">
              <w:rPr>
                <w:noProof/>
                <w:webHidden/>
              </w:rPr>
              <w:fldChar w:fldCharType="separate"/>
            </w:r>
            <w:r w:rsidR="0022243F">
              <w:rPr>
                <w:noProof/>
                <w:webHidden/>
              </w:rPr>
              <w:t>13</w:t>
            </w:r>
            <w:r w:rsidR="00AF09C6">
              <w:rPr>
                <w:noProof/>
                <w:webHidden/>
              </w:rPr>
              <w:fldChar w:fldCharType="end"/>
            </w:r>
          </w:hyperlink>
        </w:p>
        <w:p w:rsidR="00AF09C6" w:rsidRDefault="008B226B" w14:paraId="76F0E9D7" w14:textId="4027ED87">
          <w:pPr>
            <w:pStyle w:val="TOC3"/>
            <w:tabs>
              <w:tab w:val="left" w:pos="2016"/>
              <w:tab w:val="right" w:leader="dot" w:pos="9350"/>
            </w:tabs>
            <w:rPr>
              <w:rFonts w:asciiTheme="minorHAnsi" w:hAnsiTheme="minorHAnsi" w:eastAsiaTheme="minorEastAsia" w:cstheme="minorBidi"/>
              <w:noProof/>
              <w:sz w:val="22"/>
            </w:rPr>
          </w:pPr>
          <w:hyperlink w:history="1" w:anchor="_Toc98143112">
            <w:r w:rsidRPr="00D03117" w:rsidR="00AF09C6">
              <w:rPr>
                <w:rStyle w:val="Hyperlink"/>
                <w:rFonts w:eastAsiaTheme="majorEastAsia" w:cstheme="majorBidi"/>
                <w:noProof/>
              </w:rPr>
              <w:t>3.8.1.</w:t>
            </w:r>
            <w:r w:rsidR="00AF09C6">
              <w:rPr>
                <w:rFonts w:asciiTheme="minorHAnsi" w:hAnsiTheme="minorHAnsi" w:eastAsiaTheme="minorEastAsia" w:cstheme="minorBidi"/>
                <w:noProof/>
                <w:sz w:val="22"/>
              </w:rPr>
              <w:tab/>
            </w:r>
            <w:r w:rsidRPr="00D03117" w:rsidR="00AF09C6">
              <w:rPr>
                <w:rStyle w:val="Hyperlink"/>
                <w:rFonts w:eastAsiaTheme="majorEastAsia" w:cstheme="majorBidi"/>
                <w:noProof/>
              </w:rPr>
              <w:t>Parties’ Position</w:t>
            </w:r>
            <w:r w:rsidR="00AF09C6">
              <w:rPr>
                <w:noProof/>
                <w:webHidden/>
              </w:rPr>
              <w:tab/>
            </w:r>
            <w:r w:rsidR="00AF09C6">
              <w:rPr>
                <w:noProof/>
                <w:webHidden/>
              </w:rPr>
              <w:fldChar w:fldCharType="begin"/>
            </w:r>
            <w:r w:rsidR="00AF09C6">
              <w:rPr>
                <w:noProof/>
                <w:webHidden/>
              </w:rPr>
              <w:instrText xml:space="preserve"> PAGEREF _Toc98143112 \h </w:instrText>
            </w:r>
            <w:r w:rsidR="00AF09C6">
              <w:rPr>
                <w:noProof/>
                <w:webHidden/>
              </w:rPr>
            </w:r>
            <w:r w:rsidR="00AF09C6">
              <w:rPr>
                <w:noProof/>
                <w:webHidden/>
              </w:rPr>
              <w:fldChar w:fldCharType="separate"/>
            </w:r>
            <w:r w:rsidR="0022243F">
              <w:rPr>
                <w:noProof/>
                <w:webHidden/>
              </w:rPr>
              <w:t>14</w:t>
            </w:r>
            <w:r w:rsidR="00AF09C6">
              <w:rPr>
                <w:noProof/>
                <w:webHidden/>
              </w:rPr>
              <w:fldChar w:fldCharType="end"/>
            </w:r>
          </w:hyperlink>
        </w:p>
        <w:p w:rsidR="00AF09C6" w:rsidRDefault="008B226B" w14:paraId="1347D631" w14:textId="086F2BF4">
          <w:pPr>
            <w:pStyle w:val="TOC3"/>
            <w:tabs>
              <w:tab w:val="left" w:pos="2016"/>
              <w:tab w:val="right" w:leader="dot" w:pos="9350"/>
            </w:tabs>
            <w:rPr>
              <w:rFonts w:asciiTheme="minorHAnsi" w:hAnsiTheme="minorHAnsi" w:eastAsiaTheme="minorEastAsia" w:cstheme="minorBidi"/>
              <w:noProof/>
              <w:sz w:val="22"/>
            </w:rPr>
          </w:pPr>
          <w:hyperlink w:history="1" w:anchor="_Toc98143113">
            <w:r w:rsidRPr="00D03117" w:rsidR="00AF09C6">
              <w:rPr>
                <w:rStyle w:val="Hyperlink"/>
                <w:rFonts w:eastAsiaTheme="majorEastAsia" w:cstheme="majorBidi"/>
                <w:noProof/>
              </w:rPr>
              <w:t>3.8.2.</w:t>
            </w:r>
            <w:r w:rsidR="00AF09C6">
              <w:rPr>
                <w:rFonts w:asciiTheme="minorHAnsi" w:hAnsiTheme="minorHAnsi" w:eastAsiaTheme="minorEastAsia" w:cstheme="minorBidi"/>
                <w:noProof/>
                <w:sz w:val="22"/>
              </w:rPr>
              <w:tab/>
            </w:r>
            <w:r w:rsidRPr="00D03117" w:rsidR="00AF09C6">
              <w:rPr>
                <w:rStyle w:val="Hyperlink"/>
                <w:rFonts w:eastAsiaTheme="majorEastAsia" w:cstheme="majorBidi"/>
                <w:noProof/>
              </w:rPr>
              <w:t>Discussion</w:t>
            </w:r>
            <w:r w:rsidR="00AF09C6">
              <w:rPr>
                <w:noProof/>
                <w:webHidden/>
              </w:rPr>
              <w:tab/>
            </w:r>
            <w:r w:rsidR="00AF09C6">
              <w:rPr>
                <w:noProof/>
                <w:webHidden/>
              </w:rPr>
              <w:fldChar w:fldCharType="begin"/>
            </w:r>
            <w:r w:rsidR="00AF09C6">
              <w:rPr>
                <w:noProof/>
                <w:webHidden/>
              </w:rPr>
              <w:instrText xml:space="preserve"> PAGEREF _Toc98143113 \h </w:instrText>
            </w:r>
            <w:r w:rsidR="00AF09C6">
              <w:rPr>
                <w:noProof/>
                <w:webHidden/>
              </w:rPr>
            </w:r>
            <w:r w:rsidR="00AF09C6">
              <w:rPr>
                <w:noProof/>
                <w:webHidden/>
              </w:rPr>
              <w:fldChar w:fldCharType="separate"/>
            </w:r>
            <w:r w:rsidR="0022243F">
              <w:rPr>
                <w:noProof/>
                <w:webHidden/>
              </w:rPr>
              <w:t>14</w:t>
            </w:r>
            <w:r w:rsidR="00AF09C6">
              <w:rPr>
                <w:noProof/>
                <w:webHidden/>
              </w:rPr>
              <w:fldChar w:fldCharType="end"/>
            </w:r>
          </w:hyperlink>
        </w:p>
        <w:p w:rsidR="00AF09C6" w:rsidRDefault="008B226B" w14:paraId="45F0DDA8" w14:textId="144779DD">
          <w:pPr>
            <w:pStyle w:val="TOC1"/>
            <w:tabs>
              <w:tab w:val="right" w:leader="dot" w:pos="9350"/>
            </w:tabs>
            <w:rPr>
              <w:rFonts w:asciiTheme="minorHAnsi" w:hAnsiTheme="minorHAnsi" w:eastAsiaTheme="minorEastAsia" w:cstheme="minorBidi"/>
              <w:noProof/>
              <w:sz w:val="22"/>
            </w:rPr>
          </w:pPr>
          <w:hyperlink w:history="1" w:anchor="_Toc98143114">
            <w:r w:rsidRPr="00D03117" w:rsidR="00AF09C6">
              <w:rPr>
                <w:rStyle w:val="Hyperlink"/>
                <w:rFonts w:eastAsiaTheme="majorEastAsia" w:cstheme="majorBidi"/>
                <w:noProof/>
              </w:rPr>
              <w:t>4.</w:t>
            </w:r>
            <w:r w:rsidR="00AF09C6">
              <w:rPr>
                <w:rFonts w:asciiTheme="minorHAnsi" w:hAnsiTheme="minorHAnsi" w:eastAsiaTheme="minorEastAsia" w:cstheme="minorBidi"/>
                <w:noProof/>
                <w:sz w:val="22"/>
              </w:rPr>
              <w:tab/>
            </w:r>
            <w:r w:rsidRPr="00D03117" w:rsidR="00AF09C6">
              <w:rPr>
                <w:rStyle w:val="Hyperlink"/>
                <w:rFonts w:eastAsiaTheme="majorEastAsia" w:cstheme="majorBidi"/>
                <w:noProof/>
              </w:rPr>
              <w:t>Annual Combined Filing of the Sales Forecast and the ERRA Forecast Application</w:t>
            </w:r>
            <w:r w:rsidR="00AF09C6">
              <w:rPr>
                <w:noProof/>
                <w:webHidden/>
              </w:rPr>
              <w:tab/>
            </w:r>
            <w:r w:rsidR="00AF09C6">
              <w:rPr>
                <w:noProof/>
                <w:webHidden/>
              </w:rPr>
              <w:fldChar w:fldCharType="begin"/>
            </w:r>
            <w:r w:rsidR="00AF09C6">
              <w:rPr>
                <w:noProof/>
                <w:webHidden/>
              </w:rPr>
              <w:instrText xml:space="preserve"> PAGEREF _Toc98143114 \h </w:instrText>
            </w:r>
            <w:r w:rsidR="00AF09C6">
              <w:rPr>
                <w:noProof/>
                <w:webHidden/>
              </w:rPr>
            </w:r>
            <w:r w:rsidR="00AF09C6">
              <w:rPr>
                <w:noProof/>
                <w:webHidden/>
              </w:rPr>
              <w:fldChar w:fldCharType="separate"/>
            </w:r>
            <w:r w:rsidR="0022243F">
              <w:rPr>
                <w:noProof/>
                <w:webHidden/>
              </w:rPr>
              <w:t>15</w:t>
            </w:r>
            <w:r w:rsidR="00AF09C6">
              <w:rPr>
                <w:noProof/>
                <w:webHidden/>
              </w:rPr>
              <w:fldChar w:fldCharType="end"/>
            </w:r>
          </w:hyperlink>
        </w:p>
        <w:p w:rsidR="00AF09C6" w:rsidRDefault="008B226B" w14:paraId="4474574A" w14:textId="42BD50AE">
          <w:pPr>
            <w:pStyle w:val="TOC2"/>
            <w:tabs>
              <w:tab w:val="left" w:pos="1123"/>
              <w:tab w:val="right" w:leader="dot" w:pos="9350"/>
            </w:tabs>
            <w:rPr>
              <w:rFonts w:asciiTheme="minorHAnsi" w:hAnsiTheme="minorHAnsi" w:eastAsiaTheme="minorEastAsia" w:cstheme="minorBidi"/>
              <w:noProof/>
              <w:sz w:val="22"/>
            </w:rPr>
          </w:pPr>
          <w:hyperlink w:history="1" w:anchor="_Toc98143115">
            <w:r w:rsidRPr="00D03117" w:rsidR="00AF09C6">
              <w:rPr>
                <w:rStyle w:val="Hyperlink"/>
                <w:noProof/>
              </w:rPr>
              <w:t>4.1.</w:t>
            </w:r>
            <w:r w:rsidR="00AF09C6">
              <w:rPr>
                <w:rFonts w:asciiTheme="minorHAnsi" w:hAnsiTheme="minorHAnsi" w:eastAsiaTheme="minorEastAsia" w:cstheme="minorBidi"/>
                <w:noProof/>
                <w:sz w:val="22"/>
              </w:rPr>
              <w:tab/>
            </w:r>
            <w:r w:rsidRPr="00D03117" w:rsidR="00AF09C6">
              <w:rPr>
                <w:rStyle w:val="Hyperlink"/>
                <w:noProof/>
              </w:rPr>
              <w:t>Consolidated Annual Filing</w:t>
            </w:r>
            <w:r w:rsidR="00AF09C6">
              <w:rPr>
                <w:noProof/>
                <w:webHidden/>
              </w:rPr>
              <w:tab/>
            </w:r>
            <w:r w:rsidR="00AF09C6">
              <w:rPr>
                <w:noProof/>
                <w:webHidden/>
              </w:rPr>
              <w:fldChar w:fldCharType="begin"/>
            </w:r>
            <w:r w:rsidR="00AF09C6">
              <w:rPr>
                <w:noProof/>
                <w:webHidden/>
              </w:rPr>
              <w:instrText xml:space="preserve"> PAGEREF _Toc98143115 \h </w:instrText>
            </w:r>
            <w:r w:rsidR="00AF09C6">
              <w:rPr>
                <w:noProof/>
                <w:webHidden/>
              </w:rPr>
            </w:r>
            <w:r w:rsidR="00AF09C6">
              <w:rPr>
                <w:noProof/>
                <w:webHidden/>
              </w:rPr>
              <w:fldChar w:fldCharType="separate"/>
            </w:r>
            <w:r w:rsidR="0022243F">
              <w:rPr>
                <w:noProof/>
                <w:webHidden/>
              </w:rPr>
              <w:t>15</w:t>
            </w:r>
            <w:r w:rsidR="00AF09C6">
              <w:rPr>
                <w:noProof/>
                <w:webHidden/>
              </w:rPr>
              <w:fldChar w:fldCharType="end"/>
            </w:r>
          </w:hyperlink>
        </w:p>
        <w:p w:rsidR="00AF09C6" w:rsidRDefault="008B226B" w14:paraId="3E4582E1" w14:textId="1984F3DD">
          <w:pPr>
            <w:pStyle w:val="TOC2"/>
            <w:tabs>
              <w:tab w:val="left" w:pos="1123"/>
              <w:tab w:val="right" w:leader="dot" w:pos="9350"/>
            </w:tabs>
            <w:rPr>
              <w:rFonts w:asciiTheme="minorHAnsi" w:hAnsiTheme="minorHAnsi" w:eastAsiaTheme="minorEastAsia" w:cstheme="minorBidi"/>
              <w:noProof/>
              <w:sz w:val="22"/>
            </w:rPr>
          </w:pPr>
          <w:hyperlink w:history="1" w:anchor="_Toc98143116">
            <w:r w:rsidRPr="00D03117" w:rsidR="00AF09C6">
              <w:rPr>
                <w:rStyle w:val="Hyperlink"/>
                <w:noProof/>
              </w:rPr>
              <w:t>4.2.</w:t>
            </w:r>
            <w:r w:rsidR="00AF09C6">
              <w:rPr>
                <w:rFonts w:asciiTheme="minorHAnsi" w:hAnsiTheme="minorHAnsi" w:eastAsiaTheme="minorEastAsia" w:cstheme="minorBidi"/>
                <w:noProof/>
                <w:sz w:val="22"/>
              </w:rPr>
              <w:tab/>
            </w:r>
            <w:r w:rsidRPr="00D03117" w:rsidR="00AF09C6">
              <w:rPr>
                <w:rStyle w:val="Hyperlink"/>
                <w:noProof/>
              </w:rPr>
              <w:t>Timing of the Annual Filing</w:t>
            </w:r>
            <w:r w:rsidR="00AF09C6">
              <w:rPr>
                <w:noProof/>
                <w:webHidden/>
              </w:rPr>
              <w:tab/>
            </w:r>
            <w:r w:rsidR="00AF09C6">
              <w:rPr>
                <w:noProof/>
                <w:webHidden/>
              </w:rPr>
              <w:fldChar w:fldCharType="begin"/>
            </w:r>
            <w:r w:rsidR="00AF09C6">
              <w:rPr>
                <w:noProof/>
                <w:webHidden/>
              </w:rPr>
              <w:instrText xml:space="preserve"> PAGEREF _Toc98143116 \h </w:instrText>
            </w:r>
            <w:r w:rsidR="00AF09C6">
              <w:rPr>
                <w:noProof/>
                <w:webHidden/>
              </w:rPr>
            </w:r>
            <w:r w:rsidR="00AF09C6">
              <w:rPr>
                <w:noProof/>
                <w:webHidden/>
              </w:rPr>
              <w:fldChar w:fldCharType="separate"/>
            </w:r>
            <w:r w:rsidR="0022243F">
              <w:rPr>
                <w:noProof/>
                <w:webHidden/>
              </w:rPr>
              <w:t>16</w:t>
            </w:r>
            <w:r w:rsidR="00AF09C6">
              <w:rPr>
                <w:noProof/>
                <w:webHidden/>
              </w:rPr>
              <w:fldChar w:fldCharType="end"/>
            </w:r>
          </w:hyperlink>
        </w:p>
        <w:p w:rsidR="00AF09C6" w:rsidRDefault="008B226B" w14:paraId="0BBAD925" w14:textId="47AFAAB7">
          <w:pPr>
            <w:pStyle w:val="TOC2"/>
            <w:tabs>
              <w:tab w:val="left" w:pos="1123"/>
              <w:tab w:val="right" w:leader="dot" w:pos="9350"/>
            </w:tabs>
            <w:rPr>
              <w:rFonts w:asciiTheme="minorHAnsi" w:hAnsiTheme="minorHAnsi" w:eastAsiaTheme="minorEastAsia" w:cstheme="minorBidi"/>
              <w:noProof/>
              <w:sz w:val="22"/>
            </w:rPr>
          </w:pPr>
          <w:hyperlink w:history="1" w:anchor="_Toc98143117">
            <w:r w:rsidRPr="00D03117" w:rsidR="00AF09C6">
              <w:rPr>
                <w:rStyle w:val="Hyperlink"/>
                <w:noProof/>
              </w:rPr>
              <w:t>4.3.</w:t>
            </w:r>
            <w:r w:rsidR="00AF09C6">
              <w:rPr>
                <w:rFonts w:asciiTheme="minorHAnsi" w:hAnsiTheme="minorHAnsi" w:eastAsiaTheme="minorEastAsia" w:cstheme="minorBidi"/>
                <w:noProof/>
                <w:sz w:val="22"/>
              </w:rPr>
              <w:tab/>
            </w:r>
            <w:r w:rsidRPr="00D03117" w:rsidR="00AF09C6">
              <w:rPr>
                <w:rStyle w:val="Hyperlink"/>
                <w:noProof/>
              </w:rPr>
              <w:t>Annual All-Party Workshop</w:t>
            </w:r>
            <w:r w:rsidR="00AF09C6">
              <w:rPr>
                <w:noProof/>
                <w:webHidden/>
              </w:rPr>
              <w:tab/>
            </w:r>
            <w:r w:rsidR="00AF09C6">
              <w:rPr>
                <w:noProof/>
                <w:webHidden/>
              </w:rPr>
              <w:fldChar w:fldCharType="begin"/>
            </w:r>
            <w:r w:rsidR="00AF09C6">
              <w:rPr>
                <w:noProof/>
                <w:webHidden/>
              </w:rPr>
              <w:instrText xml:space="preserve"> PAGEREF _Toc98143117 \h </w:instrText>
            </w:r>
            <w:r w:rsidR="00AF09C6">
              <w:rPr>
                <w:noProof/>
                <w:webHidden/>
              </w:rPr>
            </w:r>
            <w:r w:rsidR="00AF09C6">
              <w:rPr>
                <w:noProof/>
                <w:webHidden/>
              </w:rPr>
              <w:fldChar w:fldCharType="separate"/>
            </w:r>
            <w:r w:rsidR="0022243F">
              <w:rPr>
                <w:noProof/>
                <w:webHidden/>
              </w:rPr>
              <w:t>16</w:t>
            </w:r>
            <w:r w:rsidR="00AF09C6">
              <w:rPr>
                <w:noProof/>
                <w:webHidden/>
              </w:rPr>
              <w:fldChar w:fldCharType="end"/>
            </w:r>
          </w:hyperlink>
        </w:p>
        <w:p w:rsidR="00AF09C6" w:rsidRDefault="008B226B" w14:paraId="1A290708" w14:textId="43D4B4B8">
          <w:pPr>
            <w:pStyle w:val="TOC1"/>
            <w:tabs>
              <w:tab w:val="right" w:leader="dot" w:pos="9350"/>
            </w:tabs>
            <w:rPr>
              <w:rFonts w:asciiTheme="minorHAnsi" w:hAnsiTheme="minorHAnsi" w:eastAsiaTheme="minorEastAsia" w:cstheme="minorBidi"/>
              <w:noProof/>
              <w:sz w:val="22"/>
            </w:rPr>
          </w:pPr>
          <w:hyperlink w:history="1" w:anchor="_Toc98143118">
            <w:r w:rsidRPr="00D03117" w:rsidR="00AF09C6">
              <w:rPr>
                <w:rStyle w:val="Hyperlink"/>
                <w:noProof/>
              </w:rPr>
              <w:t>5.</w:t>
            </w:r>
            <w:r w:rsidR="00AF09C6">
              <w:rPr>
                <w:rFonts w:asciiTheme="minorHAnsi" w:hAnsiTheme="minorHAnsi" w:eastAsiaTheme="minorEastAsia" w:cstheme="minorBidi"/>
                <w:noProof/>
                <w:sz w:val="22"/>
              </w:rPr>
              <w:tab/>
            </w:r>
            <w:r w:rsidRPr="00D03117" w:rsidR="00AF09C6">
              <w:rPr>
                <w:rStyle w:val="Hyperlink"/>
                <w:noProof/>
              </w:rPr>
              <w:t>Schedule</w:t>
            </w:r>
            <w:r w:rsidR="00AF09C6">
              <w:rPr>
                <w:noProof/>
                <w:webHidden/>
              </w:rPr>
              <w:tab/>
            </w:r>
            <w:r w:rsidR="00AF09C6">
              <w:rPr>
                <w:noProof/>
                <w:webHidden/>
              </w:rPr>
              <w:fldChar w:fldCharType="begin"/>
            </w:r>
            <w:r w:rsidR="00AF09C6">
              <w:rPr>
                <w:noProof/>
                <w:webHidden/>
              </w:rPr>
              <w:instrText xml:space="preserve"> PAGEREF _Toc98143118 \h </w:instrText>
            </w:r>
            <w:r w:rsidR="00AF09C6">
              <w:rPr>
                <w:noProof/>
                <w:webHidden/>
              </w:rPr>
            </w:r>
            <w:r w:rsidR="00AF09C6">
              <w:rPr>
                <w:noProof/>
                <w:webHidden/>
              </w:rPr>
              <w:fldChar w:fldCharType="separate"/>
            </w:r>
            <w:r w:rsidR="0022243F">
              <w:rPr>
                <w:noProof/>
                <w:webHidden/>
              </w:rPr>
              <w:t>17</w:t>
            </w:r>
            <w:r w:rsidR="00AF09C6">
              <w:rPr>
                <w:noProof/>
                <w:webHidden/>
              </w:rPr>
              <w:fldChar w:fldCharType="end"/>
            </w:r>
          </w:hyperlink>
        </w:p>
        <w:p w:rsidR="00AF09C6" w:rsidRDefault="008B226B" w14:paraId="32FF864A" w14:textId="0E482C52">
          <w:pPr>
            <w:pStyle w:val="TOC1"/>
            <w:tabs>
              <w:tab w:val="right" w:leader="dot" w:pos="9350"/>
            </w:tabs>
            <w:rPr>
              <w:rFonts w:asciiTheme="minorHAnsi" w:hAnsiTheme="minorHAnsi" w:eastAsiaTheme="minorEastAsia" w:cstheme="minorBidi"/>
              <w:noProof/>
              <w:sz w:val="22"/>
            </w:rPr>
          </w:pPr>
          <w:hyperlink w:history="1" w:anchor="_Toc98143119">
            <w:r w:rsidRPr="00D03117" w:rsidR="00AF09C6">
              <w:rPr>
                <w:rStyle w:val="Hyperlink"/>
                <w:rFonts w:eastAsiaTheme="majorEastAsia" w:cstheme="majorBidi"/>
                <w:noProof/>
              </w:rPr>
              <w:t>6.</w:t>
            </w:r>
            <w:r w:rsidR="00AF09C6">
              <w:rPr>
                <w:rFonts w:asciiTheme="minorHAnsi" w:hAnsiTheme="minorHAnsi" w:eastAsiaTheme="minorEastAsia" w:cstheme="minorBidi"/>
                <w:noProof/>
                <w:sz w:val="22"/>
              </w:rPr>
              <w:tab/>
            </w:r>
            <w:r w:rsidRPr="00D03117" w:rsidR="00AF09C6">
              <w:rPr>
                <w:rStyle w:val="Hyperlink"/>
                <w:rFonts w:eastAsiaTheme="majorEastAsia" w:cstheme="majorBidi"/>
                <w:noProof/>
              </w:rPr>
              <w:t>Errors in the Filing</w:t>
            </w:r>
            <w:r w:rsidR="00AF09C6">
              <w:rPr>
                <w:noProof/>
                <w:webHidden/>
              </w:rPr>
              <w:tab/>
            </w:r>
            <w:r w:rsidR="00AF09C6">
              <w:rPr>
                <w:noProof/>
                <w:webHidden/>
              </w:rPr>
              <w:fldChar w:fldCharType="begin"/>
            </w:r>
            <w:r w:rsidR="00AF09C6">
              <w:rPr>
                <w:noProof/>
                <w:webHidden/>
              </w:rPr>
              <w:instrText xml:space="preserve"> PAGEREF _Toc98143119 \h </w:instrText>
            </w:r>
            <w:r w:rsidR="00AF09C6">
              <w:rPr>
                <w:noProof/>
                <w:webHidden/>
              </w:rPr>
            </w:r>
            <w:r w:rsidR="00AF09C6">
              <w:rPr>
                <w:noProof/>
                <w:webHidden/>
              </w:rPr>
              <w:fldChar w:fldCharType="separate"/>
            </w:r>
            <w:r w:rsidR="0022243F">
              <w:rPr>
                <w:noProof/>
                <w:webHidden/>
              </w:rPr>
              <w:t>18</w:t>
            </w:r>
            <w:r w:rsidR="00AF09C6">
              <w:rPr>
                <w:noProof/>
                <w:webHidden/>
              </w:rPr>
              <w:fldChar w:fldCharType="end"/>
            </w:r>
          </w:hyperlink>
        </w:p>
        <w:p w:rsidR="00AF09C6" w:rsidRDefault="008B226B" w14:paraId="0FCF8A32" w14:textId="7CD6AC40">
          <w:pPr>
            <w:pStyle w:val="TOC1"/>
            <w:tabs>
              <w:tab w:val="right" w:leader="dot" w:pos="9350"/>
            </w:tabs>
            <w:rPr>
              <w:rFonts w:asciiTheme="minorHAnsi" w:hAnsiTheme="minorHAnsi" w:eastAsiaTheme="minorEastAsia" w:cstheme="minorBidi"/>
              <w:noProof/>
              <w:sz w:val="22"/>
            </w:rPr>
          </w:pPr>
          <w:hyperlink w:history="1" w:anchor="_Toc98143120">
            <w:r w:rsidRPr="00D03117" w:rsidR="00AF09C6">
              <w:rPr>
                <w:rStyle w:val="Hyperlink"/>
                <w:rFonts w:eastAsiaTheme="majorEastAsia" w:cstheme="majorBidi"/>
                <w:noProof/>
              </w:rPr>
              <w:t>7.</w:t>
            </w:r>
            <w:r w:rsidR="00AF09C6">
              <w:rPr>
                <w:rFonts w:asciiTheme="minorHAnsi" w:hAnsiTheme="minorHAnsi" w:eastAsiaTheme="minorEastAsia" w:cstheme="minorBidi"/>
                <w:noProof/>
                <w:sz w:val="22"/>
              </w:rPr>
              <w:tab/>
            </w:r>
            <w:r w:rsidRPr="00D03117" w:rsidR="00AF09C6">
              <w:rPr>
                <w:rStyle w:val="Hyperlink"/>
                <w:rFonts w:eastAsiaTheme="majorEastAsia" w:cstheme="majorBidi"/>
                <w:noProof/>
              </w:rPr>
              <w:t>Comments on Proposed Decision</w:t>
            </w:r>
            <w:r w:rsidR="00AF09C6">
              <w:rPr>
                <w:noProof/>
                <w:webHidden/>
              </w:rPr>
              <w:tab/>
            </w:r>
            <w:r w:rsidR="00AF09C6">
              <w:rPr>
                <w:noProof/>
                <w:webHidden/>
              </w:rPr>
              <w:fldChar w:fldCharType="begin"/>
            </w:r>
            <w:r w:rsidR="00AF09C6">
              <w:rPr>
                <w:noProof/>
                <w:webHidden/>
              </w:rPr>
              <w:instrText xml:space="preserve"> PAGEREF _Toc98143120 \h </w:instrText>
            </w:r>
            <w:r w:rsidR="00AF09C6">
              <w:rPr>
                <w:noProof/>
                <w:webHidden/>
              </w:rPr>
            </w:r>
            <w:r w:rsidR="00AF09C6">
              <w:rPr>
                <w:noProof/>
                <w:webHidden/>
              </w:rPr>
              <w:fldChar w:fldCharType="separate"/>
            </w:r>
            <w:r w:rsidR="0022243F">
              <w:rPr>
                <w:noProof/>
                <w:webHidden/>
              </w:rPr>
              <w:t>19</w:t>
            </w:r>
            <w:r w:rsidR="00AF09C6">
              <w:rPr>
                <w:noProof/>
                <w:webHidden/>
              </w:rPr>
              <w:fldChar w:fldCharType="end"/>
            </w:r>
          </w:hyperlink>
        </w:p>
        <w:p w:rsidR="00AF09C6" w:rsidRDefault="008B226B" w14:paraId="27F55451" w14:textId="20D6425F">
          <w:pPr>
            <w:pStyle w:val="TOC1"/>
            <w:tabs>
              <w:tab w:val="right" w:leader="dot" w:pos="9350"/>
            </w:tabs>
            <w:rPr>
              <w:rFonts w:asciiTheme="minorHAnsi" w:hAnsiTheme="minorHAnsi" w:eastAsiaTheme="minorEastAsia" w:cstheme="minorBidi"/>
              <w:noProof/>
              <w:sz w:val="22"/>
            </w:rPr>
          </w:pPr>
          <w:hyperlink w:history="1" w:anchor="_Toc98143121">
            <w:r w:rsidRPr="00D03117" w:rsidR="00AF09C6">
              <w:rPr>
                <w:rStyle w:val="Hyperlink"/>
                <w:rFonts w:eastAsiaTheme="majorEastAsia" w:cstheme="majorBidi"/>
                <w:noProof/>
              </w:rPr>
              <w:t>8.</w:t>
            </w:r>
            <w:r w:rsidR="00AF09C6">
              <w:rPr>
                <w:rFonts w:asciiTheme="minorHAnsi" w:hAnsiTheme="minorHAnsi" w:eastAsiaTheme="minorEastAsia" w:cstheme="minorBidi"/>
                <w:noProof/>
                <w:sz w:val="22"/>
              </w:rPr>
              <w:tab/>
            </w:r>
            <w:r w:rsidRPr="00D03117" w:rsidR="00AF09C6">
              <w:rPr>
                <w:rStyle w:val="Hyperlink"/>
                <w:rFonts w:eastAsiaTheme="majorEastAsia" w:cstheme="majorBidi"/>
                <w:noProof/>
              </w:rPr>
              <w:t>Assignment of Proceeding</w:t>
            </w:r>
            <w:r w:rsidR="00AF09C6">
              <w:rPr>
                <w:noProof/>
                <w:webHidden/>
              </w:rPr>
              <w:tab/>
            </w:r>
            <w:r w:rsidR="00AF09C6">
              <w:rPr>
                <w:noProof/>
                <w:webHidden/>
              </w:rPr>
              <w:fldChar w:fldCharType="begin"/>
            </w:r>
            <w:r w:rsidR="00AF09C6">
              <w:rPr>
                <w:noProof/>
                <w:webHidden/>
              </w:rPr>
              <w:instrText xml:space="preserve"> PAGEREF _Toc98143121 \h </w:instrText>
            </w:r>
            <w:r w:rsidR="00AF09C6">
              <w:rPr>
                <w:noProof/>
                <w:webHidden/>
              </w:rPr>
            </w:r>
            <w:r w:rsidR="00AF09C6">
              <w:rPr>
                <w:noProof/>
                <w:webHidden/>
              </w:rPr>
              <w:fldChar w:fldCharType="separate"/>
            </w:r>
            <w:r w:rsidR="0022243F">
              <w:rPr>
                <w:noProof/>
                <w:webHidden/>
              </w:rPr>
              <w:t>19</w:t>
            </w:r>
            <w:r w:rsidR="00AF09C6">
              <w:rPr>
                <w:noProof/>
                <w:webHidden/>
              </w:rPr>
              <w:fldChar w:fldCharType="end"/>
            </w:r>
          </w:hyperlink>
        </w:p>
        <w:p w:rsidR="00AF09C6" w:rsidRDefault="008B226B" w14:paraId="09B06B17" w14:textId="2B4C1F59">
          <w:pPr>
            <w:pStyle w:val="TOC1"/>
            <w:tabs>
              <w:tab w:val="right" w:leader="dot" w:pos="9350"/>
            </w:tabs>
            <w:rPr>
              <w:rFonts w:asciiTheme="minorHAnsi" w:hAnsiTheme="minorHAnsi" w:eastAsiaTheme="minorEastAsia" w:cstheme="minorBidi"/>
              <w:noProof/>
              <w:sz w:val="22"/>
            </w:rPr>
          </w:pPr>
          <w:hyperlink w:history="1" w:anchor="_Toc98143122">
            <w:r w:rsidRPr="00D03117" w:rsidR="00AF09C6">
              <w:rPr>
                <w:rStyle w:val="Hyperlink"/>
                <w:noProof/>
              </w:rPr>
              <w:t>Findings of Fact</w:t>
            </w:r>
            <w:r w:rsidR="00AF09C6">
              <w:rPr>
                <w:noProof/>
                <w:webHidden/>
              </w:rPr>
              <w:tab/>
            </w:r>
            <w:r w:rsidR="00AF09C6">
              <w:rPr>
                <w:noProof/>
                <w:webHidden/>
              </w:rPr>
              <w:fldChar w:fldCharType="begin"/>
            </w:r>
            <w:r w:rsidR="00AF09C6">
              <w:rPr>
                <w:noProof/>
                <w:webHidden/>
              </w:rPr>
              <w:instrText xml:space="preserve"> PAGEREF _Toc98143122 \h </w:instrText>
            </w:r>
            <w:r w:rsidR="00AF09C6">
              <w:rPr>
                <w:noProof/>
                <w:webHidden/>
              </w:rPr>
            </w:r>
            <w:r w:rsidR="00AF09C6">
              <w:rPr>
                <w:noProof/>
                <w:webHidden/>
              </w:rPr>
              <w:fldChar w:fldCharType="separate"/>
            </w:r>
            <w:r w:rsidR="0022243F">
              <w:rPr>
                <w:noProof/>
                <w:webHidden/>
              </w:rPr>
              <w:t>20</w:t>
            </w:r>
            <w:r w:rsidR="00AF09C6">
              <w:rPr>
                <w:noProof/>
                <w:webHidden/>
              </w:rPr>
              <w:fldChar w:fldCharType="end"/>
            </w:r>
          </w:hyperlink>
        </w:p>
        <w:p w:rsidR="00AF09C6" w:rsidRDefault="008B226B" w14:paraId="500905A8" w14:textId="25CEF9A8">
          <w:pPr>
            <w:pStyle w:val="TOC1"/>
            <w:tabs>
              <w:tab w:val="right" w:leader="dot" w:pos="9350"/>
            </w:tabs>
            <w:rPr>
              <w:rFonts w:asciiTheme="minorHAnsi" w:hAnsiTheme="minorHAnsi" w:eastAsiaTheme="minorEastAsia" w:cstheme="minorBidi"/>
              <w:noProof/>
              <w:sz w:val="22"/>
            </w:rPr>
          </w:pPr>
          <w:hyperlink w:history="1" w:anchor="_Toc98143123">
            <w:r w:rsidRPr="00D03117" w:rsidR="00AF09C6">
              <w:rPr>
                <w:rStyle w:val="Hyperlink"/>
                <w:noProof/>
              </w:rPr>
              <w:t>Conclusions of Law</w:t>
            </w:r>
            <w:r w:rsidR="00AF09C6">
              <w:rPr>
                <w:noProof/>
                <w:webHidden/>
              </w:rPr>
              <w:tab/>
            </w:r>
            <w:r w:rsidR="00AF09C6">
              <w:rPr>
                <w:noProof/>
                <w:webHidden/>
              </w:rPr>
              <w:fldChar w:fldCharType="begin"/>
            </w:r>
            <w:r w:rsidR="00AF09C6">
              <w:rPr>
                <w:noProof/>
                <w:webHidden/>
              </w:rPr>
              <w:instrText xml:space="preserve"> PAGEREF _Toc98143123 \h </w:instrText>
            </w:r>
            <w:r w:rsidR="00AF09C6">
              <w:rPr>
                <w:noProof/>
                <w:webHidden/>
              </w:rPr>
            </w:r>
            <w:r w:rsidR="00AF09C6">
              <w:rPr>
                <w:noProof/>
                <w:webHidden/>
              </w:rPr>
              <w:fldChar w:fldCharType="separate"/>
            </w:r>
            <w:r w:rsidR="0022243F">
              <w:rPr>
                <w:noProof/>
                <w:webHidden/>
              </w:rPr>
              <w:t>23</w:t>
            </w:r>
            <w:r w:rsidR="00AF09C6">
              <w:rPr>
                <w:noProof/>
                <w:webHidden/>
              </w:rPr>
              <w:fldChar w:fldCharType="end"/>
            </w:r>
          </w:hyperlink>
        </w:p>
        <w:p w:rsidR="00AF09C6" w:rsidRDefault="008B226B" w14:paraId="052ACFA2" w14:textId="5BB58B2E">
          <w:pPr>
            <w:pStyle w:val="TOC1"/>
            <w:tabs>
              <w:tab w:val="right" w:leader="dot" w:pos="9350"/>
            </w:tabs>
            <w:rPr>
              <w:rFonts w:asciiTheme="minorHAnsi" w:hAnsiTheme="minorHAnsi" w:eastAsiaTheme="minorEastAsia" w:cstheme="minorBidi"/>
              <w:noProof/>
              <w:sz w:val="22"/>
            </w:rPr>
          </w:pPr>
          <w:hyperlink w:history="1" w:anchor="_Toc98143124">
            <w:r w:rsidRPr="00D03117" w:rsidR="00AF09C6">
              <w:rPr>
                <w:rStyle w:val="Hyperlink"/>
                <w:rFonts w:eastAsiaTheme="majorEastAsia" w:cstheme="majorBidi"/>
                <w:noProof/>
              </w:rPr>
              <w:t>ORDER</w:t>
            </w:r>
            <w:r w:rsidR="00AF09C6">
              <w:rPr>
                <w:noProof/>
                <w:webHidden/>
              </w:rPr>
              <w:tab/>
            </w:r>
            <w:r w:rsidR="00AF09C6">
              <w:rPr>
                <w:noProof/>
                <w:webHidden/>
              </w:rPr>
              <w:fldChar w:fldCharType="begin"/>
            </w:r>
            <w:r w:rsidR="00AF09C6">
              <w:rPr>
                <w:noProof/>
                <w:webHidden/>
              </w:rPr>
              <w:instrText xml:space="preserve"> PAGEREF _Toc98143124 \h </w:instrText>
            </w:r>
            <w:r w:rsidR="00AF09C6">
              <w:rPr>
                <w:noProof/>
                <w:webHidden/>
              </w:rPr>
            </w:r>
            <w:r w:rsidR="00AF09C6">
              <w:rPr>
                <w:noProof/>
                <w:webHidden/>
              </w:rPr>
              <w:fldChar w:fldCharType="separate"/>
            </w:r>
            <w:r w:rsidR="0022243F">
              <w:rPr>
                <w:noProof/>
                <w:webHidden/>
              </w:rPr>
              <w:t>24</w:t>
            </w:r>
            <w:r w:rsidR="00AF09C6">
              <w:rPr>
                <w:noProof/>
                <w:webHidden/>
              </w:rPr>
              <w:fldChar w:fldCharType="end"/>
            </w:r>
          </w:hyperlink>
        </w:p>
        <w:p w:rsidRPr="00D01B5C" w:rsidR="00D82A43" w:rsidP="00D15DC0" w:rsidRDefault="00D15DC0" w14:paraId="723A80D9" w14:textId="566C25E9">
          <w:pPr>
            <w:pStyle w:val="TOC1"/>
            <w:tabs>
              <w:tab w:val="right" w:leader="dot" w:pos="9350"/>
            </w:tabs>
            <w:rPr>
              <w:rFonts w:eastAsiaTheme="minorEastAsia"/>
            </w:rPr>
          </w:pPr>
          <w:r w:rsidRPr="00D01B5C">
            <w:rPr>
              <w:rFonts w:asciiTheme="minorHAnsi" w:hAnsiTheme="minorHAnsi" w:eastAsiaTheme="minorEastAsia"/>
              <w:sz w:val="22"/>
            </w:rPr>
            <w:fldChar w:fldCharType="end"/>
          </w:r>
        </w:p>
      </w:sdtContent>
    </w:sdt>
    <w:p w:rsidRPr="004B3667" w:rsidR="00D44DB6" w:rsidP="00D44DB6" w:rsidRDefault="00D44DB6" w14:paraId="4F5268E6" w14:textId="74789BBB">
      <w:pPr>
        <w:spacing w:line="240" w:lineRule="auto"/>
        <w:ind w:firstLine="0"/>
        <w:rPr>
          <w:rFonts w:cs="Arial"/>
          <w:i/>
          <w:szCs w:val="26"/>
        </w:rPr>
        <w:sectPr w:rsidRPr="004B3667" w:rsidR="00D44DB6" w:rsidSect="00D44DB6">
          <w:headerReference w:type="default" r:id="rId12"/>
          <w:footerReference w:type="default" r:id="rId13"/>
          <w:pgSz w:w="12240" w:h="15840"/>
          <w:pgMar w:top="1728" w:right="1440" w:bottom="1440" w:left="1440" w:header="720" w:footer="720" w:gutter="0"/>
          <w:pgNumType w:fmt="lowerRoman" w:start="1"/>
          <w:cols w:space="720"/>
          <w:docGrid w:linePitch="360"/>
        </w:sectPr>
      </w:pPr>
    </w:p>
    <w:p w:rsidR="008658CC" w:rsidP="00B720AB" w:rsidRDefault="00C829B4" w14:paraId="3EA10698" w14:textId="16AEA693">
      <w:pPr>
        <w:spacing w:line="240" w:lineRule="auto"/>
        <w:ind w:firstLine="0"/>
        <w:jc w:val="center"/>
        <w:rPr>
          <w:rFonts w:ascii="Arial" w:hAnsi="Arial" w:cs="Arial"/>
          <w:b/>
          <w:szCs w:val="26"/>
        </w:rPr>
      </w:pPr>
      <w:r w:rsidRPr="004B3667">
        <w:rPr>
          <w:rFonts w:ascii="Arial" w:hAnsi="Arial" w:cs="Arial"/>
          <w:b/>
          <w:szCs w:val="26"/>
        </w:rPr>
        <w:lastRenderedPageBreak/>
        <w:t>DECISION ADOPTING 2022 ELECTRIC SALES FORECAST</w:t>
      </w:r>
      <w:r w:rsidR="00B720AB">
        <w:rPr>
          <w:rFonts w:ascii="Arial" w:hAnsi="Arial" w:cs="Arial"/>
          <w:b/>
          <w:szCs w:val="26"/>
        </w:rPr>
        <w:br/>
      </w:r>
      <w:r w:rsidRPr="004B3667">
        <w:rPr>
          <w:rFonts w:ascii="Arial" w:hAnsi="Arial" w:cs="Arial"/>
          <w:b/>
          <w:szCs w:val="26"/>
        </w:rPr>
        <w:t>FOR</w:t>
      </w:r>
      <w:r w:rsidR="00B720AB">
        <w:rPr>
          <w:rFonts w:ascii="Arial" w:hAnsi="Arial" w:cs="Arial"/>
          <w:b/>
          <w:szCs w:val="26"/>
        </w:rPr>
        <w:t xml:space="preserve"> </w:t>
      </w:r>
      <w:r w:rsidRPr="004B3667">
        <w:rPr>
          <w:rFonts w:ascii="Arial" w:hAnsi="Arial" w:cs="Arial"/>
          <w:b/>
          <w:szCs w:val="26"/>
        </w:rPr>
        <w:t>SAN</w:t>
      </w:r>
      <w:r w:rsidR="00B720AB">
        <w:rPr>
          <w:rFonts w:ascii="Arial" w:hAnsi="Arial" w:cs="Arial"/>
          <w:b/>
          <w:szCs w:val="26"/>
        </w:rPr>
        <w:t> </w:t>
      </w:r>
      <w:r w:rsidRPr="004B3667">
        <w:rPr>
          <w:rFonts w:ascii="Arial" w:hAnsi="Arial" w:cs="Arial"/>
          <w:b/>
          <w:szCs w:val="26"/>
        </w:rPr>
        <w:t>DIEGO GAS</w:t>
      </w:r>
      <w:r w:rsidR="00B720AB">
        <w:rPr>
          <w:rFonts w:ascii="Arial" w:hAnsi="Arial" w:cs="Arial"/>
          <w:b/>
          <w:szCs w:val="26"/>
        </w:rPr>
        <w:t xml:space="preserve"> &amp; </w:t>
      </w:r>
      <w:r w:rsidRPr="004B3667">
        <w:rPr>
          <w:rFonts w:ascii="Arial" w:hAnsi="Arial" w:cs="Arial"/>
          <w:b/>
          <w:szCs w:val="26"/>
        </w:rPr>
        <w:t>ELECTRIC COMPANY</w:t>
      </w:r>
    </w:p>
    <w:p w:rsidRPr="004B3667" w:rsidR="00B720AB" w:rsidP="00B720AB" w:rsidRDefault="00B720AB" w14:paraId="3449D567" w14:textId="77777777">
      <w:pPr>
        <w:spacing w:line="240" w:lineRule="auto"/>
        <w:ind w:firstLine="0"/>
        <w:rPr>
          <w:rFonts w:ascii="Arial" w:hAnsi="Arial" w:cs="Arial"/>
          <w:b/>
          <w:szCs w:val="26"/>
        </w:rPr>
      </w:pPr>
    </w:p>
    <w:p w:rsidRPr="00D01B5C" w:rsidR="005A148C" w:rsidP="00C829B4" w:rsidRDefault="008658CC" w14:paraId="380786C7" w14:textId="1405F84E">
      <w:pPr>
        <w:pStyle w:val="Heading1"/>
        <w:numPr>
          <w:ilvl w:val="0"/>
          <w:numId w:val="0"/>
        </w:numPr>
        <w:ind w:left="720" w:hanging="720"/>
        <w:rPr>
          <w:rFonts w:eastAsiaTheme="majorEastAsia" w:cstheme="majorBidi"/>
        </w:rPr>
      </w:pPr>
      <w:bookmarkStart w:name="_Toc98143100" w:id="4"/>
      <w:r w:rsidRPr="00D01B5C">
        <w:rPr>
          <w:rFonts w:eastAsiaTheme="majorEastAsia" w:cstheme="majorBidi"/>
        </w:rPr>
        <w:t>Summary</w:t>
      </w:r>
      <w:bookmarkEnd w:id="4"/>
    </w:p>
    <w:p w:rsidRPr="004B3667" w:rsidR="00C829B4" w:rsidP="00C829B4" w:rsidRDefault="00C829B4" w14:paraId="5C3EDBA7" w14:textId="4B3CC9C8">
      <w:pPr>
        <w:pStyle w:val="ALJBodyText"/>
      </w:pPr>
      <w:r w:rsidRPr="004B3667">
        <w:t xml:space="preserve">This decision approves an electric sales forecast (2022 Electric Sales Forecast) for </w:t>
      </w:r>
      <w:r w:rsidR="00B720AB">
        <w:t>San </w:t>
      </w:r>
      <w:r w:rsidRPr="004B3667">
        <w:t>Diego Gas</w:t>
      </w:r>
      <w:r w:rsidR="00B720AB">
        <w:t xml:space="preserve"> &amp; </w:t>
      </w:r>
      <w:r w:rsidRPr="004B3667">
        <w:t xml:space="preserve">Electric Company (SDG&amp;E) for the year 2022.  The </w:t>
      </w:r>
      <w:r w:rsidRPr="004B3667" w:rsidR="001B5480">
        <w:t xml:space="preserve">adopted </w:t>
      </w:r>
      <w:r w:rsidRPr="004B3667">
        <w:t xml:space="preserve">2022 Electric Sales Forecast is </w:t>
      </w:r>
      <w:r w:rsidR="001B3746">
        <w:t>based on the Demand</w:t>
      </w:r>
      <w:r w:rsidRPr="004B3667">
        <w:t xml:space="preserve"> </w:t>
      </w:r>
      <w:r w:rsidR="001B3746">
        <w:t>F</w:t>
      </w:r>
      <w:r w:rsidRPr="004B3667">
        <w:t xml:space="preserve">orecast </w:t>
      </w:r>
      <w:r w:rsidRPr="004B3667" w:rsidR="0088719E">
        <w:t xml:space="preserve">that </w:t>
      </w:r>
      <w:r w:rsidRPr="004B3667">
        <w:t xml:space="preserve">SDG&amp;E developed for the California Energy Commission’s 2021 energy demand forecast.  </w:t>
      </w:r>
      <w:r w:rsidRPr="004B3667" w:rsidR="00DD0A98">
        <w:t>The 2022 Electric Sales Forecast is d</w:t>
      </w:r>
      <w:r w:rsidRPr="004B3667">
        <w:t xml:space="preserve">erived </w:t>
      </w:r>
      <w:r w:rsidRPr="004B3667" w:rsidR="00DD0A98">
        <w:t xml:space="preserve">using recent </w:t>
      </w:r>
      <w:r w:rsidRPr="004B3667" w:rsidR="003E33DA">
        <w:t>recorded</w:t>
      </w:r>
      <w:r w:rsidRPr="004B3667">
        <w:t xml:space="preserve"> </w:t>
      </w:r>
      <w:r w:rsidRPr="004B3667" w:rsidR="003E33DA">
        <w:t xml:space="preserve">electricity </w:t>
      </w:r>
      <w:r w:rsidRPr="004B3667">
        <w:t>usage data as of February 2021</w:t>
      </w:r>
      <w:r w:rsidRPr="004B3667" w:rsidR="006479E2">
        <w:t>. In addition, the 2022 Electric Sales Forecast</w:t>
      </w:r>
      <w:r w:rsidRPr="004B3667">
        <w:t xml:space="preserve"> </w:t>
      </w:r>
      <w:r w:rsidRPr="004B3667" w:rsidR="003E33DA">
        <w:t xml:space="preserve">takes into consideration </w:t>
      </w:r>
      <w:r w:rsidRPr="004B3667">
        <w:t>the impact</w:t>
      </w:r>
      <w:r w:rsidRPr="004B3667" w:rsidR="003E33DA">
        <w:t>s</w:t>
      </w:r>
      <w:r w:rsidRPr="004B3667">
        <w:t xml:space="preserve"> that the Covid-19 pandemic has on electric usage</w:t>
      </w:r>
      <w:r w:rsidRPr="004B3667" w:rsidR="008E2E3D">
        <w:t xml:space="preserve"> and </w:t>
      </w:r>
      <w:r w:rsidRPr="004B3667">
        <w:t>the expected load decreases resulting from customers departing to Community Choice Aggregators and direct access</w:t>
      </w:r>
      <w:r w:rsidRPr="004B3667" w:rsidR="00F07AD0">
        <w:t xml:space="preserve"> </w:t>
      </w:r>
      <w:r w:rsidRPr="004B3667">
        <w:t xml:space="preserve">programs.   </w:t>
      </w:r>
    </w:p>
    <w:p w:rsidRPr="004B3667" w:rsidR="00C829B4" w:rsidP="00C829B4" w:rsidRDefault="00C829B4" w14:paraId="727D7D71" w14:textId="7FFC2156">
      <w:pPr>
        <w:pStyle w:val="ALJBodyText"/>
      </w:pPr>
      <w:r w:rsidRPr="004B3667">
        <w:t xml:space="preserve">This decision also authorizes SDG&amp;E to consolidate its future annual sales forecast applications with its annual Energy Resource Recovery Account (ERRA) forecast applications.  </w:t>
      </w:r>
      <w:r w:rsidR="001B072B">
        <w:t xml:space="preserve">SDG&amp;E shall present its annual sales forecasts in its ERRA forecast applications.  </w:t>
      </w:r>
      <w:r w:rsidRPr="004B3667">
        <w:t xml:space="preserve">Prior to filing </w:t>
      </w:r>
      <w:r w:rsidR="001B072B">
        <w:t>its annual</w:t>
      </w:r>
      <w:r w:rsidRPr="004B3667">
        <w:t xml:space="preserve"> </w:t>
      </w:r>
      <w:r w:rsidR="00213884">
        <w:t>ERRA</w:t>
      </w:r>
      <w:r w:rsidRPr="004B3667" w:rsidR="00213884">
        <w:t xml:space="preserve"> </w:t>
      </w:r>
      <w:r w:rsidRPr="004B3667">
        <w:t>forecast application, SDG&amp;E shall hold an annual all-party workshop to gather</w:t>
      </w:r>
      <w:r w:rsidR="001B072B">
        <w:t xml:space="preserve"> and consider</w:t>
      </w:r>
      <w:r w:rsidRPr="004B3667">
        <w:t xml:space="preserve"> input and feedback from stakeholders </w:t>
      </w:r>
      <w:r w:rsidR="001B072B">
        <w:t xml:space="preserve">prior to </w:t>
      </w:r>
      <w:r w:rsidRPr="004B3667">
        <w:t>preparing its sales forecasts.</w:t>
      </w:r>
    </w:p>
    <w:p w:rsidRPr="004B3667" w:rsidR="00C829B4" w:rsidP="00C829B4" w:rsidRDefault="00C829B4" w14:paraId="534247D8" w14:textId="0BF1C282">
      <w:pPr>
        <w:pStyle w:val="ALJBodyText"/>
      </w:pPr>
      <w:r w:rsidRPr="004B3667">
        <w:t>Because D</w:t>
      </w:r>
      <w:r w:rsidRPr="004B3667" w:rsidR="00F07AD0">
        <w:t>ecision</w:t>
      </w:r>
      <w:r w:rsidR="000A3C33">
        <w:t> </w:t>
      </w:r>
      <w:r w:rsidRPr="004B3667">
        <w:t>21-12-040 (SDG&amp;E’s 202</w:t>
      </w:r>
      <w:r w:rsidRPr="004B3667" w:rsidR="006479E2">
        <w:t>2</w:t>
      </w:r>
      <w:r w:rsidRPr="004B3667">
        <w:t xml:space="preserve"> ERRA forecast decision) directed SDG&amp;E to provide greater executive oversight of quality assurance in future ERRA applications, this decision also directs SDG&amp;E to provide the same enhanced executive oversight for quality assurance of future consolidated sales forecast and ERRA forecast applications.</w:t>
      </w:r>
    </w:p>
    <w:p w:rsidRPr="00D01B5C" w:rsidR="00C829B4" w:rsidP="00C829B4" w:rsidRDefault="00C829B4" w14:paraId="21FD29DD" w14:textId="7AAFF5CF">
      <w:pPr>
        <w:pStyle w:val="Heading1"/>
        <w:rPr>
          <w:rFonts w:eastAsiaTheme="majorEastAsia" w:cstheme="majorBidi"/>
        </w:rPr>
      </w:pPr>
      <w:bookmarkStart w:name="_Toc2517038" w:id="5"/>
      <w:bookmarkStart w:name="_Toc2523436" w:id="6"/>
      <w:bookmarkStart w:name="_Toc98143101" w:id="7"/>
      <w:r w:rsidRPr="00D01B5C">
        <w:rPr>
          <w:rFonts w:eastAsiaTheme="majorEastAsia" w:cstheme="majorBidi"/>
        </w:rPr>
        <w:t>Background</w:t>
      </w:r>
      <w:bookmarkEnd w:id="5"/>
      <w:bookmarkEnd w:id="6"/>
      <w:bookmarkEnd w:id="7"/>
    </w:p>
    <w:p w:rsidRPr="004B3667" w:rsidR="00382422" w:rsidP="00D7350A" w:rsidRDefault="00C829B4" w14:paraId="0680C1F9" w14:textId="13A7D501">
      <w:pPr>
        <w:rPr>
          <w:rFonts w:cs="Times New Roman"/>
          <w:szCs w:val="20"/>
        </w:rPr>
      </w:pPr>
      <w:r w:rsidRPr="004B3667">
        <w:rPr>
          <w:rFonts w:cs="Times New Roman"/>
          <w:szCs w:val="20"/>
        </w:rPr>
        <w:t>On August</w:t>
      </w:r>
      <w:r w:rsidR="00795957">
        <w:rPr>
          <w:rFonts w:cs="Times New Roman"/>
          <w:szCs w:val="20"/>
        </w:rPr>
        <w:t> </w:t>
      </w:r>
      <w:r w:rsidRPr="004B3667">
        <w:rPr>
          <w:rFonts w:cs="Times New Roman"/>
          <w:szCs w:val="20"/>
        </w:rPr>
        <w:t>13,</w:t>
      </w:r>
      <w:r w:rsidR="00795957">
        <w:rPr>
          <w:rFonts w:cs="Times New Roman"/>
          <w:szCs w:val="20"/>
        </w:rPr>
        <w:t> </w:t>
      </w:r>
      <w:r w:rsidRPr="004B3667">
        <w:rPr>
          <w:rFonts w:cs="Times New Roman"/>
          <w:szCs w:val="20"/>
        </w:rPr>
        <w:t xml:space="preserve">2021, </w:t>
      </w:r>
      <w:r w:rsidR="00B720AB">
        <w:rPr>
          <w:rFonts w:cs="Times New Roman"/>
          <w:szCs w:val="20"/>
        </w:rPr>
        <w:t>San </w:t>
      </w:r>
      <w:r w:rsidRPr="004B3667">
        <w:rPr>
          <w:rFonts w:cs="Times New Roman"/>
          <w:szCs w:val="20"/>
        </w:rPr>
        <w:t>Diego Gas</w:t>
      </w:r>
      <w:r w:rsidR="00B720AB">
        <w:rPr>
          <w:rFonts w:cs="Times New Roman"/>
          <w:szCs w:val="20"/>
        </w:rPr>
        <w:t xml:space="preserve"> &amp; </w:t>
      </w:r>
      <w:r w:rsidRPr="004B3667">
        <w:rPr>
          <w:rFonts w:cs="Times New Roman"/>
          <w:szCs w:val="20"/>
        </w:rPr>
        <w:t xml:space="preserve">Electric Company (SDG&amp;E) filed this Application for approval of its 2022 Electric Sales Forecast, in accordance </w:t>
      </w:r>
      <w:r w:rsidRPr="004B3667">
        <w:rPr>
          <w:rFonts w:cs="Times New Roman"/>
          <w:szCs w:val="20"/>
        </w:rPr>
        <w:lastRenderedPageBreak/>
        <w:t xml:space="preserve">with </w:t>
      </w:r>
      <w:r w:rsidR="00AF4FC9">
        <w:rPr>
          <w:rFonts w:cs="Times New Roman"/>
          <w:szCs w:val="20"/>
        </w:rPr>
        <w:t>Decision (</w:t>
      </w:r>
      <w:r w:rsidRPr="004B3667">
        <w:rPr>
          <w:rFonts w:cs="Times New Roman"/>
          <w:szCs w:val="20"/>
        </w:rPr>
        <w:t>D</w:t>
      </w:r>
      <w:r w:rsidR="005935AD">
        <w:rPr>
          <w:rFonts w:cs="Times New Roman"/>
          <w:szCs w:val="20"/>
        </w:rPr>
        <w:t>.</w:t>
      </w:r>
      <w:r w:rsidR="00AF4FC9">
        <w:rPr>
          <w:rFonts w:cs="Times New Roman"/>
          <w:szCs w:val="20"/>
        </w:rPr>
        <w:t>) </w:t>
      </w:r>
      <w:r w:rsidRPr="004B3667">
        <w:rPr>
          <w:rFonts w:cs="Times New Roman"/>
          <w:szCs w:val="20"/>
        </w:rPr>
        <w:t xml:space="preserve">21-07-010 (SDG&amp;E’s General Rate Case </w:t>
      </w:r>
      <w:r w:rsidRPr="004B3667" w:rsidR="00F07AD0">
        <w:rPr>
          <w:rFonts w:cs="Times New Roman"/>
          <w:szCs w:val="20"/>
        </w:rPr>
        <w:t>(</w:t>
      </w:r>
      <w:r w:rsidRPr="004B3667">
        <w:rPr>
          <w:rFonts w:cs="Times New Roman"/>
          <w:szCs w:val="20"/>
        </w:rPr>
        <w:t>GRC</w:t>
      </w:r>
      <w:r w:rsidRPr="004B3667" w:rsidR="00F07AD0">
        <w:rPr>
          <w:rFonts w:cs="Times New Roman"/>
          <w:szCs w:val="20"/>
        </w:rPr>
        <w:t>)</w:t>
      </w:r>
      <w:r w:rsidRPr="004B3667">
        <w:rPr>
          <w:rFonts w:cs="Times New Roman"/>
          <w:szCs w:val="20"/>
        </w:rPr>
        <w:t xml:space="preserve"> Phase</w:t>
      </w:r>
      <w:r w:rsidR="00D13FB6">
        <w:rPr>
          <w:rFonts w:cs="Times New Roman"/>
          <w:szCs w:val="20"/>
        </w:rPr>
        <w:t> </w:t>
      </w:r>
      <w:r w:rsidRPr="004B3667">
        <w:rPr>
          <w:rFonts w:cs="Times New Roman"/>
          <w:szCs w:val="20"/>
        </w:rPr>
        <w:t>2).</w:t>
      </w:r>
      <w:r w:rsidRPr="004B3667">
        <w:rPr>
          <w:rFonts w:cs="Times New Roman"/>
          <w:szCs w:val="20"/>
          <w:vertAlign w:val="superscript"/>
        </w:rPr>
        <w:footnoteReference w:id="2"/>
      </w:r>
      <w:r w:rsidRPr="004B3667">
        <w:rPr>
          <w:rFonts w:cs="Times New Roman"/>
          <w:szCs w:val="20"/>
        </w:rPr>
        <w:t xml:space="preserve">  D.21</w:t>
      </w:r>
      <w:r w:rsidRPr="004B3667" w:rsidR="007533F4">
        <w:rPr>
          <w:rFonts w:cs="Times New Roman"/>
          <w:szCs w:val="20"/>
        </w:rPr>
        <w:noBreakHyphen/>
      </w:r>
      <w:r w:rsidRPr="004B3667">
        <w:rPr>
          <w:rFonts w:cs="Times New Roman"/>
          <w:szCs w:val="20"/>
        </w:rPr>
        <w:t xml:space="preserve">07-010 adopted a Settlement Agreement which states, in part, </w:t>
      </w:r>
    </w:p>
    <w:p w:rsidRPr="004B3667" w:rsidR="00C829B4" w:rsidP="00D01B5C" w:rsidRDefault="00C829B4" w14:paraId="7BC184FB" w14:textId="0BF36CE2">
      <w:pPr>
        <w:pStyle w:val="BlockQuote"/>
      </w:pPr>
      <w:r w:rsidRPr="004B3667">
        <w:t>SDG&amp;E shall file a timely standalone application to update its sales forecast for 2022, with a request to update effective January</w:t>
      </w:r>
      <w:r w:rsidR="00174C22">
        <w:t> </w:t>
      </w:r>
      <w:r w:rsidRPr="004B3667">
        <w:t>1,</w:t>
      </w:r>
      <w:r w:rsidR="00174C22">
        <w:t> </w:t>
      </w:r>
      <w:r w:rsidRPr="004B3667">
        <w:t>2022, and SDG&amp;E shall use the same 2022 sales forecast for its April</w:t>
      </w:r>
      <w:r w:rsidR="00174C22">
        <w:t> </w:t>
      </w:r>
      <w:r w:rsidRPr="004B3667">
        <w:t>2021 application for approval of its 2022 Electric Procurement Revenue Requirement Forecasts and GHG-Related Forecasts.</w:t>
      </w:r>
      <w:r w:rsidRPr="004B3667">
        <w:rPr>
          <w:vertAlign w:val="superscript"/>
        </w:rPr>
        <w:footnoteReference w:id="3"/>
      </w:r>
      <w:r w:rsidRPr="004B3667">
        <w:t xml:space="preserve"> </w:t>
      </w:r>
    </w:p>
    <w:p w:rsidRPr="004B3667" w:rsidR="00C829B4" w:rsidP="00C829B4" w:rsidRDefault="00C829B4" w14:paraId="4A1791E9" w14:textId="61B52884">
      <w:pPr>
        <w:rPr>
          <w:rFonts w:cs="Times New Roman"/>
          <w:szCs w:val="20"/>
        </w:rPr>
      </w:pPr>
      <w:r w:rsidRPr="004B3667">
        <w:rPr>
          <w:rFonts w:cs="Times New Roman"/>
          <w:szCs w:val="20"/>
        </w:rPr>
        <w:t xml:space="preserve">In this Application, SDG&amp;E is seeking </w:t>
      </w:r>
      <w:r w:rsidR="003D515E">
        <w:rPr>
          <w:rFonts w:cs="Times New Roman"/>
          <w:szCs w:val="20"/>
        </w:rPr>
        <w:t>(</w:t>
      </w:r>
      <w:r w:rsidRPr="004B3667">
        <w:rPr>
          <w:rFonts w:cs="Times New Roman"/>
          <w:szCs w:val="20"/>
        </w:rPr>
        <w:t>1)</w:t>
      </w:r>
      <w:r w:rsidR="001135F7">
        <w:rPr>
          <w:rFonts w:cs="Times New Roman"/>
          <w:szCs w:val="20"/>
        </w:rPr>
        <w:t> </w:t>
      </w:r>
      <w:r w:rsidRPr="004B3667">
        <w:rPr>
          <w:rFonts w:cs="Times New Roman"/>
          <w:szCs w:val="20"/>
        </w:rPr>
        <w:t xml:space="preserve">approval of its proposed </w:t>
      </w:r>
      <w:r w:rsidRPr="004B3667" w:rsidR="00CF1EFD">
        <w:rPr>
          <w:rFonts w:cs="Times New Roman"/>
          <w:szCs w:val="20"/>
        </w:rPr>
        <w:t>e</w:t>
      </w:r>
      <w:r w:rsidRPr="004B3667">
        <w:rPr>
          <w:rFonts w:cs="Times New Roman"/>
          <w:szCs w:val="20"/>
        </w:rPr>
        <w:t xml:space="preserve">lectric </w:t>
      </w:r>
      <w:r w:rsidRPr="004B3667" w:rsidR="00CF1EFD">
        <w:rPr>
          <w:rFonts w:cs="Times New Roman"/>
          <w:szCs w:val="20"/>
        </w:rPr>
        <w:t>s</w:t>
      </w:r>
      <w:r w:rsidRPr="004B3667">
        <w:rPr>
          <w:rFonts w:cs="Times New Roman"/>
          <w:szCs w:val="20"/>
        </w:rPr>
        <w:t xml:space="preserve">ales </w:t>
      </w:r>
      <w:r w:rsidRPr="004B3667" w:rsidR="00CF1EFD">
        <w:rPr>
          <w:rFonts w:cs="Times New Roman"/>
          <w:szCs w:val="20"/>
        </w:rPr>
        <w:t>f</w:t>
      </w:r>
      <w:r w:rsidRPr="004B3667">
        <w:rPr>
          <w:rFonts w:cs="Times New Roman"/>
          <w:szCs w:val="20"/>
        </w:rPr>
        <w:t>orecast</w:t>
      </w:r>
      <w:r w:rsidRPr="004B3667" w:rsidR="00CF1EFD">
        <w:rPr>
          <w:rFonts w:cs="Times New Roman"/>
          <w:szCs w:val="20"/>
        </w:rPr>
        <w:t xml:space="preserve"> for 2022</w:t>
      </w:r>
      <w:r w:rsidRPr="004B3667">
        <w:rPr>
          <w:rFonts w:cs="Times New Roman"/>
          <w:szCs w:val="20"/>
        </w:rPr>
        <w:t xml:space="preserve">, </w:t>
      </w:r>
      <w:r w:rsidR="003D515E">
        <w:rPr>
          <w:rFonts w:cs="Times New Roman"/>
          <w:szCs w:val="20"/>
        </w:rPr>
        <w:t>(</w:t>
      </w:r>
      <w:r w:rsidRPr="004B3667">
        <w:rPr>
          <w:rFonts w:cs="Times New Roman"/>
          <w:szCs w:val="20"/>
        </w:rPr>
        <w:t>2)</w:t>
      </w:r>
      <w:r w:rsidR="001135F7">
        <w:rPr>
          <w:rFonts w:cs="Times New Roman"/>
          <w:szCs w:val="20"/>
        </w:rPr>
        <w:t> </w:t>
      </w:r>
      <w:r w:rsidRPr="004B3667">
        <w:rPr>
          <w:rFonts w:cs="Times New Roman"/>
          <w:szCs w:val="20"/>
        </w:rPr>
        <w:t>authorization to file an annual, combined sales forecast and Energy Resource Recovery Account (ERRA) forecast by June</w:t>
      </w:r>
      <w:r w:rsidR="00AF09C6">
        <w:rPr>
          <w:rFonts w:cs="Times New Roman"/>
          <w:szCs w:val="20"/>
        </w:rPr>
        <w:t> </w:t>
      </w:r>
      <w:r w:rsidRPr="004B3667">
        <w:rPr>
          <w:rFonts w:cs="Times New Roman"/>
          <w:szCs w:val="20"/>
        </w:rPr>
        <w:t>15th of each calendar year, and (3)</w:t>
      </w:r>
      <w:r w:rsidR="001135F7">
        <w:rPr>
          <w:rFonts w:cs="Times New Roman"/>
          <w:szCs w:val="20"/>
        </w:rPr>
        <w:t> </w:t>
      </w:r>
      <w:r w:rsidRPr="004B3667">
        <w:rPr>
          <w:rFonts w:cs="Times New Roman"/>
          <w:szCs w:val="20"/>
        </w:rPr>
        <w:t xml:space="preserve">authorization to use the </w:t>
      </w:r>
      <w:r w:rsidRPr="004B3667" w:rsidR="004B0581">
        <w:rPr>
          <w:rFonts w:cs="Times New Roman"/>
          <w:szCs w:val="20"/>
        </w:rPr>
        <w:t>S</w:t>
      </w:r>
      <w:r w:rsidRPr="004B3667">
        <w:rPr>
          <w:rFonts w:cs="Times New Roman"/>
          <w:szCs w:val="20"/>
        </w:rPr>
        <w:t xml:space="preserve">ystem </w:t>
      </w:r>
      <w:r w:rsidRPr="004B3667" w:rsidR="004B0581">
        <w:rPr>
          <w:rFonts w:cs="Times New Roman"/>
          <w:szCs w:val="20"/>
        </w:rPr>
        <w:t>A</w:t>
      </w:r>
      <w:r w:rsidRPr="004B3667">
        <w:rPr>
          <w:rFonts w:cs="Times New Roman"/>
          <w:szCs w:val="20"/>
        </w:rPr>
        <w:t xml:space="preserve">verage </w:t>
      </w:r>
      <w:r w:rsidRPr="004B3667" w:rsidR="004B0581">
        <w:rPr>
          <w:rFonts w:cs="Times New Roman"/>
          <w:szCs w:val="20"/>
        </w:rPr>
        <w:t>P</w:t>
      </w:r>
      <w:r w:rsidRPr="004B3667">
        <w:rPr>
          <w:rFonts w:cs="Times New Roman"/>
          <w:szCs w:val="20"/>
        </w:rPr>
        <w:t xml:space="preserve">ercent </w:t>
      </w:r>
      <w:r w:rsidRPr="004B3667" w:rsidR="004B0581">
        <w:rPr>
          <w:rFonts w:cs="Times New Roman"/>
          <w:szCs w:val="20"/>
        </w:rPr>
        <w:t>C</w:t>
      </w:r>
      <w:r w:rsidRPr="004B3667">
        <w:rPr>
          <w:rFonts w:cs="Times New Roman"/>
          <w:szCs w:val="20"/>
        </w:rPr>
        <w:t>hange (</w:t>
      </w:r>
      <w:proofErr w:type="spellStart"/>
      <w:r w:rsidRPr="004B3667">
        <w:rPr>
          <w:rFonts w:cs="Times New Roman"/>
          <w:szCs w:val="20"/>
        </w:rPr>
        <w:t>SAPC</w:t>
      </w:r>
      <w:proofErr w:type="spellEnd"/>
      <w:r w:rsidRPr="004B3667">
        <w:rPr>
          <w:rFonts w:cs="Times New Roman"/>
          <w:szCs w:val="20"/>
        </w:rPr>
        <w:t xml:space="preserve">) methodology to implement all rate changes resulting from a change in the commodity revenue requirement when the 2022 sales forecast is effective.   </w:t>
      </w:r>
    </w:p>
    <w:p w:rsidRPr="004B3667" w:rsidR="00C829B4" w:rsidP="00C829B4" w:rsidRDefault="00C829B4" w14:paraId="054573E3" w14:textId="71DDCD77">
      <w:pPr>
        <w:ind w:right="720" w:firstLine="810"/>
        <w:rPr>
          <w:rFonts w:cs="Times New Roman"/>
          <w:szCs w:val="20"/>
        </w:rPr>
      </w:pPr>
      <w:r w:rsidRPr="004B3667">
        <w:rPr>
          <w:rFonts w:cs="Times New Roman"/>
          <w:szCs w:val="20"/>
        </w:rPr>
        <w:t>On September</w:t>
      </w:r>
      <w:r w:rsidR="001135F7">
        <w:rPr>
          <w:rFonts w:cs="Times New Roman"/>
          <w:szCs w:val="20"/>
        </w:rPr>
        <w:t> </w:t>
      </w:r>
      <w:r w:rsidRPr="004B3667">
        <w:rPr>
          <w:rFonts w:cs="Times New Roman"/>
          <w:szCs w:val="20"/>
        </w:rPr>
        <w:t>1,</w:t>
      </w:r>
      <w:r w:rsidR="001135F7">
        <w:rPr>
          <w:rFonts w:cs="Times New Roman"/>
          <w:szCs w:val="20"/>
        </w:rPr>
        <w:t> </w:t>
      </w:r>
      <w:r w:rsidRPr="004B3667">
        <w:rPr>
          <w:rFonts w:cs="Times New Roman"/>
          <w:szCs w:val="20"/>
        </w:rPr>
        <w:t>2021, a prehearing conference was held.</w:t>
      </w:r>
    </w:p>
    <w:p w:rsidRPr="004B3667" w:rsidR="00C829B4" w:rsidP="00C829B4" w:rsidRDefault="00C829B4" w14:paraId="547B6F94" w14:textId="1AB7471B">
      <w:pPr>
        <w:ind w:right="720" w:firstLine="810"/>
        <w:rPr>
          <w:rFonts w:cs="Times New Roman"/>
          <w:szCs w:val="20"/>
        </w:rPr>
      </w:pPr>
      <w:r w:rsidRPr="004B3667">
        <w:rPr>
          <w:rFonts w:cs="Times New Roman"/>
          <w:szCs w:val="20"/>
        </w:rPr>
        <w:t>On September</w:t>
      </w:r>
      <w:r w:rsidR="001135F7">
        <w:rPr>
          <w:rFonts w:cs="Times New Roman"/>
          <w:szCs w:val="20"/>
        </w:rPr>
        <w:t> </w:t>
      </w:r>
      <w:r w:rsidRPr="004B3667">
        <w:rPr>
          <w:rFonts w:cs="Times New Roman"/>
          <w:szCs w:val="20"/>
        </w:rPr>
        <w:t>24,</w:t>
      </w:r>
      <w:r w:rsidR="001135F7">
        <w:rPr>
          <w:rFonts w:cs="Times New Roman"/>
          <w:szCs w:val="20"/>
        </w:rPr>
        <w:t> </w:t>
      </w:r>
      <w:r w:rsidRPr="004B3667">
        <w:rPr>
          <w:rFonts w:cs="Times New Roman"/>
          <w:szCs w:val="20"/>
        </w:rPr>
        <w:t>2021, the assigned Commissioner issued the Scoping Memo and Ruling.</w:t>
      </w:r>
    </w:p>
    <w:p w:rsidRPr="004B3667" w:rsidR="00C829B4" w:rsidP="00C829B4" w:rsidRDefault="00C829B4" w14:paraId="1E746FBD" w14:textId="5DE25447">
      <w:pPr>
        <w:ind w:right="720" w:firstLine="810"/>
        <w:rPr>
          <w:rFonts w:cs="Times New Roman"/>
          <w:szCs w:val="20"/>
        </w:rPr>
      </w:pPr>
      <w:r w:rsidRPr="004B3667">
        <w:rPr>
          <w:rFonts w:cs="Times New Roman"/>
          <w:szCs w:val="20"/>
        </w:rPr>
        <w:t>On October</w:t>
      </w:r>
      <w:r w:rsidR="001135F7">
        <w:rPr>
          <w:rFonts w:cs="Times New Roman"/>
          <w:szCs w:val="20"/>
        </w:rPr>
        <w:t> </w:t>
      </w:r>
      <w:r w:rsidRPr="004B3667">
        <w:rPr>
          <w:rFonts w:cs="Times New Roman"/>
          <w:szCs w:val="20"/>
        </w:rPr>
        <w:t>22,</w:t>
      </w:r>
      <w:r w:rsidR="001135F7">
        <w:rPr>
          <w:rFonts w:cs="Times New Roman"/>
          <w:szCs w:val="20"/>
        </w:rPr>
        <w:t> </w:t>
      </w:r>
      <w:r w:rsidRPr="004B3667">
        <w:rPr>
          <w:rFonts w:cs="Times New Roman"/>
          <w:szCs w:val="20"/>
        </w:rPr>
        <w:t>2021, parties filed and served a List of Stipulated and Disputed Facts.</w:t>
      </w:r>
    </w:p>
    <w:p w:rsidRPr="004B3667" w:rsidR="00C829B4" w:rsidP="00C829B4" w:rsidRDefault="00C829B4" w14:paraId="73EF5982" w14:textId="6CA3B85F">
      <w:pPr>
        <w:ind w:right="720" w:firstLine="810"/>
        <w:rPr>
          <w:rFonts w:cs="Times New Roman"/>
          <w:szCs w:val="20"/>
        </w:rPr>
      </w:pPr>
      <w:r w:rsidRPr="004B3667">
        <w:rPr>
          <w:rFonts w:cs="Times New Roman"/>
          <w:szCs w:val="20"/>
        </w:rPr>
        <w:t>On October</w:t>
      </w:r>
      <w:r w:rsidR="001135F7">
        <w:rPr>
          <w:rFonts w:cs="Times New Roman"/>
          <w:szCs w:val="20"/>
        </w:rPr>
        <w:t> </w:t>
      </w:r>
      <w:r w:rsidRPr="004B3667">
        <w:rPr>
          <w:rFonts w:cs="Times New Roman"/>
          <w:szCs w:val="20"/>
        </w:rPr>
        <w:t>29,</w:t>
      </w:r>
      <w:r w:rsidR="001135F7">
        <w:rPr>
          <w:rFonts w:cs="Times New Roman"/>
          <w:szCs w:val="20"/>
        </w:rPr>
        <w:t> </w:t>
      </w:r>
      <w:r w:rsidRPr="004B3667">
        <w:rPr>
          <w:rFonts w:cs="Times New Roman"/>
          <w:szCs w:val="20"/>
        </w:rPr>
        <w:t>2021, parties filed Opening Briefs.</w:t>
      </w:r>
    </w:p>
    <w:p w:rsidRPr="004B3667" w:rsidR="00C829B4" w:rsidP="00C829B4" w:rsidRDefault="00C829B4" w14:paraId="4049C4BE" w14:textId="49B94901">
      <w:pPr>
        <w:ind w:right="720" w:firstLine="810"/>
        <w:rPr>
          <w:rFonts w:cs="Times New Roman"/>
          <w:szCs w:val="20"/>
        </w:rPr>
      </w:pPr>
      <w:r w:rsidRPr="004B3667">
        <w:rPr>
          <w:rFonts w:cs="Times New Roman"/>
          <w:szCs w:val="20"/>
        </w:rPr>
        <w:t>On November</w:t>
      </w:r>
      <w:r w:rsidR="001135F7">
        <w:rPr>
          <w:rFonts w:cs="Times New Roman"/>
          <w:szCs w:val="20"/>
        </w:rPr>
        <w:t> </w:t>
      </w:r>
      <w:r w:rsidRPr="004B3667">
        <w:rPr>
          <w:rFonts w:cs="Times New Roman"/>
          <w:szCs w:val="20"/>
        </w:rPr>
        <w:t>5,</w:t>
      </w:r>
      <w:r w:rsidR="001135F7">
        <w:rPr>
          <w:rFonts w:cs="Times New Roman"/>
          <w:szCs w:val="20"/>
        </w:rPr>
        <w:t> </w:t>
      </w:r>
      <w:r w:rsidRPr="004B3667">
        <w:rPr>
          <w:rFonts w:cs="Times New Roman"/>
          <w:szCs w:val="20"/>
        </w:rPr>
        <w:t>2021, parties filed Reply Briefs.</w:t>
      </w:r>
    </w:p>
    <w:p w:rsidRPr="004B3667" w:rsidR="00C829B4" w:rsidP="00C829B4" w:rsidRDefault="00C829B4" w14:paraId="690D71E1" w14:textId="215DE7D9">
      <w:pPr>
        <w:ind w:right="720" w:firstLine="810"/>
        <w:rPr>
          <w:rFonts w:cs="Times New Roman"/>
          <w:szCs w:val="20"/>
        </w:rPr>
      </w:pPr>
      <w:r w:rsidRPr="004B3667">
        <w:rPr>
          <w:rFonts w:cs="Times New Roman"/>
          <w:szCs w:val="20"/>
        </w:rPr>
        <w:t>The matter in this proceeding is submitted upon the filing of the Reply Briefs on November</w:t>
      </w:r>
      <w:r w:rsidR="001135F7">
        <w:rPr>
          <w:rFonts w:cs="Times New Roman"/>
          <w:szCs w:val="20"/>
        </w:rPr>
        <w:t> </w:t>
      </w:r>
      <w:r w:rsidRPr="004B3667">
        <w:rPr>
          <w:rFonts w:cs="Times New Roman"/>
          <w:szCs w:val="20"/>
        </w:rPr>
        <w:t>5,</w:t>
      </w:r>
      <w:r w:rsidR="001135F7">
        <w:rPr>
          <w:rFonts w:cs="Times New Roman"/>
          <w:szCs w:val="20"/>
        </w:rPr>
        <w:t> </w:t>
      </w:r>
      <w:r w:rsidRPr="004B3667">
        <w:rPr>
          <w:rFonts w:cs="Times New Roman"/>
          <w:szCs w:val="20"/>
        </w:rPr>
        <w:t>2021.</w:t>
      </w:r>
    </w:p>
    <w:p w:rsidRPr="00B048F1" w:rsidR="00C829B4" w:rsidP="00D7350A" w:rsidRDefault="00C829B4" w14:paraId="43D6C22B" w14:textId="77777777">
      <w:pPr>
        <w:pStyle w:val="Heading1"/>
        <w:rPr>
          <w:rFonts w:eastAsiaTheme="majorEastAsia" w:cstheme="majorBidi"/>
        </w:rPr>
      </w:pPr>
      <w:bookmarkStart w:name="_Toc98143102" w:id="8"/>
      <w:r w:rsidRPr="00B048F1">
        <w:rPr>
          <w:rFonts w:eastAsiaTheme="majorEastAsia" w:cstheme="majorBidi"/>
        </w:rPr>
        <w:lastRenderedPageBreak/>
        <w:t>Issues Before the Commission</w:t>
      </w:r>
      <w:bookmarkEnd w:id="8"/>
    </w:p>
    <w:p w:rsidRPr="00B048F1" w:rsidR="00C829B4" w:rsidP="00B048F1" w:rsidRDefault="00C829B4" w14:paraId="20E3C803" w14:textId="77777777">
      <w:pPr>
        <w:keepNext/>
        <w:rPr>
          <w:rFonts w:eastAsia="Times New Roman" w:cs="Times New Roman"/>
          <w:szCs w:val="20"/>
        </w:rPr>
      </w:pPr>
      <w:r w:rsidRPr="00B048F1">
        <w:rPr>
          <w:rFonts w:eastAsia="Times New Roman" w:cs="Times New Roman"/>
          <w:szCs w:val="20"/>
        </w:rPr>
        <w:t>The issues to be determined are:</w:t>
      </w:r>
    </w:p>
    <w:p w:rsidRPr="00B048F1" w:rsidR="00C829B4" w:rsidP="007533F4" w:rsidRDefault="00C829B4" w14:paraId="5D7CCD24" w14:textId="77777777">
      <w:pPr>
        <w:numPr>
          <w:ilvl w:val="0"/>
          <w:numId w:val="19"/>
        </w:numPr>
        <w:spacing w:after="120" w:line="240" w:lineRule="auto"/>
        <w:ind w:right="1440"/>
        <w:rPr>
          <w:rFonts w:eastAsia="Times New Roman" w:cs="Times New Roman"/>
          <w:szCs w:val="20"/>
        </w:rPr>
      </w:pPr>
      <w:r w:rsidRPr="00B048F1">
        <w:rPr>
          <w:rFonts w:eastAsia="Times New Roman" w:cs="Times New Roman"/>
          <w:szCs w:val="20"/>
        </w:rPr>
        <w:t>Whether SDG&amp;E’s electric sales forecast for 2022, including for each of its customer classes, is reasonable and should be approved.</w:t>
      </w:r>
    </w:p>
    <w:p w:rsidRPr="00B048F1" w:rsidR="00C829B4" w:rsidP="007533F4" w:rsidRDefault="00C829B4" w14:paraId="17D6C4CF" w14:textId="77777777">
      <w:pPr>
        <w:numPr>
          <w:ilvl w:val="0"/>
          <w:numId w:val="19"/>
        </w:numPr>
        <w:spacing w:after="120" w:line="240" w:lineRule="auto"/>
        <w:ind w:right="1440"/>
        <w:rPr>
          <w:rFonts w:eastAsia="Times New Roman" w:cs="Times New Roman"/>
          <w:szCs w:val="20"/>
        </w:rPr>
      </w:pPr>
      <w:bookmarkStart w:name="_Hlk90330823" w:id="9"/>
      <w:r w:rsidRPr="00B048F1">
        <w:rPr>
          <w:rFonts w:eastAsia="Times New Roman" w:cs="Times New Roman"/>
          <w:szCs w:val="20"/>
        </w:rPr>
        <w:t>Whether SDG&amp;E’s methodology for deriving its 2022 electric sales forecast, including for each of its customer classes, is reasonable and should be approved.</w:t>
      </w:r>
    </w:p>
    <w:p w:rsidRPr="00B048F1" w:rsidR="00C829B4" w:rsidP="007533F4" w:rsidRDefault="00C829B4" w14:paraId="2548EDCD" w14:textId="77777777">
      <w:pPr>
        <w:numPr>
          <w:ilvl w:val="0"/>
          <w:numId w:val="19"/>
        </w:numPr>
        <w:spacing w:after="120" w:line="240" w:lineRule="auto"/>
        <w:ind w:right="1440"/>
        <w:rPr>
          <w:rFonts w:eastAsia="Times New Roman" w:cs="Times New Roman"/>
          <w:szCs w:val="20"/>
        </w:rPr>
      </w:pPr>
      <w:r w:rsidRPr="00B048F1">
        <w:rPr>
          <w:rFonts w:eastAsia="Times New Roman" w:cs="Times New Roman"/>
          <w:szCs w:val="20"/>
        </w:rPr>
        <w:t>Whether the impact of the 2022 electric sales forecast creates rates that are just and reasonable per Public Utilities Code Section 451.</w:t>
      </w:r>
    </w:p>
    <w:bookmarkEnd w:id="9"/>
    <w:p w:rsidRPr="00B048F1" w:rsidR="00C829B4" w:rsidP="007533F4" w:rsidRDefault="00C829B4" w14:paraId="79D79894" w14:textId="19F351BA">
      <w:pPr>
        <w:numPr>
          <w:ilvl w:val="0"/>
          <w:numId w:val="19"/>
        </w:numPr>
        <w:spacing w:after="120" w:line="240" w:lineRule="auto"/>
        <w:ind w:right="1440"/>
        <w:rPr>
          <w:rFonts w:eastAsia="Times New Roman" w:cs="Times New Roman"/>
          <w:szCs w:val="20"/>
        </w:rPr>
      </w:pPr>
      <w:r w:rsidRPr="00B048F1">
        <w:rPr>
          <w:rFonts w:eastAsia="Times New Roman" w:cs="Times New Roman"/>
          <w:szCs w:val="20"/>
        </w:rPr>
        <w:t>Whether the Commission should adopt SDG&amp;E’s request to submit an annual, combined electric sales forecast proposal and ERRA forecast application.</w:t>
      </w:r>
    </w:p>
    <w:p w:rsidRPr="00B048F1" w:rsidR="00C829B4" w:rsidP="00D7350A" w:rsidRDefault="00C829B4" w14:paraId="5F054E10" w14:textId="6D8EBC45">
      <w:pPr>
        <w:pStyle w:val="Heading1"/>
        <w:rPr>
          <w:rFonts w:eastAsiaTheme="majorEastAsia" w:cstheme="majorBidi"/>
        </w:rPr>
      </w:pPr>
      <w:bookmarkStart w:name="_Toc98143103" w:id="10"/>
      <w:r w:rsidRPr="00B048F1">
        <w:rPr>
          <w:rFonts w:eastAsiaTheme="majorEastAsia" w:cstheme="majorBidi"/>
        </w:rPr>
        <w:t>2022 Electric Sales Forecast</w:t>
      </w:r>
      <w:bookmarkEnd w:id="10"/>
    </w:p>
    <w:p w:rsidRPr="004B3667" w:rsidR="00C829B4" w:rsidP="00C829B4" w:rsidRDefault="00C829B4" w14:paraId="6990B605" w14:textId="311258B0">
      <w:pPr>
        <w:rPr>
          <w:rFonts w:cs="Times New Roman"/>
          <w:szCs w:val="20"/>
        </w:rPr>
      </w:pPr>
      <w:r w:rsidRPr="004B3667">
        <w:rPr>
          <w:rFonts w:cs="Times New Roman"/>
          <w:szCs w:val="20"/>
        </w:rPr>
        <w:t xml:space="preserve">SDG&amp;E proposes </w:t>
      </w:r>
      <w:bookmarkStart w:name="_Hlk90385167" w:id="11"/>
      <w:r w:rsidRPr="004B3667">
        <w:rPr>
          <w:rFonts w:cs="Times New Roman"/>
          <w:szCs w:val="20"/>
        </w:rPr>
        <w:t>to use the California Energy Commission’s (CEC) 2020</w:t>
      </w:r>
      <w:r w:rsidRPr="004B3667" w:rsidR="007533F4">
        <w:rPr>
          <w:rFonts w:cs="Times New Roman"/>
          <w:szCs w:val="20"/>
        </w:rPr>
        <w:t> </w:t>
      </w:r>
      <w:r w:rsidRPr="004B3667">
        <w:rPr>
          <w:rFonts w:cs="Times New Roman"/>
          <w:szCs w:val="20"/>
        </w:rPr>
        <w:t xml:space="preserve">California Energy Demand Forecast </w:t>
      </w:r>
      <w:r w:rsidRPr="004B3667" w:rsidR="00164B40">
        <w:rPr>
          <w:rFonts w:cs="Times New Roman"/>
          <w:szCs w:val="20"/>
        </w:rPr>
        <w:t xml:space="preserve">(2020 CEC Forecast or SDG&amp;E’s Proposal) </w:t>
      </w:r>
      <w:r w:rsidRPr="004B3667">
        <w:rPr>
          <w:rFonts w:cs="Times New Roman"/>
          <w:szCs w:val="20"/>
        </w:rPr>
        <w:t>as the basis for the 2022 electric sales forecast.  Adopted on January</w:t>
      </w:r>
      <w:r w:rsidR="00992238">
        <w:rPr>
          <w:rFonts w:cs="Times New Roman"/>
          <w:szCs w:val="20"/>
        </w:rPr>
        <w:t> </w:t>
      </w:r>
      <w:r w:rsidRPr="004B3667">
        <w:rPr>
          <w:rFonts w:cs="Times New Roman"/>
          <w:szCs w:val="20"/>
        </w:rPr>
        <w:t>25,</w:t>
      </w:r>
      <w:r w:rsidR="00992238">
        <w:rPr>
          <w:rFonts w:cs="Times New Roman"/>
          <w:szCs w:val="20"/>
        </w:rPr>
        <w:t> </w:t>
      </w:r>
      <w:r w:rsidRPr="004B3667">
        <w:rPr>
          <w:rFonts w:cs="Times New Roman"/>
          <w:szCs w:val="20"/>
        </w:rPr>
        <w:t xml:space="preserve">2021, </w:t>
      </w:r>
      <w:bookmarkEnd w:id="11"/>
      <w:r w:rsidRPr="004B3667">
        <w:rPr>
          <w:rFonts w:cs="Times New Roman"/>
          <w:szCs w:val="20"/>
        </w:rPr>
        <w:t xml:space="preserve">the 2020 CEC </w:t>
      </w:r>
      <w:r w:rsidRPr="004B3667" w:rsidR="00164B40">
        <w:rPr>
          <w:rFonts w:cs="Times New Roman"/>
          <w:szCs w:val="20"/>
        </w:rPr>
        <w:t>F</w:t>
      </w:r>
      <w:r w:rsidRPr="004B3667">
        <w:rPr>
          <w:rFonts w:cs="Times New Roman"/>
          <w:szCs w:val="20"/>
        </w:rPr>
        <w:t xml:space="preserve">orecast </w:t>
      </w:r>
      <w:r w:rsidR="005A401E">
        <w:rPr>
          <w:rFonts w:cs="Times New Roman"/>
          <w:szCs w:val="20"/>
        </w:rPr>
        <w:t>forecasts</w:t>
      </w:r>
      <w:r w:rsidRPr="004B3667" w:rsidR="005A401E">
        <w:rPr>
          <w:rFonts w:cs="Times New Roman"/>
          <w:szCs w:val="20"/>
        </w:rPr>
        <w:t xml:space="preserve"> </w:t>
      </w:r>
      <w:r w:rsidRPr="004B3667" w:rsidR="00164B40">
        <w:rPr>
          <w:rFonts w:cs="Times New Roman"/>
          <w:szCs w:val="20"/>
        </w:rPr>
        <w:t xml:space="preserve">a </w:t>
      </w:r>
      <w:r w:rsidRPr="004B3667">
        <w:rPr>
          <w:rFonts w:cs="Times New Roman"/>
          <w:szCs w:val="20"/>
        </w:rPr>
        <w:t>reduc</w:t>
      </w:r>
      <w:r w:rsidRPr="004B3667" w:rsidR="00164B40">
        <w:rPr>
          <w:rFonts w:cs="Times New Roman"/>
          <w:szCs w:val="20"/>
        </w:rPr>
        <w:t>tion in</w:t>
      </w:r>
      <w:r w:rsidRPr="004B3667">
        <w:rPr>
          <w:rFonts w:cs="Times New Roman"/>
          <w:szCs w:val="20"/>
        </w:rPr>
        <w:t xml:space="preserve"> energy demand resulting from private energy supply (</w:t>
      </w:r>
      <w:r w:rsidRPr="004B3667" w:rsidR="00D33ECD">
        <w:rPr>
          <w:rFonts w:cs="Times New Roman"/>
          <w:szCs w:val="20"/>
        </w:rPr>
        <w:t>e.g.,</w:t>
      </w:r>
      <w:r w:rsidRPr="004B3667">
        <w:rPr>
          <w:rFonts w:cs="Times New Roman"/>
          <w:szCs w:val="20"/>
        </w:rPr>
        <w:t xml:space="preserve"> self</w:t>
      </w:r>
      <w:r w:rsidRPr="004B3667" w:rsidR="007533F4">
        <w:rPr>
          <w:rFonts w:cs="Times New Roman"/>
          <w:szCs w:val="20"/>
        </w:rPr>
        <w:noBreakHyphen/>
      </w:r>
      <w:r w:rsidRPr="004B3667">
        <w:rPr>
          <w:rFonts w:cs="Times New Roman"/>
          <w:szCs w:val="20"/>
        </w:rPr>
        <w:t>generation such as solar) and energy efficiency.</w:t>
      </w:r>
      <w:r w:rsidRPr="004B3667">
        <w:rPr>
          <w:rFonts w:cs="Times New Roman"/>
          <w:szCs w:val="20"/>
          <w:vertAlign w:val="superscript"/>
        </w:rPr>
        <w:footnoteReference w:id="4"/>
      </w:r>
    </w:p>
    <w:p w:rsidRPr="004B3667" w:rsidR="00C829B4" w:rsidP="00C829B4" w:rsidRDefault="00C829B4" w14:paraId="6FA3C178" w14:textId="6CFDE327">
      <w:pPr>
        <w:rPr>
          <w:rFonts w:cs="Times New Roman"/>
          <w:szCs w:val="20"/>
        </w:rPr>
      </w:pPr>
      <w:bookmarkStart w:name="_Hlk90385203" w:id="12"/>
      <w:r w:rsidRPr="004B3667">
        <w:rPr>
          <w:rFonts w:cs="Times New Roman"/>
          <w:szCs w:val="20"/>
        </w:rPr>
        <w:t xml:space="preserve">In addition to the above forecasted energy reductions, SDG&amp;E’s Proposal also includes expected load decreases resulting from customers migrating to </w:t>
      </w:r>
      <w:bookmarkStart w:name="_Hlk92142047" w:id="13"/>
      <w:r w:rsidRPr="004B3667">
        <w:rPr>
          <w:rFonts w:cs="Times New Roman"/>
          <w:szCs w:val="20"/>
        </w:rPr>
        <w:t>Community Choice Aggregators (</w:t>
      </w:r>
      <w:proofErr w:type="spellStart"/>
      <w:r w:rsidRPr="004B3667">
        <w:rPr>
          <w:rFonts w:cs="Times New Roman"/>
          <w:szCs w:val="20"/>
        </w:rPr>
        <w:t>CCAs</w:t>
      </w:r>
      <w:proofErr w:type="spellEnd"/>
      <w:r w:rsidRPr="004B3667">
        <w:rPr>
          <w:rFonts w:cs="Times New Roman"/>
          <w:szCs w:val="20"/>
        </w:rPr>
        <w:t>) and direct access (DA) programs</w:t>
      </w:r>
      <w:bookmarkEnd w:id="13"/>
      <w:r w:rsidRPr="004B3667">
        <w:rPr>
          <w:rFonts w:cs="Times New Roman"/>
          <w:szCs w:val="20"/>
        </w:rPr>
        <w:t xml:space="preserve">.  </w:t>
      </w:r>
      <w:bookmarkEnd w:id="12"/>
      <w:r w:rsidRPr="004B3667">
        <w:rPr>
          <w:rFonts w:cs="Times New Roman"/>
          <w:szCs w:val="20"/>
        </w:rPr>
        <w:t xml:space="preserve">SDG&amp;E expects that some of its customers will migrate to the two new </w:t>
      </w:r>
      <w:proofErr w:type="spellStart"/>
      <w:r w:rsidRPr="004B3667">
        <w:rPr>
          <w:rFonts w:cs="Times New Roman"/>
          <w:szCs w:val="20"/>
        </w:rPr>
        <w:t>CCAs</w:t>
      </w:r>
      <w:proofErr w:type="spellEnd"/>
      <w:r w:rsidRPr="004B3667">
        <w:rPr>
          <w:rFonts w:cs="Times New Roman"/>
          <w:szCs w:val="20"/>
        </w:rPr>
        <w:t xml:space="preserve"> that were recently formed, </w:t>
      </w:r>
      <w:r w:rsidR="00B720AB">
        <w:rPr>
          <w:rFonts w:cs="Times New Roman"/>
          <w:szCs w:val="20"/>
        </w:rPr>
        <w:t>San </w:t>
      </w:r>
      <w:r w:rsidRPr="004B3667">
        <w:rPr>
          <w:rFonts w:cs="Times New Roman"/>
          <w:szCs w:val="20"/>
        </w:rPr>
        <w:t xml:space="preserve">Diego Community Power and Clean Energy Alliance, which will service eight cities in SDG&amp;E’s service territory.  SDG&amp;E </w:t>
      </w:r>
      <w:r w:rsidRPr="004B3667">
        <w:rPr>
          <w:rFonts w:cs="Times New Roman"/>
          <w:szCs w:val="20"/>
        </w:rPr>
        <w:lastRenderedPageBreak/>
        <w:t xml:space="preserve">also forecasts that some customers will migrate to DA service </w:t>
      </w:r>
      <w:r w:rsidR="005A401E">
        <w:rPr>
          <w:rFonts w:cs="Times New Roman"/>
          <w:szCs w:val="20"/>
        </w:rPr>
        <w:t>because</w:t>
      </w:r>
      <w:r w:rsidRPr="004B3667" w:rsidR="005A401E">
        <w:rPr>
          <w:rFonts w:cs="Times New Roman"/>
          <w:szCs w:val="20"/>
        </w:rPr>
        <w:t xml:space="preserve"> </w:t>
      </w:r>
      <w:r w:rsidRPr="004B3667">
        <w:rPr>
          <w:rFonts w:cs="Times New Roman"/>
          <w:szCs w:val="20"/>
        </w:rPr>
        <w:t>the cap on DA service for non-residential customers was raised on January</w:t>
      </w:r>
      <w:r w:rsidR="00C91C14">
        <w:rPr>
          <w:rFonts w:cs="Times New Roman"/>
          <w:szCs w:val="20"/>
        </w:rPr>
        <w:t> </w:t>
      </w:r>
      <w:r w:rsidRPr="004B3667">
        <w:rPr>
          <w:rFonts w:cs="Times New Roman"/>
          <w:szCs w:val="20"/>
        </w:rPr>
        <w:t>1,</w:t>
      </w:r>
      <w:r w:rsidR="00C91C14">
        <w:rPr>
          <w:rFonts w:cs="Times New Roman"/>
          <w:szCs w:val="20"/>
        </w:rPr>
        <w:t> </w:t>
      </w:r>
      <w:r w:rsidRPr="004B3667">
        <w:rPr>
          <w:rFonts w:cs="Times New Roman"/>
          <w:szCs w:val="20"/>
        </w:rPr>
        <w:t xml:space="preserve">2021.  SDG&amp;E projects that the customer migrations to </w:t>
      </w:r>
      <w:proofErr w:type="spellStart"/>
      <w:r w:rsidRPr="004B3667">
        <w:rPr>
          <w:rFonts w:cs="Times New Roman"/>
          <w:szCs w:val="20"/>
        </w:rPr>
        <w:t>CCA</w:t>
      </w:r>
      <w:proofErr w:type="spellEnd"/>
      <w:r w:rsidRPr="004B3667">
        <w:rPr>
          <w:rFonts w:cs="Times New Roman"/>
          <w:szCs w:val="20"/>
        </w:rPr>
        <w:t xml:space="preserve"> and DA programs will cause a decline in bundled electric sales across all customer classes when compared to either the authorized 2019 sales forecast or the approved 2020 electric sales forecast.</w:t>
      </w:r>
      <w:r w:rsidRPr="004B3667">
        <w:rPr>
          <w:rFonts w:cs="Times New Roman"/>
          <w:szCs w:val="20"/>
          <w:vertAlign w:val="superscript"/>
        </w:rPr>
        <w:footnoteReference w:id="5"/>
      </w:r>
      <w:r w:rsidRPr="004B3667">
        <w:rPr>
          <w:rFonts w:cs="Times New Roman"/>
          <w:szCs w:val="20"/>
        </w:rPr>
        <w:t xml:space="preserve">  </w:t>
      </w:r>
    </w:p>
    <w:p w:rsidRPr="004B3667" w:rsidR="00C829B4" w:rsidP="00D7350A" w:rsidRDefault="00C829B4" w14:paraId="784208C2" w14:textId="54BFB451">
      <w:pPr>
        <w:pStyle w:val="Heading2"/>
      </w:pPr>
      <w:bookmarkStart w:name="_Toc98143104" w:id="14"/>
      <w:bookmarkStart w:name="_Toc2517039" w:id="15"/>
      <w:bookmarkStart w:name="_Toc2523438" w:id="16"/>
      <w:r w:rsidRPr="004B3667">
        <w:t xml:space="preserve">Parties’ Concerns </w:t>
      </w:r>
      <w:r w:rsidR="00FE4CA3">
        <w:t>A</w:t>
      </w:r>
      <w:r w:rsidRPr="004B3667" w:rsidR="00FE4CA3">
        <w:t xml:space="preserve">bout </w:t>
      </w:r>
      <w:r w:rsidRPr="004B3667">
        <w:t>SDG&amp;E’s</w:t>
      </w:r>
      <w:r w:rsidR="000C75B0">
        <w:br/>
      </w:r>
      <w:r w:rsidRPr="004B3667">
        <w:t>Proposed Forecast</w:t>
      </w:r>
      <w:bookmarkEnd w:id="14"/>
    </w:p>
    <w:p w:rsidRPr="004B3667" w:rsidR="00C829B4" w:rsidP="00C829B4" w:rsidRDefault="00AF09C6" w14:paraId="1856F789" w14:textId="7380E7D2">
      <w:pPr>
        <w:rPr>
          <w:rFonts w:cs="Times New Roman"/>
          <w:szCs w:val="20"/>
        </w:rPr>
      </w:pPr>
      <w:bookmarkStart w:name="_Hlk90385264" w:id="17"/>
      <w:bookmarkStart w:name="_Hlk90385519" w:id="18"/>
      <w:r>
        <w:rPr>
          <w:rFonts w:cs="Times New Roman"/>
          <w:szCs w:val="20"/>
        </w:rPr>
        <w:t>Cal Adv</w:t>
      </w:r>
      <w:r w:rsidRPr="004B3667" w:rsidR="00C829B4">
        <w:rPr>
          <w:rFonts w:cs="Times New Roman"/>
          <w:szCs w:val="20"/>
        </w:rPr>
        <w:t xml:space="preserve">ocates and </w:t>
      </w:r>
      <w:r w:rsidRPr="004B3667" w:rsidR="006A1014">
        <w:rPr>
          <w:rFonts w:cs="Times New Roman"/>
          <w:szCs w:val="20"/>
        </w:rPr>
        <w:t>Small Business Utility Advocates (</w:t>
      </w:r>
      <w:proofErr w:type="spellStart"/>
      <w:r w:rsidRPr="004B3667" w:rsidR="00C829B4">
        <w:rPr>
          <w:rFonts w:cs="Times New Roman"/>
          <w:szCs w:val="20"/>
        </w:rPr>
        <w:t>SBUA</w:t>
      </w:r>
      <w:proofErr w:type="spellEnd"/>
      <w:r w:rsidRPr="004B3667" w:rsidR="006A1014">
        <w:rPr>
          <w:rFonts w:cs="Times New Roman"/>
          <w:szCs w:val="20"/>
        </w:rPr>
        <w:t>)</w:t>
      </w:r>
      <w:r w:rsidRPr="004B3667" w:rsidR="00C829B4">
        <w:rPr>
          <w:rFonts w:cs="Times New Roman"/>
          <w:szCs w:val="20"/>
        </w:rPr>
        <w:t xml:space="preserve"> oppose SDG&amp;E’s Proposal</w:t>
      </w:r>
      <w:r w:rsidRPr="004B3667" w:rsidR="006B2CB3">
        <w:rPr>
          <w:rFonts w:cs="Times New Roman"/>
          <w:szCs w:val="20"/>
        </w:rPr>
        <w:t xml:space="preserve"> (2020 CEC Forecast)</w:t>
      </w:r>
      <w:r w:rsidRPr="004B3667" w:rsidR="00C829B4">
        <w:rPr>
          <w:rFonts w:cs="Times New Roman"/>
          <w:szCs w:val="20"/>
        </w:rPr>
        <w:t xml:space="preserve">, arguing that </w:t>
      </w:r>
      <w:r w:rsidRPr="004B3667" w:rsidR="006B2CB3">
        <w:rPr>
          <w:rFonts w:cs="Times New Roman"/>
          <w:szCs w:val="20"/>
        </w:rPr>
        <w:t>the 2020 CEC Forecast</w:t>
      </w:r>
      <w:r w:rsidRPr="004B3667" w:rsidR="00164B40">
        <w:rPr>
          <w:rFonts w:cs="Times New Roman"/>
          <w:szCs w:val="20"/>
        </w:rPr>
        <w:t xml:space="preserve"> </w:t>
      </w:r>
      <w:r w:rsidRPr="004B3667" w:rsidR="00C829B4">
        <w:rPr>
          <w:rFonts w:cs="Times New Roman"/>
          <w:szCs w:val="20"/>
        </w:rPr>
        <w:t xml:space="preserve">does not accurately reflect how the Covid-19 pandemic has changed energy usage </w:t>
      </w:r>
      <w:bookmarkEnd w:id="17"/>
      <w:r w:rsidRPr="004B3667" w:rsidR="00C829B4">
        <w:rPr>
          <w:rFonts w:cs="Times New Roman"/>
          <w:szCs w:val="20"/>
        </w:rPr>
        <w:t>patterns</w:t>
      </w:r>
      <w:bookmarkEnd w:id="18"/>
      <w:r w:rsidRPr="004B3667" w:rsidR="00C829B4">
        <w:rPr>
          <w:rFonts w:cs="Times New Roman"/>
          <w:szCs w:val="20"/>
        </w:rPr>
        <w:t xml:space="preserve">, such as the shift in energy load from commercial customers to residential customers.  They </w:t>
      </w:r>
      <w:r w:rsidRPr="004B3667" w:rsidR="00541D7B">
        <w:rPr>
          <w:rFonts w:cs="Times New Roman"/>
          <w:szCs w:val="20"/>
        </w:rPr>
        <w:t xml:space="preserve">contest </w:t>
      </w:r>
      <w:r w:rsidRPr="004B3667" w:rsidR="00C829B4">
        <w:rPr>
          <w:rFonts w:cs="Times New Roman"/>
          <w:szCs w:val="20"/>
        </w:rPr>
        <w:t xml:space="preserve">the accuracy of </w:t>
      </w:r>
      <w:r w:rsidRPr="004B3667" w:rsidR="00164B40">
        <w:rPr>
          <w:rFonts w:cs="Times New Roman"/>
          <w:szCs w:val="20"/>
        </w:rPr>
        <w:t>the 2020 CEC Forecast</w:t>
      </w:r>
      <w:r w:rsidRPr="004B3667" w:rsidDel="00164B40" w:rsidR="00164B40">
        <w:rPr>
          <w:rFonts w:cs="Times New Roman"/>
          <w:szCs w:val="20"/>
        </w:rPr>
        <w:t xml:space="preserve"> </w:t>
      </w:r>
      <w:r w:rsidRPr="004B3667" w:rsidR="00C829B4">
        <w:rPr>
          <w:rFonts w:cs="Times New Roman"/>
          <w:szCs w:val="20"/>
        </w:rPr>
        <w:t xml:space="preserve">in forecasting pandemic impacts because </w:t>
      </w:r>
      <w:bookmarkStart w:name="_Hlk90385838" w:id="19"/>
      <w:r w:rsidRPr="004B3667" w:rsidR="00164B40">
        <w:rPr>
          <w:rFonts w:cs="Times New Roman"/>
          <w:szCs w:val="20"/>
        </w:rPr>
        <w:t>the 2020 CEC Forecast</w:t>
      </w:r>
      <w:r w:rsidRPr="004B3667" w:rsidDel="00164B40" w:rsidR="00164B40">
        <w:rPr>
          <w:rFonts w:cs="Times New Roman"/>
          <w:szCs w:val="20"/>
        </w:rPr>
        <w:t xml:space="preserve"> </w:t>
      </w:r>
      <w:r w:rsidRPr="004B3667" w:rsidR="00C829B4">
        <w:rPr>
          <w:rFonts w:cs="Times New Roman"/>
          <w:szCs w:val="20"/>
        </w:rPr>
        <w:t>relies on pre-pandemic sales data recorded in 2019</w:t>
      </w:r>
      <w:bookmarkEnd w:id="19"/>
      <w:r w:rsidRPr="004B3667" w:rsidR="00C829B4">
        <w:rPr>
          <w:rFonts w:cs="Times New Roman"/>
          <w:szCs w:val="20"/>
        </w:rPr>
        <w:t xml:space="preserve">.  </w:t>
      </w:r>
    </w:p>
    <w:p w:rsidRPr="004B3667" w:rsidR="00C829B4" w:rsidP="00C829B4" w:rsidRDefault="00C829B4" w14:paraId="5B62FC63" w14:textId="127E7CE7">
      <w:pPr>
        <w:rPr>
          <w:rFonts w:cs="Times New Roman"/>
          <w:szCs w:val="20"/>
        </w:rPr>
      </w:pPr>
      <w:bookmarkStart w:name="_Hlk90574726" w:id="20"/>
      <w:r w:rsidRPr="004B3667">
        <w:rPr>
          <w:rFonts w:cs="Times New Roman"/>
          <w:szCs w:val="20"/>
        </w:rPr>
        <w:t xml:space="preserve">The parties </w:t>
      </w:r>
      <w:r w:rsidRPr="004B3667" w:rsidR="007C1CF3">
        <w:rPr>
          <w:rFonts w:cs="Times New Roman"/>
          <w:szCs w:val="20"/>
        </w:rPr>
        <w:t>emphasized the importance of</w:t>
      </w:r>
      <w:r w:rsidRPr="004B3667">
        <w:rPr>
          <w:rFonts w:cs="Times New Roman"/>
          <w:szCs w:val="20"/>
        </w:rPr>
        <w:t xml:space="preserve"> accurately </w:t>
      </w:r>
      <w:r w:rsidRPr="004B3667" w:rsidR="007C1CF3">
        <w:rPr>
          <w:rFonts w:cs="Times New Roman"/>
          <w:szCs w:val="20"/>
        </w:rPr>
        <w:t>accounting for the</w:t>
      </w:r>
      <w:r w:rsidRPr="004B3667">
        <w:rPr>
          <w:rFonts w:cs="Times New Roman"/>
          <w:szCs w:val="20"/>
        </w:rPr>
        <w:t xml:space="preserve"> pandemic</w:t>
      </w:r>
      <w:r w:rsidRPr="004B3667" w:rsidR="00D92BA0">
        <w:rPr>
          <w:rFonts w:cs="Times New Roman"/>
          <w:szCs w:val="20"/>
        </w:rPr>
        <w:t>’s impacts</w:t>
      </w:r>
      <w:r w:rsidRPr="004B3667" w:rsidR="007C1CF3">
        <w:rPr>
          <w:rFonts w:cs="Times New Roman"/>
          <w:szCs w:val="20"/>
        </w:rPr>
        <w:t xml:space="preserve"> in the sales forecast</w:t>
      </w:r>
      <w:r w:rsidRPr="004B3667">
        <w:rPr>
          <w:rFonts w:cs="Times New Roman"/>
          <w:szCs w:val="20"/>
        </w:rPr>
        <w:t xml:space="preserve">.  </w:t>
      </w:r>
      <w:proofErr w:type="spellStart"/>
      <w:r w:rsidRPr="004B3667">
        <w:rPr>
          <w:rFonts w:cs="Times New Roman"/>
          <w:szCs w:val="20"/>
        </w:rPr>
        <w:t>SBUA</w:t>
      </w:r>
      <w:proofErr w:type="spellEnd"/>
      <w:r w:rsidRPr="004B3667" w:rsidR="007C1CF3">
        <w:rPr>
          <w:rFonts w:cs="Times New Roman"/>
          <w:szCs w:val="20"/>
        </w:rPr>
        <w:t xml:space="preserve"> argues that</w:t>
      </w:r>
      <w:r w:rsidRPr="004B3667">
        <w:rPr>
          <w:rFonts w:cs="Times New Roman"/>
          <w:szCs w:val="20"/>
        </w:rPr>
        <w:t xml:space="preserve"> accurately accounting for the impacts on energy load is necessary to appropriately assign costs to the various customer classes</w:t>
      </w:r>
      <w:bookmarkEnd w:id="20"/>
      <w:r w:rsidRPr="004B3667">
        <w:rPr>
          <w:rFonts w:cs="Times New Roman"/>
          <w:szCs w:val="20"/>
        </w:rPr>
        <w:t>, in following with cost causation principles.</w:t>
      </w:r>
      <w:r w:rsidRPr="004B3667">
        <w:rPr>
          <w:rFonts w:cs="Times New Roman"/>
          <w:szCs w:val="20"/>
          <w:vertAlign w:val="superscript"/>
        </w:rPr>
        <w:footnoteReference w:id="6"/>
      </w:r>
      <w:r w:rsidRPr="004B3667">
        <w:rPr>
          <w:rFonts w:cs="Times New Roman"/>
          <w:szCs w:val="20"/>
        </w:rPr>
        <w:t xml:space="preserve">  </w:t>
      </w:r>
      <w:r w:rsidR="00AF09C6">
        <w:rPr>
          <w:rFonts w:cs="Times New Roman"/>
          <w:szCs w:val="20"/>
        </w:rPr>
        <w:t>Cal Adv</w:t>
      </w:r>
      <w:r w:rsidRPr="004B3667">
        <w:rPr>
          <w:rFonts w:cs="Times New Roman"/>
          <w:szCs w:val="20"/>
        </w:rPr>
        <w:t xml:space="preserve">ocates argues that, because SDG&amp;E did not accurately forecast pandemic impacts, SDG&amp;E’s Proposal underestimates system sales and </w:t>
      </w:r>
      <w:bookmarkStart w:name="_Hlk90385949" w:id="21"/>
      <w:r w:rsidRPr="004B3667">
        <w:rPr>
          <w:rFonts w:cs="Times New Roman"/>
          <w:szCs w:val="20"/>
        </w:rPr>
        <w:t xml:space="preserve">sets artificially high electric rates.  These high electric rates, according to </w:t>
      </w:r>
      <w:r w:rsidR="00AF09C6">
        <w:rPr>
          <w:rFonts w:cs="Times New Roman"/>
          <w:szCs w:val="20"/>
        </w:rPr>
        <w:t>Cal Adv</w:t>
      </w:r>
      <w:r w:rsidRPr="004B3667">
        <w:rPr>
          <w:rFonts w:cs="Times New Roman"/>
          <w:szCs w:val="20"/>
        </w:rPr>
        <w:t xml:space="preserve">ocates, will </w:t>
      </w:r>
      <w:r w:rsidRPr="004B3667" w:rsidR="008372F1">
        <w:rPr>
          <w:rFonts w:cs="Times New Roman"/>
          <w:szCs w:val="20"/>
        </w:rPr>
        <w:t>cause</w:t>
      </w:r>
      <w:r w:rsidRPr="004B3667">
        <w:rPr>
          <w:rFonts w:cs="Times New Roman"/>
          <w:szCs w:val="20"/>
        </w:rPr>
        <w:t xml:space="preserve"> SDG&amp;E to collect more revenues than necessary in 2022</w:t>
      </w:r>
      <w:bookmarkEnd w:id="21"/>
      <w:r w:rsidRPr="004B3667">
        <w:rPr>
          <w:rFonts w:cs="Times New Roman"/>
          <w:szCs w:val="20"/>
        </w:rPr>
        <w:t xml:space="preserve"> and are therefore not just </w:t>
      </w:r>
      <w:r w:rsidRPr="004B3667">
        <w:rPr>
          <w:rFonts w:cs="Times New Roman"/>
          <w:szCs w:val="20"/>
        </w:rPr>
        <w:lastRenderedPageBreak/>
        <w:t xml:space="preserve">and reasonable, </w:t>
      </w:r>
      <w:r w:rsidRPr="004B3667" w:rsidR="008372F1">
        <w:rPr>
          <w:rFonts w:cs="Times New Roman"/>
          <w:szCs w:val="20"/>
        </w:rPr>
        <w:t xml:space="preserve">at a time when </w:t>
      </w:r>
      <w:r w:rsidRPr="004B3667">
        <w:rPr>
          <w:rFonts w:cs="Times New Roman"/>
          <w:szCs w:val="20"/>
        </w:rPr>
        <w:t xml:space="preserve">ratepayers </w:t>
      </w:r>
      <w:r w:rsidRPr="004B3667" w:rsidR="008372F1">
        <w:rPr>
          <w:rFonts w:cs="Times New Roman"/>
          <w:szCs w:val="20"/>
        </w:rPr>
        <w:t xml:space="preserve">are </w:t>
      </w:r>
      <w:r w:rsidRPr="004B3667">
        <w:rPr>
          <w:rFonts w:cs="Times New Roman"/>
          <w:szCs w:val="20"/>
        </w:rPr>
        <w:t>struggl</w:t>
      </w:r>
      <w:r w:rsidRPr="004B3667" w:rsidR="008372F1">
        <w:rPr>
          <w:rFonts w:cs="Times New Roman"/>
          <w:szCs w:val="20"/>
        </w:rPr>
        <w:t>ing</w:t>
      </w:r>
      <w:r w:rsidRPr="004B3667">
        <w:rPr>
          <w:rFonts w:cs="Times New Roman"/>
          <w:szCs w:val="20"/>
        </w:rPr>
        <w:t xml:space="preserve"> with the economic impacts from the pandemic.</w:t>
      </w:r>
      <w:r w:rsidRPr="004B3667">
        <w:rPr>
          <w:rFonts w:cs="Times New Roman"/>
          <w:szCs w:val="20"/>
          <w:vertAlign w:val="superscript"/>
        </w:rPr>
        <w:footnoteReference w:id="7"/>
      </w:r>
      <w:r w:rsidRPr="004B3667">
        <w:rPr>
          <w:rFonts w:cs="Times New Roman"/>
          <w:szCs w:val="20"/>
        </w:rPr>
        <w:t xml:space="preserve">  </w:t>
      </w:r>
    </w:p>
    <w:p w:rsidRPr="004B3667" w:rsidR="00C829B4" w:rsidP="00D7350A" w:rsidRDefault="00AF09C6" w14:paraId="7F7955F3" w14:textId="60EA3576">
      <w:pPr>
        <w:pStyle w:val="Heading2"/>
      </w:pPr>
      <w:bookmarkStart w:name="_Toc98143105" w:id="22"/>
      <w:r>
        <w:t>Cal Adv</w:t>
      </w:r>
      <w:r w:rsidRPr="004B3667" w:rsidR="00C829B4">
        <w:t>ocates’ Proposed Sales Forecast</w:t>
      </w:r>
      <w:bookmarkEnd w:id="22"/>
    </w:p>
    <w:p w:rsidRPr="004B3667" w:rsidR="009C7A59" w:rsidP="00C829B4" w:rsidRDefault="00C829B4" w14:paraId="1E7D7CC7" w14:textId="1472407F">
      <w:pPr>
        <w:rPr>
          <w:rFonts w:cs="Times New Roman"/>
          <w:szCs w:val="20"/>
        </w:rPr>
      </w:pPr>
      <w:r w:rsidRPr="004B3667">
        <w:rPr>
          <w:rFonts w:cs="Times New Roman"/>
          <w:szCs w:val="20"/>
        </w:rPr>
        <w:t xml:space="preserve">As an alternative, </w:t>
      </w:r>
      <w:bookmarkStart w:name="_Hlk90386366" w:id="23"/>
      <w:r w:rsidR="00AF09C6">
        <w:rPr>
          <w:rFonts w:cs="Times New Roman"/>
          <w:szCs w:val="20"/>
        </w:rPr>
        <w:t>Cal Adv</w:t>
      </w:r>
      <w:r w:rsidRPr="004B3667">
        <w:rPr>
          <w:rFonts w:cs="Times New Roman"/>
          <w:szCs w:val="20"/>
        </w:rPr>
        <w:t xml:space="preserve">ocates proposes to use </w:t>
      </w:r>
      <w:bookmarkStart w:name="_Hlk92141808" w:id="24"/>
      <w:r w:rsidRPr="004B3667">
        <w:rPr>
          <w:rFonts w:cs="Times New Roman"/>
          <w:szCs w:val="20"/>
        </w:rPr>
        <w:t xml:space="preserve">the </w:t>
      </w:r>
      <w:r w:rsidR="00B048F1">
        <w:rPr>
          <w:rFonts w:cs="Times New Roman"/>
          <w:szCs w:val="20"/>
        </w:rPr>
        <w:t>D</w:t>
      </w:r>
      <w:r w:rsidRPr="004B3667" w:rsidR="00DA2C89">
        <w:rPr>
          <w:rFonts w:cs="Times New Roman"/>
          <w:szCs w:val="20"/>
        </w:rPr>
        <w:t xml:space="preserve">emand </w:t>
      </w:r>
      <w:r w:rsidR="00B048F1">
        <w:rPr>
          <w:rFonts w:cs="Times New Roman"/>
          <w:szCs w:val="20"/>
        </w:rPr>
        <w:t>F</w:t>
      </w:r>
      <w:r w:rsidRPr="004B3667">
        <w:rPr>
          <w:rFonts w:cs="Times New Roman"/>
          <w:szCs w:val="20"/>
        </w:rPr>
        <w:t xml:space="preserve">orecast SDG&amp;E developed and submitted to the CEC for the 2021 cycle </w:t>
      </w:r>
      <w:bookmarkEnd w:id="24"/>
      <w:r w:rsidRPr="004B3667">
        <w:rPr>
          <w:rFonts w:cs="Times New Roman"/>
          <w:szCs w:val="20"/>
        </w:rPr>
        <w:t>(</w:t>
      </w:r>
      <w:r w:rsidRPr="004B3667" w:rsidR="004A21B1">
        <w:rPr>
          <w:rFonts w:cs="Times New Roman"/>
          <w:szCs w:val="20"/>
        </w:rPr>
        <w:t xml:space="preserve">SDG&amp;E’s 2021 Forecast or </w:t>
      </w:r>
      <w:r w:rsidR="00AF09C6">
        <w:rPr>
          <w:rFonts w:cs="Times New Roman"/>
          <w:szCs w:val="20"/>
        </w:rPr>
        <w:t>Cal Adv</w:t>
      </w:r>
      <w:r w:rsidRPr="004B3667">
        <w:rPr>
          <w:rFonts w:cs="Times New Roman"/>
          <w:szCs w:val="20"/>
        </w:rPr>
        <w:t xml:space="preserve">ocates’ Proposal).  </w:t>
      </w:r>
      <w:r w:rsidRPr="004B3667" w:rsidR="00E623F7">
        <w:rPr>
          <w:rFonts w:cs="Times New Roman"/>
          <w:szCs w:val="20"/>
        </w:rPr>
        <w:t xml:space="preserve">CEC is currently in the process of reviewing SDG&amp;E’s 2021 </w:t>
      </w:r>
      <w:r w:rsidRPr="004B3667" w:rsidR="004A21B1">
        <w:rPr>
          <w:rFonts w:cs="Times New Roman"/>
          <w:szCs w:val="20"/>
        </w:rPr>
        <w:t>F</w:t>
      </w:r>
      <w:r w:rsidRPr="004B3667" w:rsidR="00E623F7">
        <w:rPr>
          <w:rFonts w:cs="Times New Roman"/>
          <w:szCs w:val="20"/>
        </w:rPr>
        <w:t xml:space="preserve">orecast.  SDG&amp;E’s 2021 </w:t>
      </w:r>
      <w:r w:rsidRPr="004B3667" w:rsidR="004A21B1">
        <w:rPr>
          <w:rFonts w:cs="Times New Roman"/>
          <w:szCs w:val="20"/>
        </w:rPr>
        <w:t>F</w:t>
      </w:r>
      <w:r w:rsidRPr="004B3667" w:rsidR="00E623F7">
        <w:rPr>
          <w:rFonts w:cs="Times New Roman"/>
          <w:szCs w:val="20"/>
        </w:rPr>
        <w:t>orecast</w:t>
      </w:r>
      <w:r w:rsidRPr="004B3667">
        <w:rPr>
          <w:rFonts w:cs="Times New Roman"/>
          <w:szCs w:val="20"/>
        </w:rPr>
        <w:t xml:space="preserve"> has not been approved by the CEC yet.  </w:t>
      </w:r>
    </w:p>
    <w:p w:rsidRPr="004B3667" w:rsidR="00C829B4" w:rsidP="00C829B4" w:rsidRDefault="00AF09C6" w14:paraId="6CE3525F" w14:textId="59755F04">
      <w:pPr>
        <w:rPr>
          <w:rFonts w:cs="Times New Roman"/>
          <w:szCs w:val="20"/>
        </w:rPr>
      </w:pPr>
      <w:r>
        <w:rPr>
          <w:rFonts w:cs="Times New Roman"/>
          <w:szCs w:val="20"/>
        </w:rPr>
        <w:t>Cal Adv</w:t>
      </w:r>
      <w:r w:rsidRPr="004B3667" w:rsidR="00C829B4">
        <w:rPr>
          <w:rFonts w:cs="Times New Roman"/>
          <w:szCs w:val="20"/>
        </w:rPr>
        <w:t>ocates a</w:t>
      </w:r>
      <w:r w:rsidRPr="004B3667" w:rsidR="009C7A59">
        <w:rPr>
          <w:rFonts w:cs="Times New Roman"/>
          <w:szCs w:val="20"/>
        </w:rPr>
        <w:t>rgue</w:t>
      </w:r>
      <w:r w:rsidRPr="004B3667" w:rsidR="00C829B4">
        <w:rPr>
          <w:rFonts w:cs="Times New Roman"/>
          <w:szCs w:val="20"/>
        </w:rPr>
        <w:t>s that</w:t>
      </w:r>
      <w:r w:rsidRPr="004B3667" w:rsidR="007A50A2">
        <w:rPr>
          <w:rFonts w:cs="Times New Roman"/>
          <w:szCs w:val="20"/>
        </w:rPr>
        <w:t xml:space="preserve"> </w:t>
      </w:r>
      <w:r w:rsidRPr="004B3667" w:rsidR="00FF46BE">
        <w:rPr>
          <w:rFonts w:cs="Times New Roman"/>
          <w:szCs w:val="20"/>
        </w:rPr>
        <w:t>SDG&amp;E’s 2021</w:t>
      </w:r>
      <w:r w:rsidRPr="004B3667" w:rsidR="007A50A2">
        <w:rPr>
          <w:rFonts w:cs="Times New Roman"/>
          <w:szCs w:val="20"/>
        </w:rPr>
        <w:t xml:space="preserve"> </w:t>
      </w:r>
      <w:r w:rsidRPr="004B3667" w:rsidR="004A21B1">
        <w:rPr>
          <w:rFonts w:cs="Times New Roman"/>
          <w:szCs w:val="20"/>
        </w:rPr>
        <w:t>F</w:t>
      </w:r>
      <w:r w:rsidRPr="004B3667" w:rsidR="007A50A2">
        <w:rPr>
          <w:rFonts w:cs="Times New Roman"/>
          <w:szCs w:val="20"/>
        </w:rPr>
        <w:t>orecast more accurately forecasts the pandemic’s impacts on electricity usage because it uses data that captures electricity usage recorded during the Covid-19 pandemic</w:t>
      </w:r>
      <w:r w:rsidRPr="004B3667" w:rsidR="00C829B4">
        <w:rPr>
          <w:rFonts w:cs="Times New Roman"/>
          <w:szCs w:val="20"/>
        </w:rPr>
        <w:t xml:space="preserve">, </w:t>
      </w:r>
      <w:r w:rsidRPr="004B3667" w:rsidR="007A50A2">
        <w:rPr>
          <w:rFonts w:cs="Times New Roman"/>
          <w:szCs w:val="20"/>
        </w:rPr>
        <w:t>while</w:t>
      </w:r>
      <w:r w:rsidRPr="004B3667" w:rsidR="00C829B4">
        <w:rPr>
          <w:rFonts w:cs="Times New Roman"/>
          <w:szCs w:val="20"/>
        </w:rPr>
        <w:t xml:space="preserve"> SDG&amp;E’s Proposal</w:t>
      </w:r>
      <w:r w:rsidRPr="004B3667" w:rsidR="00FF46BE">
        <w:rPr>
          <w:rFonts w:cs="Times New Roman"/>
          <w:szCs w:val="20"/>
        </w:rPr>
        <w:t xml:space="preserve"> (2020 CEC </w:t>
      </w:r>
      <w:r w:rsidRPr="004B3667" w:rsidR="00887F5D">
        <w:rPr>
          <w:rFonts w:cs="Times New Roman"/>
          <w:szCs w:val="20"/>
        </w:rPr>
        <w:t>F</w:t>
      </w:r>
      <w:r w:rsidRPr="004B3667" w:rsidR="00FF46BE">
        <w:rPr>
          <w:rFonts w:cs="Times New Roman"/>
          <w:szCs w:val="20"/>
        </w:rPr>
        <w:t>orecast)</w:t>
      </w:r>
      <w:r w:rsidRPr="004B3667" w:rsidR="007A50A2">
        <w:rPr>
          <w:rFonts w:cs="Times New Roman"/>
          <w:szCs w:val="20"/>
        </w:rPr>
        <w:t xml:space="preserve"> </w:t>
      </w:r>
      <w:r w:rsidRPr="004B3667" w:rsidR="00C829B4">
        <w:rPr>
          <w:rFonts w:cs="Times New Roman"/>
          <w:szCs w:val="20"/>
        </w:rPr>
        <w:t>relies on 2019 pre-pandemic usage data.</w:t>
      </w:r>
      <w:r w:rsidR="002C59DA">
        <w:rPr>
          <w:rStyle w:val="FootnoteReference"/>
          <w:rFonts w:cs="Times New Roman"/>
          <w:szCs w:val="20"/>
        </w:rPr>
        <w:footnoteReference w:id="8"/>
      </w:r>
      <w:r w:rsidRPr="004B3667" w:rsidR="00C829B4">
        <w:rPr>
          <w:rFonts w:cs="Times New Roman"/>
          <w:szCs w:val="20"/>
        </w:rPr>
        <w:t xml:space="preserve">  </w:t>
      </w:r>
      <w:bookmarkEnd w:id="23"/>
    </w:p>
    <w:p w:rsidRPr="004B3667" w:rsidR="00C829B4" w:rsidP="00C829B4" w:rsidRDefault="00C829B4" w14:paraId="67DBF388" w14:textId="4BB3B1BC">
      <w:pPr>
        <w:rPr>
          <w:rFonts w:cs="Times New Roman"/>
          <w:szCs w:val="20"/>
        </w:rPr>
      </w:pPr>
      <w:r w:rsidRPr="004B3667">
        <w:rPr>
          <w:rFonts w:cs="Times New Roman"/>
          <w:szCs w:val="20"/>
        </w:rPr>
        <w:t xml:space="preserve">SDG&amp;E expresses concerns that </w:t>
      </w:r>
      <w:r w:rsidR="00AF09C6">
        <w:rPr>
          <w:rFonts w:cs="Times New Roman"/>
          <w:szCs w:val="20"/>
        </w:rPr>
        <w:t>Cal Adv</w:t>
      </w:r>
      <w:r w:rsidRPr="004B3667">
        <w:rPr>
          <w:rFonts w:cs="Times New Roman"/>
          <w:szCs w:val="20"/>
        </w:rPr>
        <w:t>ocates’ Proposal</w:t>
      </w:r>
      <w:r w:rsidRPr="004B3667" w:rsidR="00E468C7">
        <w:rPr>
          <w:rFonts w:cs="Times New Roman"/>
          <w:szCs w:val="20"/>
        </w:rPr>
        <w:t xml:space="preserve"> (SDG&amp;E’s 2021 </w:t>
      </w:r>
      <w:r w:rsidRPr="004B3667" w:rsidR="00887F5D">
        <w:rPr>
          <w:rFonts w:cs="Times New Roman"/>
          <w:szCs w:val="20"/>
        </w:rPr>
        <w:t>F</w:t>
      </w:r>
      <w:r w:rsidRPr="004B3667" w:rsidR="00E468C7">
        <w:rPr>
          <w:rFonts w:cs="Times New Roman"/>
          <w:szCs w:val="20"/>
        </w:rPr>
        <w:t>orecast)</w:t>
      </w:r>
      <w:r w:rsidRPr="004B3667" w:rsidR="00C61879">
        <w:rPr>
          <w:rFonts w:cs="Times New Roman"/>
          <w:szCs w:val="20"/>
        </w:rPr>
        <w:t>, which has not been approved by the CEC yet,</w:t>
      </w:r>
      <w:r w:rsidRPr="004B3667">
        <w:rPr>
          <w:rFonts w:cs="Times New Roman"/>
          <w:szCs w:val="20"/>
        </w:rPr>
        <w:t xml:space="preserve"> fails to </w:t>
      </w:r>
      <w:r w:rsidRPr="004B3667" w:rsidR="00C61879">
        <w:rPr>
          <w:rFonts w:cs="Times New Roman"/>
          <w:szCs w:val="20"/>
        </w:rPr>
        <w:t xml:space="preserve">account for things </w:t>
      </w:r>
      <w:r w:rsidRPr="004B3667">
        <w:rPr>
          <w:rFonts w:cs="Times New Roman"/>
          <w:szCs w:val="20"/>
        </w:rPr>
        <w:t>impact</w:t>
      </w:r>
      <w:r w:rsidRPr="004B3667" w:rsidR="00C61879">
        <w:rPr>
          <w:rFonts w:cs="Times New Roman"/>
          <w:szCs w:val="20"/>
        </w:rPr>
        <w:t>ing</w:t>
      </w:r>
      <w:r w:rsidRPr="004B3667">
        <w:rPr>
          <w:rFonts w:cs="Times New Roman"/>
          <w:szCs w:val="20"/>
        </w:rPr>
        <w:t xml:space="preserve"> other forecast assumptions, such as potential changes to private supply resulting from the pandemic, potential changes to electric vehicle usage patterns, and potential changes resulting from energy efficiency programs.</w:t>
      </w:r>
      <w:r w:rsidRPr="004B3667">
        <w:rPr>
          <w:rFonts w:cs="Times New Roman"/>
          <w:szCs w:val="20"/>
          <w:vertAlign w:val="superscript"/>
        </w:rPr>
        <w:footnoteReference w:id="9"/>
      </w:r>
      <w:r w:rsidRPr="004B3667">
        <w:rPr>
          <w:rFonts w:cs="Times New Roman"/>
          <w:szCs w:val="20"/>
        </w:rPr>
        <w:t xml:space="preserve">  But </w:t>
      </w:r>
      <w:r w:rsidR="00AF09C6">
        <w:rPr>
          <w:rFonts w:cs="Times New Roman"/>
          <w:szCs w:val="20"/>
        </w:rPr>
        <w:t>Cal Adv</w:t>
      </w:r>
      <w:r w:rsidRPr="004B3667">
        <w:rPr>
          <w:rFonts w:cs="Times New Roman"/>
          <w:szCs w:val="20"/>
        </w:rPr>
        <w:t>ocates argues that</w:t>
      </w:r>
      <w:r w:rsidRPr="004B3667" w:rsidR="00C61879">
        <w:rPr>
          <w:rFonts w:cs="Times New Roman"/>
          <w:szCs w:val="20"/>
        </w:rPr>
        <w:t xml:space="preserve">, because SDG&amp;E’s 2021 </w:t>
      </w:r>
      <w:r w:rsidRPr="004B3667" w:rsidR="00887F5D">
        <w:rPr>
          <w:rFonts w:cs="Times New Roman"/>
          <w:szCs w:val="20"/>
        </w:rPr>
        <w:t>F</w:t>
      </w:r>
      <w:r w:rsidRPr="004B3667" w:rsidR="00C61879">
        <w:rPr>
          <w:rFonts w:cs="Times New Roman"/>
          <w:szCs w:val="20"/>
        </w:rPr>
        <w:t>orecast is derived from</w:t>
      </w:r>
      <w:r w:rsidRPr="004B3667">
        <w:rPr>
          <w:rFonts w:cs="Times New Roman"/>
          <w:szCs w:val="20"/>
        </w:rPr>
        <w:t xml:space="preserve"> recent usage data</w:t>
      </w:r>
      <w:r w:rsidRPr="004B3667" w:rsidR="00C61879">
        <w:rPr>
          <w:rFonts w:cs="Times New Roman"/>
          <w:szCs w:val="20"/>
        </w:rPr>
        <w:t>, the</w:t>
      </w:r>
      <w:r w:rsidRPr="004B3667">
        <w:rPr>
          <w:rFonts w:cs="Times New Roman"/>
          <w:szCs w:val="20"/>
        </w:rPr>
        <w:t xml:space="preserve"> forecast account</w:t>
      </w:r>
      <w:r w:rsidRPr="004B3667" w:rsidR="00C61879">
        <w:rPr>
          <w:rFonts w:cs="Times New Roman"/>
          <w:szCs w:val="20"/>
        </w:rPr>
        <w:t>s</w:t>
      </w:r>
      <w:r w:rsidRPr="004B3667">
        <w:rPr>
          <w:rFonts w:cs="Times New Roman"/>
          <w:szCs w:val="20"/>
        </w:rPr>
        <w:t xml:space="preserve"> for</w:t>
      </w:r>
      <w:r w:rsidRPr="004B3667" w:rsidR="00C61879">
        <w:rPr>
          <w:rFonts w:cs="Times New Roman"/>
          <w:szCs w:val="20"/>
        </w:rPr>
        <w:t xml:space="preserve"> other</w:t>
      </w:r>
      <w:r w:rsidRPr="004B3667">
        <w:rPr>
          <w:rFonts w:cs="Times New Roman"/>
          <w:szCs w:val="20"/>
        </w:rPr>
        <w:t xml:space="preserve"> factors</w:t>
      </w:r>
      <w:r w:rsidRPr="004B3667" w:rsidR="00C61879">
        <w:rPr>
          <w:rFonts w:cs="Times New Roman"/>
          <w:szCs w:val="20"/>
        </w:rPr>
        <w:t xml:space="preserve"> that</w:t>
      </w:r>
      <w:r w:rsidRPr="004B3667">
        <w:rPr>
          <w:rFonts w:cs="Times New Roman"/>
          <w:szCs w:val="20"/>
        </w:rPr>
        <w:t xml:space="preserve"> affect</w:t>
      </w:r>
      <w:r w:rsidRPr="004B3667" w:rsidR="00C61879">
        <w:rPr>
          <w:rFonts w:cs="Times New Roman"/>
          <w:szCs w:val="20"/>
        </w:rPr>
        <w:t xml:space="preserve"> </w:t>
      </w:r>
      <w:r w:rsidRPr="004B3667">
        <w:rPr>
          <w:rFonts w:cs="Times New Roman"/>
          <w:szCs w:val="20"/>
        </w:rPr>
        <w:t>electricity usage.</w:t>
      </w:r>
      <w:r w:rsidRPr="004B3667">
        <w:rPr>
          <w:rFonts w:cs="Times New Roman"/>
          <w:szCs w:val="20"/>
          <w:vertAlign w:val="superscript"/>
        </w:rPr>
        <w:footnoteReference w:id="10"/>
      </w:r>
      <w:r w:rsidRPr="004B3667">
        <w:rPr>
          <w:rFonts w:cs="Times New Roman"/>
          <w:szCs w:val="20"/>
        </w:rPr>
        <w:t xml:space="preserve">  </w:t>
      </w:r>
    </w:p>
    <w:p w:rsidRPr="004B3667" w:rsidR="00C829B4" w:rsidP="00C829B4" w:rsidRDefault="00535916" w14:paraId="7C1A8D55" w14:textId="7E7F5E09">
      <w:pPr>
        <w:rPr>
          <w:rFonts w:cs="Times New Roman"/>
          <w:szCs w:val="20"/>
        </w:rPr>
      </w:pPr>
      <w:bookmarkStart w:name="_Hlk90386418" w:id="25"/>
      <w:r w:rsidRPr="004B3667">
        <w:rPr>
          <w:rFonts w:cs="Times New Roman"/>
          <w:szCs w:val="20"/>
        </w:rPr>
        <w:lastRenderedPageBreak/>
        <w:t xml:space="preserve">Utility Consumers’ </w:t>
      </w:r>
      <w:r w:rsidRPr="004B3667" w:rsidR="00887F5D">
        <w:rPr>
          <w:rFonts w:cs="Times New Roman"/>
          <w:szCs w:val="20"/>
        </w:rPr>
        <w:t>A</w:t>
      </w:r>
      <w:r w:rsidRPr="004B3667">
        <w:rPr>
          <w:rFonts w:cs="Times New Roman"/>
          <w:szCs w:val="20"/>
        </w:rPr>
        <w:t>ction Network (</w:t>
      </w:r>
      <w:r w:rsidRPr="004B3667" w:rsidR="00C829B4">
        <w:rPr>
          <w:rFonts w:cs="Times New Roman"/>
          <w:szCs w:val="20"/>
        </w:rPr>
        <w:t>UCAN</w:t>
      </w:r>
      <w:r w:rsidRPr="004B3667">
        <w:rPr>
          <w:rFonts w:cs="Times New Roman"/>
          <w:szCs w:val="20"/>
        </w:rPr>
        <w:t>)</w:t>
      </w:r>
      <w:r w:rsidRPr="004B3667" w:rsidR="00C829B4">
        <w:rPr>
          <w:rFonts w:cs="Times New Roman"/>
          <w:szCs w:val="20"/>
        </w:rPr>
        <w:t xml:space="preserve"> and </w:t>
      </w:r>
      <w:proofErr w:type="spellStart"/>
      <w:r w:rsidRPr="004B3667" w:rsidR="00C829B4">
        <w:rPr>
          <w:rFonts w:cs="Times New Roman"/>
          <w:szCs w:val="20"/>
        </w:rPr>
        <w:t>SBUA</w:t>
      </w:r>
      <w:proofErr w:type="spellEnd"/>
      <w:r w:rsidRPr="004B3667" w:rsidR="00C829B4">
        <w:rPr>
          <w:rFonts w:cs="Times New Roman"/>
          <w:szCs w:val="20"/>
        </w:rPr>
        <w:t xml:space="preserve"> support </w:t>
      </w:r>
      <w:r w:rsidR="00AF09C6">
        <w:rPr>
          <w:rFonts w:cs="Times New Roman"/>
          <w:szCs w:val="20"/>
        </w:rPr>
        <w:t>Cal Adv</w:t>
      </w:r>
      <w:r w:rsidRPr="004B3667" w:rsidR="00C829B4">
        <w:rPr>
          <w:rFonts w:cs="Times New Roman"/>
          <w:szCs w:val="20"/>
        </w:rPr>
        <w:t>ocates’ Propos</w:t>
      </w:r>
      <w:bookmarkEnd w:id="25"/>
      <w:r w:rsidRPr="004B3667" w:rsidR="00C829B4">
        <w:rPr>
          <w:rFonts w:cs="Times New Roman"/>
          <w:szCs w:val="20"/>
        </w:rPr>
        <w:t>al.</w:t>
      </w:r>
      <w:r w:rsidRPr="004B3667" w:rsidR="00C829B4">
        <w:rPr>
          <w:rFonts w:cs="Times New Roman"/>
          <w:szCs w:val="20"/>
          <w:vertAlign w:val="superscript"/>
        </w:rPr>
        <w:footnoteReference w:id="11"/>
      </w:r>
      <w:r w:rsidRPr="004B3667" w:rsidR="00C829B4">
        <w:rPr>
          <w:rFonts w:cs="Times New Roman"/>
          <w:szCs w:val="20"/>
          <w:vertAlign w:val="superscript"/>
        </w:rPr>
        <w:t>,</w:t>
      </w:r>
      <w:r w:rsidRPr="004B3667" w:rsidR="00C829B4">
        <w:rPr>
          <w:rFonts w:cs="Times New Roman"/>
          <w:szCs w:val="20"/>
          <w:vertAlign w:val="superscript"/>
        </w:rPr>
        <w:footnoteReference w:id="12"/>
      </w:r>
    </w:p>
    <w:p w:rsidRPr="004B3667" w:rsidR="00C829B4" w:rsidP="00D7350A" w:rsidRDefault="00C829B4" w14:paraId="21ACE96C" w14:textId="0EED7F5D">
      <w:pPr>
        <w:pStyle w:val="Heading2"/>
      </w:pPr>
      <w:bookmarkStart w:name="_Toc98143106" w:id="26"/>
      <w:r w:rsidRPr="004B3667">
        <w:t>SDG&amp;E</w:t>
      </w:r>
      <w:r w:rsidRPr="004B3667" w:rsidR="00192B99">
        <w:t xml:space="preserve"> Defends Using the 2020 CEC Forecast</w:t>
      </w:r>
      <w:bookmarkEnd w:id="26"/>
    </w:p>
    <w:p w:rsidRPr="004B3667" w:rsidR="00C829B4" w:rsidP="00C829B4" w:rsidRDefault="00C829B4" w14:paraId="01838B50" w14:textId="0D3A2449">
      <w:pPr>
        <w:rPr>
          <w:rFonts w:cs="Times New Roman"/>
          <w:szCs w:val="20"/>
        </w:rPr>
      </w:pPr>
      <w:r w:rsidRPr="004B3667">
        <w:rPr>
          <w:rFonts w:cs="Times New Roman"/>
          <w:szCs w:val="20"/>
        </w:rPr>
        <w:t>SDG&amp;E defends its proposal</w:t>
      </w:r>
      <w:bookmarkStart w:name="_Hlk90386198" w:id="27"/>
      <w:r w:rsidRPr="004B3667">
        <w:rPr>
          <w:rFonts w:cs="Times New Roman"/>
          <w:szCs w:val="20"/>
        </w:rPr>
        <w:t xml:space="preserve"> </w:t>
      </w:r>
      <w:r w:rsidR="00B45F21">
        <w:rPr>
          <w:rFonts w:cs="Times New Roman"/>
          <w:szCs w:val="20"/>
        </w:rPr>
        <w:t xml:space="preserve">to use </w:t>
      </w:r>
      <w:r w:rsidRPr="004B3667">
        <w:rPr>
          <w:rFonts w:cs="Times New Roman"/>
          <w:szCs w:val="20"/>
        </w:rPr>
        <w:t xml:space="preserve">the 2020 CEC </w:t>
      </w:r>
      <w:r w:rsidRPr="004B3667" w:rsidR="0031583E">
        <w:rPr>
          <w:rFonts w:cs="Times New Roman"/>
          <w:szCs w:val="20"/>
        </w:rPr>
        <w:t>F</w:t>
      </w:r>
      <w:r w:rsidRPr="004B3667">
        <w:rPr>
          <w:rFonts w:cs="Times New Roman"/>
          <w:szCs w:val="20"/>
        </w:rPr>
        <w:t xml:space="preserve">orecast.  SDG&amp;E argues that the 2020 CEC </w:t>
      </w:r>
      <w:r w:rsidRPr="004B3667" w:rsidR="0031583E">
        <w:rPr>
          <w:rFonts w:cs="Times New Roman"/>
          <w:szCs w:val="20"/>
        </w:rPr>
        <w:t>F</w:t>
      </w:r>
      <w:r w:rsidRPr="004B3667">
        <w:rPr>
          <w:rFonts w:cs="Times New Roman"/>
          <w:szCs w:val="20"/>
        </w:rPr>
        <w:t>orecast is the most recently approved forecast that was vetted through CEC’s Integrated Energy Policy Report (</w:t>
      </w:r>
      <w:proofErr w:type="spellStart"/>
      <w:r w:rsidRPr="004B3667">
        <w:rPr>
          <w:rFonts w:cs="Times New Roman"/>
          <w:szCs w:val="20"/>
        </w:rPr>
        <w:t>IEPR</w:t>
      </w:r>
      <w:proofErr w:type="spellEnd"/>
      <w:r w:rsidRPr="004B3667">
        <w:rPr>
          <w:rFonts w:cs="Times New Roman"/>
          <w:szCs w:val="20"/>
        </w:rPr>
        <w:t xml:space="preserve">) process.  SDG&amp;E notes that, through the </w:t>
      </w:r>
      <w:proofErr w:type="spellStart"/>
      <w:r w:rsidRPr="004B3667">
        <w:rPr>
          <w:rFonts w:cs="Times New Roman"/>
          <w:szCs w:val="20"/>
        </w:rPr>
        <w:t>IEPR</w:t>
      </w:r>
      <w:proofErr w:type="spellEnd"/>
      <w:r w:rsidRPr="004B3667">
        <w:rPr>
          <w:rFonts w:cs="Times New Roman"/>
          <w:szCs w:val="20"/>
        </w:rPr>
        <w:t xml:space="preserve"> process, the 2020 CEC </w:t>
      </w:r>
      <w:r w:rsidRPr="004B3667" w:rsidR="0031583E">
        <w:rPr>
          <w:rFonts w:cs="Times New Roman"/>
          <w:szCs w:val="20"/>
        </w:rPr>
        <w:t>F</w:t>
      </w:r>
      <w:r w:rsidRPr="004B3667">
        <w:rPr>
          <w:rFonts w:cs="Times New Roman"/>
          <w:szCs w:val="20"/>
        </w:rPr>
        <w:t>orecast incorporated inputs from numerous parties, workshops, and analyses of drivers that impact electric sales</w:t>
      </w:r>
      <w:bookmarkEnd w:id="27"/>
      <w:r w:rsidRPr="004B3667">
        <w:rPr>
          <w:rFonts w:cs="Times New Roman"/>
          <w:szCs w:val="20"/>
        </w:rPr>
        <w:t>.</w:t>
      </w:r>
      <w:r w:rsidRPr="004B3667">
        <w:rPr>
          <w:rFonts w:cs="Times New Roman"/>
          <w:szCs w:val="20"/>
          <w:vertAlign w:val="superscript"/>
        </w:rPr>
        <w:footnoteReference w:id="13"/>
      </w:r>
      <w:r w:rsidRPr="004B3667">
        <w:rPr>
          <w:rFonts w:cs="Times New Roman"/>
          <w:szCs w:val="20"/>
        </w:rPr>
        <w:t xml:space="preserve">  </w:t>
      </w:r>
    </w:p>
    <w:p w:rsidRPr="004B3667" w:rsidR="00C829B4" w:rsidP="00C829B4" w:rsidRDefault="00C829B4" w14:paraId="2E841C95" w14:textId="67AA8B87">
      <w:pPr>
        <w:rPr>
          <w:rFonts w:cs="Times New Roman"/>
          <w:szCs w:val="20"/>
        </w:rPr>
      </w:pPr>
      <w:r w:rsidRPr="004B3667">
        <w:rPr>
          <w:rFonts w:cs="Times New Roman"/>
          <w:szCs w:val="20"/>
        </w:rPr>
        <w:t xml:space="preserve">Furthermore, SDG&amp;E argues the approved CEC </w:t>
      </w:r>
      <w:r w:rsidR="00327EA1">
        <w:rPr>
          <w:rFonts w:cs="Times New Roman"/>
          <w:szCs w:val="20"/>
        </w:rPr>
        <w:t>d</w:t>
      </w:r>
      <w:r w:rsidRPr="004B3667" w:rsidR="0031583E">
        <w:rPr>
          <w:rFonts w:cs="Times New Roman"/>
          <w:szCs w:val="20"/>
        </w:rPr>
        <w:t xml:space="preserve">emand </w:t>
      </w:r>
      <w:r w:rsidR="00327EA1">
        <w:rPr>
          <w:rFonts w:cs="Times New Roman"/>
          <w:szCs w:val="20"/>
        </w:rPr>
        <w:t>f</w:t>
      </w:r>
      <w:r w:rsidRPr="004B3667">
        <w:rPr>
          <w:rFonts w:cs="Times New Roman"/>
          <w:szCs w:val="20"/>
        </w:rPr>
        <w:t xml:space="preserve">orecasts are used for statewide energy planning </w:t>
      </w:r>
      <w:bookmarkStart w:name="_Hlk90386325" w:id="28"/>
      <w:r w:rsidRPr="004B3667">
        <w:rPr>
          <w:rFonts w:cs="Times New Roman"/>
          <w:szCs w:val="20"/>
        </w:rPr>
        <w:t xml:space="preserve">as well as in multiple </w:t>
      </w:r>
      <w:r w:rsidR="00A733B4">
        <w:rPr>
          <w:rFonts w:cs="Times New Roman"/>
          <w:szCs w:val="20"/>
        </w:rPr>
        <w:t>Commission</w:t>
      </w:r>
      <w:r w:rsidRPr="004B3667" w:rsidR="00A733B4">
        <w:rPr>
          <w:rFonts w:cs="Times New Roman"/>
          <w:szCs w:val="20"/>
        </w:rPr>
        <w:t xml:space="preserve"> </w:t>
      </w:r>
      <w:r w:rsidRPr="004B3667">
        <w:rPr>
          <w:rFonts w:cs="Times New Roman"/>
          <w:szCs w:val="20"/>
        </w:rPr>
        <w:t xml:space="preserve">proceedings, such as the ERRA forecast proceeding and the Resource Adequacy proceeding.  SDG&amp;E urges the Commission to adopt its proposed forecast </w:t>
      </w:r>
      <w:bookmarkEnd w:id="28"/>
      <w:r w:rsidRPr="004B3667">
        <w:rPr>
          <w:rFonts w:cs="Times New Roman"/>
          <w:szCs w:val="20"/>
        </w:rPr>
        <w:t>so that the Commission can use a consistent sales forecast across multiple proceedings.</w:t>
      </w:r>
      <w:r w:rsidRPr="004B3667">
        <w:rPr>
          <w:rFonts w:cs="Times New Roman"/>
          <w:szCs w:val="20"/>
          <w:vertAlign w:val="superscript"/>
        </w:rPr>
        <w:footnoteReference w:id="14"/>
      </w:r>
      <w:r w:rsidRPr="004B3667">
        <w:rPr>
          <w:rFonts w:cs="Times New Roman"/>
          <w:szCs w:val="20"/>
        </w:rPr>
        <w:t xml:space="preserve">   </w:t>
      </w:r>
    </w:p>
    <w:p w:rsidRPr="004B3667" w:rsidR="00C829B4" w:rsidP="00C829B4" w:rsidRDefault="00AF09C6" w14:paraId="1D495387" w14:textId="3AD05BB1">
      <w:pPr>
        <w:rPr>
          <w:rFonts w:cs="Times New Roman"/>
          <w:szCs w:val="20"/>
        </w:rPr>
      </w:pPr>
      <w:r>
        <w:rPr>
          <w:rFonts w:cs="Times New Roman"/>
          <w:szCs w:val="20"/>
        </w:rPr>
        <w:t>Cal Adv</w:t>
      </w:r>
      <w:r w:rsidRPr="004B3667" w:rsidR="00C829B4">
        <w:rPr>
          <w:rFonts w:cs="Times New Roman"/>
          <w:szCs w:val="20"/>
        </w:rPr>
        <w:t xml:space="preserve">ocates argues that there is no requirement for a sales forecast to go through the entire CEC </w:t>
      </w:r>
      <w:proofErr w:type="spellStart"/>
      <w:r w:rsidRPr="004B3667" w:rsidR="00C829B4">
        <w:rPr>
          <w:rFonts w:cs="Times New Roman"/>
          <w:szCs w:val="20"/>
        </w:rPr>
        <w:t>IEPR</w:t>
      </w:r>
      <w:proofErr w:type="spellEnd"/>
      <w:r w:rsidRPr="004B3667" w:rsidR="00C829B4">
        <w:rPr>
          <w:rFonts w:cs="Times New Roman"/>
          <w:szCs w:val="20"/>
        </w:rPr>
        <w:t xml:space="preserve"> process, noting that both Pacific Gas and Electric Company (PG&amp;E) and Southern California Edison Company (SCE) have submitted annual electric sales forecasts in their ERRA forecast applications using their own forecasting methods that are separate from the CEC forecasting process.  </w:t>
      </w:r>
      <w:r>
        <w:rPr>
          <w:rFonts w:cs="Times New Roman"/>
          <w:szCs w:val="20"/>
        </w:rPr>
        <w:t>Cal Adv</w:t>
      </w:r>
      <w:r w:rsidRPr="004B3667" w:rsidR="00C829B4">
        <w:rPr>
          <w:rFonts w:cs="Times New Roman"/>
          <w:szCs w:val="20"/>
        </w:rPr>
        <w:t xml:space="preserve">ocates recommends that the Commission adopt a forecast that </w:t>
      </w:r>
      <w:r w:rsidRPr="004B3667" w:rsidR="00C829B4">
        <w:rPr>
          <w:rFonts w:cs="Times New Roman"/>
          <w:szCs w:val="20"/>
        </w:rPr>
        <w:lastRenderedPageBreak/>
        <w:t>more accurately predict</w:t>
      </w:r>
      <w:r w:rsidR="00A733B4">
        <w:rPr>
          <w:rFonts w:cs="Times New Roman"/>
          <w:szCs w:val="20"/>
        </w:rPr>
        <w:t>s</w:t>
      </w:r>
      <w:r w:rsidRPr="004B3667" w:rsidR="00C829B4">
        <w:rPr>
          <w:rFonts w:cs="Times New Roman"/>
          <w:szCs w:val="20"/>
        </w:rPr>
        <w:t xml:space="preserve"> sales, such as </w:t>
      </w:r>
      <w:r>
        <w:rPr>
          <w:rFonts w:cs="Times New Roman"/>
          <w:szCs w:val="20"/>
        </w:rPr>
        <w:t>Cal Adv</w:t>
      </w:r>
      <w:r w:rsidRPr="004B3667" w:rsidR="00C829B4">
        <w:rPr>
          <w:rFonts w:cs="Times New Roman"/>
          <w:szCs w:val="20"/>
        </w:rPr>
        <w:t xml:space="preserve">ocates’ </w:t>
      </w:r>
      <w:r w:rsidRPr="004B3667" w:rsidR="00CB77BF">
        <w:rPr>
          <w:rFonts w:cs="Times New Roman"/>
          <w:szCs w:val="20"/>
        </w:rPr>
        <w:t>Propos</w:t>
      </w:r>
      <w:r w:rsidRPr="004B3667" w:rsidR="00382422">
        <w:rPr>
          <w:rFonts w:cs="Times New Roman"/>
          <w:szCs w:val="20"/>
        </w:rPr>
        <w:t xml:space="preserve">al </w:t>
      </w:r>
      <w:r w:rsidRPr="004B3667" w:rsidR="00095EBB">
        <w:rPr>
          <w:rFonts w:cs="Times New Roman"/>
          <w:szCs w:val="20"/>
        </w:rPr>
        <w:t xml:space="preserve">(SDG&amp;E’s 2021 </w:t>
      </w:r>
      <w:r w:rsidRPr="004B3667" w:rsidR="00EF6B38">
        <w:rPr>
          <w:rFonts w:cs="Times New Roman"/>
          <w:szCs w:val="20"/>
        </w:rPr>
        <w:t>F</w:t>
      </w:r>
      <w:r w:rsidRPr="004B3667" w:rsidR="00095EBB">
        <w:rPr>
          <w:rFonts w:cs="Times New Roman"/>
          <w:szCs w:val="20"/>
        </w:rPr>
        <w:t>orecast)</w:t>
      </w:r>
      <w:r w:rsidRPr="004B3667" w:rsidR="00C829B4">
        <w:rPr>
          <w:rFonts w:cs="Times New Roman"/>
          <w:szCs w:val="20"/>
        </w:rPr>
        <w:t xml:space="preserve"> which uses the most recent data.</w:t>
      </w:r>
      <w:r w:rsidRPr="004B3667" w:rsidR="00C829B4">
        <w:rPr>
          <w:rFonts w:cs="Times New Roman"/>
          <w:szCs w:val="20"/>
          <w:vertAlign w:val="superscript"/>
        </w:rPr>
        <w:footnoteReference w:id="15"/>
      </w:r>
      <w:r w:rsidRPr="004B3667" w:rsidR="00C829B4">
        <w:rPr>
          <w:rFonts w:cs="Times New Roman"/>
          <w:szCs w:val="20"/>
        </w:rPr>
        <w:t xml:space="preserve">  </w:t>
      </w:r>
    </w:p>
    <w:p w:rsidRPr="004B3667" w:rsidR="00C829B4" w:rsidP="00C829B4" w:rsidRDefault="00C829B4" w14:paraId="21162764" w14:textId="77777777">
      <w:pPr>
        <w:rPr>
          <w:rFonts w:cs="Times New Roman"/>
          <w:szCs w:val="20"/>
        </w:rPr>
      </w:pPr>
      <w:r w:rsidRPr="004B3667">
        <w:rPr>
          <w:rFonts w:cs="Times New Roman"/>
          <w:szCs w:val="20"/>
        </w:rPr>
        <w:t xml:space="preserve">SDG&amp;E also challenges the </w:t>
      </w:r>
      <w:bookmarkStart w:name="_Hlk90386239" w:id="29"/>
      <w:r w:rsidRPr="004B3667">
        <w:rPr>
          <w:rFonts w:cs="Times New Roman"/>
          <w:szCs w:val="20"/>
        </w:rPr>
        <w:t>need for the sales forecast to account for pandemic impacts, arguing that it is speculative whether any changes in electricity usage resulting from the pandemic will persist.  SDG&amp;E insists that more research is needed to determine the statistical significance and magnitude of any pandemic load shifts.</w:t>
      </w:r>
      <w:r w:rsidRPr="004B3667">
        <w:rPr>
          <w:rFonts w:cs="Times New Roman"/>
          <w:szCs w:val="20"/>
          <w:vertAlign w:val="superscript"/>
        </w:rPr>
        <w:footnoteReference w:id="16"/>
      </w:r>
      <w:r w:rsidRPr="004B3667">
        <w:rPr>
          <w:rFonts w:cs="Times New Roman"/>
          <w:szCs w:val="20"/>
        </w:rPr>
        <w:t xml:space="preserve">  Even if there were any pandemic load shifts, SDG&amp;E argues that they should be evaluated as part of CEC’s </w:t>
      </w:r>
      <w:proofErr w:type="spellStart"/>
      <w:r w:rsidRPr="004B3667">
        <w:rPr>
          <w:rFonts w:cs="Times New Roman"/>
          <w:szCs w:val="20"/>
        </w:rPr>
        <w:t>IEPR</w:t>
      </w:r>
      <w:proofErr w:type="spellEnd"/>
      <w:r w:rsidRPr="004B3667">
        <w:rPr>
          <w:rFonts w:cs="Times New Roman"/>
          <w:szCs w:val="20"/>
        </w:rPr>
        <w:t xml:space="preserve"> process</w:t>
      </w:r>
      <w:bookmarkEnd w:id="29"/>
      <w:r w:rsidRPr="004B3667">
        <w:rPr>
          <w:rFonts w:cs="Times New Roman"/>
          <w:szCs w:val="20"/>
        </w:rPr>
        <w:t>.</w:t>
      </w:r>
      <w:r w:rsidRPr="004B3667">
        <w:rPr>
          <w:rFonts w:cs="Times New Roman"/>
          <w:szCs w:val="20"/>
          <w:vertAlign w:val="superscript"/>
        </w:rPr>
        <w:footnoteReference w:id="17"/>
      </w:r>
      <w:r w:rsidRPr="004B3667">
        <w:rPr>
          <w:rFonts w:cs="Times New Roman"/>
          <w:szCs w:val="20"/>
        </w:rPr>
        <w:t xml:space="preserve">  </w:t>
      </w:r>
    </w:p>
    <w:p w:rsidRPr="004B3667" w:rsidR="00C829B4" w:rsidP="00C829B4" w:rsidRDefault="00C829B4" w14:paraId="69F1F224" w14:textId="2C2FA144">
      <w:pPr>
        <w:rPr>
          <w:rFonts w:cs="Times New Roman"/>
          <w:szCs w:val="20"/>
        </w:rPr>
      </w:pPr>
      <w:r w:rsidRPr="004B3667">
        <w:rPr>
          <w:rFonts w:cs="Times New Roman"/>
          <w:szCs w:val="20"/>
        </w:rPr>
        <w:t xml:space="preserve">SDG&amp;E asserts that its proposed forecast </w:t>
      </w:r>
      <w:r w:rsidRPr="004B3667" w:rsidR="00095EBB">
        <w:rPr>
          <w:rFonts w:cs="Times New Roman"/>
          <w:szCs w:val="20"/>
        </w:rPr>
        <w:t xml:space="preserve">(2020 CEC </w:t>
      </w:r>
      <w:r w:rsidRPr="004B3667" w:rsidR="00EF6B38">
        <w:rPr>
          <w:rFonts w:cs="Times New Roman"/>
          <w:szCs w:val="20"/>
        </w:rPr>
        <w:t>F</w:t>
      </w:r>
      <w:r w:rsidRPr="004B3667" w:rsidR="00095EBB">
        <w:rPr>
          <w:rFonts w:cs="Times New Roman"/>
          <w:szCs w:val="20"/>
        </w:rPr>
        <w:t xml:space="preserve">orecast) </w:t>
      </w:r>
      <w:r w:rsidRPr="004B3667">
        <w:rPr>
          <w:rFonts w:cs="Times New Roman"/>
          <w:szCs w:val="20"/>
        </w:rPr>
        <w:t xml:space="preserve">includes </w:t>
      </w:r>
      <w:r w:rsidRPr="004B3667" w:rsidR="00095EBB">
        <w:rPr>
          <w:rFonts w:cs="Times New Roman"/>
          <w:szCs w:val="20"/>
        </w:rPr>
        <w:t xml:space="preserve">projected </w:t>
      </w:r>
      <w:r w:rsidRPr="004B3667">
        <w:rPr>
          <w:rFonts w:cs="Times New Roman"/>
          <w:szCs w:val="20"/>
        </w:rPr>
        <w:t>economic impacts of the pandemic.</w:t>
      </w:r>
      <w:r w:rsidRPr="004B3667">
        <w:rPr>
          <w:rFonts w:cs="Times New Roman"/>
          <w:szCs w:val="20"/>
          <w:vertAlign w:val="superscript"/>
        </w:rPr>
        <w:footnoteReference w:id="18"/>
      </w:r>
      <w:r w:rsidRPr="004B3667">
        <w:rPr>
          <w:rFonts w:cs="Times New Roman"/>
          <w:szCs w:val="20"/>
        </w:rPr>
        <w:t xml:space="preserve">  </w:t>
      </w:r>
      <w:r w:rsidR="00AF09C6">
        <w:rPr>
          <w:rFonts w:cs="Times New Roman"/>
          <w:szCs w:val="20"/>
        </w:rPr>
        <w:t>Cal Adv</w:t>
      </w:r>
      <w:r w:rsidRPr="004B3667">
        <w:rPr>
          <w:rFonts w:cs="Times New Roman"/>
          <w:szCs w:val="20"/>
        </w:rPr>
        <w:t xml:space="preserve">ocates contests the accuracy of </w:t>
      </w:r>
      <w:r w:rsidRPr="004B3667" w:rsidR="00095EBB">
        <w:rPr>
          <w:rFonts w:cs="Times New Roman"/>
          <w:szCs w:val="20"/>
        </w:rPr>
        <w:t>using projected</w:t>
      </w:r>
      <w:r w:rsidRPr="004B3667">
        <w:rPr>
          <w:rFonts w:cs="Times New Roman"/>
          <w:szCs w:val="20"/>
        </w:rPr>
        <w:t xml:space="preserve"> impacts.  </w:t>
      </w:r>
      <w:r w:rsidR="00AF09C6">
        <w:rPr>
          <w:rFonts w:cs="Times New Roman"/>
          <w:szCs w:val="20"/>
        </w:rPr>
        <w:t>Cal Adv</w:t>
      </w:r>
      <w:r w:rsidRPr="004B3667" w:rsidR="00095EBB">
        <w:rPr>
          <w:rFonts w:cs="Times New Roman"/>
          <w:szCs w:val="20"/>
        </w:rPr>
        <w:t>ocates a</w:t>
      </w:r>
      <w:r w:rsidRPr="004B3667" w:rsidR="00F57B93">
        <w:rPr>
          <w:rFonts w:cs="Times New Roman"/>
          <w:szCs w:val="20"/>
        </w:rPr>
        <w:t>rgue</w:t>
      </w:r>
      <w:r w:rsidRPr="004B3667" w:rsidR="00095EBB">
        <w:rPr>
          <w:rFonts w:cs="Times New Roman"/>
          <w:szCs w:val="20"/>
        </w:rPr>
        <w:t xml:space="preserve">s that </w:t>
      </w:r>
      <w:r w:rsidRPr="004B3667">
        <w:rPr>
          <w:rFonts w:cs="Times New Roman"/>
          <w:szCs w:val="20"/>
        </w:rPr>
        <w:t xml:space="preserve">SDG&amp;E’s </w:t>
      </w:r>
      <w:r w:rsidRPr="004B3667" w:rsidR="00F57B93">
        <w:rPr>
          <w:rFonts w:cs="Times New Roman"/>
          <w:szCs w:val="20"/>
        </w:rPr>
        <w:t>Proposal</w:t>
      </w:r>
      <w:r w:rsidRPr="004B3667" w:rsidR="00095EBB">
        <w:rPr>
          <w:rFonts w:cs="Times New Roman"/>
          <w:szCs w:val="20"/>
        </w:rPr>
        <w:t xml:space="preserve"> (2020 CEC </w:t>
      </w:r>
      <w:r w:rsidRPr="004B3667" w:rsidR="00382422">
        <w:rPr>
          <w:rFonts w:cs="Times New Roman"/>
          <w:szCs w:val="20"/>
        </w:rPr>
        <w:t>F</w:t>
      </w:r>
      <w:r w:rsidRPr="004B3667" w:rsidR="00095EBB">
        <w:rPr>
          <w:rFonts w:cs="Times New Roman"/>
          <w:szCs w:val="20"/>
        </w:rPr>
        <w:t>orecast)</w:t>
      </w:r>
      <w:r w:rsidR="00874668">
        <w:rPr>
          <w:rFonts w:cs="Times New Roman"/>
          <w:szCs w:val="20"/>
        </w:rPr>
        <w:t>, which</w:t>
      </w:r>
      <w:r w:rsidRPr="004B3667">
        <w:rPr>
          <w:rFonts w:cs="Times New Roman"/>
          <w:szCs w:val="20"/>
        </w:rPr>
        <w:t xml:space="preserve"> relies on economic projections </w:t>
      </w:r>
      <w:r w:rsidR="00A34035">
        <w:rPr>
          <w:rFonts w:cs="Times New Roman"/>
          <w:szCs w:val="20"/>
        </w:rPr>
        <w:t>that used stale data from</w:t>
      </w:r>
      <w:r w:rsidR="002D4B04">
        <w:rPr>
          <w:rFonts w:cs="Times New Roman"/>
          <w:szCs w:val="20"/>
        </w:rPr>
        <w:t xml:space="preserve"> prior to</w:t>
      </w:r>
      <w:r w:rsidRPr="004B3667" w:rsidR="00EA3AB4">
        <w:rPr>
          <w:rFonts w:cs="Times New Roman"/>
          <w:szCs w:val="20"/>
        </w:rPr>
        <w:t xml:space="preserve"> </w:t>
      </w:r>
      <w:r w:rsidRPr="004B3667">
        <w:rPr>
          <w:rFonts w:cs="Times New Roman"/>
          <w:szCs w:val="20"/>
        </w:rPr>
        <w:t>June 2020</w:t>
      </w:r>
      <w:r w:rsidR="00874668">
        <w:rPr>
          <w:rFonts w:cs="Times New Roman"/>
          <w:szCs w:val="20"/>
        </w:rPr>
        <w:t>, is</w:t>
      </w:r>
      <w:r w:rsidRPr="004B3667">
        <w:rPr>
          <w:rFonts w:cs="Times New Roman"/>
          <w:szCs w:val="20"/>
        </w:rPr>
        <w:t xml:space="preserve"> not as accurate in accounting for the pandemic impacts as </w:t>
      </w:r>
      <w:r w:rsidR="00AF09C6">
        <w:rPr>
          <w:rFonts w:cs="Times New Roman"/>
          <w:szCs w:val="20"/>
        </w:rPr>
        <w:t>Cal Adv</w:t>
      </w:r>
      <w:r w:rsidRPr="004B3667">
        <w:rPr>
          <w:rFonts w:cs="Times New Roman"/>
          <w:szCs w:val="20"/>
        </w:rPr>
        <w:t xml:space="preserve">ocates’ </w:t>
      </w:r>
      <w:r w:rsidRPr="004B3667" w:rsidR="00F57B93">
        <w:rPr>
          <w:rFonts w:cs="Times New Roman"/>
          <w:szCs w:val="20"/>
        </w:rPr>
        <w:t xml:space="preserve">Proposal (SDG&amp;E’s 2021 </w:t>
      </w:r>
      <w:r w:rsidRPr="004B3667" w:rsidR="00EA3AB4">
        <w:rPr>
          <w:rFonts w:cs="Times New Roman"/>
          <w:szCs w:val="20"/>
        </w:rPr>
        <w:t>F</w:t>
      </w:r>
      <w:r w:rsidRPr="004B3667" w:rsidR="00F57B93">
        <w:rPr>
          <w:rFonts w:cs="Times New Roman"/>
          <w:szCs w:val="20"/>
        </w:rPr>
        <w:t>orecast)</w:t>
      </w:r>
      <w:r w:rsidR="00A34035">
        <w:rPr>
          <w:rFonts w:cs="Times New Roman"/>
          <w:szCs w:val="20"/>
        </w:rPr>
        <w:t>,</w:t>
      </w:r>
      <w:r w:rsidRPr="004B3667">
        <w:rPr>
          <w:rFonts w:cs="Times New Roman"/>
          <w:szCs w:val="20"/>
        </w:rPr>
        <w:t xml:space="preserve"> which uses more recent recorded usage data.</w:t>
      </w:r>
      <w:r w:rsidRPr="004B3667">
        <w:rPr>
          <w:rFonts w:cs="Times New Roman"/>
          <w:szCs w:val="20"/>
          <w:vertAlign w:val="superscript"/>
        </w:rPr>
        <w:t xml:space="preserve"> </w:t>
      </w:r>
      <w:r w:rsidRPr="004B3667">
        <w:rPr>
          <w:rFonts w:cs="Times New Roman"/>
          <w:szCs w:val="20"/>
          <w:vertAlign w:val="superscript"/>
        </w:rPr>
        <w:footnoteReference w:id="19"/>
      </w:r>
      <w:r w:rsidRPr="004B3667">
        <w:rPr>
          <w:rFonts w:cs="Times New Roman"/>
          <w:szCs w:val="20"/>
        </w:rPr>
        <w:t xml:space="preserve">  </w:t>
      </w:r>
    </w:p>
    <w:p w:rsidRPr="0098768D" w:rsidR="00C829B4" w:rsidP="008F0179" w:rsidRDefault="00C829B4" w14:paraId="01E34A3A" w14:textId="77777777">
      <w:pPr>
        <w:pStyle w:val="Heading2"/>
      </w:pPr>
      <w:bookmarkStart w:name="_Toc98143107" w:id="30"/>
      <w:r w:rsidRPr="0098768D">
        <w:t>Adopting an Electric Sales Forecast for 2022</w:t>
      </w:r>
      <w:bookmarkEnd w:id="30"/>
      <w:r w:rsidRPr="0098768D">
        <w:t xml:space="preserve"> </w:t>
      </w:r>
    </w:p>
    <w:p w:rsidRPr="004B3667" w:rsidR="00C829B4" w:rsidP="00C829B4" w:rsidRDefault="00C829B4" w14:paraId="07A34786" w14:textId="6C21536F">
      <w:pPr>
        <w:rPr>
          <w:rFonts w:cs="Times New Roman"/>
          <w:szCs w:val="20"/>
        </w:rPr>
      </w:pPr>
      <w:bookmarkStart w:name="_Hlk90386617" w:id="31"/>
      <w:r w:rsidRPr="004B3667">
        <w:rPr>
          <w:rFonts w:cs="Times New Roman"/>
          <w:szCs w:val="20"/>
        </w:rPr>
        <w:t xml:space="preserve">The pandemic has caused sudden and significant changes </w:t>
      </w:r>
      <w:r w:rsidR="008B4B67">
        <w:rPr>
          <w:rFonts w:cs="Times New Roman"/>
          <w:szCs w:val="20"/>
        </w:rPr>
        <w:t xml:space="preserve">in the way that Californians use electricity and in their </w:t>
      </w:r>
      <w:r w:rsidR="00201C12">
        <w:rPr>
          <w:rFonts w:cs="Times New Roman"/>
          <w:szCs w:val="20"/>
        </w:rPr>
        <w:t>usage patterns</w:t>
      </w:r>
      <w:r w:rsidRPr="004B3667">
        <w:rPr>
          <w:rFonts w:cs="Times New Roman"/>
          <w:szCs w:val="20"/>
        </w:rPr>
        <w:t xml:space="preserve">.  Given the recent reinstatement of a statewide mask mandates due to rising </w:t>
      </w:r>
      <w:r w:rsidR="00A54CD0">
        <w:rPr>
          <w:rFonts w:cs="Times New Roman"/>
          <w:szCs w:val="20"/>
        </w:rPr>
        <w:t xml:space="preserve">Covid-19 </w:t>
      </w:r>
      <w:r w:rsidRPr="004B3667">
        <w:rPr>
          <w:rFonts w:cs="Times New Roman"/>
          <w:szCs w:val="20"/>
        </w:rPr>
        <w:t>case rates, the pandemic and its impacts on electri</w:t>
      </w:r>
      <w:r w:rsidRPr="004B3667" w:rsidR="00F146F3">
        <w:rPr>
          <w:rFonts w:cs="Times New Roman"/>
          <w:szCs w:val="20"/>
        </w:rPr>
        <w:t>city usage</w:t>
      </w:r>
      <w:r w:rsidRPr="004B3667">
        <w:rPr>
          <w:rFonts w:cs="Times New Roman"/>
          <w:szCs w:val="20"/>
        </w:rPr>
        <w:t xml:space="preserve"> will most likely remain for the foreseeable next several months, if not longer, in 2022.  </w:t>
      </w:r>
      <w:bookmarkEnd w:id="31"/>
      <w:r w:rsidRPr="004B3667">
        <w:rPr>
          <w:rFonts w:cs="Times New Roman"/>
          <w:szCs w:val="20"/>
        </w:rPr>
        <w:t xml:space="preserve">Therefore, the 2022 </w:t>
      </w:r>
      <w:r w:rsidRPr="004B3667" w:rsidR="00E468C7">
        <w:rPr>
          <w:rFonts w:cs="Times New Roman"/>
          <w:szCs w:val="20"/>
        </w:rPr>
        <w:lastRenderedPageBreak/>
        <w:t>E</w:t>
      </w:r>
      <w:r w:rsidRPr="004B3667">
        <w:rPr>
          <w:rFonts w:cs="Times New Roman"/>
          <w:szCs w:val="20"/>
        </w:rPr>
        <w:t xml:space="preserve">lectric </w:t>
      </w:r>
      <w:r w:rsidRPr="004B3667" w:rsidR="00E468C7">
        <w:rPr>
          <w:rFonts w:cs="Times New Roman"/>
          <w:szCs w:val="20"/>
        </w:rPr>
        <w:t>S</w:t>
      </w:r>
      <w:r w:rsidRPr="004B3667">
        <w:rPr>
          <w:rFonts w:cs="Times New Roman"/>
          <w:szCs w:val="20"/>
        </w:rPr>
        <w:t xml:space="preserve">ales </w:t>
      </w:r>
      <w:r w:rsidRPr="004B3667" w:rsidR="00E468C7">
        <w:rPr>
          <w:rFonts w:cs="Times New Roman"/>
          <w:szCs w:val="20"/>
        </w:rPr>
        <w:t>F</w:t>
      </w:r>
      <w:r w:rsidRPr="004B3667">
        <w:rPr>
          <w:rFonts w:cs="Times New Roman"/>
          <w:szCs w:val="20"/>
        </w:rPr>
        <w:t>orecast that we adopt for SDG&amp;E shall incorporate the pandemic</w:t>
      </w:r>
      <w:r w:rsidRPr="004B3667" w:rsidR="003342A2">
        <w:rPr>
          <w:rFonts w:cs="Times New Roman"/>
          <w:szCs w:val="20"/>
        </w:rPr>
        <w:t>’s</w:t>
      </w:r>
      <w:r w:rsidRPr="004B3667">
        <w:rPr>
          <w:rFonts w:cs="Times New Roman"/>
          <w:szCs w:val="20"/>
        </w:rPr>
        <w:t xml:space="preserve"> </w:t>
      </w:r>
      <w:r w:rsidRPr="004B3667" w:rsidR="003342A2">
        <w:rPr>
          <w:rFonts w:cs="Times New Roman"/>
          <w:szCs w:val="20"/>
        </w:rPr>
        <w:t xml:space="preserve">impacts </w:t>
      </w:r>
      <w:r w:rsidRPr="004B3667">
        <w:rPr>
          <w:rFonts w:cs="Times New Roman"/>
          <w:szCs w:val="20"/>
        </w:rPr>
        <w:t>on electricity usage as best as possible.</w:t>
      </w:r>
    </w:p>
    <w:p w:rsidRPr="004B3667" w:rsidR="00C829B4" w:rsidP="00C829B4" w:rsidRDefault="00C829B4" w14:paraId="1DFB98DB" w14:textId="3A4A849F">
      <w:pPr>
        <w:rPr>
          <w:rFonts w:cs="Times New Roman"/>
          <w:szCs w:val="20"/>
        </w:rPr>
      </w:pPr>
      <w:r w:rsidRPr="004B3667">
        <w:rPr>
          <w:rFonts w:cs="Times New Roman"/>
          <w:szCs w:val="20"/>
        </w:rPr>
        <w:t xml:space="preserve">The 2020 CEC </w:t>
      </w:r>
      <w:r w:rsidRPr="004B3667" w:rsidR="00677582">
        <w:rPr>
          <w:rFonts w:cs="Times New Roman"/>
          <w:szCs w:val="20"/>
        </w:rPr>
        <w:t>F</w:t>
      </w:r>
      <w:r w:rsidRPr="004B3667">
        <w:rPr>
          <w:rFonts w:cs="Times New Roman"/>
          <w:szCs w:val="20"/>
        </w:rPr>
        <w:t>orecast (SDG&amp;E’s Proposal), which uses 2019</w:t>
      </w:r>
      <w:r w:rsidRPr="004B3667" w:rsidR="007533F4">
        <w:rPr>
          <w:rFonts w:cs="Times New Roman"/>
          <w:szCs w:val="20"/>
        </w:rPr>
        <w:t> </w:t>
      </w:r>
      <w:r w:rsidRPr="004B3667">
        <w:rPr>
          <w:rFonts w:cs="Times New Roman"/>
          <w:szCs w:val="20"/>
        </w:rPr>
        <w:t>pre</w:t>
      </w:r>
      <w:r w:rsidRPr="004B3667" w:rsidR="007533F4">
        <w:rPr>
          <w:rFonts w:cs="Times New Roman"/>
          <w:szCs w:val="20"/>
        </w:rPr>
        <w:noBreakHyphen/>
      </w:r>
      <w:r w:rsidRPr="004B3667">
        <w:rPr>
          <w:rFonts w:cs="Times New Roman"/>
          <w:szCs w:val="20"/>
        </w:rPr>
        <w:t xml:space="preserve">pandemic recorded usage data, </w:t>
      </w:r>
      <w:bookmarkStart w:name="_Hlk90386657" w:id="32"/>
      <w:r w:rsidRPr="004B3667">
        <w:rPr>
          <w:rFonts w:cs="Times New Roman"/>
          <w:szCs w:val="20"/>
        </w:rPr>
        <w:t>does not capture the pandemic</w:t>
      </w:r>
      <w:r w:rsidRPr="004B3667" w:rsidR="00E468C7">
        <w:rPr>
          <w:rFonts w:cs="Times New Roman"/>
          <w:szCs w:val="20"/>
        </w:rPr>
        <w:t>’s</w:t>
      </w:r>
      <w:r w:rsidRPr="004B3667">
        <w:rPr>
          <w:rFonts w:cs="Times New Roman"/>
          <w:szCs w:val="20"/>
        </w:rPr>
        <w:t xml:space="preserve"> </w:t>
      </w:r>
      <w:r w:rsidRPr="004B3667" w:rsidR="00E468C7">
        <w:rPr>
          <w:rFonts w:cs="Times New Roman"/>
          <w:szCs w:val="20"/>
        </w:rPr>
        <w:t xml:space="preserve">impacts </w:t>
      </w:r>
      <w:r w:rsidRPr="004B3667">
        <w:rPr>
          <w:rFonts w:cs="Times New Roman"/>
          <w:szCs w:val="20"/>
        </w:rPr>
        <w:t xml:space="preserve">on electricity usage </w:t>
      </w:r>
      <w:r w:rsidR="00152A5B">
        <w:rPr>
          <w:rFonts w:cs="Times New Roman"/>
          <w:szCs w:val="20"/>
        </w:rPr>
        <w:t xml:space="preserve">as </w:t>
      </w:r>
      <w:r w:rsidRPr="004B3667" w:rsidR="00201C12">
        <w:rPr>
          <w:rFonts w:cs="Times New Roman"/>
          <w:szCs w:val="20"/>
        </w:rPr>
        <w:t xml:space="preserve">effectively </w:t>
      </w:r>
      <w:r w:rsidR="00152A5B">
        <w:rPr>
          <w:rFonts w:cs="Times New Roman"/>
          <w:szCs w:val="20"/>
        </w:rPr>
        <w:t xml:space="preserve">as </w:t>
      </w:r>
      <w:r w:rsidR="00AF09C6">
        <w:rPr>
          <w:rFonts w:cs="Times New Roman"/>
          <w:szCs w:val="20"/>
        </w:rPr>
        <w:t>Cal Adv</w:t>
      </w:r>
      <w:r w:rsidRPr="004B3667">
        <w:rPr>
          <w:rFonts w:cs="Times New Roman"/>
          <w:szCs w:val="20"/>
        </w:rPr>
        <w:t>ocates’ Proposal</w:t>
      </w:r>
      <w:bookmarkEnd w:id="32"/>
      <w:r w:rsidRPr="004B3667" w:rsidR="00E468C7">
        <w:rPr>
          <w:rFonts w:cs="Times New Roman"/>
          <w:szCs w:val="20"/>
        </w:rPr>
        <w:t xml:space="preserve"> (SDG&amp;E’s 2021 </w:t>
      </w:r>
      <w:r w:rsidRPr="004B3667" w:rsidR="00677582">
        <w:rPr>
          <w:rFonts w:cs="Times New Roman"/>
          <w:szCs w:val="20"/>
        </w:rPr>
        <w:t>F</w:t>
      </w:r>
      <w:r w:rsidRPr="004B3667" w:rsidR="00E468C7">
        <w:rPr>
          <w:rFonts w:cs="Times New Roman"/>
          <w:szCs w:val="20"/>
        </w:rPr>
        <w:t>orecast)</w:t>
      </w:r>
      <w:r w:rsidRPr="004B3667">
        <w:rPr>
          <w:rFonts w:cs="Times New Roman"/>
          <w:szCs w:val="20"/>
        </w:rPr>
        <w:t xml:space="preserve">, which relies on recorded data that </w:t>
      </w:r>
      <w:r w:rsidR="004359BF">
        <w:rPr>
          <w:rFonts w:cs="Times New Roman"/>
          <w:szCs w:val="20"/>
        </w:rPr>
        <w:t>includes</w:t>
      </w:r>
      <w:r w:rsidRPr="004B3667" w:rsidR="004359BF">
        <w:rPr>
          <w:rFonts w:cs="Times New Roman"/>
          <w:szCs w:val="20"/>
        </w:rPr>
        <w:t xml:space="preserve"> </w:t>
      </w:r>
      <w:r w:rsidRPr="004B3667">
        <w:rPr>
          <w:rFonts w:cs="Times New Roman"/>
          <w:szCs w:val="20"/>
        </w:rPr>
        <w:t xml:space="preserve">usage during the pandemic.  Even though </w:t>
      </w:r>
      <w:r w:rsidRPr="004B3667" w:rsidR="00F96BD2">
        <w:rPr>
          <w:rFonts w:cs="Times New Roman"/>
          <w:szCs w:val="20"/>
        </w:rPr>
        <w:t xml:space="preserve">the </w:t>
      </w:r>
      <w:r w:rsidRPr="004B3667" w:rsidR="00677582">
        <w:rPr>
          <w:rFonts w:cs="Times New Roman"/>
          <w:szCs w:val="20"/>
        </w:rPr>
        <w:t xml:space="preserve">2020 CEC Forecast (SDG&amp;E’s Proposal) </w:t>
      </w:r>
      <w:r w:rsidRPr="004B3667">
        <w:rPr>
          <w:rFonts w:cs="Times New Roman"/>
          <w:szCs w:val="20"/>
        </w:rPr>
        <w:t xml:space="preserve">includes </w:t>
      </w:r>
      <w:r w:rsidRPr="004B3667" w:rsidR="00677582">
        <w:rPr>
          <w:rFonts w:cs="Times New Roman"/>
          <w:szCs w:val="20"/>
        </w:rPr>
        <w:t xml:space="preserve">projected pandemic </w:t>
      </w:r>
      <w:r w:rsidRPr="004B3667">
        <w:rPr>
          <w:rFonts w:cs="Times New Roman"/>
          <w:szCs w:val="20"/>
        </w:rPr>
        <w:t xml:space="preserve">impacts, we agree with </w:t>
      </w:r>
      <w:r w:rsidR="00AF09C6">
        <w:rPr>
          <w:rFonts w:cs="Times New Roman"/>
          <w:szCs w:val="20"/>
        </w:rPr>
        <w:t>Cal Adv</w:t>
      </w:r>
      <w:r w:rsidRPr="004B3667">
        <w:rPr>
          <w:rFonts w:cs="Times New Roman"/>
          <w:szCs w:val="20"/>
        </w:rPr>
        <w:t xml:space="preserve">ocates that the </w:t>
      </w:r>
      <w:r w:rsidRPr="004B3667" w:rsidR="00F96BD2">
        <w:rPr>
          <w:rFonts w:cs="Times New Roman"/>
          <w:szCs w:val="20"/>
        </w:rPr>
        <w:t xml:space="preserve">projected </w:t>
      </w:r>
      <w:r w:rsidRPr="004B3667">
        <w:rPr>
          <w:rFonts w:cs="Times New Roman"/>
          <w:szCs w:val="20"/>
        </w:rPr>
        <w:t xml:space="preserve">impacts were based on stale data from </w:t>
      </w:r>
      <w:r w:rsidR="00194269">
        <w:rPr>
          <w:rFonts w:cs="Times New Roman"/>
          <w:szCs w:val="20"/>
        </w:rPr>
        <w:t xml:space="preserve">prior to </w:t>
      </w:r>
      <w:r w:rsidRPr="004B3667">
        <w:rPr>
          <w:rFonts w:cs="Times New Roman"/>
          <w:szCs w:val="20"/>
        </w:rPr>
        <w:t xml:space="preserve">June 2020, when California was in a different phase of the pandemic than today in terms of local mandates and precautions.  Even </w:t>
      </w:r>
      <w:r w:rsidR="00194269">
        <w:rPr>
          <w:rFonts w:cs="Times New Roman"/>
          <w:szCs w:val="20"/>
        </w:rPr>
        <w:t>though</w:t>
      </w:r>
      <w:r w:rsidRPr="004B3667" w:rsidR="00194269">
        <w:rPr>
          <w:rFonts w:cs="Times New Roman"/>
          <w:szCs w:val="20"/>
        </w:rPr>
        <w:t xml:space="preserve"> </w:t>
      </w:r>
      <w:r w:rsidRPr="004B3667">
        <w:rPr>
          <w:rFonts w:cs="Times New Roman"/>
          <w:szCs w:val="20"/>
        </w:rPr>
        <w:t xml:space="preserve">we do not know whether the changes in electricity usage as a result of the pandemic will persist, the pandemic currently remains and will most likely remain for the first portion of 2022 if not longer.  </w:t>
      </w:r>
      <w:bookmarkStart w:name="_Hlk90386732" w:id="33"/>
      <w:bookmarkStart w:name="_Hlk90632077" w:id="34"/>
      <w:r w:rsidRPr="004B3667">
        <w:rPr>
          <w:rFonts w:cs="Times New Roman"/>
          <w:szCs w:val="20"/>
        </w:rPr>
        <w:t xml:space="preserve">Basing the sales forecast on the most recent recorded usage data allows the forecast to more closely reflect how Californians currently use electricity today, given the current circumstances of the pandemic, </w:t>
      </w:r>
      <w:r w:rsidR="00DE12CE">
        <w:rPr>
          <w:rFonts w:cs="Times New Roman"/>
          <w:szCs w:val="20"/>
        </w:rPr>
        <w:t>which we believe would</w:t>
      </w:r>
      <w:r w:rsidRPr="004B3667">
        <w:rPr>
          <w:rFonts w:cs="Times New Roman"/>
          <w:szCs w:val="20"/>
        </w:rPr>
        <w:t xml:space="preserve"> more accurately predict sales in 2022.</w:t>
      </w:r>
      <w:bookmarkEnd w:id="33"/>
      <w:r w:rsidRPr="004B3667">
        <w:rPr>
          <w:rFonts w:cs="Times New Roman"/>
          <w:szCs w:val="20"/>
        </w:rPr>
        <w:t xml:space="preserve">  </w:t>
      </w:r>
      <w:bookmarkStart w:name="_Hlk90386762" w:id="35"/>
    </w:p>
    <w:p w:rsidRPr="004B3667" w:rsidR="00C829B4" w:rsidP="00C829B4" w:rsidRDefault="00C829B4" w14:paraId="5823C45E" w14:textId="6E774168">
      <w:pPr>
        <w:rPr>
          <w:rFonts w:cs="Times New Roman"/>
          <w:szCs w:val="20"/>
        </w:rPr>
      </w:pPr>
      <w:bookmarkStart w:name="_Hlk90632136" w:id="36"/>
      <w:bookmarkEnd w:id="34"/>
      <w:r w:rsidRPr="004B3667">
        <w:rPr>
          <w:rFonts w:cs="Times New Roman"/>
          <w:szCs w:val="20"/>
        </w:rPr>
        <w:t xml:space="preserve">Using a forecast that </w:t>
      </w:r>
      <w:r w:rsidRPr="006C4B31" w:rsidR="00862DB2">
        <w:rPr>
          <w:rFonts w:cs="Times New Roman"/>
          <w:szCs w:val="20"/>
        </w:rPr>
        <w:t>closely reflects how Californians currently use electricity,</w:t>
      </w:r>
      <w:r w:rsidR="00862DB2">
        <w:rPr>
          <w:rFonts w:cs="Times New Roman"/>
          <w:szCs w:val="20"/>
        </w:rPr>
        <w:t xml:space="preserve"> </w:t>
      </w:r>
      <w:r w:rsidRPr="006C4B31" w:rsidR="00862DB2">
        <w:rPr>
          <w:rFonts w:cs="Times New Roman"/>
          <w:szCs w:val="20"/>
        </w:rPr>
        <w:t>given the current circumstances of the pandemic,</w:t>
      </w:r>
      <w:r w:rsidR="00862DB2">
        <w:rPr>
          <w:rFonts w:cs="Times New Roman"/>
          <w:szCs w:val="20"/>
        </w:rPr>
        <w:t xml:space="preserve"> </w:t>
      </w:r>
      <w:r w:rsidR="002B3364">
        <w:rPr>
          <w:rFonts w:cs="Times New Roman"/>
          <w:szCs w:val="20"/>
        </w:rPr>
        <w:t>allows the Commission</w:t>
      </w:r>
      <w:r w:rsidRPr="004B3667">
        <w:rPr>
          <w:rFonts w:cs="Times New Roman"/>
          <w:szCs w:val="20"/>
        </w:rPr>
        <w:t xml:space="preserve"> to appropriately assign costs to various ratepayer classes and set just and reasonable rates.  </w:t>
      </w:r>
      <w:bookmarkEnd w:id="35"/>
      <w:bookmarkEnd w:id="36"/>
      <w:r w:rsidRPr="004B3667">
        <w:rPr>
          <w:rFonts w:cs="Times New Roman"/>
          <w:szCs w:val="20"/>
        </w:rPr>
        <w:t>The Commission has a long-standing tradition of using “cost causation” principles when setting rates.</w:t>
      </w:r>
      <w:r w:rsidR="00A626EA">
        <w:rPr>
          <w:rStyle w:val="FootnoteReference"/>
          <w:rFonts w:cs="Times New Roman"/>
          <w:szCs w:val="20"/>
        </w:rPr>
        <w:footnoteReference w:id="20"/>
      </w:r>
      <w:r w:rsidRPr="004B3667">
        <w:rPr>
          <w:rFonts w:cs="Times New Roman"/>
          <w:szCs w:val="20"/>
        </w:rPr>
        <w:t xml:space="preserve">  Under cost causation principles, costs are assigned according to the costs a group incurs to receive electric service.  </w:t>
      </w:r>
      <w:bookmarkStart w:name="_Hlk90386781" w:id="37"/>
    </w:p>
    <w:p w:rsidRPr="004B3667" w:rsidR="00C829B4" w:rsidP="00C829B4" w:rsidRDefault="00A2607C" w14:paraId="6F312B4A" w14:textId="73CB5356">
      <w:pPr>
        <w:rPr>
          <w:rFonts w:cs="Times New Roman"/>
          <w:szCs w:val="20"/>
        </w:rPr>
      </w:pPr>
      <w:r w:rsidRPr="004B3667">
        <w:rPr>
          <w:rFonts w:cs="Times New Roman"/>
          <w:szCs w:val="20"/>
        </w:rPr>
        <w:lastRenderedPageBreak/>
        <w:t>D</w:t>
      </w:r>
      <w:r w:rsidRPr="004B3667" w:rsidR="00C829B4">
        <w:rPr>
          <w:rFonts w:cs="Times New Roman"/>
          <w:szCs w:val="20"/>
        </w:rPr>
        <w:t>uring a typical year, an approved CEC</w:t>
      </w:r>
      <w:r w:rsidRPr="004B3667">
        <w:rPr>
          <w:rFonts w:cs="Times New Roman"/>
          <w:szCs w:val="20"/>
        </w:rPr>
        <w:t xml:space="preserve"> demand</w:t>
      </w:r>
      <w:r w:rsidRPr="004B3667" w:rsidR="00C829B4">
        <w:rPr>
          <w:rFonts w:cs="Times New Roman"/>
          <w:szCs w:val="20"/>
        </w:rPr>
        <w:t xml:space="preserve"> forecast that went through a thorough </w:t>
      </w:r>
      <w:proofErr w:type="spellStart"/>
      <w:r w:rsidRPr="004B3667" w:rsidR="00C829B4">
        <w:rPr>
          <w:rFonts w:cs="Times New Roman"/>
          <w:szCs w:val="20"/>
        </w:rPr>
        <w:t>IEPR</w:t>
      </w:r>
      <w:proofErr w:type="spellEnd"/>
      <w:r w:rsidRPr="004B3667" w:rsidR="00C829B4">
        <w:rPr>
          <w:rFonts w:cs="Times New Roman"/>
          <w:szCs w:val="20"/>
        </w:rPr>
        <w:t xml:space="preserve"> process </w:t>
      </w:r>
      <w:r w:rsidRPr="004B3667" w:rsidR="008A35C7">
        <w:rPr>
          <w:rFonts w:cs="Times New Roman"/>
          <w:szCs w:val="20"/>
        </w:rPr>
        <w:t xml:space="preserve">is a reasonable </w:t>
      </w:r>
      <w:r w:rsidRPr="004B3667" w:rsidR="00C829B4">
        <w:rPr>
          <w:rFonts w:cs="Times New Roman"/>
          <w:szCs w:val="20"/>
        </w:rPr>
        <w:t>standard to use to set sales forecasts</w:t>
      </w:r>
      <w:r w:rsidRPr="004B3667" w:rsidR="008A35C7">
        <w:rPr>
          <w:rFonts w:cs="Times New Roman"/>
          <w:szCs w:val="20"/>
        </w:rPr>
        <w:t>.  The</w:t>
      </w:r>
      <w:bookmarkStart w:name="_Hlk90386531" w:id="38"/>
      <w:r w:rsidRPr="004B3667" w:rsidR="00C829B4">
        <w:rPr>
          <w:rFonts w:cs="Times New Roman"/>
          <w:szCs w:val="20"/>
        </w:rPr>
        <w:t xml:space="preserve"> circumstances brought upon by the Covid</w:t>
      </w:r>
      <w:r w:rsidRPr="004B3667" w:rsidR="008A35C7">
        <w:rPr>
          <w:rFonts w:cs="Times New Roman"/>
          <w:szCs w:val="20"/>
        </w:rPr>
        <w:noBreakHyphen/>
      </w:r>
      <w:r w:rsidRPr="004B3667" w:rsidR="00C829B4">
        <w:rPr>
          <w:rFonts w:cs="Times New Roman"/>
          <w:szCs w:val="20"/>
        </w:rPr>
        <w:t xml:space="preserve">19 pandemic, however, move us to consider whether </w:t>
      </w:r>
      <w:r w:rsidRPr="004B3667" w:rsidR="00D173B3">
        <w:rPr>
          <w:rFonts w:cs="Times New Roman"/>
          <w:szCs w:val="20"/>
        </w:rPr>
        <w:t xml:space="preserve">this is </w:t>
      </w:r>
      <w:bookmarkEnd w:id="38"/>
      <w:r w:rsidRPr="004B3667" w:rsidR="00C829B4">
        <w:rPr>
          <w:rFonts w:cs="Times New Roman"/>
          <w:szCs w:val="20"/>
        </w:rPr>
        <w:t xml:space="preserve">appropriate </w:t>
      </w:r>
      <w:r w:rsidRPr="004B3667" w:rsidR="00D173B3">
        <w:rPr>
          <w:rFonts w:cs="Times New Roman"/>
          <w:szCs w:val="20"/>
        </w:rPr>
        <w:t xml:space="preserve">for 2022, </w:t>
      </w:r>
      <w:r w:rsidRPr="004B3667" w:rsidR="00C829B4">
        <w:rPr>
          <w:rFonts w:cs="Times New Roman"/>
          <w:szCs w:val="20"/>
        </w:rPr>
        <w:t xml:space="preserve">particularly if the approved CEC </w:t>
      </w:r>
      <w:r w:rsidRPr="004B3667" w:rsidR="00382422">
        <w:rPr>
          <w:rFonts w:cs="Times New Roman"/>
          <w:szCs w:val="20"/>
        </w:rPr>
        <w:t xml:space="preserve">demand </w:t>
      </w:r>
      <w:r w:rsidRPr="004B3667" w:rsidR="00C829B4">
        <w:rPr>
          <w:rFonts w:cs="Times New Roman"/>
          <w:szCs w:val="20"/>
        </w:rPr>
        <w:t xml:space="preserve">forecast </w:t>
      </w:r>
      <w:r w:rsidR="004356BB">
        <w:rPr>
          <w:rFonts w:cs="Times New Roman"/>
          <w:szCs w:val="20"/>
        </w:rPr>
        <w:t>does not include a significant amount of data from the COVID-19 pandemic period</w:t>
      </w:r>
      <w:r w:rsidRPr="004B3667" w:rsidR="00C829B4">
        <w:rPr>
          <w:rFonts w:cs="Times New Roman"/>
          <w:szCs w:val="20"/>
        </w:rPr>
        <w:t xml:space="preserve"> and an alternative forecast that is more </w:t>
      </w:r>
      <w:r w:rsidR="004356BB">
        <w:rPr>
          <w:rFonts w:cs="Times New Roman"/>
          <w:szCs w:val="20"/>
        </w:rPr>
        <w:t>recent</w:t>
      </w:r>
      <w:r w:rsidRPr="004B3667" w:rsidR="004356BB">
        <w:rPr>
          <w:rFonts w:cs="Times New Roman"/>
          <w:szCs w:val="20"/>
        </w:rPr>
        <w:t xml:space="preserve"> </w:t>
      </w:r>
      <w:r w:rsidRPr="004B3667" w:rsidR="00C829B4">
        <w:rPr>
          <w:rFonts w:cs="Times New Roman"/>
          <w:szCs w:val="20"/>
        </w:rPr>
        <w:t>and reflective of the current energy usage patterns exist</w:t>
      </w:r>
      <w:r w:rsidRPr="004B3667" w:rsidR="00ED10BC">
        <w:rPr>
          <w:rFonts w:cs="Times New Roman"/>
          <w:szCs w:val="20"/>
        </w:rPr>
        <w:t>s</w:t>
      </w:r>
      <w:r w:rsidRPr="004B3667" w:rsidR="00C829B4">
        <w:rPr>
          <w:rFonts w:cs="Times New Roman"/>
          <w:szCs w:val="20"/>
        </w:rPr>
        <w:t xml:space="preserve">.  </w:t>
      </w:r>
      <w:bookmarkStart w:name="_Hlk90632211" w:id="39"/>
      <w:r w:rsidRPr="004B3667" w:rsidR="00C829B4">
        <w:rPr>
          <w:rFonts w:cs="Times New Roman"/>
          <w:szCs w:val="20"/>
        </w:rPr>
        <w:t xml:space="preserve">Though adopting </w:t>
      </w:r>
      <w:bookmarkStart w:name="_Hlk92136438" w:id="40"/>
      <w:r w:rsidR="00AF09C6">
        <w:rPr>
          <w:rFonts w:cs="Times New Roman"/>
          <w:szCs w:val="20"/>
        </w:rPr>
        <w:t>Cal Adv</w:t>
      </w:r>
      <w:r w:rsidRPr="004B3667" w:rsidR="00C829B4">
        <w:rPr>
          <w:rFonts w:cs="Times New Roman"/>
          <w:szCs w:val="20"/>
        </w:rPr>
        <w:t xml:space="preserve">ocates’ Proposal </w:t>
      </w:r>
      <w:r w:rsidRPr="004B3667" w:rsidR="00837FE4">
        <w:rPr>
          <w:rFonts w:cs="Times New Roman"/>
          <w:szCs w:val="20"/>
        </w:rPr>
        <w:t xml:space="preserve">(SDG&amp;E’s 2021 Forecast) </w:t>
      </w:r>
      <w:r w:rsidRPr="004B3667" w:rsidR="00C829B4">
        <w:rPr>
          <w:rFonts w:cs="Times New Roman"/>
          <w:szCs w:val="20"/>
        </w:rPr>
        <w:t xml:space="preserve">deviates from the </w:t>
      </w:r>
      <w:r w:rsidRPr="004B3667" w:rsidR="00837FE4">
        <w:rPr>
          <w:rFonts w:cs="Times New Roman"/>
          <w:szCs w:val="20"/>
        </w:rPr>
        <w:t xml:space="preserve">practice </w:t>
      </w:r>
      <w:r w:rsidRPr="004B3667" w:rsidR="00C829B4">
        <w:rPr>
          <w:rFonts w:cs="Times New Roman"/>
          <w:szCs w:val="20"/>
        </w:rPr>
        <w:t xml:space="preserve">of using an approved CEC </w:t>
      </w:r>
      <w:r w:rsidRPr="004B3667" w:rsidR="00023A4C">
        <w:rPr>
          <w:rFonts w:cs="Times New Roman"/>
          <w:szCs w:val="20"/>
        </w:rPr>
        <w:t xml:space="preserve">demand </w:t>
      </w:r>
      <w:r w:rsidRPr="004B3667" w:rsidR="00C829B4">
        <w:rPr>
          <w:rFonts w:cs="Times New Roman"/>
          <w:szCs w:val="20"/>
        </w:rPr>
        <w:t>forecast consistently across multiple Commission proceedings for SDG&amp;E, setting just and reasonable rates outweigh the need to use a consistent sales forecast</w:t>
      </w:r>
      <w:bookmarkEnd w:id="39"/>
      <w:r w:rsidRPr="004B3667" w:rsidR="00C829B4">
        <w:rPr>
          <w:rFonts w:cs="Times New Roman"/>
          <w:szCs w:val="20"/>
        </w:rPr>
        <w:t>,</w:t>
      </w:r>
      <w:bookmarkEnd w:id="40"/>
      <w:r w:rsidRPr="004B3667" w:rsidR="00C829B4">
        <w:rPr>
          <w:rFonts w:cs="Times New Roman"/>
          <w:szCs w:val="20"/>
        </w:rPr>
        <w:t xml:space="preserve"> particularly since the other major electric investor-owned utilities in the state, namely</w:t>
      </w:r>
      <w:bookmarkStart w:name="_Hlk90632317" w:id="41"/>
      <w:r w:rsidRPr="004B3667" w:rsidR="00C829B4">
        <w:rPr>
          <w:rFonts w:cs="Times New Roman"/>
          <w:szCs w:val="20"/>
        </w:rPr>
        <w:t xml:space="preserve"> PG&amp;E and SCE, </w:t>
      </w:r>
      <w:bookmarkStart w:name="_Hlk92136483" w:id="42"/>
      <w:r w:rsidRPr="004B3667" w:rsidR="00C829B4">
        <w:rPr>
          <w:rFonts w:cs="Times New Roman"/>
          <w:szCs w:val="20"/>
        </w:rPr>
        <w:t xml:space="preserve">use a sales forecast that is separate from their respective CEC </w:t>
      </w:r>
      <w:r w:rsidRPr="004B3667" w:rsidR="00182582">
        <w:rPr>
          <w:rFonts w:cs="Times New Roman"/>
          <w:szCs w:val="20"/>
        </w:rPr>
        <w:t xml:space="preserve">demand </w:t>
      </w:r>
      <w:r w:rsidRPr="004B3667" w:rsidR="00C829B4">
        <w:rPr>
          <w:rFonts w:cs="Times New Roman"/>
          <w:szCs w:val="20"/>
        </w:rPr>
        <w:t>forecasts</w:t>
      </w:r>
      <w:bookmarkEnd w:id="42"/>
      <w:r w:rsidRPr="004B3667" w:rsidR="00C829B4">
        <w:rPr>
          <w:rFonts w:cs="Times New Roman"/>
          <w:szCs w:val="20"/>
        </w:rPr>
        <w:t>.</w:t>
      </w:r>
      <w:bookmarkEnd w:id="41"/>
    </w:p>
    <w:bookmarkEnd w:id="37"/>
    <w:p w:rsidRPr="004B3667" w:rsidR="00C829B4" w:rsidP="00C829B4" w:rsidRDefault="00C829B4" w14:paraId="4C56B603" w14:textId="186728D0">
      <w:pPr>
        <w:rPr>
          <w:rFonts w:cs="Times New Roman"/>
          <w:szCs w:val="20"/>
        </w:rPr>
      </w:pPr>
      <w:r w:rsidRPr="004B3667">
        <w:rPr>
          <w:rFonts w:cs="Times New Roman"/>
          <w:szCs w:val="20"/>
        </w:rPr>
        <w:t xml:space="preserve">We note SDG&amp;E’s concerns that </w:t>
      </w:r>
      <w:r w:rsidR="00AF09C6">
        <w:rPr>
          <w:rFonts w:cs="Times New Roman"/>
          <w:szCs w:val="20"/>
        </w:rPr>
        <w:t>Cal Adv</w:t>
      </w:r>
      <w:r w:rsidRPr="004B3667">
        <w:rPr>
          <w:rFonts w:cs="Times New Roman"/>
          <w:szCs w:val="20"/>
        </w:rPr>
        <w:t>ocates’ Proposal</w:t>
      </w:r>
      <w:r w:rsidRPr="004B3667" w:rsidR="00837FE4">
        <w:rPr>
          <w:rFonts w:cs="Times New Roman"/>
          <w:szCs w:val="20"/>
        </w:rPr>
        <w:t xml:space="preserve"> (SDG&amp;E’s 2021 Forecast)</w:t>
      </w:r>
      <w:r w:rsidRPr="004B3667">
        <w:rPr>
          <w:rFonts w:cs="Times New Roman"/>
          <w:szCs w:val="20"/>
        </w:rPr>
        <w:t xml:space="preserve"> may not have thoroughly adjusted forecast assumptions based on current circumstances as it would have if it went through the </w:t>
      </w:r>
      <w:proofErr w:type="spellStart"/>
      <w:r w:rsidRPr="004B3667">
        <w:rPr>
          <w:rFonts w:cs="Times New Roman"/>
          <w:szCs w:val="20"/>
        </w:rPr>
        <w:t>IEPR</w:t>
      </w:r>
      <w:proofErr w:type="spellEnd"/>
      <w:r w:rsidRPr="004B3667">
        <w:rPr>
          <w:rFonts w:cs="Times New Roman"/>
          <w:szCs w:val="20"/>
        </w:rPr>
        <w:t xml:space="preserve"> process.  But we agree with </w:t>
      </w:r>
      <w:r w:rsidR="00AF09C6">
        <w:rPr>
          <w:rFonts w:cs="Times New Roman"/>
          <w:szCs w:val="20"/>
        </w:rPr>
        <w:t>Cal Adv</w:t>
      </w:r>
      <w:r w:rsidRPr="004B3667">
        <w:rPr>
          <w:rFonts w:cs="Times New Roman"/>
          <w:szCs w:val="20"/>
        </w:rPr>
        <w:t>ocates that</w:t>
      </w:r>
      <w:bookmarkStart w:name="_Hlk90632361" w:id="43"/>
      <w:r w:rsidRPr="004B3667">
        <w:rPr>
          <w:rFonts w:cs="Times New Roman"/>
          <w:szCs w:val="20"/>
        </w:rPr>
        <w:t xml:space="preserve"> </w:t>
      </w:r>
      <w:bookmarkStart w:name="_Hlk92136533" w:id="44"/>
      <w:r w:rsidRPr="004B3667">
        <w:rPr>
          <w:rFonts w:cs="Times New Roman"/>
          <w:szCs w:val="20"/>
        </w:rPr>
        <w:t xml:space="preserve">the recent usage data used to derive </w:t>
      </w:r>
      <w:r w:rsidRPr="004B3667" w:rsidR="00837FE4">
        <w:rPr>
          <w:rFonts w:cs="Times New Roman"/>
          <w:szCs w:val="20"/>
        </w:rPr>
        <w:t>SDG&amp;E</w:t>
      </w:r>
      <w:r w:rsidRPr="004B3667" w:rsidR="00870F72">
        <w:rPr>
          <w:rFonts w:cs="Times New Roman"/>
          <w:szCs w:val="20"/>
        </w:rPr>
        <w:t>’</w:t>
      </w:r>
      <w:r w:rsidRPr="004B3667" w:rsidR="00837FE4">
        <w:rPr>
          <w:rFonts w:cs="Times New Roman"/>
          <w:szCs w:val="20"/>
        </w:rPr>
        <w:t xml:space="preserve">s 2021 Forecast </w:t>
      </w:r>
      <w:r w:rsidRPr="004B3667">
        <w:rPr>
          <w:rFonts w:cs="Times New Roman"/>
          <w:szCs w:val="20"/>
        </w:rPr>
        <w:t>allows any unknown impacts on forecast assumption variables to be taken into account</w:t>
      </w:r>
      <w:bookmarkEnd w:id="44"/>
      <w:r w:rsidRPr="004B3667">
        <w:rPr>
          <w:rFonts w:cs="Times New Roman"/>
          <w:szCs w:val="20"/>
        </w:rPr>
        <w:t xml:space="preserve">. </w:t>
      </w:r>
    </w:p>
    <w:p w:rsidRPr="004B3667" w:rsidR="002B3364" w:rsidP="002B3364" w:rsidRDefault="002B3364" w14:paraId="24597B49" w14:textId="1D1E2C7D">
      <w:pPr>
        <w:rPr>
          <w:rFonts w:cs="Times New Roman"/>
          <w:szCs w:val="20"/>
        </w:rPr>
      </w:pPr>
      <w:bookmarkStart w:name="_Hlk92136607" w:id="45"/>
      <w:bookmarkEnd w:id="43"/>
      <w:r w:rsidRPr="00C20F12">
        <w:rPr>
          <w:rFonts w:cs="Times New Roman"/>
          <w:szCs w:val="20"/>
        </w:rPr>
        <w:t>Because SDG&amp;E’s 2021 Forecast (Cal</w:t>
      </w:r>
      <w:r w:rsidR="00AF09C6">
        <w:rPr>
          <w:rFonts w:cs="Times New Roman"/>
          <w:szCs w:val="20"/>
        </w:rPr>
        <w:t> </w:t>
      </w:r>
      <w:r w:rsidRPr="00C20F12">
        <w:rPr>
          <w:rFonts w:cs="Times New Roman"/>
          <w:szCs w:val="20"/>
        </w:rPr>
        <w:t>Advocates’ Proposal) is derived from recent recorded usage data, it is</w:t>
      </w:r>
      <w:r w:rsidR="009C09DD">
        <w:rPr>
          <w:rFonts w:cs="Times New Roman"/>
          <w:szCs w:val="20"/>
        </w:rPr>
        <w:t>,</w:t>
      </w:r>
      <w:r w:rsidRPr="00C20F12">
        <w:rPr>
          <w:rFonts w:cs="Times New Roman"/>
          <w:szCs w:val="20"/>
        </w:rPr>
        <w:t xml:space="preserve"> </w:t>
      </w:r>
      <w:r w:rsidRPr="00C20F12" w:rsidR="009C09DD">
        <w:rPr>
          <w:rFonts w:cs="Times New Roman"/>
          <w:szCs w:val="20"/>
        </w:rPr>
        <w:t>among the options presented in the record of this proceeding</w:t>
      </w:r>
      <w:r w:rsidR="009C09DD">
        <w:rPr>
          <w:rFonts w:cs="Times New Roman"/>
          <w:szCs w:val="20"/>
        </w:rPr>
        <w:t>,</w:t>
      </w:r>
      <w:r w:rsidRPr="00C20F12" w:rsidR="009C09DD">
        <w:rPr>
          <w:rFonts w:cs="Times New Roman"/>
          <w:szCs w:val="20"/>
        </w:rPr>
        <w:t xml:space="preserve"> </w:t>
      </w:r>
      <w:r w:rsidRPr="00C20F12">
        <w:rPr>
          <w:rFonts w:cs="Times New Roman"/>
          <w:szCs w:val="20"/>
        </w:rPr>
        <w:t xml:space="preserve">the forecast that is most reflective of how Californians use energy today. </w:t>
      </w:r>
      <w:r w:rsidR="009C09DD">
        <w:rPr>
          <w:rFonts w:cs="Times New Roman"/>
          <w:szCs w:val="20"/>
        </w:rPr>
        <w:t xml:space="preserve"> </w:t>
      </w:r>
      <w:r w:rsidRPr="00C20F12">
        <w:rPr>
          <w:rFonts w:cs="Times New Roman"/>
          <w:szCs w:val="20"/>
        </w:rPr>
        <w:t>Therefore, Cal</w:t>
      </w:r>
      <w:r w:rsidR="00AF09C6">
        <w:rPr>
          <w:rFonts w:cs="Times New Roman"/>
          <w:szCs w:val="20"/>
        </w:rPr>
        <w:t> </w:t>
      </w:r>
      <w:r w:rsidRPr="00C20F12">
        <w:rPr>
          <w:rFonts w:cs="Times New Roman"/>
          <w:szCs w:val="20"/>
        </w:rPr>
        <w:t>Advocates’ Proposal is a reasonable forecast, and we adopt it.</w:t>
      </w:r>
      <w:r w:rsidRPr="004B3667">
        <w:rPr>
          <w:rFonts w:cs="Times New Roman"/>
          <w:szCs w:val="20"/>
        </w:rPr>
        <w:t xml:space="preserve">  </w:t>
      </w:r>
    </w:p>
    <w:bookmarkEnd w:id="45"/>
    <w:p w:rsidRPr="004B3667" w:rsidR="00C829B4" w:rsidP="00C829B4" w:rsidRDefault="00C829B4" w14:paraId="24811800" w14:textId="2A876809">
      <w:pPr>
        <w:rPr>
          <w:rFonts w:cs="Times New Roman"/>
          <w:szCs w:val="20"/>
        </w:rPr>
      </w:pPr>
      <w:r w:rsidRPr="002B7259">
        <w:rPr>
          <w:rFonts w:cs="Times New Roman"/>
          <w:szCs w:val="20"/>
        </w:rPr>
        <w:t xml:space="preserve">SDG&amp;E shall use </w:t>
      </w:r>
      <w:r w:rsidR="00AF09C6">
        <w:rPr>
          <w:rFonts w:cs="Times New Roman"/>
          <w:szCs w:val="20"/>
        </w:rPr>
        <w:t>Cal Adv</w:t>
      </w:r>
      <w:r w:rsidRPr="002B7259">
        <w:rPr>
          <w:rFonts w:cs="Times New Roman"/>
          <w:szCs w:val="20"/>
        </w:rPr>
        <w:t xml:space="preserve">ocates’ Proposal as the basis of its 2022 sales forecast and shall also factor in </w:t>
      </w:r>
      <w:r w:rsidR="000C75B0">
        <w:rPr>
          <w:rFonts w:cs="Times New Roman"/>
          <w:szCs w:val="20"/>
        </w:rPr>
        <w:t>(</w:t>
      </w:r>
      <w:r w:rsidR="002B7259">
        <w:rPr>
          <w:rFonts w:cs="Times New Roman"/>
          <w:szCs w:val="20"/>
        </w:rPr>
        <w:t>1)</w:t>
      </w:r>
      <w:r w:rsidR="000C75B0">
        <w:rPr>
          <w:rFonts w:cs="Times New Roman"/>
          <w:szCs w:val="20"/>
        </w:rPr>
        <w:t> </w:t>
      </w:r>
      <w:r w:rsidRPr="002B7259">
        <w:rPr>
          <w:rFonts w:cs="Times New Roman"/>
          <w:szCs w:val="20"/>
        </w:rPr>
        <w:t xml:space="preserve">the expected load departures to </w:t>
      </w:r>
      <w:proofErr w:type="spellStart"/>
      <w:r w:rsidRPr="002B7259">
        <w:rPr>
          <w:rFonts w:cs="Times New Roman"/>
          <w:szCs w:val="20"/>
        </w:rPr>
        <w:t>CCAs</w:t>
      </w:r>
      <w:proofErr w:type="spellEnd"/>
      <w:r w:rsidRPr="002B7259">
        <w:rPr>
          <w:rFonts w:cs="Times New Roman"/>
          <w:szCs w:val="20"/>
        </w:rPr>
        <w:t xml:space="preserve"> and </w:t>
      </w:r>
      <w:r w:rsidRPr="002B7259">
        <w:rPr>
          <w:rFonts w:cs="Times New Roman"/>
          <w:szCs w:val="20"/>
        </w:rPr>
        <w:lastRenderedPageBreak/>
        <w:t>DA</w:t>
      </w:r>
      <w:r w:rsidRPr="002B7259" w:rsidR="00CE10E8">
        <w:rPr>
          <w:rFonts w:cs="Times New Roman"/>
          <w:szCs w:val="20"/>
        </w:rPr>
        <w:t> </w:t>
      </w:r>
      <w:r w:rsidRPr="002B7259">
        <w:rPr>
          <w:rFonts w:cs="Times New Roman"/>
          <w:szCs w:val="20"/>
        </w:rPr>
        <w:t>programs</w:t>
      </w:r>
      <w:r w:rsidR="002B7259">
        <w:rPr>
          <w:rFonts w:cs="Times New Roman"/>
          <w:szCs w:val="20"/>
        </w:rPr>
        <w:t xml:space="preserve">, </w:t>
      </w:r>
      <w:r w:rsidRPr="005155BF" w:rsidR="002B7259">
        <w:rPr>
          <w:rFonts w:cs="Times New Roman"/>
          <w:szCs w:val="20"/>
        </w:rPr>
        <w:t>as estimated and agreed upon by parties during the meet</w:t>
      </w:r>
      <w:r w:rsidR="000C75B0">
        <w:rPr>
          <w:rFonts w:cs="Times New Roman"/>
          <w:szCs w:val="20"/>
        </w:rPr>
        <w:noBreakHyphen/>
      </w:r>
      <w:r w:rsidRPr="005155BF" w:rsidR="002B7259">
        <w:rPr>
          <w:rFonts w:cs="Times New Roman"/>
          <w:szCs w:val="20"/>
        </w:rPr>
        <w:t>and</w:t>
      </w:r>
      <w:r w:rsidR="000C75B0">
        <w:rPr>
          <w:rFonts w:cs="Times New Roman"/>
          <w:szCs w:val="20"/>
        </w:rPr>
        <w:noBreakHyphen/>
      </w:r>
      <w:r w:rsidRPr="005155BF" w:rsidR="002B7259">
        <w:rPr>
          <w:rFonts w:cs="Times New Roman"/>
          <w:szCs w:val="20"/>
        </w:rPr>
        <w:t>confer process ordered in D.19-06-026</w:t>
      </w:r>
      <w:r w:rsidR="002B7259">
        <w:rPr>
          <w:rFonts w:cs="Times New Roman"/>
          <w:szCs w:val="20"/>
        </w:rPr>
        <w:t>,</w:t>
      </w:r>
      <w:r w:rsidR="00A21510">
        <w:rPr>
          <w:rStyle w:val="FootnoteReference"/>
          <w:rFonts w:cs="Times New Roman"/>
          <w:szCs w:val="20"/>
        </w:rPr>
        <w:footnoteReference w:id="21"/>
      </w:r>
      <w:r w:rsidR="002B7259">
        <w:rPr>
          <w:rFonts w:cs="Times New Roman"/>
          <w:szCs w:val="20"/>
        </w:rPr>
        <w:t xml:space="preserve"> and </w:t>
      </w:r>
      <w:r w:rsidR="000C75B0">
        <w:rPr>
          <w:rFonts w:cs="Times New Roman"/>
          <w:szCs w:val="20"/>
        </w:rPr>
        <w:t>(</w:t>
      </w:r>
      <w:r w:rsidR="002B7259">
        <w:rPr>
          <w:rFonts w:cs="Times New Roman"/>
          <w:szCs w:val="20"/>
        </w:rPr>
        <w:t>2)</w:t>
      </w:r>
      <w:r w:rsidR="000C75B0">
        <w:rPr>
          <w:rFonts w:cs="Times New Roman"/>
          <w:szCs w:val="20"/>
        </w:rPr>
        <w:t> </w:t>
      </w:r>
      <w:r w:rsidR="002B7259">
        <w:rPr>
          <w:rFonts w:cs="Times New Roman"/>
          <w:szCs w:val="20"/>
        </w:rPr>
        <w:t xml:space="preserve">the </w:t>
      </w:r>
      <w:r w:rsidR="00FF6F33">
        <w:rPr>
          <w:rFonts w:cs="Times New Roman"/>
          <w:szCs w:val="20"/>
        </w:rPr>
        <w:t xml:space="preserve">solar generation </w:t>
      </w:r>
      <w:r w:rsidR="002B7259">
        <w:rPr>
          <w:rFonts w:cs="Times New Roman"/>
          <w:szCs w:val="20"/>
        </w:rPr>
        <w:t>assumption it</w:t>
      </w:r>
      <w:r w:rsidR="00FF6F33">
        <w:rPr>
          <w:rFonts w:cs="Times New Roman"/>
          <w:szCs w:val="20"/>
        </w:rPr>
        <w:t xml:space="preserve"> used in its sales forecast proposal.</w:t>
      </w:r>
      <w:r w:rsidR="00D015C0">
        <w:rPr>
          <w:rFonts w:cs="Times New Roman"/>
          <w:szCs w:val="20"/>
        </w:rPr>
        <w:t xml:space="preserve"> </w:t>
      </w:r>
    </w:p>
    <w:p w:rsidRPr="004B3667" w:rsidR="00C829B4" w:rsidP="00F811B9" w:rsidRDefault="00C829B4" w14:paraId="07827D9D" w14:textId="77777777">
      <w:pPr>
        <w:pStyle w:val="Heading2"/>
      </w:pPr>
      <w:bookmarkStart w:name="_Toc98143108" w:id="46"/>
      <w:r w:rsidRPr="004B3667">
        <w:t>Four-Month Implementation Delay</w:t>
      </w:r>
      <w:bookmarkEnd w:id="46"/>
    </w:p>
    <w:p w:rsidRPr="004B3667" w:rsidR="00C829B4" w:rsidP="00C829B4" w:rsidRDefault="00C829B4" w14:paraId="341999B2" w14:textId="77777777">
      <w:pPr>
        <w:rPr>
          <w:rFonts w:cs="Times New Roman"/>
          <w:szCs w:val="20"/>
        </w:rPr>
      </w:pPr>
      <w:r w:rsidRPr="004B3667">
        <w:rPr>
          <w:rFonts w:cs="Times New Roman"/>
          <w:szCs w:val="20"/>
        </w:rPr>
        <w:t>SDG&amp;E asserts that it will take SDG&amp;E four months to implement an alternative sales forecast proposal.</w:t>
      </w:r>
      <w:r w:rsidRPr="004B3667">
        <w:rPr>
          <w:rFonts w:cs="Times New Roman"/>
          <w:szCs w:val="20"/>
          <w:vertAlign w:val="superscript"/>
        </w:rPr>
        <w:footnoteReference w:id="22"/>
      </w:r>
      <w:r w:rsidRPr="004B3667">
        <w:rPr>
          <w:rFonts w:cs="Times New Roman"/>
          <w:szCs w:val="20"/>
        </w:rPr>
        <w:t xml:space="preserve">  </w:t>
      </w:r>
    </w:p>
    <w:p w:rsidRPr="004B3667" w:rsidR="00C829B4" w:rsidP="00C829B4" w:rsidRDefault="00AF09C6" w14:paraId="552A1B34" w14:textId="204FAEF2">
      <w:pPr>
        <w:rPr>
          <w:rFonts w:cs="Times New Roman"/>
          <w:szCs w:val="20"/>
        </w:rPr>
      </w:pPr>
      <w:r>
        <w:rPr>
          <w:rFonts w:cs="Times New Roman"/>
          <w:szCs w:val="20"/>
        </w:rPr>
        <w:t>Cal Adv</w:t>
      </w:r>
      <w:r w:rsidRPr="004B3667" w:rsidR="00C829B4">
        <w:rPr>
          <w:rFonts w:cs="Times New Roman"/>
          <w:szCs w:val="20"/>
        </w:rPr>
        <w:t>ocates contends that, if SDG&amp;E requires four months to implement a sales forecast other than its own, then SDG&amp;E’s current implementation methodology is prejudicial to other parties, because the lengthy implementation delay will discourage adoption of proposals other than SDG&amp;E’s.</w:t>
      </w:r>
      <w:r w:rsidRPr="004B3667" w:rsidR="00C829B4">
        <w:rPr>
          <w:rFonts w:cs="Times New Roman"/>
          <w:szCs w:val="20"/>
          <w:vertAlign w:val="superscript"/>
        </w:rPr>
        <w:footnoteReference w:id="23"/>
      </w:r>
      <w:r w:rsidRPr="004B3667" w:rsidR="00C829B4">
        <w:rPr>
          <w:rFonts w:cs="Times New Roman"/>
          <w:szCs w:val="20"/>
        </w:rPr>
        <w:t xml:space="preserve">  UCAN agrees with </w:t>
      </w:r>
      <w:r>
        <w:rPr>
          <w:rFonts w:cs="Times New Roman"/>
          <w:szCs w:val="20"/>
        </w:rPr>
        <w:t>Cal Adv</w:t>
      </w:r>
      <w:r w:rsidRPr="004B3667" w:rsidR="00C829B4">
        <w:rPr>
          <w:rFonts w:cs="Times New Roman"/>
          <w:szCs w:val="20"/>
        </w:rPr>
        <w:t>ocates and requests that the Commission direct SDG&amp;E to modify its current implementation process.</w:t>
      </w:r>
      <w:r w:rsidRPr="004B3667" w:rsidR="00C829B4">
        <w:rPr>
          <w:rFonts w:cs="Times New Roman"/>
          <w:szCs w:val="20"/>
          <w:vertAlign w:val="superscript"/>
        </w:rPr>
        <w:footnoteReference w:id="24"/>
      </w:r>
    </w:p>
    <w:p w:rsidRPr="004B3667" w:rsidR="00C829B4" w:rsidP="00C829B4" w:rsidRDefault="00C829B4" w14:paraId="4B62760D" w14:textId="775E18AC">
      <w:pPr>
        <w:rPr>
          <w:rFonts w:cs="Times New Roman"/>
          <w:szCs w:val="20"/>
        </w:rPr>
      </w:pPr>
      <w:r w:rsidRPr="004B3667">
        <w:rPr>
          <w:rFonts w:cs="Times New Roman"/>
          <w:szCs w:val="20"/>
        </w:rPr>
        <w:t xml:space="preserve">We agree with </w:t>
      </w:r>
      <w:r w:rsidR="00AF09C6">
        <w:rPr>
          <w:rFonts w:cs="Times New Roman"/>
          <w:szCs w:val="20"/>
        </w:rPr>
        <w:t>Cal Adv</w:t>
      </w:r>
      <w:r w:rsidRPr="004B3667">
        <w:rPr>
          <w:rFonts w:cs="Times New Roman"/>
          <w:szCs w:val="20"/>
        </w:rPr>
        <w:t xml:space="preserve">ocates and UCAN that </w:t>
      </w:r>
      <w:bookmarkStart w:name="_Hlk90656044" w:id="47"/>
      <w:r w:rsidRPr="004B3667">
        <w:rPr>
          <w:rFonts w:cs="Times New Roman"/>
          <w:szCs w:val="20"/>
        </w:rPr>
        <w:t xml:space="preserve">the four-month implementation delay for alternative proposals is prejudicial to other parties. </w:t>
      </w:r>
      <w:r w:rsidRPr="004B3667" w:rsidR="00C96E10">
        <w:rPr>
          <w:rFonts w:cs="Times New Roman"/>
          <w:szCs w:val="20"/>
        </w:rPr>
        <w:t xml:space="preserve"> </w:t>
      </w:r>
      <w:r w:rsidRPr="004B3667">
        <w:rPr>
          <w:rFonts w:cs="Times New Roman"/>
          <w:szCs w:val="20"/>
        </w:rPr>
        <w:t>SDG&amp;E’s proposal, which will not need an additional four months to implement, would be more advantageous over other proposals</w:t>
      </w:r>
      <w:bookmarkEnd w:id="47"/>
      <w:r w:rsidRPr="004B3667">
        <w:rPr>
          <w:rFonts w:cs="Times New Roman"/>
          <w:szCs w:val="20"/>
        </w:rPr>
        <w:t xml:space="preserve">.  Therefore, </w:t>
      </w:r>
      <w:bookmarkStart w:name="_Hlk90656099" w:id="48"/>
      <w:r w:rsidRPr="004B3667">
        <w:rPr>
          <w:rFonts w:cs="Times New Roman"/>
          <w:szCs w:val="20"/>
        </w:rPr>
        <w:t>in our consideration of an appropriate 2022 electric sales forecast, we will not factor in the four-month implementation delay when making our determination</w:t>
      </w:r>
      <w:bookmarkEnd w:id="48"/>
      <w:r w:rsidRPr="004B3667">
        <w:rPr>
          <w:rFonts w:cs="Times New Roman"/>
          <w:szCs w:val="20"/>
        </w:rPr>
        <w:t xml:space="preserve">.  </w:t>
      </w:r>
    </w:p>
    <w:p w:rsidR="00AD2294" w:rsidP="00C829B4" w:rsidRDefault="00C829B4" w14:paraId="17234DAC" w14:textId="77777777">
      <w:pPr>
        <w:rPr>
          <w:rFonts w:cs="Times New Roman"/>
          <w:szCs w:val="20"/>
        </w:rPr>
      </w:pPr>
      <w:bookmarkStart w:name="_Hlk90674984" w:id="49"/>
      <w:r w:rsidRPr="004B3667">
        <w:rPr>
          <w:rFonts w:cs="Times New Roman"/>
          <w:szCs w:val="20"/>
        </w:rPr>
        <w:t xml:space="preserve">Furthermore, we find that SDG&amp;E’s </w:t>
      </w:r>
      <w:bookmarkStart w:name="_Hlk90674938" w:id="50"/>
      <w:r w:rsidRPr="004B3667">
        <w:rPr>
          <w:rFonts w:cs="Times New Roman"/>
          <w:szCs w:val="20"/>
        </w:rPr>
        <w:t>four-month time frame to implement alternative sales forecast proposals</w:t>
      </w:r>
      <w:bookmarkEnd w:id="50"/>
      <w:r w:rsidRPr="004B3667">
        <w:rPr>
          <w:rFonts w:cs="Times New Roman"/>
          <w:szCs w:val="20"/>
        </w:rPr>
        <w:t xml:space="preserve"> is not reasonable</w:t>
      </w:r>
      <w:bookmarkEnd w:id="49"/>
      <w:r w:rsidRPr="004B3667">
        <w:rPr>
          <w:rFonts w:cs="Times New Roman"/>
          <w:szCs w:val="20"/>
        </w:rPr>
        <w:t xml:space="preserve">. </w:t>
      </w:r>
      <w:bookmarkStart w:name="_Hlk90674975" w:id="51"/>
      <w:r w:rsidRPr="004B3667">
        <w:rPr>
          <w:rFonts w:cs="Times New Roman"/>
          <w:szCs w:val="20"/>
        </w:rPr>
        <w:t xml:space="preserve"> This delay </w:t>
      </w:r>
      <w:bookmarkStart w:name="_Hlk92138139" w:id="52"/>
      <w:r w:rsidRPr="004B3667">
        <w:rPr>
          <w:rFonts w:cs="Times New Roman"/>
          <w:szCs w:val="20"/>
        </w:rPr>
        <w:t xml:space="preserve">limits the Commission from considering any alternative proposals if the sales forecast had to be implemented by January 1 of the forecasted year.  </w:t>
      </w:r>
      <w:bookmarkEnd w:id="51"/>
      <w:bookmarkEnd w:id="52"/>
      <w:r w:rsidRPr="004B3667">
        <w:rPr>
          <w:rFonts w:cs="Times New Roman"/>
          <w:szCs w:val="20"/>
        </w:rPr>
        <w:t xml:space="preserve">Therefore, we agree with </w:t>
      </w:r>
      <w:r w:rsidRPr="004B3667">
        <w:rPr>
          <w:rFonts w:cs="Times New Roman"/>
          <w:szCs w:val="20"/>
        </w:rPr>
        <w:lastRenderedPageBreak/>
        <w:t xml:space="preserve">parties that </w:t>
      </w:r>
      <w:bookmarkStart w:name="_Hlk90675027" w:id="53"/>
      <w:r w:rsidRPr="004B3667">
        <w:rPr>
          <w:rFonts w:cs="Times New Roman"/>
          <w:szCs w:val="20"/>
        </w:rPr>
        <w:t>SDG&amp;E’s current sales forecast implementation process needs to be revisited.</w:t>
      </w:r>
      <w:bookmarkEnd w:id="53"/>
      <w:r w:rsidRPr="004B3667">
        <w:rPr>
          <w:rFonts w:cs="Times New Roman"/>
          <w:szCs w:val="20"/>
        </w:rPr>
        <w:t xml:space="preserve">  </w:t>
      </w:r>
    </w:p>
    <w:p w:rsidRPr="004B3667" w:rsidR="00C829B4" w:rsidP="00AD2294" w:rsidRDefault="00C829B4" w14:paraId="1B57BA99" w14:textId="5BC8C0EE">
      <w:pPr>
        <w:rPr>
          <w:rFonts w:cs="Times New Roman"/>
          <w:szCs w:val="20"/>
        </w:rPr>
      </w:pPr>
      <w:r w:rsidRPr="004B3667">
        <w:rPr>
          <w:rFonts w:cs="Times New Roman"/>
          <w:szCs w:val="20"/>
        </w:rPr>
        <w:t>We direct SDG&amp;E to work with parties</w:t>
      </w:r>
      <w:r w:rsidR="007A0A5E">
        <w:rPr>
          <w:rFonts w:cs="Times New Roman"/>
          <w:szCs w:val="20"/>
        </w:rPr>
        <w:t xml:space="preserve"> and stakeholders</w:t>
      </w:r>
      <w:r w:rsidRPr="004B3667">
        <w:rPr>
          <w:rFonts w:cs="Times New Roman"/>
          <w:szCs w:val="20"/>
        </w:rPr>
        <w:t xml:space="preserve">, possibly in an all-party workshop, to consider either modifications to its existing methodology or a new process </w:t>
      </w:r>
      <w:r w:rsidR="00AD2294">
        <w:rPr>
          <w:rFonts w:cs="Times New Roman"/>
          <w:szCs w:val="20"/>
        </w:rPr>
        <w:t xml:space="preserve">or rate model </w:t>
      </w:r>
      <w:r w:rsidRPr="004B3667">
        <w:rPr>
          <w:rFonts w:cs="Times New Roman"/>
          <w:szCs w:val="20"/>
        </w:rPr>
        <w:t xml:space="preserve">that will allow sufficient time for the Commission to consider alternative sales forecast proposals and for SDG&amp;E to implement any alternative proposal </w:t>
      </w:r>
      <w:r w:rsidR="007C355C">
        <w:rPr>
          <w:rFonts w:cs="Times New Roman"/>
          <w:szCs w:val="20"/>
        </w:rPr>
        <w:t xml:space="preserve">in a timely manner, </w:t>
      </w:r>
      <w:r w:rsidR="006A48E8">
        <w:rPr>
          <w:rFonts w:cs="Times New Roman"/>
          <w:szCs w:val="20"/>
        </w:rPr>
        <w:t>such as</w:t>
      </w:r>
      <w:r w:rsidR="007C355C">
        <w:rPr>
          <w:rFonts w:cs="Times New Roman"/>
          <w:szCs w:val="20"/>
        </w:rPr>
        <w:t xml:space="preserve"> </w:t>
      </w:r>
      <w:r w:rsidRPr="004B3667">
        <w:rPr>
          <w:rFonts w:cs="Times New Roman"/>
          <w:szCs w:val="20"/>
        </w:rPr>
        <w:t>by January 1 of the forecasted year.</w:t>
      </w:r>
      <w:r w:rsidR="00AD2294">
        <w:rPr>
          <w:rFonts w:cs="Times New Roman"/>
          <w:szCs w:val="20"/>
        </w:rPr>
        <w:t xml:space="preserve">  SDG&amp;E shall begin working with parties and propose a detailed plan on how to address the implementation delays in its 2023 sales forecast application, which as described in Section 4.1 below, will be consolidated with its 2023 ERRA forecast application.</w:t>
      </w:r>
      <w:r w:rsidR="00125939">
        <w:rPr>
          <w:rFonts w:cs="Times New Roman"/>
          <w:szCs w:val="20"/>
        </w:rPr>
        <w:t xml:space="preserve">  Because SDG&amp;E needs to file its 2023 ERRA Forecast Application by May 15, 2023</w:t>
      </w:r>
      <w:r w:rsidR="00103167">
        <w:rPr>
          <w:rFonts w:cs="Times New Roman"/>
          <w:szCs w:val="20"/>
        </w:rPr>
        <w:t>,</w:t>
      </w:r>
      <w:r w:rsidR="00D206A8">
        <w:rPr>
          <w:rStyle w:val="FootnoteReference"/>
          <w:rFonts w:cs="Times New Roman"/>
          <w:szCs w:val="20"/>
        </w:rPr>
        <w:footnoteReference w:id="25"/>
      </w:r>
      <w:r w:rsidR="00125939">
        <w:rPr>
          <w:rFonts w:cs="Times New Roman"/>
          <w:szCs w:val="20"/>
        </w:rPr>
        <w:t xml:space="preserve"> SDG&amp;E shall </w:t>
      </w:r>
      <w:r w:rsidR="009B047A">
        <w:rPr>
          <w:rFonts w:cs="Times New Roman"/>
          <w:szCs w:val="20"/>
        </w:rPr>
        <w:t>begin th</w:t>
      </w:r>
      <w:r w:rsidR="00D206A8">
        <w:rPr>
          <w:rFonts w:cs="Times New Roman"/>
          <w:szCs w:val="20"/>
        </w:rPr>
        <w:t>e</w:t>
      </w:r>
      <w:r w:rsidR="009B047A">
        <w:rPr>
          <w:rFonts w:cs="Times New Roman"/>
          <w:szCs w:val="20"/>
        </w:rPr>
        <w:t xml:space="preserve"> coordination process</w:t>
      </w:r>
      <w:r w:rsidR="00D206A8">
        <w:rPr>
          <w:rFonts w:cs="Times New Roman"/>
          <w:szCs w:val="20"/>
        </w:rPr>
        <w:t xml:space="preserve"> with the parties</w:t>
      </w:r>
      <w:r w:rsidR="009B047A">
        <w:rPr>
          <w:rFonts w:cs="Times New Roman"/>
          <w:szCs w:val="20"/>
        </w:rPr>
        <w:t xml:space="preserve"> immediately upon the effective date of this decision, or</w:t>
      </w:r>
      <w:r w:rsidR="00125939">
        <w:rPr>
          <w:rFonts w:cs="Times New Roman"/>
          <w:szCs w:val="20"/>
        </w:rPr>
        <w:t xml:space="preserve"> April 15, </w:t>
      </w:r>
      <w:r w:rsidR="002B08F6">
        <w:rPr>
          <w:rFonts w:cs="Times New Roman"/>
          <w:szCs w:val="20"/>
        </w:rPr>
        <w:t>2023,</w:t>
      </w:r>
      <w:r w:rsidR="00125939">
        <w:rPr>
          <w:rFonts w:cs="Times New Roman"/>
          <w:szCs w:val="20"/>
        </w:rPr>
        <w:t xml:space="preserve"> </w:t>
      </w:r>
      <w:r w:rsidR="009B047A">
        <w:rPr>
          <w:rFonts w:cs="Times New Roman"/>
          <w:szCs w:val="20"/>
        </w:rPr>
        <w:t xml:space="preserve">the latest, so as to not delay </w:t>
      </w:r>
      <w:r w:rsidR="00D206A8">
        <w:rPr>
          <w:rFonts w:cs="Times New Roman"/>
          <w:szCs w:val="20"/>
        </w:rPr>
        <w:t xml:space="preserve">the filing of </w:t>
      </w:r>
      <w:r w:rsidR="009B047A">
        <w:rPr>
          <w:rFonts w:cs="Times New Roman"/>
          <w:szCs w:val="20"/>
        </w:rPr>
        <w:t>SDG&amp;E’s 2023 ERRA forecast</w:t>
      </w:r>
      <w:r w:rsidR="00D206A8">
        <w:rPr>
          <w:rFonts w:cs="Times New Roman"/>
          <w:szCs w:val="20"/>
        </w:rPr>
        <w:t xml:space="preserve"> application</w:t>
      </w:r>
      <w:r w:rsidR="009B047A">
        <w:rPr>
          <w:rFonts w:cs="Times New Roman"/>
          <w:szCs w:val="20"/>
        </w:rPr>
        <w:t>.</w:t>
      </w:r>
    </w:p>
    <w:p w:rsidRPr="00327EA1" w:rsidR="00C829B4" w:rsidP="00E07408" w:rsidRDefault="00C829B4" w14:paraId="0F9E4C50" w14:textId="4BF768BF">
      <w:pPr>
        <w:pStyle w:val="Heading2"/>
      </w:pPr>
      <w:bookmarkStart w:name="_Toc98143109" w:id="54"/>
      <w:r w:rsidRPr="00327EA1">
        <w:t>Implementation of Approved 2022</w:t>
      </w:r>
      <w:r w:rsidR="000C75B0">
        <w:br/>
      </w:r>
      <w:r w:rsidRPr="00327EA1">
        <w:t>Electric Sales Forecast</w:t>
      </w:r>
      <w:bookmarkEnd w:id="54"/>
    </w:p>
    <w:p w:rsidRPr="004B3667" w:rsidR="00C829B4" w:rsidP="00C829B4" w:rsidRDefault="00C829B4" w14:paraId="46E24C8A" w14:textId="7CB0CC30">
      <w:pPr>
        <w:rPr>
          <w:rFonts w:cs="Times New Roman"/>
          <w:szCs w:val="20"/>
        </w:rPr>
      </w:pPr>
      <w:r w:rsidRPr="004B3667">
        <w:rPr>
          <w:rFonts w:cs="Times New Roman"/>
          <w:szCs w:val="20"/>
        </w:rPr>
        <w:t xml:space="preserve">Within </w:t>
      </w:r>
      <w:bookmarkStart w:name="_Hlk97197261" w:id="55"/>
      <w:r w:rsidR="005557BC">
        <w:rPr>
          <w:rFonts w:cs="Times New Roman"/>
          <w:szCs w:val="20"/>
        </w:rPr>
        <w:t>6</w:t>
      </w:r>
      <w:r w:rsidRPr="004B3667">
        <w:rPr>
          <w:rFonts w:cs="Times New Roman"/>
          <w:szCs w:val="20"/>
        </w:rPr>
        <w:t xml:space="preserve">0 days of this decision, SDG&amp;E shall file a Tier </w:t>
      </w:r>
      <w:r w:rsidR="005557BC">
        <w:rPr>
          <w:rFonts w:cs="Times New Roman"/>
          <w:szCs w:val="20"/>
        </w:rPr>
        <w:t>1</w:t>
      </w:r>
      <w:r w:rsidRPr="004B3667">
        <w:rPr>
          <w:rFonts w:cs="Times New Roman"/>
          <w:szCs w:val="20"/>
        </w:rPr>
        <w:t xml:space="preserve"> advice letter to implement the 2022 approved electric sales forecast</w:t>
      </w:r>
      <w:bookmarkEnd w:id="55"/>
      <w:r w:rsidRPr="004B3667">
        <w:rPr>
          <w:rFonts w:cs="Times New Roman"/>
          <w:szCs w:val="20"/>
        </w:rPr>
        <w:t>.  If the implementation of the 2022 electric sales forecast will take four months or longer</w:t>
      </w:r>
      <w:r w:rsidR="005557BC">
        <w:rPr>
          <w:rFonts w:cs="Times New Roman"/>
          <w:szCs w:val="20"/>
        </w:rPr>
        <w:t xml:space="preserve"> from the effective date of this decision</w:t>
      </w:r>
      <w:r w:rsidRPr="004B3667">
        <w:rPr>
          <w:rFonts w:cs="Times New Roman"/>
          <w:szCs w:val="20"/>
        </w:rPr>
        <w:t>, SDG&amp;E shall work with Energy Division to determine an appropriate effective date for the 2022 electric sales forecast.</w:t>
      </w:r>
    </w:p>
    <w:p w:rsidRPr="00327EA1" w:rsidR="00C829B4" w:rsidP="00E07408" w:rsidRDefault="00C829B4" w14:paraId="729F1BCD" w14:textId="452FAE8C">
      <w:pPr>
        <w:pStyle w:val="Heading2"/>
      </w:pPr>
      <w:bookmarkStart w:name="_Toc98143110" w:id="56"/>
      <w:r w:rsidRPr="00327EA1">
        <w:lastRenderedPageBreak/>
        <w:t xml:space="preserve">Studying the </w:t>
      </w:r>
      <w:r w:rsidR="008770AD">
        <w:t xml:space="preserve">Impacts </w:t>
      </w:r>
      <w:r w:rsidRPr="00327EA1">
        <w:t xml:space="preserve">of the </w:t>
      </w:r>
      <w:r w:rsidR="008770AD">
        <w:t>P</w:t>
      </w:r>
      <w:r w:rsidRPr="00327EA1">
        <w:t xml:space="preserve">andemic to </w:t>
      </w:r>
      <w:r w:rsidR="008770AD">
        <w:t>P</w:t>
      </w:r>
      <w:r w:rsidRPr="00327EA1">
        <w:t xml:space="preserve">redict </w:t>
      </w:r>
      <w:r w:rsidR="008770AD">
        <w:t>S</w:t>
      </w:r>
      <w:r w:rsidRPr="00327EA1">
        <w:t>ales</w:t>
      </w:r>
      <w:bookmarkEnd w:id="56"/>
    </w:p>
    <w:p w:rsidRPr="004B3667" w:rsidR="00C829B4" w:rsidP="00C829B4" w:rsidRDefault="00C829B4" w14:paraId="5CFA8739" w14:textId="34530152">
      <w:pPr>
        <w:rPr>
          <w:rFonts w:cs="Times New Roman"/>
          <w:szCs w:val="20"/>
        </w:rPr>
      </w:pPr>
      <w:proofErr w:type="spellStart"/>
      <w:r w:rsidRPr="004B3667">
        <w:rPr>
          <w:rFonts w:cs="Times New Roman"/>
          <w:szCs w:val="20"/>
        </w:rPr>
        <w:t>SBUA</w:t>
      </w:r>
      <w:proofErr w:type="spellEnd"/>
      <w:r w:rsidRPr="004B3667">
        <w:rPr>
          <w:rFonts w:cs="Times New Roman"/>
          <w:szCs w:val="20"/>
        </w:rPr>
        <w:t xml:space="preserve"> requests that the Commission direct SDG&amp;E to study and report on </w:t>
      </w:r>
      <w:bookmarkStart w:name="_Hlk90675796" w:id="57"/>
      <w:r w:rsidRPr="004B3667">
        <w:rPr>
          <w:rFonts w:cs="Times New Roman"/>
          <w:szCs w:val="20"/>
        </w:rPr>
        <w:t>the impacts of the pandemic on electric</w:t>
      </w:r>
      <w:r w:rsidR="00E65443">
        <w:rPr>
          <w:rFonts w:cs="Times New Roman"/>
          <w:szCs w:val="20"/>
        </w:rPr>
        <w:t>ity</w:t>
      </w:r>
      <w:r w:rsidRPr="004B3667">
        <w:rPr>
          <w:rFonts w:cs="Times New Roman"/>
          <w:szCs w:val="20"/>
        </w:rPr>
        <w:t xml:space="preserve"> end uses</w:t>
      </w:r>
      <w:bookmarkEnd w:id="57"/>
      <w:r w:rsidRPr="004B3667">
        <w:rPr>
          <w:rFonts w:cs="Times New Roman"/>
          <w:szCs w:val="20"/>
        </w:rPr>
        <w:t xml:space="preserve">.  In particular, </w:t>
      </w:r>
      <w:proofErr w:type="spellStart"/>
      <w:r w:rsidRPr="004B3667">
        <w:rPr>
          <w:rFonts w:cs="Times New Roman"/>
          <w:szCs w:val="20"/>
        </w:rPr>
        <w:t>SBUA</w:t>
      </w:r>
      <w:proofErr w:type="spellEnd"/>
      <w:r w:rsidRPr="004B3667">
        <w:rPr>
          <w:rFonts w:cs="Times New Roman"/>
          <w:szCs w:val="20"/>
        </w:rPr>
        <w:t xml:space="preserve"> requests that SDG&amp;E analyze recent and anticipated future shift</w:t>
      </w:r>
      <w:r w:rsidR="00E65443">
        <w:rPr>
          <w:rFonts w:cs="Times New Roman"/>
          <w:szCs w:val="20"/>
        </w:rPr>
        <w:t>s</w:t>
      </w:r>
      <w:r w:rsidRPr="004B3667">
        <w:rPr>
          <w:rFonts w:cs="Times New Roman"/>
          <w:szCs w:val="20"/>
        </w:rPr>
        <w:t xml:space="preserve"> in end uses, both sales and peak loads, between customer classes resulting from the pandemic.</w:t>
      </w:r>
      <w:r w:rsidRPr="004B3667">
        <w:rPr>
          <w:rFonts w:cs="Times New Roman"/>
          <w:szCs w:val="20"/>
          <w:vertAlign w:val="superscript"/>
        </w:rPr>
        <w:footnoteReference w:id="26"/>
      </w:r>
    </w:p>
    <w:p w:rsidRPr="004B3667" w:rsidR="00C829B4" w:rsidP="00C829B4" w:rsidRDefault="00C829B4" w14:paraId="12228A60" w14:textId="3F37A13C">
      <w:pPr>
        <w:rPr>
          <w:rFonts w:cs="Times New Roman"/>
          <w:szCs w:val="20"/>
        </w:rPr>
      </w:pPr>
      <w:r w:rsidRPr="004B3667">
        <w:rPr>
          <w:rFonts w:cs="Times New Roman"/>
          <w:szCs w:val="20"/>
        </w:rPr>
        <w:t xml:space="preserve">SDG&amp;E posits that impacts of the Covid-19 pandemic should be considered and examined in collaboration with the CEC and included as part of CEC’s </w:t>
      </w:r>
      <w:proofErr w:type="spellStart"/>
      <w:r w:rsidRPr="004B3667">
        <w:rPr>
          <w:rFonts w:cs="Times New Roman"/>
          <w:szCs w:val="20"/>
        </w:rPr>
        <w:t>IEPR</w:t>
      </w:r>
      <w:proofErr w:type="spellEnd"/>
      <w:r w:rsidRPr="004B3667">
        <w:rPr>
          <w:rFonts w:cs="Times New Roman"/>
          <w:szCs w:val="20"/>
        </w:rPr>
        <w:t xml:space="preserve"> forecast process.</w:t>
      </w:r>
      <w:r w:rsidRPr="004B3667">
        <w:rPr>
          <w:rFonts w:cs="Times New Roman"/>
          <w:szCs w:val="20"/>
          <w:vertAlign w:val="superscript"/>
        </w:rPr>
        <w:footnoteReference w:id="27"/>
      </w:r>
      <w:r w:rsidRPr="004B3667">
        <w:rPr>
          <w:rFonts w:cs="Times New Roman"/>
          <w:szCs w:val="20"/>
        </w:rPr>
        <w:t xml:space="preserve">  </w:t>
      </w:r>
    </w:p>
    <w:p w:rsidRPr="004B3667" w:rsidR="00C829B4" w:rsidP="00C829B4" w:rsidRDefault="00C829B4" w14:paraId="5223313B" w14:textId="3344CA51">
      <w:pPr>
        <w:rPr>
          <w:rFonts w:cs="Times New Roman"/>
          <w:szCs w:val="20"/>
        </w:rPr>
      </w:pPr>
      <w:r w:rsidRPr="004B3667">
        <w:rPr>
          <w:rFonts w:cs="Times New Roman"/>
          <w:szCs w:val="20"/>
        </w:rPr>
        <w:t xml:space="preserve">We agree with SDG&amp;E that, </w:t>
      </w:r>
      <w:bookmarkStart w:name="_Hlk90675405" w:id="58"/>
      <w:r w:rsidRPr="004B3667">
        <w:rPr>
          <w:rFonts w:cs="Times New Roman"/>
          <w:szCs w:val="20"/>
        </w:rPr>
        <w:t xml:space="preserve">at the moment, the CEC </w:t>
      </w:r>
      <w:r w:rsidRPr="004B3667" w:rsidR="00593F0E">
        <w:rPr>
          <w:rFonts w:cs="Times New Roman"/>
          <w:szCs w:val="20"/>
        </w:rPr>
        <w:t xml:space="preserve">demand </w:t>
      </w:r>
      <w:r w:rsidRPr="004B3667">
        <w:rPr>
          <w:rFonts w:cs="Times New Roman"/>
          <w:szCs w:val="20"/>
        </w:rPr>
        <w:t xml:space="preserve">forecasting process, which is a forum where SDG&amp;E can collaborate with </w:t>
      </w:r>
      <w:r w:rsidRPr="004B3667" w:rsidR="00593F0E">
        <w:rPr>
          <w:rFonts w:cs="Times New Roman"/>
          <w:szCs w:val="20"/>
        </w:rPr>
        <w:t xml:space="preserve">the </w:t>
      </w:r>
      <w:r w:rsidRPr="004B3667">
        <w:rPr>
          <w:rFonts w:cs="Times New Roman"/>
          <w:szCs w:val="20"/>
        </w:rPr>
        <w:t>CEC as well as various other stakeholders, is the most appropriate venue to thoroughly examine the impacts of the pandemic on electric</w:t>
      </w:r>
      <w:r w:rsidR="00E65443">
        <w:rPr>
          <w:rFonts w:cs="Times New Roman"/>
          <w:szCs w:val="20"/>
        </w:rPr>
        <w:t>ity</w:t>
      </w:r>
      <w:r w:rsidRPr="004B3667">
        <w:rPr>
          <w:rFonts w:cs="Times New Roman"/>
          <w:szCs w:val="20"/>
        </w:rPr>
        <w:t xml:space="preserve"> end uses.</w:t>
      </w:r>
      <w:bookmarkEnd w:id="58"/>
      <w:r w:rsidRPr="004B3667">
        <w:rPr>
          <w:rFonts w:cs="Times New Roman"/>
          <w:szCs w:val="20"/>
        </w:rPr>
        <w:t xml:space="preserve">  A thoroug</w:t>
      </w:r>
      <w:r w:rsidRPr="004B3667" w:rsidR="00774249">
        <w:rPr>
          <w:rFonts w:cs="Times New Roman"/>
          <w:szCs w:val="20"/>
        </w:rPr>
        <w:t>h</w:t>
      </w:r>
      <w:r w:rsidRPr="004B3667">
        <w:rPr>
          <w:rFonts w:cs="Times New Roman"/>
          <w:szCs w:val="20"/>
        </w:rPr>
        <w:t xml:space="preserve"> examination of the full or any lasting impacts of the pandemic will take time, particularly since we are still in the middle of the pandemic.  Therefore, </w:t>
      </w:r>
      <w:bookmarkStart w:name="_Hlk90675735" w:id="59"/>
      <w:r w:rsidRPr="004B3667">
        <w:rPr>
          <w:rFonts w:cs="Times New Roman"/>
          <w:szCs w:val="20"/>
        </w:rPr>
        <w:t xml:space="preserve">the research or study that </w:t>
      </w:r>
      <w:proofErr w:type="spellStart"/>
      <w:r w:rsidRPr="004B3667">
        <w:rPr>
          <w:rFonts w:cs="Times New Roman"/>
          <w:szCs w:val="20"/>
        </w:rPr>
        <w:t>SBUA</w:t>
      </w:r>
      <w:proofErr w:type="spellEnd"/>
      <w:r w:rsidRPr="004B3667">
        <w:rPr>
          <w:rFonts w:cs="Times New Roman"/>
          <w:szCs w:val="20"/>
        </w:rPr>
        <w:t xml:space="preserve"> is requesting SDG&amp;E to conduct is not warranted at the moment </w:t>
      </w:r>
      <w:bookmarkEnd w:id="59"/>
      <w:r w:rsidRPr="004B3667">
        <w:rPr>
          <w:rFonts w:cs="Times New Roman"/>
          <w:szCs w:val="20"/>
        </w:rPr>
        <w:t xml:space="preserve">but may be revisited </w:t>
      </w:r>
      <w:bookmarkStart w:name="_Hlk90676086" w:id="60"/>
      <w:r w:rsidRPr="004B3667">
        <w:rPr>
          <w:rFonts w:cs="Times New Roman"/>
          <w:szCs w:val="20"/>
        </w:rPr>
        <w:t xml:space="preserve">if the current CEC </w:t>
      </w:r>
      <w:r w:rsidRPr="004B3667" w:rsidR="003729CF">
        <w:rPr>
          <w:rFonts w:cs="Times New Roman"/>
          <w:szCs w:val="20"/>
        </w:rPr>
        <w:t xml:space="preserve">demand </w:t>
      </w:r>
      <w:r w:rsidRPr="004B3667">
        <w:rPr>
          <w:rFonts w:cs="Times New Roman"/>
          <w:szCs w:val="20"/>
        </w:rPr>
        <w:t>forecasting process does not allow SDG&amp;E to accurately predict sales and assign costs appropriately</w:t>
      </w:r>
      <w:bookmarkEnd w:id="60"/>
      <w:r w:rsidRPr="004B3667">
        <w:rPr>
          <w:rFonts w:cs="Times New Roman"/>
          <w:szCs w:val="20"/>
        </w:rPr>
        <w:t>.</w:t>
      </w:r>
    </w:p>
    <w:p w:rsidRPr="004B3667" w:rsidR="00C829B4" w:rsidP="00F811B9" w:rsidRDefault="00C829B4" w14:paraId="2B2492A8" w14:textId="2E0FD7A1">
      <w:pPr>
        <w:pStyle w:val="Heading2"/>
      </w:pPr>
      <w:bookmarkStart w:name="_Toc98143111" w:id="61"/>
      <w:r w:rsidRPr="004B3667">
        <w:t xml:space="preserve">Implementation of </w:t>
      </w:r>
      <w:proofErr w:type="spellStart"/>
      <w:r w:rsidRPr="004B3667">
        <w:t>SAPC</w:t>
      </w:r>
      <w:proofErr w:type="spellEnd"/>
      <w:r w:rsidRPr="004B3667">
        <w:t xml:space="preserve"> Methodology</w:t>
      </w:r>
      <w:bookmarkEnd w:id="61"/>
    </w:p>
    <w:p w:rsidRPr="004B3667" w:rsidR="00C829B4" w:rsidP="00C829B4" w:rsidRDefault="00C829B4" w14:paraId="351AF1ED" w14:textId="424C8E4B">
      <w:pPr>
        <w:rPr>
          <w:rFonts w:cs="Times New Roman"/>
          <w:szCs w:val="20"/>
        </w:rPr>
      </w:pPr>
      <w:bookmarkStart w:name="_Hlk90386887" w:id="62"/>
      <w:r w:rsidRPr="004B3667">
        <w:rPr>
          <w:rFonts w:cs="Times New Roman"/>
          <w:szCs w:val="20"/>
        </w:rPr>
        <w:t xml:space="preserve">SDG&amp;E proposes to use the </w:t>
      </w:r>
      <w:proofErr w:type="spellStart"/>
      <w:r w:rsidRPr="004B3667">
        <w:rPr>
          <w:rFonts w:cs="Times New Roman"/>
          <w:szCs w:val="20"/>
        </w:rPr>
        <w:t>SAPC</w:t>
      </w:r>
      <w:proofErr w:type="spellEnd"/>
      <w:r w:rsidRPr="004B3667">
        <w:rPr>
          <w:rFonts w:cs="Times New Roman"/>
          <w:szCs w:val="20"/>
        </w:rPr>
        <w:t xml:space="preserve"> methodology to implement the electric rate changes resulting from the 2022 electric sales forecast</w:t>
      </w:r>
      <w:bookmarkEnd w:id="62"/>
      <w:r w:rsidRPr="004B3667">
        <w:rPr>
          <w:rFonts w:cs="Times New Roman"/>
          <w:szCs w:val="20"/>
        </w:rPr>
        <w:t>.  SDG&amp;E states that parties in SDG&amp;E’s 2020 GRC Phase 2 proceeding, Application (A.)</w:t>
      </w:r>
      <w:r w:rsidR="00741D8F">
        <w:rPr>
          <w:rFonts w:cs="Times New Roman"/>
          <w:szCs w:val="20"/>
        </w:rPr>
        <w:t> </w:t>
      </w:r>
      <w:r w:rsidRPr="004B3667">
        <w:rPr>
          <w:rFonts w:cs="Times New Roman"/>
          <w:szCs w:val="20"/>
        </w:rPr>
        <w:t>19-03-002, agreed to this implementation in the approved Settlement Agreement.</w:t>
      </w:r>
      <w:r w:rsidRPr="004B3667">
        <w:rPr>
          <w:rFonts w:cs="Times New Roman"/>
          <w:szCs w:val="20"/>
          <w:vertAlign w:val="superscript"/>
        </w:rPr>
        <w:footnoteReference w:id="28"/>
      </w:r>
      <w:r w:rsidRPr="004B3667">
        <w:rPr>
          <w:rFonts w:cs="Times New Roman"/>
          <w:szCs w:val="20"/>
        </w:rPr>
        <w:t xml:space="preserve">  </w:t>
      </w:r>
      <w:bookmarkStart w:name="_Hlk90386984" w:id="63"/>
      <w:r w:rsidRPr="004B3667">
        <w:rPr>
          <w:rFonts w:cs="Times New Roman"/>
          <w:szCs w:val="20"/>
        </w:rPr>
        <w:lastRenderedPageBreak/>
        <w:t>D.21</w:t>
      </w:r>
      <w:r w:rsidRPr="004B3667" w:rsidR="00E41C40">
        <w:rPr>
          <w:rFonts w:cs="Times New Roman"/>
          <w:szCs w:val="20"/>
        </w:rPr>
        <w:noBreakHyphen/>
      </w:r>
      <w:r w:rsidRPr="004B3667">
        <w:rPr>
          <w:rFonts w:cs="Times New Roman"/>
          <w:szCs w:val="20"/>
        </w:rPr>
        <w:t>07</w:t>
      </w:r>
      <w:r w:rsidRPr="004B3667" w:rsidR="00E41C40">
        <w:rPr>
          <w:rFonts w:cs="Times New Roman"/>
          <w:szCs w:val="20"/>
        </w:rPr>
        <w:noBreakHyphen/>
      </w:r>
      <w:r w:rsidRPr="004B3667">
        <w:rPr>
          <w:rFonts w:cs="Times New Roman"/>
          <w:szCs w:val="20"/>
        </w:rPr>
        <w:t xml:space="preserve">010 (SDG&amp;E’s 2020 GRC Phase 2 Decision) explains that the purpose of the </w:t>
      </w:r>
      <w:proofErr w:type="spellStart"/>
      <w:r w:rsidRPr="004B3667">
        <w:rPr>
          <w:rFonts w:cs="Times New Roman"/>
          <w:szCs w:val="20"/>
        </w:rPr>
        <w:t>SAPC</w:t>
      </w:r>
      <w:proofErr w:type="spellEnd"/>
      <w:r w:rsidRPr="004B3667">
        <w:rPr>
          <w:rFonts w:cs="Times New Roman"/>
          <w:szCs w:val="20"/>
        </w:rPr>
        <w:t xml:space="preserve"> is to “smooth out volatility in class average rate changes” so that “each customer class will experience the same average rate change based on the variation in system sales.”</w:t>
      </w:r>
      <w:r w:rsidRPr="004B3667">
        <w:rPr>
          <w:rFonts w:cs="Times New Roman"/>
          <w:szCs w:val="20"/>
          <w:vertAlign w:val="superscript"/>
        </w:rPr>
        <w:footnoteReference w:id="29"/>
      </w:r>
      <w:r w:rsidRPr="004B3667">
        <w:rPr>
          <w:rFonts w:cs="Times New Roman"/>
          <w:szCs w:val="20"/>
        </w:rPr>
        <w:t xml:space="preserve">  </w:t>
      </w:r>
    </w:p>
    <w:p w:rsidRPr="004B3667" w:rsidR="00C829B4" w:rsidP="00C829B4" w:rsidRDefault="00C829B4" w14:paraId="65BFE218" w14:textId="69344222">
      <w:pPr>
        <w:rPr>
          <w:rFonts w:cs="Times New Roman"/>
          <w:szCs w:val="20"/>
        </w:rPr>
      </w:pPr>
      <w:bookmarkStart w:name="_Hlk90386969" w:id="64"/>
      <w:bookmarkEnd w:id="63"/>
      <w:r w:rsidRPr="004B3667">
        <w:rPr>
          <w:rFonts w:cs="Times New Roman"/>
          <w:szCs w:val="20"/>
        </w:rPr>
        <w:t xml:space="preserve">SDG&amp;E also requests authorization to use </w:t>
      </w:r>
      <w:proofErr w:type="spellStart"/>
      <w:r w:rsidRPr="004B3667">
        <w:rPr>
          <w:rFonts w:cs="Times New Roman"/>
          <w:szCs w:val="20"/>
        </w:rPr>
        <w:t>SAPC</w:t>
      </w:r>
      <w:proofErr w:type="spellEnd"/>
      <w:r w:rsidRPr="004B3667">
        <w:rPr>
          <w:rFonts w:cs="Times New Roman"/>
          <w:szCs w:val="20"/>
        </w:rPr>
        <w:t xml:space="preserve"> to implement any rate changes during the effective term of the 2022 electric sales forecast.</w:t>
      </w:r>
      <w:r w:rsidRPr="004B3667" w:rsidR="005D390A">
        <w:rPr>
          <w:rStyle w:val="FootnoteReference"/>
          <w:rFonts w:cs="Times New Roman"/>
          <w:szCs w:val="20"/>
        </w:rPr>
        <w:footnoteReference w:id="30"/>
      </w:r>
      <w:r w:rsidRPr="004B3667">
        <w:rPr>
          <w:rFonts w:cs="Times New Roman"/>
          <w:szCs w:val="20"/>
        </w:rPr>
        <w:t xml:space="preserve">  </w:t>
      </w:r>
    </w:p>
    <w:p w:rsidRPr="00D00436" w:rsidR="00C829B4" w:rsidP="00F811B9" w:rsidRDefault="00C829B4" w14:paraId="0D519A20" w14:textId="77777777">
      <w:pPr>
        <w:pStyle w:val="Heading3"/>
        <w:rPr>
          <w:rFonts w:eastAsiaTheme="majorEastAsia" w:cstheme="majorBidi"/>
        </w:rPr>
      </w:pPr>
      <w:bookmarkStart w:name="_Toc98143112" w:id="65"/>
      <w:bookmarkEnd w:id="64"/>
      <w:r w:rsidRPr="00D00436">
        <w:rPr>
          <w:rFonts w:eastAsiaTheme="majorEastAsia" w:cstheme="majorBidi"/>
        </w:rPr>
        <w:t>Parties’ Position</w:t>
      </w:r>
      <w:bookmarkEnd w:id="65"/>
    </w:p>
    <w:p w:rsidRPr="004B3667" w:rsidR="00C829B4" w:rsidP="00C829B4" w:rsidRDefault="00C829B4" w14:paraId="0E926437" w14:textId="77777777">
      <w:pPr>
        <w:rPr>
          <w:rFonts w:cs="Times New Roman"/>
          <w:szCs w:val="20"/>
        </w:rPr>
      </w:pPr>
      <w:bookmarkStart w:name="_Hlk90387018" w:id="66"/>
      <w:r w:rsidRPr="004B3667">
        <w:rPr>
          <w:rFonts w:cs="Times New Roman"/>
          <w:szCs w:val="20"/>
        </w:rPr>
        <w:t xml:space="preserve">No parties dispute that </w:t>
      </w:r>
      <w:proofErr w:type="spellStart"/>
      <w:r w:rsidRPr="004B3667">
        <w:rPr>
          <w:rFonts w:cs="Times New Roman"/>
          <w:szCs w:val="20"/>
        </w:rPr>
        <w:t>SAPC</w:t>
      </w:r>
      <w:proofErr w:type="spellEnd"/>
      <w:r w:rsidRPr="004B3667">
        <w:rPr>
          <w:rFonts w:cs="Times New Roman"/>
          <w:szCs w:val="20"/>
        </w:rPr>
        <w:t xml:space="preserve"> should be used when SDG&amp;E implements its sales forecast for 2022.</w:t>
      </w:r>
    </w:p>
    <w:p w:rsidRPr="004B3667" w:rsidR="00C829B4" w:rsidP="00C829B4" w:rsidRDefault="00C829B4" w14:paraId="211B5A5D" w14:textId="77777777">
      <w:pPr>
        <w:rPr>
          <w:rFonts w:cs="Times New Roman"/>
          <w:szCs w:val="20"/>
        </w:rPr>
      </w:pPr>
      <w:r w:rsidRPr="004B3667">
        <w:rPr>
          <w:rFonts w:cs="Times New Roman"/>
          <w:szCs w:val="20"/>
        </w:rPr>
        <w:t xml:space="preserve">UCAN, however, disputes the methodology SDG&amp;E uses to calculate </w:t>
      </w:r>
      <w:proofErr w:type="spellStart"/>
      <w:r w:rsidRPr="004B3667">
        <w:rPr>
          <w:rFonts w:cs="Times New Roman"/>
          <w:szCs w:val="20"/>
        </w:rPr>
        <w:t>SAPC</w:t>
      </w:r>
      <w:proofErr w:type="spellEnd"/>
      <w:r w:rsidRPr="004B3667">
        <w:rPr>
          <w:rFonts w:cs="Times New Roman"/>
          <w:szCs w:val="20"/>
        </w:rPr>
        <w:t xml:space="preserve">.  </w:t>
      </w:r>
      <w:bookmarkStart w:name="_Hlk90387038" w:id="67"/>
      <w:bookmarkEnd w:id="66"/>
      <w:r w:rsidRPr="004B3667">
        <w:rPr>
          <w:rFonts w:cs="Times New Roman"/>
          <w:szCs w:val="20"/>
        </w:rPr>
        <w:t xml:space="preserve">SDG&amp;E asserts that the GRC Phase 2 Settlement Agreement “definitively determined” a methodology for </w:t>
      </w:r>
      <w:proofErr w:type="spellStart"/>
      <w:r w:rsidRPr="004B3667">
        <w:rPr>
          <w:rFonts w:cs="Times New Roman"/>
          <w:szCs w:val="20"/>
        </w:rPr>
        <w:t>SAPC</w:t>
      </w:r>
      <w:proofErr w:type="spellEnd"/>
      <w:r w:rsidRPr="004B3667">
        <w:rPr>
          <w:rFonts w:cs="Times New Roman"/>
          <w:szCs w:val="20"/>
        </w:rPr>
        <w:t>, and that UCAN, as one of the settling parties, is violating the terms of the GRC Phase 2 Settlement Agreement</w:t>
      </w:r>
      <w:bookmarkEnd w:id="67"/>
      <w:r w:rsidRPr="004B3667">
        <w:rPr>
          <w:rFonts w:cs="Times New Roman"/>
          <w:szCs w:val="20"/>
        </w:rPr>
        <w:t xml:space="preserve"> by disputing the method SDG&amp;E uses to calculate </w:t>
      </w:r>
      <w:proofErr w:type="spellStart"/>
      <w:r w:rsidRPr="004B3667">
        <w:rPr>
          <w:rFonts w:cs="Times New Roman"/>
          <w:szCs w:val="20"/>
        </w:rPr>
        <w:t>SAPC</w:t>
      </w:r>
      <w:proofErr w:type="spellEnd"/>
      <w:r w:rsidRPr="004B3667">
        <w:rPr>
          <w:rFonts w:cs="Times New Roman"/>
          <w:szCs w:val="20"/>
        </w:rPr>
        <w:t>.</w:t>
      </w:r>
      <w:r w:rsidRPr="004B3667">
        <w:rPr>
          <w:rFonts w:cs="Times New Roman"/>
          <w:szCs w:val="20"/>
          <w:vertAlign w:val="superscript"/>
        </w:rPr>
        <w:footnoteReference w:id="31"/>
      </w:r>
      <w:r w:rsidRPr="004B3667">
        <w:rPr>
          <w:rFonts w:cs="Times New Roman"/>
          <w:szCs w:val="20"/>
        </w:rPr>
        <w:t xml:space="preserve">  </w:t>
      </w:r>
    </w:p>
    <w:p w:rsidRPr="00D00436" w:rsidR="00C829B4" w:rsidP="00F811B9" w:rsidRDefault="00C829B4" w14:paraId="31666718" w14:textId="77777777">
      <w:pPr>
        <w:pStyle w:val="Heading3"/>
        <w:rPr>
          <w:rFonts w:eastAsiaTheme="majorEastAsia" w:cstheme="majorBidi"/>
        </w:rPr>
      </w:pPr>
      <w:bookmarkStart w:name="_Toc98143113" w:id="68"/>
      <w:r w:rsidRPr="00D00436">
        <w:rPr>
          <w:rFonts w:eastAsiaTheme="majorEastAsia" w:cstheme="majorBidi"/>
        </w:rPr>
        <w:t>Discussion</w:t>
      </w:r>
      <w:bookmarkEnd w:id="68"/>
    </w:p>
    <w:p w:rsidRPr="004B3667" w:rsidR="00C829B4" w:rsidP="00C829B4" w:rsidRDefault="00C829B4" w14:paraId="408DDE3B" w14:textId="77777777">
      <w:pPr>
        <w:rPr>
          <w:rFonts w:cs="Times New Roman"/>
          <w:szCs w:val="20"/>
        </w:rPr>
      </w:pPr>
      <w:bookmarkStart w:name="_Hlk90387070" w:id="69"/>
      <w:r w:rsidRPr="004B3667">
        <w:rPr>
          <w:rFonts w:cs="Times New Roman"/>
          <w:szCs w:val="20"/>
        </w:rPr>
        <w:t xml:space="preserve">The appropriate method for calculating </w:t>
      </w:r>
      <w:proofErr w:type="spellStart"/>
      <w:r w:rsidRPr="004B3667">
        <w:rPr>
          <w:rFonts w:cs="Times New Roman"/>
          <w:szCs w:val="20"/>
        </w:rPr>
        <w:t>SAPC</w:t>
      </w:r>
      <w:proofErr w:type="spellEnd"/>
      <w:r w:rsidRPr="004B3667">
        <w:rPr>
          <w:rFonts w:cs="Times New Roman"/>
          <w:szCs w:val="20"/>
        </w:rPr>
        <w:t xml:space="preserve"> is not within the scope of this proceeding.  </w:t>
      </w:r>
      <w:proofErr w:type="spellStart"/>
      <w:r w:rsidRPr="004B3667">
        <w:rPr>
          <w:rFonts w:cs="Times New Roman"/>
          <w:szCs w:val="20"/>
        </w:rPr>
        <w:t>SAPC’s</w:t>
      </w:r>
      <w:proofErr w:type="spellEnd"/>
      <w:r w:rsidRPr="004B3667">
        <w:rPr>
          <w:rFonts w:cs="Times New Roman"/>
          <w:szCs w:val="20"/>
        </w:rPr>
        <w:t xml:space="preserve"> calculation methodology does not affect SDG&amp;E’s sales forecast, and therefore does not fall within the issues considered in this proceeding.  Determining the appropriate method of calculating </w:t>
      </w:r>
      <w:proofErr w:type="spellStart"/>
      <w:r w:rsidRPr="004B3667">
        <w:rPr>
          <w:rFonts w:cs="Times New Roman"/>
          <w:szCs w:val="20"/>
        </w:rPr>
        <w:t>SAPC</w:t>
      </w:r>
      <w:proofErr w:type="spellEnd"/>
      <w:r w:rsidRPr="004B3667">
        <w:rPr>
          <w:rFonts w:cs="Times New Roman"/>
          <w:szCs w:val="20"/>
        </w:rPr>
        <w:t xml:space="preserve"> should be addressed in SDG&amp;E’s GRC Phase 2 proceedings. </w:t>
      </w:r>
    </w:p>
    <w:p w:rsidRPr="004B3667" w:rsidR="00C829B4" w:rsidP="00C829B4" w:rsidRDefault="00C829B4" w14:paraId="1D936776" w14:textId="259E54D2">
      <w:pPr>
        <w:rPr>
          <w:rFonts w:cs="Times New Roman"/>
          <w:szCs w:val="20"/>
        </w:rPr>
      </w:pPr>
      <w:r w:rsidRPr="004B3667">
        <w:rPr>
          <w:rFonts w:cs="Times New Roman"/>
          <w:szCs w:val="20"/>
        </w:rPr>
        <w:t xml:space="preserve">Because D.21-07-010 adopted the Settlement Agreement in which parties agreed to implement </w:t>
      </w:r>
      <w:proofErr w:type="spellStart"/>
      <w:r w:rsidRPr="004B3667">
        <w:rPr>
          <w:rFonts w:cs="Times New Roman"/>
          <w:szCs w:val="20"/>
        </w:rPr>
        <w:t>SAPC</w:t>
      </w:r>
      <w:proofErr w:type="spellEnd"/>
      <w:r w:rsidRPr="004B3667">
        <w:rPr>
          <w:rFonts w:cs="Times New Roman"/>
          <w:szCs w:val="20"/>
        </w:rPr>
        <w:t xml:space="preserve"> with the 2022 electric sales forecast, and no parties </w:t>
      </w:r>
      <w:r w:rsidRPr="004B3667">
        <w:rPr>
          <w:rFonts w:cs="Times New Roman"/>
          <w:szCs w:val="20"/>
        </w:rPr>
        <w:lastRenderedPageBreak/>
        <w:t xml:space="preserve">contest the implementation of </w:t>
      </w:r>
      <w:proofErr w:type="spellStart"/>
      <w:r w:rsidRPr="004B3667">
        <w:rPr>
          <w:rFonts w:cs="Times New Roman"/>
          <w:szCs w:val="20"/>
        </w:rPr>
        <w:t>SAPC</w:t>
      </w:r>
      <w:proofErr w:type="spellEnd"/>
      <w:r w:rsidRPr="004B3667">
        <w:rPr>
          <w:rFonts w:cs="Times New Roman"/>
          <w:szCs w:val="20"/>
        </w:rPr>
        <w:t xml:space="preserve">, SDG&amp;E’s request to implement </w:t>
      </w:r>
      <w:proofErr w:type="spellStart"/>
      <w:r w:rsidRPr="004B3667">
        <w:rPr>
          <w:rFonts w:cs="Times New Roman"/>
          <w:szCs w:val="20"/>
        </w:rPr>
        <w:t>SAPC</w:t>
      </w:r>
      <w:proofErr w:type="spellEnd"/>
      <w:r w:rsidRPr="004B3667">
        <w:rPr>
          <w:rFonts w:cs="Times New Roman"/>
          <w:szCs w:val="20"/>
        </w:rPr>
        <w:t xml:space="preserve"> with the 2022 electric sales forecast is reasonable and granted.</w:t>
      </w:r>
      <w:bookmarkEnd w:id="69"/>
      <w:r w:rsidRPr="004B3667">
        <w:rPr>
          <w:rFonts w:cs="Times New Roman"/>
          <w:szCs w:val="20"/>
        </w:rPr>
        <w:t xml:space="preserve">  </w:t>
      </w:r>
    </w:p>
    <w:p w:rsidRPr="004B3667" w:rsidR="00C829B4" w:rsidP="00C829B4" w:rsidRDefault="00C829B4" w14:paraId="3AF4CE2B" w14:textId="77777777">
      <w:pPr>
        <w:rPr>
          <w:rFonts w:cs="Times New Roman"/>
          <w:szCs w:val="20"/>
        </w:rPr>
      </w:pPr>
      <w:r w:rsidRPr="004B3667">
        <w:rPr>
          <w:rFonts w:cs="Times New Roman"/>
          <w:szCs w:val="20"/>
        </w:rPr>
        <w:t xml:space="preserve">SDG&amp;E’s request to implement </w:t>
      </w:r>
      <w:proofErr w:type="spellStart"/>
      <w:r w:rsidRPr="004B3667">
        <w:rPr>
          <w:rFonts w:cs="Times New Roman"/>
          <w:szCs w:val="20"/>
        </w:rPr>
        <w:t>SAPC</w:t>
      </w:r>
      <w:proofErr w:type="spellEnd"/>
      <w:r w:rsidRPr="004B3667">
        <w:rPr>
          <w:rFonts w:cs="Times New Roman"/>
          <w:szCs w:val="20"/>
        </w:rPr>
        <w:t xml:space="preserve"> for rate changes during the term of the 2022 electric sales forecast is also outside the scope of this proceeding, because rate changes outside of implementing the sales forecast are not being considered in this proceeding.</w:t>
      </w:r>
    </w:p>
    <w:p w:rsidRPr="00D00436" w:rsidR="00C829B4" w:rsidP="00F811B9" w:rsidRDefault="00C829B4" w14:paraId="5C961937" w14:textId="5B9FC9D7">
      <w:pPr>
        <w:pStyle w:val="Heading1"/>
        <w:rPr>
          <w:rFonts w:eastAsiaTheme="majorEastAsia" w:cstheme="majorBidi"/>
        </w:rPr>
      </w:pPr>
      <w:bookmarkStart w:name="_Toc98143114" w:id="70"/>
      <w:bookmarkStart w:name="_Hlk90387457" w:id="71"/>
      <w:r w:rsidRPr="00D00436">
        <w:rPr>
          <w:rFonts w:eastAsiaTheme="majorEastAsia" w:cstheme="majorBidi"/>
        </w:rPr>
        <w:t>Annual Combined Filing of the Sales Forecast and the ERRA Forecast Application</w:t>
      </w:r>
      <w:bookmarkEnd w:id="70"/>
    </w:p>
    <w:p w:rsidRPr="004B3667" w:rsidR="00C829B4" w:rsidP="00F811B9" w:rsidRDefault="00C829B4" w14:paraId="05524BC5" w14:textId="77777777">
      <w:pPr>
        <w:pStyle w:val="Heading2"/>
      </w:pPr>
      <w:bookmarkStart w:name="_Toc98143115" w:id="72"/>
      <w:bookmarkEnd w:id="71"/>
      <w:r w:rsidRPr="004B3667">
        <w:t>Consolidated Annual Filing</w:t>
      </w:r>
      <w:bookmarkEnd w:id="72"/>
    </w:p>
    <w:p w:rsidRPr="004B3667" w:rsidR="00C829B4" w:rsidP="00C829B4" w:rsidRDefault="00C829B4" w14:paraId="4131708D" w14:textId="77777777">
      <w:pPr>
        <w:rPr>
          <w:rFonts w:cs="Times New Roman"/>
          <w:szCs w:val="20"/>
        </w:rPr>
      </w:pPr>
      <w:bookmarkStart w:name="_Hlk90387502" w:id="73"/>
      <w:r w:rsidRPr="004B3667">
        <w:rPr>
          <w:rFonts w:cs="Times New Roman"/>
          <w:szCs w:val="20"/>
        </w:rPr>
        <w:t>SDG&amp;E requests that the Commission allow it to file future electric sales forecast applications together with its ERRA forecast applications.</w:t>
      </w:r>
    </w:p>
    <w:p w:rsidRPr="004B3667" w:rsidR="00C829B4" w:rsidP="00C829B4" w:rsidRDefault="00C829B4" w14:paraId="20B79C9A" w14:textId="691C5F2E">
      <w:pPr>
        <w:rPr>
          <w:rFonts w:cs="Times New Roman"/>
          <w:szCs w:val="20"/>
        </w:rPr>
      </w:pPr>
      <w:r w:rsidRPr="004B3667">
        <w:rPr>
          <w:rFonts w:cs="Times New Roman"/>
          <w:szCs w:val="20"/>
        </w:rPr>
        <w:t xml:space="preserve">Parties in this proceeding stipulated to the following two facts: </w:t>
      </w:r>
      <w:r w:rsidRPr="004B3667" w:rsidR="00AD27DD">
        <w:rPr>
          <w:rFonts w:cs="Times New Roman"/>
          <w:szCs w:val="20"/>
        </w:rPr>
        <w:t xml:space="preserve"> </w:t>
      </w:r>
      <w:r w:rsidR="00653FB5">
        <w:rPr>
          <w:rFonts w:cs="Times New Roman"/>
          <w:szCs w:val="20"/>
        </w:rPr>
        <w:t>(</w:t>
      </w:r>
      <w:r w:rsidRPr="004B3667">
        <w:rPr>
          <w:rFonts w:cs="Times New Roman"/>
          <w:szCs w:val="20"/>
        </w:rPr>
        <w:t>1)</w:t>
      </w:r>
      <w:r w:rsidRPr="004B3667" w:rsidR="00AD27DD">
        <w:rPr>
          <w:rFonts w:cs="Times New Roman"/>
          <w:szCs w:val="20"/>
        </w:rPr>
        <w:t> </w:t>
      </w:r>
      <w:r w:rsidRPr="004B3667">
        <w:rPr>
          <w:rFonts w:cs="Times New Roman"/>
          <w:szCs w:val="20"/>
        </w:rPr>
        <w:t>SDG&amp;E’s sales forecast application and its ERRA forecast application are “significantly related,”</w:t>
      </w:r>
      <w:r w:rsidRPr="004B3667">
        <w:rPr>
          <w:rFonts w:cs="Times New Roman"/>
          <w:szCs w:val="20"/>
          <w:vertAlign w:val="superscript"/>
        </w:rPr>
        <w:footnoteReference w:id="32"/>
      </w:r>
      <w:r w:rsidRPr="004B3667">
        <w:rPr>
          <w:rFonts w:cs="Times New Roman"/>
          <w:szCs w:val="20"/>
        </w:rPr>
        <w:t xml:space="preserve"> and </w:t>
      </w:r>
      <w:r w:rsidR="00653FB5">
        <w:rPr>
          <w:rFonts w:cs="Times New Roman"/>
          <w:szCs w:val="20"/>
        </w:rPr>
        <w:t>(</w:t>
      </w:r>
      <w:r w:rsidRPr="004B3667">
        <w:rPr>
          <w:rFonts w:cs="Times New Roman"/>
          <w:szCs w:val="20"/>
        </w:rPr>
        <w:t>2)</w:t>
      </w:r>
      <w:bookmarkStart w:name="_Hlk92140264" w:id="74"/>
      <w:r w:rsidR="00653FB5">
        <w:rPr>
          <w:rFonts w:cs="Times New Roman"/>
          <w:szCs w:val="20"/>
        </w:rPr>
        <w:t> </w:t>
      </w:r>
      <w:r w:rsidRPr="004B3667">
        <w:rPr>
          <w:rFonts w:cs="Times New Roman"/>
          <w:szCs w:val="20"/>
        </w:rPr>
        <w:t>PG&amp;E and SCE currently update their sales forecasts in their ERRA forecast applications</w:t>
      </w:r>
      <w:bookmarkEnd w:id="73"/>
      <w:bookmarkEnd w:id="74"/>
      <w:r w:rsidRPr="004B3667">
        <w:rPr>
          <w:rFonts w:cs="Times New Roman"/>
          <w:szCs w:val="20"/>
        </w:rPr>
        <w:t>.</w:t>
      </w:r>
      <w:r w:rsidRPr="004B3667">
        <w:rPr>
          <w:rFonts w:cs="Times New Roman"/>
          <w:szCs w:val="20"/>
          <w:vertAlign w:val="superscript"/>
        </w:rPr>
        <w:footnoteReference w:id="33"/>
      </w:r>
      <w:r w:rsidRPr="004B3667">
        <w:rPr>
          <w:rFonts w:cs="Times New Roman"/>
          <w:szCs w:val="20"/>
        </w:rPr>
        <w:t xml:space="preserve">  </w:t>
      </w:r>
    </w:p>
    <w:p w:rsidRPr="004B3667" w:rsidR="00C829B4" w:rsidP="00C829B4" w:rsidRDefault="00AF09C6" w14:paraId="3EFF8F72" w14:textId="6358DD73">
      <w:pPr>
        <w:rPr>
          <w:rFonts w:cs="Times New Roman"/>
          <w:szCs w:val="20"/>
        </w:rPr>
      </w:pPr>
      <w:bookmarkStart w:name="_Hlk90387512" w:id="75"/>
      <w:r>
        <w:rPr>
          <w:rFonts w:cs="Times New Roman"/>
          <w:szCs w:val="20"/>
        </w:rPr>
        <w:t>Cal Adv</w:t>
      </w:r>
      <w:r w:rsidRPr="004B3667" w:rsidR="00C829B4">
        <w:rPr>
          <w:rFonts w:cs="Times New Roman"/>
          <w:szCs w:val="20"/>
        </w:rPr>
        <w:t xml:space="preserve">ocates, </w:t>
      </w:r>
      <w:r w:rsidR="00B720AB">
        <w:rPr>
          <w:rFonts w:cs="Times New Roman"/>
          <w:szCs w:val="20"/>
        </w:rPr>
        <w:t>San </w:t>
      </w:r>
      <w:r w:rsidRPr="004B3667" w:rsidR="00C829B4">
        <w:rPr>
          <w:rFonts w:cs="Times New Roman"/>
          <w:szCs w:val="20"/>
        </w:rPr>
        <w:t xml:space="preserve">Diego </w:t>
      </w:r>
      <w:proofErr w:type="spellStart"/>
      <w:r w:rsidRPr="004B3667" w:rsidR="00C829B4">
        <w:rPr>
          <w:rFonts w:cs="Times New Roman"/>
          <w:szCs w:val="20"/>
        </w:rPr>
        <w:t>CCAs</w:t>
      </w:r>
      <w:proofErr w:type="spellEnd"/>
      <w:r w:rsidRPr="004B3667" w:rsidR="00C829B4">
        <w:rPr>
          <w:rFonts w:cs="Times New Roman"/>
          <w:szCs w:val="20"/>
        </w:rPr>
        <w:t xml:space="preserve"> and UCAN support consolidating </w:t>
      </w:r>
      <w:bookmarkEnd w:id="75"/>
      <w:r w:rsidRPr="004B3667" w:rsidR="00C829B4">
        <w:rPr>
          <w:rFonts w:cs="Times New Roman"/>
          <w:szCs w:val="20"/>
        </w:rPr>
        <w:t>the sales forecast and ERRA forecast filings.</w:t>
      </w:r>
      <w:r w:rsidRPr="004B3667" w:rsidR="00C829B4">
        <w:rPr>
          <w:rFonts w:cs="Times New Roman"/>
          <w:szCs w:val="20"/>
          <w:vertAlign w:val="superscript"/>
        </w:rPr>
        <w:footnoteReference w:id="34"/>
      </w:r>
      <w:r w:rsidRPr="004B3667" w:rsidR="00C829B4">
        <w:rPr>
          <w:rFonts w:cs="Times New Roman"/>
          <w:szCs w:val="20"/>
        </w:rPr>
        <w:t xml:space="preserve">  </w:t>
      </w:r>
      <w:r>
        <w:rPr>
          <w:rFonts w:cs="Times New Roman"/>
          <w:szCs w:val="20"/>
        </w:rPr>
        <w:t>Cal Adv</w:t>
      </w:r>
      <w:r w:rsidRPr="004B3667" w:rsidR="00C829B4">
        <w:rPr>
          <w:rFonts w:cs="Times New Roman"/>
          <w:szCs w:val="20"/>
        </w:rPr>
        <w:t>ocates believes that the consolidation will enhance procedural efficiency, while UCAN believes that the consolidation will prevent forecast inconsistencies and ease regulatory burden.</w:t>
      </w:r>
      <w:r w:rsidRPr="004B3667" w:rsidR="00C829B4">
        <w:rPr>
          <w:rFonts w:cs="Times New Roman"/>
          <w:szCs w:val="20"/>
          <w:vertAlign w:val="superscript"/>
        </w:rPr>
        <w:t xml:space="preserve"> </w:t>
      </w:r>
      <w:r w:rsidRPr="004B3667" w:rsidR="00C829B4">
        <w:rPr>
          <w:rFonts w:cs="Times New Roman"/>
          <w:szCs w:val="20"/>
          <w:vertAlign w:val="superscript"/>
        </w:rPr>
        <w:footnoteReference w:id="35"/>
      </w:r>
    </w:p>
    <w:p w:rsidRPr="004B3667" w:rsidR="00C829B4" w:rsidP="00C829B4" w:rsidRDefault="00C829B4" w14:paraId="6D2ED789" w14:textId="172782F0">
      <w:pPr>
        <w:rPr>
          <w:rFonts w:cs="Times New Roman"/>
          <w:szCs w:val="20"/>
        </w:rPr>
      </w:pPr>
      <w:r w:rsidRPr="004B3667">
        <w:rPr>
          <w:rFonts w:cs="Times New Roman"/>
          <w:szCs w:val="20"/>
        </w:rPr>
        <w:t xml:space="preserve">We agree with SDG&amp;E and the supporting parties that consolidating SDG&amp;E’s annual sales forecast and ERRA forecast proceedings is reasonable.  The issues being considered in these two filings are significantly related.  </w:t>
      </w:r>
      <w:r w:rsidRPr="004B3667">
        <w:rPr>
          <w:rFonts w:cs="Times New Roman"/>
          <w:szCs w:val="20"/>
        </w:rPr>
        <w:lastRenderedPageBreak/>
        <w:t xml:space="preserve">Consolidation of these filings allows the Commission and the parties to review two matters with substantially related issues together in one proceeding, which will prevent forecast inconsistencies between these proceedings, reduce regulatory burden and conserve party resources.  SDG&amp;E’s request to combine its annual sales forecast application with its annual ERRA forecast application is granted.  </w:t>
      </w:r>
      <w:r w:rsidR="00943677">
        <w:rPr>
          <w:rFonts w:cs="Times New Roman"/>
          <w:szCs w:val="20"/>
        </w:rPr>
        <w:t xml:space="preserve">SDG&amp;E shall file its </w:t>
      </w:r>
      <w:r w:rsidR="00114FAF">
        <w:rPr>
          <w:rFonts w:cs="Times New Roman"/>
          <w:szCs w:val="20"/>
        </w:rPr>
        <w:t xml:space="preserve">annual </w:t>
      </w:r>
      <w:r w:rsidR="00943677">
        <w:rPr>
          <w:rFonts w:cs="Times New Roman"/>
          <w:szCs w:val="20"/>
        </w:rPr>
        <w:t>sales forecast</w:t>
      </w:r>
      <w:r w:rsidR="005412EB">
        <w:rPr>
          <w:rFonts w:cs="Times New Roman"/>
          <w:szCs w:val="20"/>
        </w:rPr>
        <w:t>s</w:t>
      </w:r>
      <w:r w:rsidR="00943677">
        <w:rPr>
          <w:rFonts w:cs="Times New Roman"/>
          <w:szCs w:val="20"/>
        </w:rPr>
        <w:t xml:space="preserve"> in its ERRA forecast application</w:t>
      </w:r>
      <w:r w:rsidR="005412EB">
        <w:rPr>
          <w:rFonts w:cs="Times New Roman"/>
          <w:szCs w:val="20"/>
        </w:rPr>
        <w:t>s</w:t>
      </w:r>
      <w:r w:rsidR="00943677">
        <w:rPr>
          <w:rFonts w:cs="Times New Roman"/>
          <w:szCs w:val="20"/>
        </w:rPr>
        <w:t>, according to the schedule set forth in D.22-01-023.</w:t>
      </w:r>
      <w:r w:rsidR="00943677">
        <w:rPr>
          <w:rStyle w:val="FootnoteReference"/>
          <w:rFonts w:cs="Times New Roman"/>
          <w:szCs w:val="20"/>
        </w:rPr>
        <w:footnoteReference w:id="36"/>
      </w:r>
    </w:p>
    <w:p w:rsidRPr="004B3667" w:rsidR="00C829B4" w:rsidP="00F811B9" w:rsidRDefault="00C829B4" w14:paraId="390F9BC8" w14:textId="77777777">
      <w:pPr>
        <w:pStyle w:val="Heading2"/>
      </w:pPr>
      <w:bookmarkStart w:name="_Toc98143116" w:id="76"/>
      <w:r w:rsidRPr="004B3667">
        <w:t>Timing of the Annual Filing</w:t>
      </w:r>
      <w:bookmarkEnd w:id="76"/>
    </w:p>
    <w:p w:rsidRPr="004B3667" w:rsidR="00C829B4" w:rsidP="00C829B4" w:rsidRDefault="00C829B4" w14:paraId="26D8089F" w14:textId="77777777">
      <w:pPr>
        <w:rPr>
          <w:rFonts w:cs="Times New Roman"/>
          <w:szCs w:val="20"/>
        </w:rPr>
      </w:pPr>
      <w:bookmarkStart w:name="_Hlk90387539" w:id="77"/>
      <w:r w:rsidRPr="004B3667">
        <w:rPr>
          <w:rFonts w:cs="Times New Roman"/>
          <w:szCs w:val="20"/>
        </w:rPr>
        <w:t>SDG&amp;E requests to change the filing date of its annual ERRA forecast applications from April 15 to June 15 of every year, beginning in 2022.</w:t>
      </w:r>
    </w:p>
    <w:p w:rsidRPr="004B3667" w:rsidR="00C829B4" w:rsidP="00C829B4" w:rsidRDefault="00C829B4" w14:paraId="48CF81BF" w14:textId="45B601DE">
      <w:pPr>
        <w:rPr>
          <w:rFonts w:cs="Times New Roman"/>
          <w:szCs w:val="20"/>
        </w:rPr>
      </w:pPr>
      <w:r w:rsidRPr="004B3667">
        <w:rPr>
          <w:rFonts w:cs="Times New Roman"/>
          <w:szCs w:val="20"/>
        </w:rPr>
        <w:t>As noted in the</w:t>
      </w:r>
      <w:r w:rsidR="00495F1A">
        <w:rPr>
          <w:rFonts w:cs="Times New Roman"/>
          <w:szCs w:val="20"/>
        </w:rPr>
        <w:t xml:space="preserve"> </w:t>
      </w:r>
      <w:r w:rsidRPr="004B3667" w:rsidR="00495F1A">
        <w:rPr>
          <w:rFonts w:cs="Times New Roman"/>
          <w:szCs w:val="20"/>
        </w:rPr>
        <w:t>Assigned Commissioner’s Scoping Memo and Ruling</w:t>
      </w:r>
      <w:r w:rsidRPr="004B3667">
        <w:rPr>
          <w:rFonts w:cs="Times New Roman"/>
          <w:szCs w:val="20"/>
        </w:rPr>
        <w:t xml:space="preserve"> </w:t>
      </w:r>
      <w:r w:rsidR="00495F1A">
        <w:rPr>
          <w:rFonts w:cs="Times New Roman"/>
          <w:szCs w:val="20"/>
        </w:rPr>
        <w:t>(</w:t>
      </w:r>
      <w:r w:rsidRPr="004B3667">
        <w:rPr>
          <w:rFonts w:cs="Times New Roman"/>
          <w:szCs w:val="20"/>
        </w:rPr>
        <w:t>Scoping Memo</w:t>
      </w:r>
      <w:r w:rsidR="00495F1A">
        <w:rPr>
          <w:rFonts w:cs="Times New Roman"/>
          <w:szCs w:val="20"/>
        </w:rPr>
        <w:t>)</w:t>
      </w:r>
      <w:r w:rsidRPr="004B3667">
        <w:rPr>
          <w:rFonts w:cs="Times New Roman"/>
          <w:szCs w:val="20"/>
        </w:rPr>
        <w:t xml:space="preserve">, the issue of the timing of the filing will not be addressed in this proceeding.  </w:t>
      </w:r>
      <w:bookmarkEnd w:id="77"/>
      <w:r w:rsidRPr="004B3667">
        <w:rPr>
          <w:rFonts w:cs="Times New Roman"/>
          <w:szCs w:val="20"/>
        </w:rPr>
        <w:t>The Scoping Memo determined that the issue of the timing of the filing is out of the scope of this proceeding.</w:t>
      </w:r>
      <w:r w:rsidRPr="004B3667">
        <w:rPr>
          <w:rFonts w:cs="Times New Roman"/>
          <w:szCs w:val="20"/>
          <w:vertAlign w:val="superscript"/>
        </w:rPr>
        <w:footnoteReference w:id="37"/>
      </w:r>
      <w:r w:rsidRPr="004B3667">
        <w:rPr>
          <w:rFonts w:cs="Times New Roman"/>
          <w:szCs w:val="20"/>
        </w:rPr>
        <w:t xml:space="preserve">  </w:t>
      </w:r>
      <w:r w:rsidR="00114FAF">
        <w:rPr>
          <w:rFonts w:cs="Times New Roman"/>
          <w:szCs w:val="20"/>
        </w:rPr>
        <w:t>D.22-01-023 directed SDG&amp;E to file its annu</w:t>
      </w:r>
      <w:r w:rsidR="00156E05">
        <w:rPr>
          <w:rFonts w:cs="Times New Roman"/>
          <w:szCs w:val="20"/>
        </w:rPr>
        <w:t>a</w:t>
      </w:r>
      <w:r w:rsidR="00114FAF">
        <w:rPr>
          <w:rFonts w:cs="Times New Roman"/>
          <w:szCs w:val="20"/>
        </w:rPr>
        <w:t>l ERRA forecast application</w:t>
      </w:r>
      <w:r w:rsidR="005412EB">
        <w:rPr>
          <w:rFonts w:cs="Times New Roman"/>
          <w:szCs w:val="20"/>
        </w:rPr>
        <w:t>s</w:t>
      </w:r>
      <w:r w:rsidR="00114FAF">
        <w:rPr>
          <w:rFonts w:cs="Times New Roman"/>
          <w:szCs w:val="20"/>
        </w:rPr>
        <w:t xml:space="preserve"> no later than May 15</w:t>
      </w:r>
      <w:r w:rsidRPr="00E07408" w:rsidR="00114FAF">
        <w:rPr>
          <w:rFonts w:cs="Times New Roman"/>
          <w:szCs w:val="20"/>
          <w:vertAlign w:val="superscript"/>
        </w:rPr>
        <w:t>th</w:t>
      </w:r>
      <w:r w:rsidR="00114FAF">
        <w:rPr>
          <w:rFonts w:cs="Times New Roman"/>
          <w:szCs w:val="20"/>
        </w:rPr>
        <w:t xml:space="preserve"> each year.</w:t>
      </w:r>
      <w:r w:rsidR="00114FAF">
        <w:rPr>
          <w:rStyle w:val="FootnoteReference"/>
          <w:rFonts w:cs="Times New Roman"/>
          <w:szCs w:val="20"/>
        </w:rPr>
        <w:footnoteReference w:id="38"/>
      </w:r>
      <w:r w:rsidRPr="004B3667">
        <w:rPr>
          <w:rFonts w:cs="Times New Roman"/>
          <w:szCs w:val="20"/>
        </w:rPr>
        <w:t xml:space="preserve"> </w:t>
      </w:r>
    </w:p>
    <w:p w:rsidRPr="004B3667" w:rsidR="00C829B4" w:rsidP="00F811B9" w:rsidRDefault="00C829B4" w14:paraId="5BB148E3" w14:textId="77777777">
      <w:pPr>
        <w:pStyle w:val="Heading2"/>
      </w:pPr>
      <w:bookmarkStart w:name="_Toc98143117" w:id="78"/>
      <w:r w:rsidRPr="004B3667">
        <w:t>Annual All-Party Workshop</w:t>
      </w:r>
      <w:bookmarkEnd w:id="78"/>
    </w:p>
    <w:p w:rsidRPr="004B3667" w:rsidR="00C829B4" w:rsidP="00C829B4" w:rsidRDefault="00C829B4" w14:paraId="3B4617C3" w14:textId="72727AF6">
      <w:pPr>
        <w:rPr>
          <w:rFonts w:cs="Times New Roman"/>
          <w:szCs w:val="20"/>
        </w:rPr>
      </w:pPr>
      <w:bookmarkStart w:name="_Hlk90387582" w:id="79"/>
      <w:r w:rsidRPr="004B3667">
        <w:rPr>
          <w:rFonts w:cs="Times New Roman"/>
          <w:szCs w:val="20"/>
        </w:rPr>
        <w:t xml:space="preserve">SDG&amp;E proposes that </w:t>
      </w:r>
      <w:bookmarkStart w:name="_Hlk90936786" w:id="80"/>
      <w:r w:rsidRPr="004B3667">
        <w:rPr>
          <w:rFonts w:cs="Times New Roman"/>
          <w:szCs w:val="20"/>
        </w:rPr>
        <w:t xml:space="preserve">an all-party workshop </w:t>
      </w:r>
      <w:bookmarkEnd w:id="80"/>
      <w:r w:rsidRPr="004B3667">
        <w:rPr>
          <w:rFonts w:cs="Times New Roman"/>
          <w:szCs w:val="20"/>
        </w:rPr>
        <w:t>be held annually during the month of February or March</w:t>
      </w:r>
      <w:r w:rsidR="00F51FBC">
        <w:rPr>
          <w:rFonts w:cs="Times New Roman"/>
          <w:szCs w:val="20"/>
        </w:rPr>
        <w:t xml:space="preserve"> </w:t>
      </w:r>
      <w:r w:rsidR="00964EA3">
        <w:rPr>
          <w:rFonts w:cs="Times New Roman"/>
          <w:szCs w:val="20"/>
        </w:rPr>
        <w:t xml:space="preserve">in preparation </w:t>
      </w:r>
      <w:r w:rsidR="0002447B">
        <w:rPr>
          <w:rFonts w:cs="Times New Roman"/>
          <w:szCs w:val="20"/>
        </w:rPr>
        <w:t>of</w:t>
      </w:r>
      <w:r w:rsidR="00964EA3">
        <w:rPr>
          <w:rFonts w:cs="Times New Roman"/>
          <w:szCs w:val="20"/>
        </w:rPr>
        <w:t xml:space="preserve"> its</w:t>
      </w:r>
      <w:r w:rsidR="00F51FBC">
        <w:rPr>
          <w:rFonts w:cs="Times New Roman"/>
          <w:szCs w:val="20"/>
        </w:rPr>
        <w:t xml:space="preserve"> annual sales forecast filing</w:t>
      </w:r>
      <w:r w:rsidR="00C4624A">
        <w:rPr>
          <w:rFonts w:cs="Times New Roman"/>
          <w:szCs w:val="20"/>
        </w:rPr>
        <w:t>,</w:t>
      </w:r>
      <w:r w:rsidRPr="004B3667">
        <w:rPr>
          <w:rFonts w:cs="Times New Roman"/>
          <w:szCs w:val="20"/>
        </w:rPr>
        <w:t xml:space="preserve"> and that the workshop be integrated with the meet and confer process SDG&amp;E </w:t>
      </w:r>
      <w:r w:rsidR="00964EA3">
        <w:rPr>
          <w:rFonts w:cs="Times New Roman"/>
          <w:szCs w:val="20"/>
        </w:rPr>
        <w:t xml:space="preserve">currently </w:t>
      </w:r>
      <w:r w:rsidRPr="004B3667">
        <w:rPr>
          <w:rFonts w:cs="Times New Roman"/>
          <w:szCs w:val="20"/>
        </w:rPr>
        <w:t>conducts ever</w:t>
      </w:r>
      <w:r w:rsidR="00C4624A">
        <w:rPr>
          <w:rFonts w:cs="Times New Roman"/>
          <w:szCs w:val="20"/>
        </w:rPr>
        <w:t>y</w:t>
      </w:r>
      <w:r w:rsidRPr="004B3667">
        <w:rPr>
          <w:rFonts w:cs="Times New Roman"/>
          <w:szCs w:val="20"/>
        </w:rPr>
        <w:t xml:space="preserve"> year with other load-serving entities (LSE</w:t>
      </w:r>
      <w:r w:rsidR="00DD25E8">
        <w:rPr>
          <w:rFonts w:cs="Times New Roman"/>
          <w:szCs w:val="20"/>
        </w:rPr>
        <w:t>s</w:t>
      </w:r>
      <w:r w:rsidRPr="004B3667">
        <w:rPr>
          <w:rFonts w:cs="Times New Roman"/>
          <w:szCs w:val="20"/>
        </w:rPr>
        <w:t>).</w:t>
      </w:r>
      <w:r w:rsidRPr="004B3667">
        <w:rPr>
          <w:rFonts w:cs="Times New Roman"/>
          <w:szCs w:val="20"/>
          <w:vertAlign w:val="superscript"/>
        </w:rPr>
        <w:footnoteReference w:id="39"/>
      </w:r>
      <w:r w:rsidRPr="004B3667">
        <w:rPr>
          <w:rFonts w:cs="Times New Roman"/>
          <w:szCs w:val="20"/>
        </w:rPr>
        <w:t xml:space="preserve">  According to SDG&amp;E, the proposed workshop will help streamline the </w:t>
      </w:r>
      <w:r w:rsidRPr="004B3667">
        <w:rPr>
          <w:rFonts w:cs="Times New Roman"/>
          <w:szCs w:val="20"/>
        </w:rPr>
        <w:lastRenderedPageBreak/>
        <w:t xml:space="preserve">application process by engaging parties early so that SDG&amp;E can </w:t>
      </w:r>
      <w:r w:rsidR="000E2A67">
        <w:rPr>
          <w:rFonts w:cs="Times New Roman"/>
          <w:szCs w:val="20"/>
        </w:rPr>
        <w:t>consider</w:t>
      </w:r>
      <w:r w:rsidRPr="004B3667" w:rsidR="000E2A67">
        <w:rPr>
          <w:rFonts w:cs="Times New Roman"/>
          <w:szCs w:val="20"/>
        </w:rPr>
        <w:t xml:space="preserve"> </w:t>
      </w:r>
      <w:r w:rsidRPr="004B3667">
        <w:rPr>
          <w:rFonts w:cs="Times New Roman"/>
          <w:szCs w:val="20"/>
        </w:rPr>
        <w:t>parties’ concerns when developing its sales forecast</w:t>
      </w:r>
      <w:bookmarkEnd w:id="79"/>
      <w:r w:rsidRPr="004B3667">
        <w:rPr>
          <w:rFonts w:cs="Times New Roman"/>
          <w:szCs w:val="20"/>
        </w:rPr>
        <w:t>.</w:t>
      </w:r>
      <w:r w:rsidRPr="004B3667">
        <w:rPr>
          <w:rFonts w:cs="Times New Roman"/>
          <w:szCs w:val="20"/>
          <w:vertAlign w:val="superscript"/>
        </w:rPr>
        <w:footnoteReference w:id="40"/>
      </w:r>
      <w:r w:rsidRPr="004B3667">
        <w:rPr>
          <w:rFonts w:cs="Times New Roman"/>
          <w:szCs w:val="20"/>
        </w:rPr>
        <w:t xml:space="preserve"> </w:t>
      </w:r>
    </w:p>
    <w:p w:rsidRPr="004B3667" w:rsidR="00C829B4" w:rsidP="00C829B4" w:rsidRDefault="00C829B4" w14:paraId="0B0A71E1" w14:textId="2CE41CFD">
      <w:pPr>
        <w:rPr>
          <w:rFonts w:cs="Times New Roman"/>
          <w:szCs w:val="20"/>
        </w:rPr>
      </w:pPr>
      <w:bookmarkStart w:name="_Hlk90936853" w:id="81"/>
      <w:r w:rsidRPr="004B3667">
        <w:rPr>
          <w:rFonts w:cs="Times New Roman"/>
          <w:szCs w:val="20"/>
        </w:rPr>
        <w:t>SDG&amp;E’s proposal for an annual all-party workshop is reasonable</w:t>
      </w:r>
      <w:bookmarkEnd w:id="81"/>
      <w:r w:rsidRPr="004B3667">
        <w:rPr>
          <w:rFonts w:cs="Times New Roman"/>
          <w:szCs w:val="20"/>
        </w:rPr>
        <w:t xml:space="preserve"> and is therefore granted.  </w:t>
      </w:r>
      <w:bookmarkStart w:name="_Hlk90936771" w:id="82"/>
      <w:r w:rsidRPr="004B3667">
        <w:rPr>
          <w:rFonts w:cs="Times New Roman"/>
          <w:szCs w:val="20"/>
        </w:rPr>
        <w:t xml:space="preserve">We agree with SDG&amp;E that that the workshop will help streamline the application process as it gives SDG&amp;E time in advance to </w:t>
      </w:r>
      <w:r w:rsidR="005A2A59">
        <w:rPr>
          <w:rFonts w:cs="Times New Roman"/>
          <w:szCs w:val="20"/>
        </w:rPr>
        <w:t xml:space="preserve">consider </w:t>
      </w:r>
      <w:r w:rsidRPr="004B3667">
        <w:rPr>
          <w:rFonts w:cs="Times New Roman"/>
          <w:szCs w:val="20"/>
        </w:rPr>
        <w:t>stakeholders’ feedback and concerns</w:t>
      </w:r>
      <w:r w:rsidR="000504CD">
        <w:rPr>
          <w:rFonts w:cs="Times New Roman"/>
          <w:szCs w:val="20"/>
        </w:rPr>
        <w:t>, as SDG&amp;E sees fit,</w:t>
      </w:r>
      <w:r w:rsidRPr="004B3667">
        <w:rPr>
          <w:rFonts w:cs="Times New Roman"/>
          <w:szCs w:val="20"/>
        </w:rPr>
        <w:t xml:space="preserve"> prior to developing its sales forecast.  </w:t>
      </w:r>
      <w:bookmarkStart w:name="_Hlk90936880" w:id="83"/>
      <w:bookmarkEnd w:id="82"/>
    </w:p>
    <w:p w:rsidRPr="004B3667" w:rsidR="00C829B4" w:rsidP="000E2A67" w:rsidRDefault="00C829B4" w14:paraId="2ABF76A4" w14:textId="457AF10E">
      <w:pPr>
        <w:rPr>
          <w:rFonts w:cs="Times New Roman"/>
          <w:szCs w:val="20"/>
        </w:rPr>
      </w:pPr>
      <w:r w:rsidRPr="004B3667">
        <w:rPr>
          <w:rFonts w:cs="Times New Roman"/>
          <w:szCs w:val="20"/>
        </w:rPr>
        <w:t xml:space="preserve">SDG&amp;E </w:t>
      </w:r>
      <w:r w:rsidR="00A74D18">
        <w:rPr>
          <w:rFonts w:cs="Times New Roman"/>
          <w:szCs w:val="20"/>
        </w:rPr>
        <w:t>is directed to</w:t>
      </w:r>
      <w:r w:rsidRPr="004B3667" w:rsidR="00A74D18">
        <w:rPr>
          <w:rFonts w:cs="Times New Roman"/>
          <w:szCs w:val="20"/>
        </w:rPr>
        <w:t xml:space="preserve"> </w:t>
      </w:r>
      <w:r w:rsidRPr="004B3667">
        <w:rPr>
          <w:rFonts w:cs="Times New Roman"/>
          <w:szCs w:val="20"/>
        </w:rPr>
        <w:t xml:space="preserve">hold an annual all-party workshop </w:t>
      </w:r>
      <w:r w:rsidR="00FE1C43">
        <w:rPr>
          <w:rFonts w:cs="Times New Roman"/>
          <w:szCs w:val="20"/>
        </w:rPr>
        <w:t>no later than March 31 of</w:t>
      </w:r>
      <w:r w:rsidRPr="004B3667">
        <w:rPr>
          <w:rFonts w:cs="Times New Roman"/>
          <w:szCs w:val="20"/>
        </w:rPr>
        <w:t xml:space="preserve"> </w:t>
      </w:r>
      <w:r w:rsidR="00A74D18">
        <w:rPr>
          <w:rFonts w:cs="Times New Roman"/>
          <w:szCs w:val="20"/>
        </w:rPr>
        <w:t>each</w:t>
      </w:r>
      <w:r w:rsidRPr="004B3667" w:rsidR="00A74D18">
        <w:rPr>
          <w:rFonts w:cs="Times New Roman"/>
          <w:szCs w:val="20"/>
        </w:rPr>
        <w:t xml:space="preserve"> </w:t>
      </w:r>
      <w:r w:rsidRPr="004B3667">
        <w:rPr>
          <w:rFonts w:cs="Times New Roman"/>
          <w:szCs w:val="20"/>
        </w:rPr>
        <w:t xml:space="preserve">year in preparation </w:t>
      </w:r>
      <w:r w:rsidR="00724EFB">
        <w:rPr>
          <w:rFonts w:cs="Times New Roman"/>
          <w:szCs w:val="20"/>
        </w:rPr>
        <w:t>of</w:t>
      </w:r>
      <w:r w:rsidR="00A74D18">
        <w:rPr>
          <w:rFonts w:cs="Times New Roman"/>
          <w:szCs w:val="20"/>
        </w:rPr>
        <w:t xml:space="preserve"> filing </w:t>
      </w:r>
      <w:r w:rsidRPr="004B3667">
        <w:rPr>
          <w:rFonts w:cs="Times New Roman"/>
          <w:szCs w:val="20"/>
        </w:rPr>
        <w:t>its annual sales forecast</w:t>
      </w:r>
      <w:r w:rsidR="00C4624A">
        <w:rPr>
          <w:rFonts w:cs="Times New Roman"/>
          <w:szCs w:val="20"/>
        </w:rPr>
        <w:t xml:space="preserve"> with the Commission</w:t>
      </w:r>
      <w:r w:rsidRPr="004B3667">
        <w:rPr>
          <w:rFonts w:cs="Times New Roman"/>
          <w:szCs w:val="20"/>
        </w:rPr>
        <w:t>.</w:t>
      </w:r>
      <w:r w:rsidRPr="00FE1C43" w:rsidR="00FE1C43">
        <w:rPr>
          <w:rFonts w:cs="Times New Roman"/>
          <w:szCs w:val="20"/>
        </w:rPr>
        <w:t xml:space="preserve"> </w:t>
      </w:r>
      <w:r w:rsidR="00964EA3">
        <w:rPr>
          <w:rFonts w:cs="Times New Roman"/>
          <w:szCs w:val="20"/>
        </w:rPr>
        <w:t xml:space="preserve"> </w:t>
      </w:r>
      <w:r w:rsidR="00FE1C43">
        <w:rPr>
          <w:rFonts w:cs="Times New Roman"/>
          <w:szCs w:val="20"/>
        </w:rPr>
        <w:t>Th</w:t>
      </w:r>
      <w:r w:rsidR="00964EA3">
        <w:rPr>
          <w:rFonts w:cs="Times New Roman"/>
          <w:szCs w:val="20"/>
        </w:rPr>
        <w:t>e purpose of this</w:t>
      </w:r>
      <w:r w:rsidR="00FE1C43">
        <w:rPr>
          <w:rFonts w:cs="Times New Roman"/>
          <w:szCs w:val="20"/>
        </w:rPr>
        <w:t xml:space="preserve"> workshop </w:t>
      </w:r>
      <w:r w:rsidR="00964EA3">
        <w:rPr>
          <w:rFonts w:cs="Times New Roman"/>
          <w:szCs w:val="20"/>
        </w:rPr>
        <w:t xml:space="preserve">is for SDG&amp;E to </w:t>
      </w:r>
      <w:r w:rsidR="00EF7031">
        <w:rPr>
          <w:rFonts w:cs="Times New Roman"/>
          <w:szCs w:val="20"/>
        </w:rPr>
        <w:t>work</w:t>
      </w:r>
      <w:r w:rsidR="00964EA3">
        <w:rPr>
          <w:rFonts w:cs="Times New Roman"/>
          <w:szCs w:val="20"/>
        </w:rPr>
        <w:t xml:space="preserve"> with stakeholders </w:t>
      </w:r>
      <w:r w:rsidRPr="00A90194" w:rsidR="00EF7031">
        <w:rPr>
          <w:rFonts w:cs="Times New Roman"/>
          <w:szCs w:val="20"/>
        </w:rPr>
        <w:t>and</w:t>
      </w:r>
      <w:r w:rsidRPr="00A90194" w:rsidR="00C00306">
        <w:rPr>
          <w:rFonts w:cs="Times New Roman"/>
          <w:szCs w:val="20"/>
        </w:rPr>
        <w:t xml:space="preserve"> to</w:t>
      </w:r>
      <w:r w:rsidRPr="00A90194" w:rsidR="00EF7031">
        <w:rPr>
          <w:rFonts w:cs="Times New Roman"/>
          <w:szCs w:val="20"/>
        </w:rPr>
        <w:t xml:space="preserve"> </w:t>
      </w:r>
      <w:r w:rsidRPr="00A90194" w:rsidR="000E2A67">
        <w:rPr>
          <w:rFonts w:cs="Times New Roman"/>
          <w:szCs w:val="20"/>
        </w:rPr>
        <w:t xml:space="preserve">consider </w:t>
      </w:r>
      <w:r w:rsidRPr="00A90194" w:rsidR="000504CD">
        <w:rPr>
          <w:rFonts w:cs="Times New Roman"/>
          <w:szCs w:val="20"/>
        </w:rPr>
        <w:t xml:space="preserve">any </w:t>
      </w:r>
      <w:r w:rsidRPr="00A90194" w:rsidR="00EF7031">
        <w:rPr>
          <w:rFonts w:cs="Times New Roman"/>
          <w:szCs w:val="20"/>
        </w:rPr>
        <w:t>input</w:t>
      </w:r>
      <w:r w:rsidRPr="00A90194" w:rsidR="000504CD">
        <w:rPr>
          <w:rFonts w:cs="Times New Roman"/>
          <w:szCs w:val="20"/>
        </w:rPr>
        <w:t xml:space="preserve"> </w:t>
      </w:r>
      <w:r w:rsidR="00A90194">
        <w:rPr>
          <w:rFonts w:cs="Times New Roman"/>
          <w:szCs w:val="20"/>
        </w:rPr>
        <w:t>they</w:t>
      </w:r>
      <w:r w:rsidRPr="00A90194" w:rsidR="000504CD">
        <w:rPr>
          <w:rFonts w:cs="Times New Roman"/>
          <w:szCs w:val="20"/>
        </w:rPr>
        <w:t xml:space="preserve"> may propose</w:t>
      </w:r>
      <w:r w:rsidRPr="00A90194" w:rsidR="00EF7031">
        <w:rPr>
          <w:rFonts w:cs="Times New Roman"/>
          <w:szCs w:val="20"/>
        </w:rPr>
        <w:t xml:space="preserve"> prior to </w:t>
      </w:r>
      <w:r w:rsidRPr="00A90194" w:rsidR="00724EFB">
        <w:rPr>
          <w:rFonts w:cs="Times New Roman"/>
          <w:szCs w:val="20"/>
        </w:rPr>
        <w:t>filing its</w:t>
      </w:r>
      <w:r w:rsidRPr="00A90194" w:rsidR="00707ECE">
        <w:rPr>
          <w:rFonts w:cs="Times New Roman"/>
          <w:szCs w:val="20"/>
        </w:rPr>
        <w:t xml:space="preserve"> annual</w:t>
      </w:r>
      <w:r w:rsidRPr="00A90194" w:rsidR="00EF7031">
        <w:rPr>
          <w:rFonts w:cs="Times New Roman"/>
          <w:szCs w:val="20"/>
        </w:rPr>
        <w:t xml:space="preserve"> sales forecast</w:t>
      </w:r>
      <w:r w:rsidRPr="00A90194" w:rsidR="00707ECE">
        <w:rPr>
          <w:rFonts w:cs="Times New Roman"/>
          <w:szCs w:val="20"/>
        </w:rPr>
        <w:t xml:space="preserve"> for the upcoming</w:t>
      </w:r>
      <w:r w:rsidR="00707ECE">
        <w:rPr>
          <w:rFonts w:cs="Times New Roman"/>
          <w:szCs w:val="20"/>
        </w:rPr>
        <w:t xml:space="preserve"> year.</w:t>
      </w:r>
      <w:r w:rsidR="00EF7031">
        <w:rPr>
          <w:rFonts w:cs="Times New Roman"/>
          <w:szCs w:val="20"/>
        </w:rPr>
        <w:t xml:space="preserve">  Th</w:t>
      </w:r>
      <w:r w:rsidR="00ED75AB">
        <w:rPr>
          <w:rFonts w:cs="Times New Roman"/>
          <w:szCs w:val="20"/>
        </w:rPr>
        <w:t>is</w:t>
      </w:r>
      <w:r w:rsidR="00EF7031">
        <w:rPr>
          <w:rFonts w:cs="Times New Roman"/>
          <w:szCs w:val="20"/>
        </w:rPr>
        <w:t xml:space="preserve"> workshop </w:t>
      </w:r>
      <w:r w:rsidR="00ED75AB">
        <w:rPr>
          <w:rFonts w:cs="Times New Roman"/>
          <w:szCs w:val="20"/>
        </w:rPr>
        <w:t>will streamline SDG&amp;E’s process of filing its annual</w:t>
      </w:r>
      <w:r w:rsidR="00EF7031">
        <w:rPr>
          <w:rFonts w:cs="Times New Roman"/>
          <w:szCs w:val="20"/>
        </w:rPr>
        <w:t xml:space="preserve"> sales forecast with the Commission, which is separate from the </w:t>
      </w:r>
      <w:r w:rsidR="00ED75AB">
        <w:rPr>
          <w:rFonts w:cs="Times New Roman"/>
          <w:szCs w:val="20"/>
        </w:rPr>
        <w:t xml:space="preserve">process SDG&amp;E takes to prepare </w:t>
      </w:r>
      <w:r w:rsidR="008D4D22">
        <w:rPr>
          <w:rFonts w:cs="Times New Roman"/>
          <w:szCs w:val="20"/>
        </w:rPr>
        <w:t>bi</w:t>
      </w:r>
      <w:r w:rsidR="00741D8F">
        <w:rPr>
          <w:rFonts w:cs="Times New Roman"/>
          <w:szCs w:val="20"/>
        </w:rPr>
        <w:noBreakHyphen/>
      </w:r>
      <w:r w:rsidR="00ED75AB">
        <w:rPr>
          <w:rFonts w:cs="Times New Roman"/>
          <w:szCs w:val="20"/>
        </w:rPr>
        <w:t xml:space="preserve">annual </w:t>
      </w:r>
      <w:r w:rsidR="00EF7031">
        <w:rPr>
          <w:rFonts w:cs="Times New Roman"/>
          <w:szCs w:val="20"/>
        </w:rPr>
        <w:t>demand forecast</w:t>
      </w:r>
      <w:r w:rsidR="00ED75AB">
        <w:rPr>
          <w:rFonts w:cs="Times New Roman"/>
          <w:szCs w:val="20"/>
        </w:rPr>
        <w:t>s</w:t>
      </w:r>
      <w:r w:rsidR="00EF7031">
        <w:rPr>
          <w:rFonts w:cs="Times New Roman"/>
          <w:szCs w:val="20"/>
        </w:rPr>
        <w:t xml:space="preserve"> for the CEC</w:t>
      </w:r>
      <w:r w:rsidR="00FE1C43">
        <w:rPr>
          <w:rFonts w:cs="Times New Roman"/>
          <w:szCs w:val="20"/>
        </w:rPr>
        <w:t xml:space="preserve">.  </w:t>
      </w:r>
    </w:p>
    <w:p w:rsidR="005A52CE" w:rsidP="00E07408" w:rsidRDefault="00103167" w14:paraId="04A47016" w14:textId="5E5973B1">
      <w:pPr>
        <w:pStyle w:val="Heading1"/>
      </w:pPr>
      <w:bookmarkStart w:name="_Toc98143118" w:id="84"/>
      <w:bookmarkEnd w:id="15"/>
      <w:bookmarkEnd w:id="16"/>
      <w:bookmarkEnd w:id="83"/>
      <w:r>
        <w:t>Schedule</w:t>
      </w:r>
      <w:bookmarkEnd w:id="84"/>
    </w:p>
    <w:p w:rsidR="005A52CE" w:rsidP="00E07408" w:rsidRDefault="005A52CE" w14:paraId="336CA4C1" w14:textId="1165C8BF">
      <w:r>
        <w:t xml:space="preserve">Below is a </w:t>
      </w:r>
      <w:r w:rsidR="00103167">
        <w:t>schedule</w:t>
      </w:r>
      <w:r>
        <w:t xml:space="preserve"> of the action</w:t>
      </w:r>
      <w:r w:rsidR="00103167">
        <w:t xml:space="preserve"> item</w:t>
      </w:r>
      <w:r>
        <w:t>s adopted in this decision:</w:t>
      </w:r>
    </w:p>
    <w:tbl>
      <w:tblPr>
        <w:tblStyle w:val="TableGrid"/>
        <w:tblW w:w="0" w:type="auto"/>
        <w:tblCellMar>
          <w:top w:w="58" w:type="dxa"/>
          <w:bottom w:w="58" w:type="dxa"/>
        </w:tblCellMar>
        <w:tblLook w:val="04A0" w:firstRow="1" w:lastRow="0" w:firstColumn="1" w:lastColumn="0" w:noHBand="0" w:noVBand="1"/>
      </w:tblPr>
      <w:tblGrid>
        <w:gridCol w:w="5845"/>
        <w:gridCol w:w="3505"/>
      </w:tblGrid>
      <w:tr w:rsidRPr="00A278E8" w:rsidR="005A52CE" w:rsidTr="00E07408" w14:paraId="28A99BF3" w14:textId="77777777">
        <w:trPr>
          <w:tblHeader/>
        </w:trPr>
        <w:tc>
          <w:tcPr>
            <w:tcW w:w="5845" w:type="dxa"/>
          </w:tcPr>
          <w:p w:rsidRPr="00A278E8" w:rsidR="005A52CE" w:rsidP="00A278E8" w:rsidRDefault="00A278E8" w14:paraId="69F952C2" w14:textId="517EB269">
            <w:pPr>
              <w:pStyle w:val="Standard"/>
              <w:spacing w:line="240" w:lineRule="auto"/>
              <w:ind w:firstLine="0"/>
              <w:jc w:val="center"/>
              <w:rPr>
                <w:b/>
                <w:bCs/>
              </w:rPr>
            </w:pPr>
            <w:r w:rsidRPr="00A278E8">
              <w:rPr>
                <w:b/>
                <w:bCs/>
              </w:rPr>
              <w:t>ACTION ITEM</w:t>
            </w:r>
          </w:p>
        </w:tc>
        <w:tc>
          <w:tcPr>
            <w:tcW w:w="3505" w:type="dxa"/>
          </w:tcPr>
          <w:p w:rsidRPr="00A278E8" w:rsidR="005A52CE" w:rsidP="00A278E8" w:rsidRDefault="00A278E8" w14:paraId="1CE8C3BB" w14:textId="040A7DA9">
            <w:pPr>
              <w:pStyle w:val="Standard"/>
              <w:spacing w:line="240" w:lineRule="auto"/>
              <w:ind w:firstLine="0"/>
              <w:jc w:val="center"/>
              <w:rPr>
                <w:b/>
                <w:bCs/>
              </w:rPr>
            </w:pPr>
            <w:r w:rsidRPr="00A278E8">
              <w:rPr>
                <w:b/>
                <w:bCs/>
              </w:rPr>
              <w:t>DATE</w:t>
            </w:r>
          </w:p>
        </w:tc>
      </w:tr>
      <w:tr w:rsidR="005A52CE" w:rsidTr="00E07408" w14:paraId="223F023F" w14:textId="77777777">
        <w:tc>
          <w:tcPr>
            <w:tcW w:w="5845" w:type="dxa"/>
          </w:tcPr>
          <w:p w:rsidR="005A52CE" w:rsidP="00A278E8" w:rsidRDefault="005A52CE" w14:paraId="1447277B" w14:textId="361B1D21">
            <w:pPr>
              <w:pStyle w:val="Standard"/>
              <w:spacing w:line="240" w:lineRule="auto"/>
              <w:ind w:firstLine="0"/>
            </w:pPr>
            <w:r>
              <w:t xml:space="preserve">Tier 1 Advice Letter </w:t>
            </w:r>
            <w:r>
              <w:br/>
              <w:t>(Implementation of the 2022 Approved Electric Sales Forecast)</w:t>
            </w:r>
          </w:p>
        </w:tc>
        <w:tc>
          <w:tcPr>
            <w:tcW w:w="3505" w:type="dxa"/>
          </w:tcPr>
          <w:p w:rsidR="005A52CE" w:rsidP="00E07408" w:rsidRDefault="005A52CE" w14:paraId="08C254E1" w14:textId="40D8C19D">
            <w:pPr>
              <w:pStyle w:val="Standard"/>
              <w:spacing w:line="240" w:lineRule="auto"/>
              <w:ind w:firstLine="0"/>
              <w:jc w:val="center"/>
            </w:pPr>
            <w:r>
              <w:t>60 days</w:t>
            </w:r>
            <w:r w:rsidR="005E4DD4">
              <w:t xml:space="preserve"> from the effective date of this decision</w:t>
            </w:r>
          </w:p>
        </w:tc>
      </w:tr>
      <w:tr w:rsidR="005A52CE" w:rsidTr="00E07408" w14:paraId="3057732E" w14:textId="77777777">
        <w:tc>
          <w:tcPr>
            <w:tcW w:w="5845" w:type="dxa"/>
          </w:tcPr>
          <w:p w:rsidR="005A52CE" w:rsidP="00E07408" w:rsidRDefault="00103167" w14:paraId="664601CD" w14:textId="37EF8937">
            <w:pPr>
              <w:pStyle w:val="Standard"/>
              <w:spacing w:line="240" w:lineRule="auto"/>
              <w:ind w:firstLine="0"/>
            </w:pPr>
            <w:r>
              <w:t xml:space="preserve">Coordination of the parties to address </w:t>
            </w:r>
            <w:r w:rsidR="00401AAE">
              <w:t xml:space="preserve">SDG&amp;E’s </w:t>
            </w:r>
            <w:r>
              <w:t>rate implementation delays</w:t>
            </w:r>
          </w:p>
        </w:tc>
        <w:tc>
          <w:tcPr>
            <w:tcW w:w="3505" w:type="dxa"/>
          </w:tcPr>
          <w:p w:rsidR="005A52CE" w:rsidP="00E07408" w:rsidRDefault="00860C07" w14:paraId="26C00A4A" w14:textId="68DC71D9">
            <w:pPr>
              <w:pStyle w:val="Standard"/>
              <w:spacing w:line="240" w:lineRule="auto"/>
              <w:ind w:firstLine="0"/>
              <w:jc w:val="center"/>
            </w:pPr>
            <w:r>
              <w:t>Begin upon the e</w:t>
            </w:r>
            <w:r w:rsidR="00103167">
              <w:t>ffective date of the decision or April</w:t>
            </w:r>
            <w:r w:rsidR="00A278E8">
              <w:t> </w:t>
            </w:r>
            <w:r w:rsidR="00103167">
              <w:t>15,</w:t>
            </w:r>
            <w:r w:rsidR="00A278E8">
              <w:t> </w:t>
            </w:r>
            <w:r w:rsidR="00103167">
              <w:t>2022, the latest</w:t>
            </w:r>
          </w:p>
        </w:tc>
      </w:tr>
      <w:tr w:rsidR="005A52CE" w:rsidTr="00E07408" w14:paraId="607EBBD9" w14:textId="77777777">
        <w:tc>
          <w:tcPr>
            <w:tcW w:w="5845" w:type="dxa"/>
          </w:tcPr>
          <w:p w:rsidR="0086332E" w:rsidP="00E07408" w:rsidRDefault="005E4DD4" w14:paraId="25EA6B54" w14:textId="54516424">
            <w:pPr>
              <w:pStyle w:val="Standard"/>
              <w:spacing w:line="240" w:lineRule="auto"/>
              <w:ind w:firstLine="0"/>
            </w:pPr>
            <w:r>
              <w:t xml:space="preserve">Annual All-Party Workshop </w:t>
            </w:r>
            <w:r>
              <w:br/>
              <w:t>(</w:t>
            </w:r>
            <w:r w:rsidR="00860C07">
              <w:t xml:space="preserve">Preparation for </w:t>
            </w:r>
            <w:r>
              <w:t>2023 ERRA</w:t>
            </w:r>
            <w:r w:rsidR="00A278E8">
              <w:t xml:space="preserve"> &amp; </w:t>
            </w:r>
            <w:r>
              <w:t>Sales Forecast Application)</w:t>
            </w:r>
          </w:p>
        </w:tc>
        <w:tc>
          <w:tcPr>
            <w:tcW w:w="3505" w:type="dxa"/>
          </w:tcPr>
          <w:p w:rsidR="005A52CE" w:rsidP="00E07408" w:rsidRDefault="005E4DD4" w14:paraId="2D243129" w14:textId="74841C10">
            <w:pPr>
              <w:pStyle w:val="Standard"/>
              <w:spacing w:line="240" w:lineRule="auto"/>
              <w:ind w:firstLine="0"/>
              <w:jc w:val="center"/>
            </w:pPr>
            <w:r>
              <w:t>March</w:t>
            </w:r>
            <w:r w:rsidR="00A278E8">
              <w:t> </w:t>
            </w:r>
            <w:r>
              <w:t>31,</w:t>
            </w:r>
            <w:r w:rsidR="00A278E8">
              <w:t> </w:t>
            </w:r>
            <w:r>
              <w:t>2022</w:t>
            </w:r>
          </w:p>
        </w:tc>
      </w:tr>
      <w:tr w:rsidR="0086332E" w:rsidTr="00A278E8" w14:paraId="68E7EF5F" w14:textId="77777777">
        <w:tc>
          <w:tcPr>
            <w:tcW w:w="5845" w:type="dxa"/>
          </w:tcPr>
          <w:p w:rsidR="0086332E" w:rsidP="005E4DD4" w:rsidRDefault="0086332E" w14:paraId="14940EBA" w14:textId="566B6065">
            <w:pPr>
              <w:pStyle w:val="Standard"/>
              <w:spacing w:line="240" w:lineRule="auto"/>
              <w:ind w:firstLine="0"/>
            </w:pPr>
            <w:r>
              <w:lastRenderedPageBreak/>
              <w:t>Rates Implemented with the 2022 Approved Electric Sales Forecast</w:t>
            </w:r>
          </w:p>
        </w:tc>
        <w:tc>
          <w:tcPr>
            <w:tcW w:w="3505" w:type="dxa"/>
          </w:tcPr>
          <w:p w:rsidR="00A278E8" w:rsidP="00A278E8" w:rsidRDefault="0086332E" w14:paraId="5F78D26C" w14:textId="77777777">
            <w:pPr>
              <w:pStyle w:val="Standard"/>
              <w:spacing w:line="240" w:lineRule="auto"/>
              <w:ind w:firstLine="0"/>
              <w:jc w:val="center"/>
            </w:pPr>
            <w:r>
              <w:t xml:space="preserve">No later than 4 months </w:t>
            </w:r>
          </w:p>
          <w:p w:rsidR="00A278E8" w:rsidP="00A278E8" w:rsidRDefault="0086332E" w14:paraId="55A560D4" w14:textId="77777777">
            <w:pPr>
              <w:pStyle w:val="Standard"/>
              <w:spacing w:line="240" w:lineRule="auto"/>
              <w:ind w:firstLine="0"/>
              <w:jc w:val="center"/>
            </w:pPr>
            <w:r>
              <w:t xml:space="preserve">from the effective date </w:t>
            </w:r>
          </w:p>
          <w:p w:rsidR="0086332E" w:rsidP="00A278E8" w:rsidRDefault="0086332E" w14:paraId="0F05B470" w14:textId="39282F25">
            <w:pPr>
              <w:pStyle w:val="Standard"/>
              <w:spacing w:line="240" w:lineRule="auto"/>
              <w:ind w:firstLine="0"/>
              <w:jc w:val="center"/>
            </w:pPr>
            <w:r>
              <w:t>of this decision</w:t>
            </w:r>
          </w:p>
        </w:tc>
      </w:tr>
    </w:tbl>
    <w:p w:rsidRPr="00D00436" w:rsidR="00C829B4" w:rsidP="00A278E8" w:rsidRDefault="00C829B4" w14:paraId="0E374A5F" w14:textId="77777777">
      <w:pPr>
        <w:pStyle w:val="Heading1"/>
        <w:spacing w:before="120"/>
        <w:rPr>
          <w:rFonts w:eastAsiaTheme="majorEastAsia" w:cstheme="majorBidi"/>
        </w:rPr>
      </w:pPr>
      <w:bookmarkStart w:name="_Toc98143119" w:id="85"/>
      <w:r w:rsidRPr="00D00436">
        <w:rPr>
          <w:rFonts w:eastAsiaTheme="majorEastAsia" w:cstheme="majorBidi"/>
        </w:rPr>
        <w:t>Errors in the Filing</w:t>
      </w:r>
      <w:bookmarkEnd w:id="85"/>
    </w:p>
    <w:p w:rsidRPr="004B3667" w:rsidR="00C829B4" w:rsidP="00C829B4" w:rsidRDefault="00C829B4" w14:paraId="7A2CDB5A" w14:textId="77777777">
      <w:pPr>
        <w:rPr>
          <w:rFonts w:cs="Times New Roman"/>
          <w:szCs w:val="20"/>
        </w:rPr>
      </w:pPr>
      <w:r w:rsidRPr="004B3667">
        <w:rPr>
          <w:rFonts w:cs="Times New Roman"/>
          <w:szCs w:val="20"/>
        </w:rPr>
        <w:t>UCAN has identified several errors in SDG&amp;E’s application, such as the inclusion of the High Usage Charge (HUC) in proposed rates and the calculation of the non-coincident demand charge under Schedule TOU-PA2 rate.</w:t>
      </w:r>
      <w:r w:rsidRPr="004B3667">
        <w:rPr>
          <w:rFonts w:cs="Times New Roman"/>
          <w:szCs w:val="20"/>
          <w:vertAlign w:val="superscript"/>
        </w:rPr>
        <w:footnoteReference w:id="41"/>
      </w:r>
    </w:p>
    <w:p w:rsidRPr="004B3667" w:rsidR="00C829B4" w:rsidP="00C829B4" w:rsidRDefault="00C829B4" w14:paraId="25E7F86B" w14:textId="77777777">
      <w:pPr>
        <w:rPr>
          <w:rFonts w:cs="Times New Roman"/>
          <w:szCs w:val="20"/>
        </w:rPr>
      </w:pPr>
      <w:r w:rsidRPr="004B3667">
        <w:rPr>
          <w:rFonts w:cs="Times New Roman"/>
          <w:szCs w:val="20"/>
        </w:rPr>
        <w:t>SDG&amp;E has corrected these errors.</w:t>
      </w:r>
      <w:r w:rsidRPr="004B3667">
        <w:rPr>
          <w:rFonts w:cs="Times New Roman"/>
          <w:szCs w:val="20"/>
          <w:vertAlign w:val="superscript"/>
        </w:rPr>
        <w:footnoteReference w:id="42"/>
      </w:r>
    </w:p>
    <w:p w:rsidR="003F4220" w:rsidP="00C829B4" w:rsidRDefault="00C829B4" w14:paraId="5A120687" w14:textId="2BFD0EDD">
      <w:pPr>
        <w:rPr>
          <w:rFonts w:cs="Times New Roman"/>
          <w:szCs w:val="20"/>
        </w:rPr>
      </w:pPr>
      <w:r w:rsidRPr="004B3667">
        <w:rPr>
          <w:rFonts w:cs="Times New Roman"/>
          <w:szCs w:val="20"/>
        </w:rPr>
        <w:t xml:space="preserve">In SDG&amp;E’s 2022 ERRA forecast application, A.21-04-010, SDG&amp;E committed a </w:t>
      </w:r>
      <w:r w:rsidR="0039369E">
        <w:rPr>
          <w:rFonts w:cs="Times New Roman"/>
          <w:szCs w:val="20"/>
        </w:rPr>
        <w:t>material</w:t>
      </w:r>
      <w:r w:rsidRPr="004B3667" w:rsidR="0039369E">
        <w:rPr>
          <w:rFonts w:cs="Times New Roman"/>
          <w:szCs w:val="20"/>
        </w:rPr>
        <w:t xml:space="preserve"> </w:t>
      </w:r>
      <w:r w:rsidRPr="004B3667">
        <w:rPr>
          <w:rFonts w:cs="Times New Roman"/>
          <w:szCs w:val="20"/>
        </w:rPr>
        <w:t>error which caused the Commission to require greater executive oversight of quality control in future ERRA proceedings.</w:t>
      </w:r>
      <w:r w:rsidRPr="004B3667">
        <w:rPr>
          <w:rFonts w:cs="Times New Roman"/>
          <w:szCs w:val="20"/>
          <w:vertAlign w:val="superscript"/>
        </w:rPr>
        <w:footnoteReference w:id="43"/>
      </w:r>
      <w:r w:rsidRPr="004B3667">
        <w:rPr>
          <w:rFonts w:cs="Times New Roman"/>
          <w:szCs w:val="20"/>
        </w:rPr>
        <w:t xml:space="preserve">  Specifically, D.21-12-040 directed SDG&amp;E to provide in future ERRA proceedings testimony from its Chief Regulatory Officer, or successor executive position, that</w:t>
      </w:r>
      <w:r w:rsidR="003F4220">
        <w:rPr>
          <w:rFonts w:cs="Times New Roman"/>
          <w:szCs w:val="20"/>
        </w:rPr>
        <w:t>,</w:t>
      </w:r>
    </w:p>
    <w:p w:rsidRPr="004B3667" w:rsidR="00C829B4" w:rsidP="00944D3D" w:rsidRDefault="00C829B4" w14:paraId="4F31E9ED" w14:textId="28E294DA">
      <w:pPr>
        <w:pStyle w:val="BlockQuote"/>
        <w:ind w:right="1440"/>
      </w:pPr>
      <w:r w:rsidRPr="004B3667">
        <w:t>describes and justifies that officer’s implementation, use and active oversight, of an effective internal control and review process, exercised by all the responsible officers and managers, over the preparation of a rate application and its supporting testimony so that there is little likelihood of a material error in subsequent ERRA-related applications and for management to ensure that future filings are competent, complete, and accurate.</w:t>
      </w:r>
      <w:r w:rsidRPr="004B3667">
        <w:rPr>
          <w:vertAlign w:val="superscript"/>
        </w:rPr>
        <w:footnoteReference w:id="44"/>
      </w:r>
      <w:r w:rsidRPr="004B3667">
        <w:t xml:space="preserve">  </w:t>
      </w:r>
    </w:p>
    <w:p w:rsidRPr="004B3667" w:rsidR="00C829B4" w:rsidP="00C829B4" w:rsidRDefault="006A58AC" w14:paraId="48E806C2" w14:textId="262FF6AC">
      <w:pPr>
        <w:rPr>
          <w:rFonts w:cs="Times New Roman"/>
          <w:szCs w:val="20"/>
        </w:rPr>
      </w:pPr>
      <w:r>
        <w:rPr>
          <w:rFonts w:cs="Times New Roman"/>
          <w:szCs w:val="20"/>
        </w:rPr>
        <w:t xml:space="preserve">Because </w:t>
      </w:r>
      <w:r w:rsidRPr="004B3667" w:rsidR="00C829B4">
        <w:rPr>
          <w:rFonts w:cs="Times New Roman"/>
          <w:szCs w:val="20"/>
        </w:rPr>
        <w:t xml:space="preserve">SDG&amp;E’s future sales forecast applications will be consolidated with its ERRA forecast applications, SDG&amp;E </w:t>
      </w:r>
      <w:r>
        <w:rPr>
          <w:rFonts w:cs="Times New Roman"/>
          <w:szCs w:val="20"/>
        </w:rPr>
        <w:t xml:space="preserve">must </w:t>
      </w:r>
      <w:r w:rsidRPr="004B3667" w:rsidR="00C829B4">
        <w:rPr>
          <w:rFonts w:cs="Times New Roman"/>
          <w:szCs w:val="20"/>
        </w:rPr>
        <w:t xml:space="preserve">provide these attestations and </w:t>
      </w:r>
      <w:r w:rsidRPr="004B3667" w:rsidR="00C829B4">
        <w:rPr>
          <w:rFonts w:cs="Times New Roman"/>
          <w:szCs w:val="20"/>
        </w:rPr>
        <w:lastRenderedPageBreak/>
        <w:t>testimony from its Chief Regulator Officer, or successor executive positions, in its future sales forecast applications.</w:t>
      </w:r>
    </w:p>
    <w:p w:rsidRPr="00D00436" w:rsidR="00C829B4" w:rsidP="00F811B9" w:rsidRDefault="00C829B4" w14:paraId="08581C44" w14:textId="77777777">
      <w:pPr>
        <w:pStyle w:val="Heading1"/>
        <w:rPr>
          <w:rFonts w:eastAsiaTheme="majorEastAsia" w:cstheme="majorBidi"/>
        </w:rPr>
      </w:pPr>
      <w:bookmarkStart w:name="_Toc2523441" w:id="86"/>
      <w:bookmarkStart w:name="_Toc98143120" w:id="87"/>
      <w:r w:rsidRPr="00D00436">
        <w:rPr>
          <w:rFonts w:eastAsiaTheme="majorEastAsia" w:cstheme="majorBidi"/>
        </w:rPr>
        <w:t>Comments on Proposed Decision</w:t>
      </w:r>
      <w:bookmarkEnd w:id="86"/>
      <w:bookmarkEnd w:id="87"/>
    </w:p>
    <w:p w:rsidR="00C829B4" w:rsidP="00C829B4" w:rsidRDefault="005857DC" w14:paraId="374123BC" w14:textId="3A12C91A">
      <w:pPr>
        <w:rPr>
          <w:rFonts w:cs="Times New Roman"/>
          <w:szCs w:val="20"/>
        </w:rPr>
      </w:pPr>
      <w:r w:rsidRPr="004B3667">
        <w:rPr>
          <w:rFonts w:cs="Times New Roman"/>
          <w:szCs w:val="20"/>
        </w:rPr>
        <w:t xml:space="preserve">The proposed decision of </w:t>
      </w:r>
      <w:r w:rsidR="000A7D5D">
        <w:rPr>
          <w:rFonts w:cs="Times New Roman"/>
          <w:szCs w:val="20"/>
        </w:rPr>
        <w:t>ALJ </w:t>
      </w:r>
      <w:r w:rsidRPr="004B3667">
        <w:rPr>
          <w:rFonts w:cs="Times New Roman"/>
          <w:szCs w:val="20"/>
        </w:rPr>
        <w:t xml:space="preserve">Lau in this matter was mailed to the parties in accordance with </w:t>
      </w:r>
      <w:r w:rsidR="000A7D5D">
        <w:rPr>
          <w:rFonts w:cs="Times New Roman"/>
          <w:szCs w:val="20"/>
        </w:rPr>
        <w:t xml:space="preserve">Pub. Util. Code </w:t>
      </w:r>
      <w:r w:rsidRPr="004B3667">
        <w:rPr>
          <w:rFonts w:cs="Times New Roman"/>
          <w:szCs w:val="20"/>
        </w:rPr>
        <w:t>Section</w:t>
      </w:r>
      <w:r w:rsidR="000A7D5D">
        <w:rPr>
          <w:rFonts w:cs="Times New Roman"/>
          <w:szCs w:val="20"/>
        </w:rPr>
        <w:t> </w:t>
      </w:r>
      <w:r w:rsidRPr="004B3667">
        <w:rPr>
          <w:rFonts w:cs="Times New Roman"/>
          <w:szCs w:val="20"/>
        </w:rPr>
        <w:t>311</w:t>
      </w:r>
      <w:r w:rsidR="00EC657D">
        <w:rPr>
          <w:rFonts w:cs="Times New Roman"/>
          <w:szCs w:val="20"/>
        </w:rPr>
        <w:t>.  C</w:t>
      </w:r>
      <w:r w:rsidRPr="004B3667">
        <w:rPr>
          <w:rFonts w:cs="Times New Roman"/>
          <w:szCs w:val="20"/>
        </w:rPr>
        <w:t>omments were allowed under Rule</w:t>
      </w:r>
      <w:r w:rsidR="000A7D5D">
        <w:rPr>
          <w:rFonts w:cs="Times New Roman"/>
          <w:szCs w:val="20"/>
        </w:rPr>
        <w:t> </w:t>
      </w:r>
      <w:r w:rsidRPr="004B3667">
        <w:rPr>
          <w:rFonts w:cs="Times New Roman"/>
          <w:szCs w:val="20"/>
        </w:rPr>
        <w:t xml:space="preserve">14.3. </w:t>
      </w:r>
      <w:r w:rsidR="008E447F">
        <w:rPr>
          <w:rFonts w:cs="Times New Roman"/>
          <w:szCs w:val="20"/>
        </w:rPr>
        <w:t xml:space="preserve"> </w:t>
      </w:r>
      <w:r w:rsidR="00847041">
        <w:rPr>
          <w:rFonts w:cs="Times New Roman"/>
          <w:szCs w:val="20"/>
        </w:rPr>
        <w:t xml:space="preserve">SDG&amp;E, </w:t>
      </w:r>
      <w:proofErr w:type="spellStart"/>
      <w:r w:rsidR="00847041">
        <w:rPr>
          <w:rFonts w:cs="Times New Roman"/>
          <w:szCs w:val="20"/>
        </w:rPr>
        <w:t>SBUA</w:t>
      </w:r>
      <w:proofErr w:type="spellEnd"/>
      <w:r w:rsidR="00847041">
        <w:rPr>
          <w:rFonts w:cs="Times New Roman"/>
          <w:szCs w:val="20"/>
        </w:rPr>
        <w:t xml:space="preserve">, and </w:t>
      </w:r>
      <w:r w:rsidR="00870AD2">
        <w:rPr>
          <w:rFonts w:cs="Times New Roman"/>
          <w:szCs w:val="20"/>
        </w:rPr>
        <w:t>C</w:t>
      </w:r>
      <w:r w:rsidR="00847041">
        <w:rPr>
          <w:rFonts w:cs="Times New Roman"/>
          <w:szCs w:val="20"/>
        </w:rPr>
        <w:t>al</w:t>
      </w:r>
      <w:r w:rsidR="00AF09C6">
        <w:rPr>
          <w:rFonts w:cs="Times New Roman"/>
          <w:szCs w:val="20"/>
        </w:rPr>
        <w:t> </w:t>
      </w:r>
      <w:r w:rsidR="00847041">
        <w:rPr>
          <w:rFonts w:cs="Times New Roman"/>
          <w:szCs w:val="20"/>
        </w:rPr>
        <w:t>Advocates filed comment</w:t>
      </w:r>
      <w:r w:rsidR="00C014B3">
        <w:rPr>
          <w:rFonts w:cs="Times New Roman"/>
          <w:szCs w:val="20"/>
        </w:rPr>
        <w:t>s</w:t>
      </w:r>
      <w:r w:rsidR="00847041">
        <w:rPr>
          <w:rFonts w:cs="Times New Roman"/>
          <w:szCs w:val="20"/>
        </w:rPr>
        <w:t xml:space="preserve"> on the proposed decision </w:t>
      </w:r>
      <w:r w:rsidR="00870AD2">
        <w:rPr>
          <w:rFonts w:cs="Times New Roman"/>
          <w:szCs w:val="20"/>
        </w:rPr>
        <w:t>o</w:t>
      </w:r>
      <w:r w:rsidR="00847041">
        <w:rPr>
          <w:rFonts w:cs="Times New Roman"/>
          <w:szCs w:val="20"/>
        </w:rPr>
        <w:t>n February</w:t>
      </w:r>
      <w:r w:rsidR="00AF09C6">
        <w:rPr>
          <w:rFonts w:cs="Times New Roman"/>
          <w:szCs w:val="20"/>
        </w:rPr>
        <w:t> </w:t>
      </w:r>
      <w:r w:rsidR="00847041">
        <w:rPr>
          <w:rFonts w:cs="Times New Roman"/>
          <w:szCs w:val="20"/>
        </w:rPr>
        <w:t>16,</w:t>
      </w:r>
      <w:r w:rsidR="00AF09C6">
        <w:rPr>
          <w:rFonts w:cs="Times New Roman"/>
          <w:szCs w:val="20"/>
        </w:rPr>
        <w:t> </w:t>
      </w:r>
      <w:r w:rsidR="00847041">
        <w:rPr>
          <w:rFonts w:cs="Times New Roman"/>
          <w:szCs w:val="20"/>
        </w:rPr>
        <w:t>2022.</w:t>
      </w:r>
      <w:r w:rsidR="008E447F">
        <w:rPr>
          <w:rFonts w:cs="Times New Roman"/>
          <w:szCs w:val="20"/>
        </w:rPr>
        <w:t xml:space="preserve"> </w:t>
      </w:r>
      <w:r w:rsidR="00847041">
        <w:rPr>
          <w:rFonts w:cs="Times New Roman"/>
          <w:szCs w:val="20"/>
        </w:rPr>
        <w:t xml:space="preserve"> SDG&amp;E and </w:t>
      </w:r>
      <w:proofErr w:type="spellStart"/>
      <w:r w:rsidR="00847041">
        <w:rPr>
          <w:rFonts w:cs="Times New Roman"/>
          <w:szCs w:val="20"/>
        </w:rPr>
        <w:t>SBUA</w:t>
      </w:r>
      <w:proofErr w:type="spellEnd"/>
      <w:r w:rsidR="00847041">
        <w:rPr>
          <w:rFonts w:cs="Times New Roman"/>
          <w:szCs w:val="20"/>
        </w:rPr>
        <w:t xml:space="preserve"> filed reply comments on February</w:t>
      </w:r>
      <w:r w:rsidR="00AF09C6">
        <w:rPr>
          <w:rFonts w:cs="Times New Roman"/>
          <w:szCs w:val="20"/>
        </w:rPr>
        <w:t> </w:t>
      </w:r>
      <w:r w:rsidR="00847041">
        <w:rPr>
          <w:rFonts w:cs="Times New Roman"/>
          <w:szCs w:val="20"/>
        </w:rPr>
        <w:t>22,</w:t>
      </w:r>
      <w:r w:rsidR="00AF09C6">
        <w:rPr>
          <w:rFonts w:cs="Times New Roman"/>
          <w:szCs w:val="20"/>
        </w:rPr>
        <w:t> </w:t>
      </w:r>
      <w:r w:rsidR="00847041">
        <w:rPr>
          <w:rFonts w:cs="Times New Roman"/>
          <w:szCs w:val="20"/>
        </w:rPr>
        <w:t xml:space="preserve">2022. </w:t>
      </w:r>
    </w:p>
    <w:p w:rsidRPr="004B3667" w:rsidR="00651FD7" w:rsidP="00C829B4" w:rsidRDefault="00651FD7" w14:paraId="37E7C01E" w14:textId="761C4BD1">
      <w:pPr>
        <w:rPr>
          <w:rFonts w:cs="Times New Roman"/>
          <w:szCs w:val="20"/>
        </w:rPr>
      </w:pPr>
      <w:r>
        <w:rPr>
          <w:rFonts w:cs="Times New Roman"/>
          <w:szCs w:val="20"/>
        </w:rPr>
        <w:t xml:space="preserve">In comments, </w:t>
      </w:r>
      <w:proofErr w:type="spellStart"/>
      <w:r>
        <w:rPr>
          <w:rFonts w:cs="Times New Roman"/>
          <w:szCs w:val="20"/>
        </w:rPr>
        <w:t>SBUA</w:t>
      </w:r>
      <w:proofErr w:type="spellEnd"/>
      <w:r>
        <w:rPr>
          <w:rFonts w:cs="Times New Roman"/>
          <w:szCs w:val="20"/>
        </w:rPr>
        <w:t xml:space="preserve"> requests that the Commission</w:t>
      </w:r>
      <w:r w:rsidR="00351D62">
        <w:rPr>
          <w:rFonts w:cs="Times New Roman"/>
          <w:szCs w:val="20"/>
        </w:rPr>
        <w:t xml:space="preserve"> require SDG&amp;E to consult with stakeholders</w:t>
      </w:r>
      <w:r w:rsidR="00CC36C0">
        <w:rPr>
          <w:rFonts w:cs="Times New Roman"/>
          <w:szCs w:val="20"/>
        </w:rPr>
        <w:t xml:space="preserve">, such as in the all-party workshop prior to </w:t>
      </w:r>
      <w:r w:rsidR="00A55767">
        <w:rPr>
          <w:rFonts w:cs="Times New Roman"/>
          <w:szCs w:val="20"/>
        </w:rPr>
        <w:t>SDG&amp;E’s</w:t>
      </w:r>
      <w:r w:rsidR="00981B20">
        <w:rPr>
          <w:rFonts w:cs="Times New Roman"/>
          <w:szCs w:val="20"/>
        </w:rPr>
        <w:t xml:space="preserve"> </w:t>
      </w:r>
      <w:r w:rsidR="008006F7">
        <w:rPr>
          <w:rFonts w:cs="Times New Roman"/>
          <w:szCs w:val="20"/>
        </w:rPr>
        <w:t>ERRA foreca</w:t>
      </w:r>
      <w:r w:rsidR="00981B20">
        <w:rPr>
          <w:rFonts w:cs="Times New Roman"/>
          <w:szCs w:val="20"/>
        </w:rPr>
        <w:t>s</w:t>
      </w:r>
      <w:r w:rsidR="008006F7">
        <w:rPr>
          <w:rFonts w:cs="Times New Roman"/>
          <w:szCs w:val="20"/>
        </w:rPr>
        <w:t xml:space="preserve">t </w:t>
      </w:r>
      <w:r w:rsidR="00981B20">
        <w:rPr>
          <w:rFonts w:cs="Times New Roman"/>
          <w:szCs w:val="20"/>
        </w:rPr>
        <w:t>filing</w:t>
      </w:r>
      <w:r w:rsidR="008006F7">
        <w:rPr>
          <w:rFonts w:cs="Times New Roman"/>
          <w:szCs w:val="20"/>
        </w:rPr>
        <w:t>,</w:t>
      </w:r>
      <w:r w:rsidR="00A55767">
        <w:rPr>
          <w:rFonts w:cs="Times New Roman"/>
          <w:szCs w:val="20"/>
        </w:rPr>
        <w:t xml:space="preserve"> on</w:t>
      </w:r>
      <w:r w:rsidR="00351D62">
        <w:rPr>
          <w:rFonts w:cs="Times New Roman"/>
          <w:szCs w:val="20"/>
        </w:rPr>
        <w:t xml:space="preserve"> whether a research or study on the impacts of </w:t>
      </w:r>
      <w:r w:rsidR="00CC36C0">
        <w:rPr>
          <w:rFonts w:cs="Times New Roman"/>
          <w:szCs w:val="20"/>
        </w:rPr>
        <w:t>t</w:t>
      </w:r>
      <w:r w:rsidR="00351D62">
        <w:rPr>
          <w:rFonts w:cs="Times New Roman"/>
          <w:szCs w:val="20"/>
        </w:rPr>
        <w:t xml:space="preserve">he pandemic on electric end uses </w:t>
      </w:r>
      <w:r w:rsidR="00A55767">
        <w:rPr>
          <w:rFonts w:cs="Times New Roman"/>
          <w:szCs w:val="20"/>
        </w:rPr>
        <w:t>i</w:t>
      </w:r>
      <w:r w:rsidR="00351D62">
        <w:rPr>
          <w:rFonts w:cs="Times New Roman"/>
          <w:szCs w:val="20"/>
        </w:rPr>
        <w:t>s ne</w:t>
      </w:r>
      <w:r w:rsidR="00A55767">
        <w:rPr>
          <w:rFonts w:cs="Times New Roman"/>
          <w:szCs w:val="20"/>
        </w:rPr>
        <w:t>eded,</w:t>
      </w:r>
      <w:r w:rsidR="00351D62">
        <w:rPr>
          <w:rFonts w:cs="Times New Roman"/>
          <w:szCs w:val="20"/>
        </w:rPr>
        <w:t xml:space="preserve"> if parties feel that the CE</w:t>
      </w:r>
      <w:r w:rsidR="00CC36C0">
        <w:rPr>
          <w:rFonts w:cs="Times New Roman"/>
          <w:szCs w:val="20"/>
        </w:rPr>
        <w:t>C</w:t>
      </w:r>
      <w:r w:rsidR="00351D62">
        <w:rPr>
          <w:rFonts w:cs="Times New Roman"/>
          <w:szCs w:val="20"/>
        </w:rPr>
        <w:t xml:space="preserve"> demand forecasting process</w:t>
      </w:r>
      <w:r w:rsidR="00CC36C0">
        <w:rPr>
          <w:rFonts w:cs="Times New Roman"/>
          <w:szCs w:val="20"/>
        </w:rPr>
        <w:t xml:space="preserve"> did not sufficiently address these concerns. </w:t>
      </w:r>
      <w:r w:rsidR="00A55767">
        <w:rPr>
          <w:rFonts w:cs="Times New Roman"/>
          <w:szCs w:val="20"/>
        </w:rPr>
        <w:t xml:space="preserve"> </w:t>
      </w:r>
      <w:r w:rsidR="00CC36C0">
        <w:rPr>
          <w:rFonts w:cs="Times New Roman"/>
          <w:szCs w:val="20"/>
        </w:rPr>
        <w:t xml:space="preserve">SDG&amp;E argues that </w:t>
      </w:r>
      <w:r w:rsidR="00F35F22">
        <w:rPr>
          <w:rFonts w:cs="Times New Roman"/>
          <w:szCs w:val="20"/>
        </w:rPr>
        <w:t xml:space="preserve">ordering </w:t>
      </w:r>
      <w:r w:rsidR="00EB2C47">
        <w:rPr>
          <w:rFonts w:cs="Times New Roman"/>
          <w:szCs w:val="20"/>
        </w:rPr>
        <w:t xml:space="preserve">that </w:t>
      </w:r>
      <w:r w:rsidR="00F35F22">
        <w:rPr>
          <w:rFonts w:cs="Times New Roman"/>
          <w:szCs w:val="20"/>
        </w:rPr>
        <w:t>this issue</w:t>
      </w:r>
      <w:r w:rsidR="00EB2C47">
        <w:rPr>
          <w:rFonts w:cs="Times New Roman"/>
          <w:szCs w:val="20"/>
        </w:rPr>
        <w:t xml:space="preserve"> be included </w:t>
      </w:r>
      <w:r w:rsidR="00F35F22">
        <w:rPr>
          <w:rFonts w:cs="Times New Roman"/>
          <w:szCs w:val="20"/>
        </w:rPr>
        <w:t xml:space="preserve">in the </w:t>
      </w:r>
      <w:r w:rsidR="00A55767">
        <w:rPr>
          <w:rFonts w:cs="Times New Roman"/>
          <w:szCs w:val="20"/>
        </w:rPr>
        <w:t>all-party</w:t>
      </w:r>
      <w:r w:rsidR="00F35F22">
        <w:rPr>
          <w:rFonts w:cs="Times New Roman"/>
          <w:szCs w:val="20"/>
        </w:rPr>
        <w:t xml:space="preserve"> workshop </w:t>
      </w:r>
      <w:r w:rsidR="00A55767">
        <w:rPr>
          <w:rFonts w:cs="Times New Roman"/>
          <w:szCs w:val="20"/>
        </w:rPr>
        <w:t>may</w:t>
      </w:r>
      <w:r w:rsidR="00F35F22">
        <w:rPr>
          <w:rFonts w:cs="Times New Roman"/>
          <w:szCs w:val="20"/>
        </w:rPr>
        <w:t xml:space="preserve"> distract</w:t>
      </w:r>
      <w:r w:rsidR="00A55767">
        <w:rPr>
          <w:rFonts w:cs="Times New Roman"/>
          <w:szCs w:val="20"/>
        </w:rPr>
        <w:t xml:space="preserve"> parties from </w:t>
      </w:r>
      <w:r w:rsidR="00F35F22">
        <w:rPr>
          <w:rFonts w:cs="Times New Roman"/>
          <w:szCs w:val="20"/>
        </w:rPr>
        <w:t xml:space="preserve">the purpose of the workshop. </w:t>
      </w:r>
      <w:r w:rsidR="00A55767">
        <w:rPr>
          <w:rFonts w:cs="Times New Roman"/>
          <w:szCs w:val="20"/>
        </w:rPr>
        <w:t xml:space="preserve"> </w:t>
      </w:r>
      <w:r w:rsidR="00F35F22">
        <w:rPr>
          <w:rFonts w:cs="Times New Roman"/>
          <w:szCs w:val="20"/>
        </w:rPr>
        <w:t xml:space="preserve">We agree </w:t>
      </w:r>
      <w:r w:rsidR="00595725">
        <w:rPr>
          <w:rFonts w:cs="Times New Roman"/>
          <w:szCs w:val="20"/>
        </w:rPr>
        <w:t xml:space="preserve">with SDG&amp;E that parties may raise this issue at the </w:t>
      </w:r>
      <w:r w:rsidR="001E22BA">
        <w:rPr>
          <w:rFonts w:cs="Times New Roman"/>
          <w:szCs w:val="20"/>
        </w:rPr>
        <w:t xml:space="preserve">all-party </w:t>
      </w:r>
      <w:r w:rsidR="00595725">
        <w:rPr>
          <w:rFonts w:cs="Times New Roman"/>
          <w:szCs w:val="20"/>
        </w:rPr>
        <w:t xml:space="preserve">workshop or in the ERRA forecast proceeding, </w:t>
      </w:r>
      <w:r w:rsidR="001E22BA">
        <w:rPr>
          <w:rFonts w:cs="Times New Roman"/>
          <w:szCs w:val="20"/>
        </w:rPr>
        <w:t>but</w:t>
      </w:r>
      <w:r w:rsidR="00595725">
        <w:rPr>
          <w:rFonts w:cs="Times New Roman"/>
          <w:szCs w:val="20"/>
        </w:rPr>
        <w:t xml:space="preserve"> it is not necessary to order SDG&amp;E to</w:t>
      </w:r>
      <w:r w:rsidR="001E22BA">
        <w:rPr>
          <w:rFonts w:cs="Times New Roman"/>
          <w:szCs w:val="20"/>
        </w:rPr>
        <w:t xml:space="preserve"> </w:t>
      </w:r>
      <w:r w:rsidR="006172ED">
        <w:rPr>
          <w:rFonts w:cs="Times New Roman"/>
          <w:szCs w:val="20"/>
        </w:rPr>
        <w:t>include this issue at the all-party workshop</w:t>
      </w:r>
      <w:r w:rsidR="00847427">
        <w:rPr>
          <w:rFonts w:cs="Times New Roman"/>
          <w:szCs w:val="20"/>
        </w:rPr>
        <w:t>.</w:t>
      </w:r>
      <w:r w:rsidR="001E22BA">
        <w:rPr>
          <w:rFonts w:cs="Times New Roman"/>
          <w:szCs w:val="20"/>
        </w:rPr>
        <w:t xml:space="preserve"> </w:t>
      </w:r>
      <w:r w:rsidR="00847427">
        <w:rPr>
          <w:rFonts w:cs="Times New Roman"/>
          <w:szCs w:val="20"/>
        </w:rPr>
        <w:t xml:space="preserve"> P</w:t>
      </w:r>
      <w:r w:rsidR="001E22BA">
        <w:rPr>
          <w:rFonts w:cs="Times New Roman"/>
          <w:szCs w:val="20"/>
        </w:rPr>
        <w:t xml:space="preserve">articularly since </w:t>
      </w:r>
      <w:r w:rsidR="00847427">
        <w:rPr>
          <w:rFonts w:cs="Times New Roman"/>
          <w:szCs w:val="20"/>
        </w:rPr>
        <w:t>the</w:t>
      </w:r>
      <w:r w:rsidR="001E22BA">
        <w:rPr>
          <w:rFonts w:cs="Times New Roman"/>
          <w:szCs w:val="20"/>
        </w:rPr>
        <w:t xml:space="preserve"> turnaround </w:t>
      </w:r>
      <w:r w:rsidR="006172ED">
        <w:rPr>
          <w:rFonts w:cs="Times New Roman"/>
          <w:szCs w:val="20"/>
        </w:rPr>
        <w:t xml:space="preserve">time </w:t>
      </w:r>
      <w:r w:rsidR="001E22BA">
        <w:rPr>
          <w:rFonts w:cs="Times New Roman"/>
          <w:szCs w:val="20"/>
        </w:rPr>
        <w:t>between the workshop and the application filing</w:t>
      </w:r>
      <w:r w:rsidR="00847427">
        <w:rPr>
          <w:rFonts w:cs="Times New Roman"/>
          <w:szCs w:val="20"/>
        </w:rPr>
        <w:t xml:space="preserve"> is tight, the all-party workshop</w:t>
      </w:r>
      <w:r w:rsidR="00650650">
        <w:rPr>
          <w:rFonts w:cs="Times New Roman"/>
          <w:szCs w:val="20"/>
        </w:rPr>
        <w:t>,</w:t>
      </w:r>
      <w:r w:rsidR="00847427">
        <w:rPr>
          <w:rFonts w:cs="Times New Roman"/>
          <w:szCs w:val="20"/>
        </w:rPr>
        <w:t xml:space="preserve"> which is </w:t>
      </w:r>
      <w:r w:rsidR="00650650">
        <w:rPr>
          <w:rFonts w:cs="Times New Roman"/>
          <w:szCs w:val="20"/>
        </w:rPr>
        <w:t xml:space="preserve">intended </w:t>
      </w:r>
      <w:r w:rsidR="00847427">
        <w:rPr>
          <w:rFonts w:cs="Times New Roman"/>
          <w:szCs w:val="20"/>
        </w:rPr>
        <w:t xml:space="preserve">to </w:t>
      </w:r>
      <w:r w:rsidR="00650650">
        <w:rPr>
          <w:rFonts w:cs="Times New Roman"/>
          <w:szCs w:val="20"/>
        </w:rPr>
        <w:t>streamline</w:t>
      </w:r>
      <w:r w:rsidR="00847427">
        <w:rPr>
          <w:rFonts w:cs="Times New Roman"/>
          <w:szCs w:val="20"/>
        </w:rPr>
        <w:t xml:space="preserve"> SDG&amp;E</w:t>
      </w:r>
      <w:r w:rsidR="00650650">
        <w:rPr>
          <w:rFonts w:cs="Times New Roman"/>
          <w:szCs w:val="20"/>
        </w:rPr>
        <w:t>’s process of</w:t>
      </w:r>
      <w:r w:rsidR="00847427">
        <w:rPr>
          <w:rFonts w:cs="Times New Roman"/>
          <w:szCs w:val="20"/>
        </w:rPr>
        <w:t xml:space="preserve"> prepar</w:t>
      </w:r>
      <w:r w:rsidR="00650650">
        <w:rPr>
          <w:rFonts w:cs="Times New Roman"/>
          <w:szCs w:val="20"/>
        </w:rPr>
        <w:t>ing</w:t>
      </w:r>
      <w:r w:rsidR="00847427">
        <w:rPr>
          <w:rFonts w:cs="Times New Roman"/>
          <w:szCs w:val="20"/>
        </w:rPr>
        <w:t xml:space="preserve"> its annual sales forecast filing, may not be the appropriate forum to address those concerns</w:t>
      </w:r>
      <w:r w:rsidR="001E22BA">
        <w:rPr>
          <w:rFonts w:cs="Times New Roman"/>
          <w:szCs w:val="20"/>
        </w:rPr>
        <w:t xml:space="preserve">.  </w:t>
      </w:r>
    </w:p>
    <w:p w:rsidRPr="00D00436" w:rsidR="00C829B4" w:rsidP="00F811B9" w:rsidRDefault="00C829B4" w14:paraId="5904C4A1" w14:textId="77777777">
      <w:pPr>
        <w:pStyle w:val="Heading1"/>
        <w:rPr>
          <w:rFonts w:eastAsiaTheme="majorEastAsia" w:cstheme="majorBidi"/>
        </w:rPr>
      </w:pPr>
      <w:bookmarkStart w:name="_Toc2523442" w:id="88"/>
      <w:bookmarkStart w:name="_Toc98143121" w:id="89"/>
      <w:r w:rsidRPr="00D00436">
        <w:rPr>
          <w:rFonts w:eastAsiaTheme="majorEastAsia" w:cstheme="majorBidi"/>
        </w:rPr>
        <w:t>Assignment of Proceeding</w:t>
      </w:r>
      <w:bookmarkEnd w:id="88"/>
      <w:bookmarkEnd w:id="89"/>
    </w:p>
    <w:p w:rsidRPr="004B3667" w:rsidR="00C829B4" w:rsidP="00C829B4" w:rsidRDefault="00C829B4" w14:paraId="26F82C75" w14:textId="091D351A">
      <w:pPr>
        <w:rPr>
          <w:rFonts w:cs="Times New Roman"/>
          <w:szCs w:val="20"/>
        </w:rPr>
      </w:pPr>
      <w:r w:rsidRPr="004B3667">
        <w:rPr>
          <w:rFonts w:cs="Times New Roman"/>
          <w:szCs w:val="20"/>
        </w:rPr>
        <w:t xml:space="preserve">Genevieve Shiroma is the assigned Commissioner and Elaine Lau is the assigned </w:t>
      </w:r>
      <w:r w:rsidR="000A7D5D">
        <w:rPr>
          <w:rFonts w:cs="Times New Roman"/>
          <w:szCs w:val="20"/>
        </w:rPr>
        <w:t xml:space="preserve">ALJ </w:t>
      </w:r>
      <w:r w:rsidRPr="004B3667">
        <w:rPr>
          <w:rFonts w:cs="Times New Roman"/>
          <w:szCs w:val="20"/>
        </w:rPr>
        <w:t>in this proceeding.</w:t>
      </w:r>
    </w:p>
    <w:p w:rsidRPr="004B3667" w:rsidR="00F811B9" w:rsidP="00F811B9" w:rsidRDefault="00F811B9" w14:paraId="1F90882A" w14:textId="77777777">
      <w:pPr>
        <w:pStyle w:val="Dummy"/>
      </w:pPr>
      <w:bookmarkStart w:name="_Toc98143122" w:id="90"/>
      <w:r w:rsidRPr="004B3667">
        <w:lastRenderedPageBreak/>
        <w:t>Findings of Fact</w:t>
      </w:r>
      <w:bookmarkEnd w:id="90"/>
    </w:p>
    <w:p w:rsidRPr="004B3667" w:rsidR="00F811B9" w:rsidP="00F811B9" w:rsidRDefault="00F925C7" w14:paraId="06C466D0" w14:textId="26FA79B1">
      <w:pPr>
        <w:pStyle w:val="FoF"/>
      </w:pPr>
      <w:r w:rsidRPr="004B3667">
        <w:t>SDG&amp;E’s proposed 2022 electric sales forecast is based on the CEC’s 2020</w:t>
      </w:r>
      <w:r w:rsidRPr="004B3667" w:rsidR="00811A17">
        <w:t> </w:t>
      </w:r>
      <w:r w:rsidRPr="004B3667">
        <w:t xml:space="preserve">California Energy Demand Forecast and includes expected load decreases resulting from customers migrating to </w:t>
      </w:r>
      <w:proofErr w:type="spellStart"/>
      <w:r w:rsidRPr="004B3667">
        <w:t>CCAs</w:t>
      </w:r>
      <w:proofErr w:type="spellEnd"/>
      <w:r w:rsidRPr="004B3667">
        <w:t xml:space="preserve"> and DA programs.</w:t>
      </w:r>
    </w:p>
    <w:p w:rsidRPr="004B3667" w:rsidR="00F811B9" w:rsidP="00F811B9" w:rsidRDefault="00F925C7" w14:paraId="37A8EBD7" w14:textId="02163485">
      <w:pPr>
        <w:pStyle w:val="FoF"/>
      </w:pPr>
      <w:r w:rsidRPr="004B3667">
        <w:rPr>
          <w:rFonts w:cs="Times New Roman"/>
          <w:szCs w:val="20"/>
        </w:rPr>
        <w:t>SDG&amp;E’s proposed forecast relies on recorded electricity sales data from 2019, before the pandemic began.</w:t>
      </w:r>
    </w:p>
    <w:p w:rsidRPr="004B3667" w:rsidR="00F811B9" w:rsidP="00F811B9" w:rsidRDefault="00F925C7" w14:paraId="666C6C5F" w14:textId="255A41DA">
      <w:pPr>
        <w:pStyle w:val="FoF"/>
      </w:pPr>
      <w:r w:rsidRPr="004B3667">
        <w:rPr>
          <w:rFonts w:cs="Times New Roman"/>
          <w:szCs w:val="20"/>
        </w:rPr>
        <w:t>Accurately accounting for the pandemic impacts on load among the various customer classes is necessary to appropriately assign costs to the various customer classes.</w:t>
      </w:r>
    </w:p>
    <w:p w:rsidRPr="004B3667" w:rsidR="00C829B4" w:rsidP="00F925C7" w:rsidRDefault="00C829B4" w14:paraId="7240001B" w14:textId="09EBB7DD">
      <w:pPr>
        <w:pStyle w:val="FoF"/>
      </w:pPr>
      <w:r w:rsidRPr="004B3667">
        <w:rPr>
          <w:rFonts w:cs="Times New Roman"/>
          <w:szCs w:val="20"/>
        </w:rPr>
        <w:t xml:space="preserve">The pandemic has caused sudden and significant changes </w:t>
      </w:r>
      <w:r w:rsidR="00391AB4">
        <w:rPr>
          <w:rFonts w:cs="Times New Roman"/>
          <w:szCs w:val="20"/>
        </w:rPr>
        <w:t>in the way that Californians use electricity and</w:t>
      </w:r>
      <w:r w:rsidR="00AF733B">
        <w:rPr>
          <w:rFonts w:cs="Times New Roman"/>
          <w:szCs w:val="20"/>
        </w:rPr>
        <w:t xml:space="preserve"> </w:t>
      </w:r>
      <w:r w:rsidR="00391AB4">
        <w:rPr>
          <w:rFonts w:cs="Times New Roman"/>
          <w:szCs w:val="20"/>
        </w:rPr>
        <w:t>in their patterns of usage</w:t>
      </w:r>
      <w:r w:rsidRPr="004B3667">
        <w:rPr>
          <w:rFonts w:cs="Times New Roman"/>
          <w:szCs w:val="20"/>
        </w:rPr>
        <w:t>.</w:t>
      </w:r>
    </w:p>
    <w:p w:rsidRPr="004B3667" w:rsidR="00C829B4" w:rsidP="00F925C7" w:rsidRDefault="00C829B4" w14:paraId="1C510AAA" w14:textId="77777777">
      <w:pPr>
        <w:pStyle w:val="FoF"/>
      </w:pPr>
      <w:r w:rsidRPr="004B3667">
        <w:t xml:space="preserve">The pandemic and its impacts on electricity usage will most likely remain for the foreseeable next several months, if not longer, in 2022.  </w:t>
      </w:r>
    </w:p>
    <w:p w:rsidRPr="004B3667" w:rsidR="00C829B4" w:rsidP="00F925C7" w:rsidRDefault="00C829B4" w14:paraId="6C12E32A" w14:textId="5A36742A">
      <w:pPr>
        <w:pStyle w:val="FoF"/>
      </w:pPr>
      <w:r w:rsidRPr="004B3667">
        <w:t xml:space="preserve">The 2020 CEC </w:t>
      </w:r>
      <w:r w:rsidRPr="004B3667" w:rsidR="007368D1">
        <w:t xml:space="preserve">Forecast </w:t>
      </w:r>
      <w:r w:rsidRPr="004B3667">
        <w:t>(SDG&amp;E’s Proposal), which uses recorded 2019</w:t>
      </w:r>
      <w:r w:rsidRPr="004B3667" w:rsidR="00AD27DD">
        <w:t> </w:t>
      </w:r>
      <w:r w:rsidRPr="004B3667">
        <w:t>pre</w:t>
      </w:r>
      <w:r w:rsidRPr="004B3667" w:rsidR="00F04225">
        <w:noBreakHyphen/>
      </w:r>
      <w:r w:rsidRPr="004B3667">
        <w:t xml:space="preserve">pandemic usage data, does not capture the impacts of the pandemic on electricity usage as </w:t>
      </w:r>
      <w:r w:rsidRPr="004B3667" w:rsidR="00E35B87">
        <w:t xml:space="preserve">effectively as </w:t>
      </w:r>
      <w:r w:rsidR="00AF09C6">
        <w:t>Cal Adv</w:t>
      </w:r>
      <w:r w:rsidRPr="004B3667">
        <w:t>ocates’ proposed forecast</w:t>
      </w:r>
      <w:r w:rsidRPr="004B3667" w:rsidR="009D5DEC">
        <w:t xml:space="preserve"> (SDG&amp;E’s 2021 Forecast)</w:t>
      </w:r>
      <w:r w:rsidRPr="004B3667">
        <w:t xml:space="preserve">, which is derived from recorded data that capture usage during the pandemic.  </w:t>
      </w:r>
    </w:p>
    <w:p w:rsidRPr="004B3667" w:rsidR="00C829B4" w:rsidP="00F925C7" w:rsidRDefault="00C829B4" w14:paraId="2BA1A012" w14:textId="2DA8848F">
      <w:pPr>
        <w:pStyle w:val="FoF"/>
      </w:pPr>
      <w:r w:rsidRPr="004B3667">
        <w:t xml:space="preserve">The </w:t>
      </w:r>
      <w:r w:rsidRPr="004B3667" w:rsidR="009D5DEC">
        <w:t>projected</w:t>
      </w:r>
      <w:r w:rsidRPr="004B3667">
        <w:t xml:space="preserve"> pandemic </w:t>
      </w:r>
      <w:r w:rsidRPr="004B3667" w:rsidR="009D5DEC">
        <w:t xml:space="preserve">impacts </w:t>
      </w:r>
      <w:r w:rsidRPr="004B3667">
        <w:t xml:space="preserve">included in </w:t>
      </w:r>
      <w:r w:rsidRPr="004B3667" w:rsidR="009D5DEC">
        <w:t>the 2020 CEC Forecast (</w:t>
      </w:r>
      <w:r w:rsidRPr="004B3667">
        <w:t>SDG&amp;E’s Proposal</w:t>
      </w:r>
      <w:r w:rsidRPr="004B3667" w:rsidR="009D5DEC">
        <w:t>)</w:t>
      </w:r>
      <w:r w:rsidRPr="004B3667">
        <w:t xml:space="preserve"> were based on data </w:t>
      </w:r>
      <w:r w:rsidRPr="004B3667" w:rsidR="00E35B87">
        <w:t xml:space="preserve">collected prior to </w:t>
      </w:r>
      <w:r w:rsidRPr="004B3667">
        <w:t xml:space="preserve">June 2020, when California was in a different phase of the pandemic than today in terms of local mandates and precautions.  </w:t>
      </w:r>
    </w:p>
    <w:p w:rsidRPr="004B3667" w:rsidR="00C829B4" w:rsidP="00F925C7" w:rsidRDefault="00C829B4" w14:paraId="728695E6" w14:textId="408AD3ED">
      <w:pPr>
        <w:pStyle w:val="FoF"/>
      </w:pPr>
      <w:r w:rsidRPr="004B3667">
        <w:t>Basing the sales forecast on the most recent recorded usage data allows the forecast to more closely reflect how Californians currently use electricity, given the current circumstances of the pandemic.</w:t>
      </w:r>
    </w:p>
    <w:p w:rsidRPr="004B3667" w:rsidR="00C829B4" w:rsidP="00F32000" w:rsidRDefault="00C829B4" w14:paraId="30317DB6" w14:textId="709ADED9">
      <w:pPr>
        <w:pStyle w:val="FoF"/>
      </w:pPr>
      <w:r w:rsidRPr="004B3667">
        <w:lastRenderedPageBreak/>
        <w:t xml:space="preserve">Using a forecast that </w:t>
      </w:r>
      <w:r w:rsidR="00F32000">
        <w:t xml:space="preserve">closely reflects how Californians currently use electricity, given the current circumstances of the pandemic, </w:t>
      </w:r>
      <w:r w:rsidR="00A801F9">
        <w:t>allows the Commission</w:t>
      </w:r>
      <w:r w:rsidRPr="004B3667">
        <w:t xml:space="preserve"> to appropriately assign</w:t>
      </w:r>
      <w:r w:rsidR="00AF733B">
        <w:t xml:space="preserve"> </w:t>
      </w:r>
      <w:r w:rsidRPr="004B3667">
        <w:t xml:space="preserve">costs to various ratepayer classes and set just and reasonable rates.  </w:t>
      </w:r>
    </w:p>
    <w:p w:rsidRPr="004B3667" w:rsidR="00C829B4" w:rsidP="00F925C7" w:rsidRDefault="00C829B4" w14:paraId="75B06AFB" w14:textId="4B401A63">
      <w:pPr>
        <w:pStyle w:val="FoF"/>
      </w:pPr>
      <w:r w:rsidRPr="004B3667">
        <w:t xml:space="preserve">Though adopting </w:t>
      </w:r>
      <w:r w:rsidR="00AF09C6">
        <w:t>Cal Adv</w:t>
      </w:r>
      <w:r w:rsidRPr="004B3667">
        <w:t xml:space="preserve">ocates’ Proposal </w:t>
      </w:r>
      <w:r w:rsidRPr="004B3667" w:rsidR="009D5DEC">
        <w:t xml:space="preserve">(SDG&amp;E’s 2021 Forecast) </w:t>
      </w:r>
      <w:r w:rsidRPr="004B3667">
        <w:t xml:space="preserve">deviates from the </w:t>
      </w:r>
      <w:r w:rsidRPr="004B3667" w:rsidR="009D5DEC">
        <w:t>practice</w:t>
      </w:r>
      <w:r w:rsidRPr="004B3667">
        <w:t xml:space="preserve"> of using an approved CEC </w:t>
      </w:r>
      <w:r w:rsidRPr="004B3667" w:rsidR="005E615B">
        <w:t xml:space="preserve">demand </w:t>
      </w:r>
      <w:r w:rsidRPr="004B3667">
        <w:t>forecast consistently across multiple Commission proceedings for SDG&amp;E, setting just and reasonable rates outweigh the need to use a consistent sales forecast.</w:t>
      </w:r>
    </w:p>
    <w:p w:rsidRPr="004B3667" w:rsidR="00C829B4" w:rsidP="00F925C7" w:rsidRDefault="00C829B4" w14:paraId="0C052469" w14:textId="74571611">
      <w:pPr>
        <w:pStyle w:val="FoF"/>
      </w:pPr>
      <w:r w:rsidRPr="004B3667">
        <w:t xml:space="preserve">PG&amp;E and SCE use a sales forecast that is separate from their respective CEC </w:t>
      </w:r>
      <w:r w:rsidRPr="004B3667" w:rsidR="00B66FAD">
        <w:t xml:space="preserve">demand </w:t>
      </w:r>
      <w:r w:rsidRPr="004B3667">
        <w:t>forecasts.</w:t>
      </w:r>
    </w:p>
    <w:p w:rsidRPr="004B3667" w:rsidR="0039369E" w:rsidP="00F925C7" w:rsidRDefault="0039369E" w14:paraId="78409B84" w14:textId="005B879C">
      <w:pPr>
        <w:pStyle w:val="FoF"/>
      </w:pPr>
      <w:r w:rsidRPr="0039369E">
        <w:t>Because SDG&amp;E’s 2021 Forecast (Cal</w:t>
      </w:r>
      <w:r w:rsidR="00AF09C6">
        <w:t> </w:t>
      </w:r>
      <w:r w:rsidRPr="0039369E">
        <w:t>Advocates’ Proposal) is derived from recent recorded usage data, it is</w:t>
      </w:r>
      <w:r w:rsidR="00E11140">
        <w:t>,</w:t>
      </w:r>
      <w:r w:rsidRPr="0039369E">
        <w:t xml:space="preserve"> </w:t>
      </w:r>
      <w:r w:rsidRPr="0039369E" w:rsidR="00E11140">
        <w:t>among the options presented in the record of this proceeding</w:t>
      </w:r>
      <w:r w:rsidR="00E11140">
        <w:t>,</w:t>
      </w:r>
      <w:r w:rsidRPr="0039369E" w:rsidR="00E11140">
        <w:t xml:space="preserve"> </w:t>
      </w:r>
      <w:r w:rsidRPr="0039369E">
        <w:t>the forecast that is most reflective of how Californians use energy today</w:t>
      </w:r>
      <w:r>
        <w:t>.</w:t>
      </w:r>
    </w:p>
    <w:p w:rsidRPr="004B3667" w:rsidR="00C829B4" w:rsidP="00E44388" w:rsidRDefault="00B0186A" w14:paraId="28B4C1A7" w14:textId="2EEAEF9B">
      <w:pPr>
        <w:pStyle w:val="FoF"/>
      </w:pPr>
      <w:r>
        <w:t>If SDG&amp;E require</w:t>
      </w:r>
      <w:r w:rsidR="00866A0A">
        <w:t>s</w:t>
      </w:r>
      <w:r>
        <w:t xml:space="preserve"> four months to complete </w:t>
      </w:r>
      <w:r w:rsidR="00A64925">
        <w:t xml:space="preserve">an adopted sales forecast other than its own proposed sales forecast, then </w:t>
      </w:r>
      <w:r w:rsidR="008C50D7">
        <w:t>consideration of an alternative sales forecast will likely result in delayed implementation of the new rates.</w:t>
      </w:r>
      <w:r w:rsidR="00E44388">
        <w:t xml:space="preserve"> </w:t>
      </w:r>
      <w:r w:rsidR="00155752">
        <w:t xml:space="preserve"> </w:t>
      </w:r>
      <w:r w:rsidR="00E44388">
        <w:t xml:space="preserve">This delay </w:t>
      </w:r>
      <w:r w:rsidR="00EF3C88">
        <w:t>is prejudicial to other parties</w:t>
      </w:r>
      <w:r w:rsidR="0002447B">
        <w:t>..</w:t>
      </w:r>
    </w:p>
    <w:p w:rsidRPr="004B3667" w:rsidR="00C829B4" w:rsidP="00F925C7" w:rsidRDefault="00C829B4" w14:paraId="3975E921" w14:textId="77777777">
      <w:pPr>
        <w:pStyle w:val="FoF"/>
      </w:pPr>
      <w:r w:rsidRPr="004B3667">
        <w:t xml:space="preserve">The four-month delay in implementing any alternative sales proposal limits the Commission from considering any alternative proposals if the sales forecast had to be implemented by January 1 of the forecasted year.  </w:t>
      </w:r>
    </w:p>
    <w:p w:rsidRPr="004B3667" w:rsidR="00C829B4" w:rsidP="00F925C7" w:rsidRDefault="00C829B4" w14:paraId="7B7D5912" w14:textId="2189B652">
      <w:pPr>
        <w:pStyle w:val="FoF"/>
      </w:pPr>
      <w:r w:rsidRPr="004B3667">
        <w:t xml:space="preserve">The current CEC </w:t>
      </w:r>
      <w:r w:rsidRPr="004B3667" w:rsidR="00212429">
        <w:t xml:space="preserve">demand </w:t>
      </w:r>
      <w:r w:rsidRPr="004B3667">
        <w:t>forecasting process, in which SDG&amp;E can collaborate with CEC as well as various other stakeholders, is the most appropriate venue to thoroughly examine the impacts of the pandemic on electric end uses.</w:t>
      </w:r>
    </w:p>
    <w:p w:rsidRPr="004B3667" w:rsidR="00C829B4" w:rsidP="00F925C7" w:rsidRDefault="00C829B4" w14:paraId="12CF0FB0" w14:textId="77777777">
      <w:pPr>
        <w:pStyle w:val="FoF"/>
      </w:pPr>
      <w:r w:rsidRPr="004B3667">
        <w:lastRenderedPageBreak/>
        <w:t xml:space="preserve">D.21-07-010 (SDG&amp;E’s 2020 GRC Phase 2 Decision) adopted a Settlement Agreement in which parties agreed that SDG&amp;E should use the </w:t>
      </w:r>
      <w:proofErr w:type="spellStart"/>
      <w:r w:rsidRPr="004B3667">
        <w:t>SAPC</w:t>
      </w:r>
      <w:proofErr w:type="spellEnd"/>
      <w:r w:rsidRPr="004B3667">
        <w:t xml:space="preserve"> when implementing its 2022 sales forecast.</w:t>
      </w:r>
    </w:p>
    <w:p w:rsidRPr="004B3667" w:rsidR="00C829B4" w:rsidP="00F925C7" w:rsidRDefault="00C829B4" w14:paraId="2C998810" w14:textId="77777777">
      <w:pPr>
        <w:pStyle w:val="FoF"/>
      </w:pPr>
      <w:r w:rsidRPr="004B3667">
        <w:t xml:space="preserve">The purpose of the </w:t>
      </w:r>
      <w:proofErr w:type="spellStart"/>
      <w:r w:rsidRPr="004B3667">
        <w:t>SAPC</w:t>
      </w:r>
      <w:proofErr w:type="spellEnd"/>
      <w:r w:rsidRPr="004B3667">
        <w:t xml:space="preserve">, as adopted in D.21-07-010 (SDG&amp;E’s 2020 GRC Phase 2 Decision), is to smooth out volatility in class average class rate changes so that each customer class will experience the same average rate change based on the variation in system sales.   </w:t>
      </w:r>
    </w:p>
    <w:p w:rsidRPr="004B3667" w:rsidR="00C829B4" w:rsidP="00F925C7" w:rsidRDefault="00C829B4" w14:paraId="19059F56" w14:textId="77777777">
      <w:pPr>
        <w:pStyle w:val="FoF"/>
      </w:pPr>
      <w:r w:rsidRPr="004B3667">
        <w:t xml:space="preserve">No parties dispute that </w:t>
      </w:r>
      <w:proofErr w:type="spellStart"/>
      <w:r w:rsidRPr="004B3667">
        <w:t>SAPC</w:t>
      </w:r>
      <w:proofErr w:type="spellEnd"/>
      <w:r w:rsidRPr="004B3667">
        <w:t xml:space="preserve"> should be used when SDG&amp;E implements its 2022 sales forecast.</w:t>
      </w:r>
    </w:p>
    <w:p w:rsidRPr="004B3667" w:rsidR="00C829B4" w:rsidP="00F925C7" w:rsidRDefault="00C829B4" w14:paraId="07BE71B3" w14:textId="77777777">
      <w:pPr>
        <w:pStyle w:val="FoF"/>
      </w:pPr>
      <w:r w:rsidRPr="004B3667">
        <w:t xml:space="preserve">The appropriate method for calculating </w:t>
      </w:r>
      <w:proofErr w:type="spellStart"/>
      <w:r w:rsidRPr="004B3667">
        <w:t>SAPC</w:t>
      </w:r>
      <w:proofErr w:type="spellEnd"/>
      <w:r w:rsidRPr="004B3667">
        <w:t xml:space="preserve"> is not within the scope of this proceeding.  </w:t>
      </w:r>
    </w:p>
    <w:p w:rsidRPr="004B3667" w:rsidR="00C829B4" w:rsidP="00F925C7" w:rsidRDefault="00C829B4" w14:paraId="301C9022" w14:textId="77777777">
      <w:pPr>
        <w:pStyle w:val="FoF"/>
      </w:pPr>
      <w:proofErr w:type="spellStart"/>
      <w:r w:rsidRPr="004B3667">
        <w:t>SAPC’s</w:t>
      </w:r>
      <w:proofErr w:type="spellEnd"/>
      <w:r w:rsidRPr="004B3667">
        <w:t xml:space="preserve"> calculation methodology does not affect SDG&amp;E’s sales forecast.</w:t>
      </w:r>
    </w:p>
    <w:p w:rsidRPr="004B3667" w:rsidR="00C829B4" w:rsidP="00F925C7" w:rsidRDefault="00C829B4" w14:paraId="52D2335B" w14:textId="77777777">
      <w:pPr>
        <w:pStyle w:val="FoF"/>
      </w:pPr>
      <w:r w:rsidRPr="004B3667">
        <w:t xml:space="preserve">SDG&amp;E’s request to implement </w:t>
      </w:r>
      <w:proofErr w:type="spellStart"/>
      <w:r w:rsidRPr="004B3667">
        <w:t>SAPC</w:t>
      </w:r>
      <w:proofErr w:type="spellEnd"/>
      <w:r w:rsidRPr="004B3667">
        <w:t xml:space="preserve"> for rate changes during the term of the 2022 electric sales forecast is outside of the scope of this proceeding.</w:t>
      </w:r>
    </w:p>
    <w:p w:rsidRPr="004B3667" w:rsidR="00C829B4" w:rsidP="00F925C7" w:rsidRDefault="00C829B4" w14:paraId="6508FD14" w14:textId="77777777">
      <w:pPr>
        <w:pStyle w:val="FoF"/>
      </w:pPr>
      <w:r w:rsidRPr="004B3667">
        <w:t>The issues in SDG&amp;E’s annual sales forecast proceedings and ERRA forecast proceedings are significantly related.</w:t>
      </w:r>
    </w:p>
    <w:p w:rsidRPr="004B3667" w:rsidR="00C829B4" w:rsidP="00F925C7" w:rsidRDefault="00C829B4" w14:paraId="24E1CBFF" w14:textId="77777777">
      <w:pPr>
        <w:pStyle w:val="FoF"/>
      </w:pPr>
      <w:r w:rsidRPr="004B3667">
        <w:t>PG&amp;E and SCE currently update their sales forecasts in their ERRA forecast applications.</w:t>
      </w:r>
    </w:p>
    <w:p w:rsidRPr="004B3667" w:rsidR="00C829B4" w:rsidP="00F925C7" w:rsidRDefault="00C829B4" w14:paraId="055BC66A" w14:textId="77777777">
      <w:pPr>
        <w:pStyle w:val="FoF"/>
      </w:pPr>
      <w:r w:rsidRPr="004B3667">
        <w:t xml:space="preserve">Consolidating SDG&amp;E’s annual sales forecast and ERRA forecast proceedings allows the Commission and the parties to review matters with substantially related issues in one proceeding, which will prevent forecast inconsistencies between these proceedings, reduce regulatory burden and conserve party resources.  </w:t>
      </w:r>
    </w:p>
    <w:p w:rsidR="00C829B4" w:rsidP="00F925C7" w:rsidRDefault="00C829B4" w14:paraId="2CD77CA4" w14:textId="21126517">
      <w:pPr>
        <w:pStyle w:val="FoF"/>
      </w:pPr>
      <w:r w:rsidRPr="004B3667">
        <w:t>The issue of when SDG&amp;E should file its annual consolidated sales forecast and ERRA forecast applications is out of the scope of this proceeding.</w:t>
      </w:r>
    </w:p>
    <w:p w:rsidRPr="004B3667" w:rsidR="00156E05" w:rsidP="00156E05" w:rsidRDefault="00156E05" w14:paraId="59BCD63B" w14:textId="3E9B9619">
      <w:pPr>
        <w:pStyle w:val="FoF"/>
      </w:pPr>
      <w:r>
        <w:lastRenderedPageBreak/>
        <w:t>D.22-01-023 directed SDG&amp;E to file its annual ERRA forecast application</w:t>
      </w:r>
      <w:r w:rsidR="007B2875">
        <w:t>s</w:t>
      </w:r>
      <w:r>
        <w:t xml:space="preserve"> no later than May 15</w:t>
      </w:r>
      <w:r w:rsidRPr="00785069">
        <w:rPr>
          <w:vertAlign w:val="superscript"/>
        </w:rPr>
        <w:t>th</w:t>
      </w:r>
      <w:r>
        <w:t xml:space="preserve"> each year.</w:t>
      </w:r>
    </w:p>
    <w:p w:rsidRPr="004B3667" w:rsidR="00C829B4" w:rsidP="00F925C7" w:rsidRDefault="00C829B4" w14:paraId="61D578E4" w14:textId="3A9237E6">
      <w:pPr>
        <w:pStyle w:val="FoF"/>
      </w:pPr>
      <w:r w:rsidRPr="004B3667">
        <w:t xml:space="preserve">An all-party workshop will help streamline the application process by engaging parties to participate in the process early and allow SDG&amp;E time to </w:t>
      </w:r>
      <w:r w:rsidR="0039369E">
        <w:t>consider</w:t>
      </w:r>
      <w:r w:rsidRPr="004B3667" w:rsidR="0039369E">
        <w:t xml:space="preserve"> </w:t>
      </w:r>
      <w:r w:rsidRPr="004B3667">
        <w:t xml:space="preserve">feedback and concerns prior to developing its sales forecast.  </w:t>
      </w:r>
    </w:p>
    <w:p w:rsidRPr="004B3667" w:rsidR="00C829B4" w:rsidP="00F925C7" w:rsidRDefault="00C829B4" w14:paraId="558BB072" w14:textId="1A3480AF">
      <w:pPr>
        <w:pStyle w:val="FoF"/>
      </w:pPr>
      <w:r w:rsidRPr="004B3667">
        <w:t>SDG&amp;E corrected several errors in the Application that UCAN has identified, including the inclusion of the HUC in proposed rates and the calculation of the non-coincident demand charge under Schedule TOU-PA2 rate.</w:t>
      </w:r>
    </w:p>
    <w:p w:rsidRPr="004B3667" w:rsidR="00C829B4" w:rsidP="00F925C7" w:rsidRDefault="00C829B4" w14:paraId="6AFCFBA6" w14:textId="5001A4D1">
      <w:pPr>
        <w:pStyle w:val="FoF"/>
      </w:pPr>
      <w:r w:rsidRPr="004B3667">
        <w:t xml:space="preserve">SDG&amp;E committed a </w:t>
      </w:r>
      <w:r w:rsidR="0039369E">
        <w:t>material</w:t>
      </w:r>
      <w:r w:rsidRPr="004B3667" w:rsidR="0039369E">
        <w:t xml:space="preserve"> </w:t>
      </w:r>
      <w:r w:rsidRPr="004B3667">
        <w:t xml:space="preserve">error in A.21-04-010 (SDG&amp;E’s 2022 ERRA forecast), which caused the Commission to require greater executive oversight of quality control in future ERRA </w:t>
      </w:r>
      <w:r w:rsidR="007723A0">
        <w:t>filings</w:t>
      </w:r>
      <w:r w:rsidRPr="004B3667">
        <w:t>.</w:t>
      </w:r>
    </w:p>
    <w:p w:rsidRPr="004B3667" w:rsidR="00F925C7" w:rsidP="00F925C7" w:rsidRDefault="00F925C7" w14:paraId="14112BFF" w14:textId="77777777">
      <w:pPr>
        <w:pStyle w:val="Dummy"/>
      </w:pPr>
      <w:bookmarkStart w:name="_Toc98143123" w:id="91"/>
      <w:r w:rsidRPr="004B3667">
        <w:t>Conclusions of Law</w:t>
      </w:r>
      <w:bookmarkEnd w:id="91"/>
    </w:p>
    <w:p w:rsidRPr="004B3667" w:rsidR="00F925C7" w:rsidP="00F925C7" w:rsidRDefault="00F925C7" w14:paraId="71D196AC" w14:textId="2D90EAF7">
      <w:pPr>
        <w:pStyle w:val="CoL"/>
      </w:pPr>
      <w:r w:rsidRPr="004B3667">
        <w:t xml:space="preserve">It is reasonable to adopt </w:t>
      </w:r>
      <w:r w:rsidR="00AF09C6">
        <w:t>Cal Adv</w:t>
      </w:r>
      <w:r w:rsidRPr="004B3667">
        <w:t xml:space="preserve">ocates’ Proposal </w:t>
      </w:r>
      <w:r w:rsidRPr="004B3667" w:rsidR="009D5DEC">
        <w:t xml:space="preserve">(SDG&amp;E’s 2021 Forecast) </w:t>
      </w:r>
      <w:r w:rsidRPr="004B3667">
        <w:t xml:space="preserve">as the 2022 electric </w:t>
      </w:r>
      <w:r w:rsidR="0039369E">
        <w:t xml:space="preserve">net </w:t>
      </w:r>
      <w:r w:rsidRPr="004B3667">
        <w:t xml:space="preserve">sales forecast for SDG&amp;E.  </w:t>
      </w:r>
    </w:p>
    <w:p w:rsidRPr="004B3667" w:rsidR="00F925C7" w:rsidP="00F925C7" w:rsidRDefault="00F925C7" w14:paraId="108E37CD" w14:textId="601DF0F2">
      <w:pPr>
        <w:pStyle w:val="CoL"/>
      </w:pPr>
      <w:r w:rsidRPr="004B3667">
        <w:t>The four-month delay for SDG&amp;E to implement alternative sales forecast proposal is not reasonable.</w:t>
      </w:r>
    </w:p>
    <w:p w:rsidRPr="004B3667" w:rsidR="00F925C7" w:rsidP="00F925C7" w:rsidRDefault="00F925C7" w14:paraId="3AFF7BEE" w14:textId="09C257F3">
      <w:pPr>
        <w:pStyle w:val="CoL"/>
      </w:pPr>
      <w:r w:rsidRPr="004B3667">
        <w:t>It is appropriate not to consider the four-month delay for SDG&amp;E to implement alternative proposals when determining SDG&amp;E’s 2022 sales forecast.</w:t>
      </w:r>
    </w:p>
    <w:p w:rsidRPr="004B3667" w:rsidR="00C829B4" w:rsidP="00F925C7" w:rsidRDefault="00C829B4" w14:paraId="0F49BE01" w14:textId="58ECAB41">
      <w:pPr>
        <w:pStyle w:val="CoL"/>
      </w:pPr>
      <w:r w:rsidRPr="004B3667">
        <w:rPr>
          <w:rFonts w:cs="Times New Roman"/>
          <w:szCs w:val="20"/>
        </w:rPr>
        <w:t>SDG&amp;E’s current sales forecast implementation process needs to be revisited.</w:t>
      </w:r>
    </w:p>
    <w:p w:rsidRPr="004B3667" w:rsidR="00C829B4" w:rsidP="00F925C7" w:rsidRDefault="00C829B4" w14:paraId="1B0AD760" w14:textId="022B9E4E">
      <w:pPr>
        <w:pStyle w:val="CoL"/>
      </w:pPr>
      <w:r w:rsidRPr="004B3667">
        <w:t xml:space="preserve">SDG&amp;E should work with parties to consider either modifications to its existing methodology or a new process that will allow sufficient time for the Commission to consider alternative sales forecast proposals and for SDG&amp;E to implement any alternative proposal </w:t>
      </w:r>
      <w:r w:rsidR="006A48E8">
        <w:t xml:space="preserve">in a timely manner, such as </w:t>
      </w:r>
      <w:r w:rsidRPr="004B3667">
        <w:t>by January 1 of the forecasted year.</w:t>
      </w:r>
    </w:p>
    <w:p w:rsidRPr="004B3667" w:rsidR="00C829B4" w:rsidP="00F925C7" w:rsidRDefault="00C829B4" w14:paraId="09F53B65" w14:textId="6AA853D9">
      <w:pPr>
        <w:pStyle w:val="CoL"/>
      </w:pPr>
      <w:proofErr w:type="spellStart"/>
      <w:r w:rsidRPr="004B3667">
        <w:lastRenderedPageBreak/>
        <w:t>SBUA’s</w:t>
      </w:r>
      <w:proofErr w:type="spellEnd"/>
      <w:r w:rsidRPr="004B3667">
        <w:t xml:space="preserve"> request for SDG&amp;E to conduct research or </w:t>
      </w:r>
      <w:r w:rsidRPr="004B3667" w:rsidR="00864AE5">
        <w:t xml:space="preserve">a </w:t>
      </w:r>
      <w:r w:rsidRPr="004B3667">
        <w:t>study on the impacts of the pandemic on electric end uses should be denied</w:t>
      </w:r>
      <w:r w:rsidR="007771A0">
        <w:t xml:space="preserve"> without prejudice</w:t>
      </w:r>
      <w:r w:rsidRPr="004B3667">
        <w:t xml:space="preserve">. </w:t>
      </w:r>
    </w:p>
    <w:p w:rsidRPr="004B3667" w:rsidR="00C829B4" w:rsidP="00F925C7" w:rsidRDefault="00C829B4" w14:paraId="1FF44A0A" w14:textId="77777777">
      <w:pPr>
        <w:pStyle w:val="CoL"/>
      </w:pPr>
      <w:r w:rsidRPr="004B3667">
        <w:t xml:space="preserve">SDG&amp;E’s request to implement </w:t>
      </w:r>
      <w:proofErr w:type="spellStart"/>
      <w:r w:rsidRPr="004B3667">
        <w:t>SAPC</w:t>
      </w:r>
      <w:proofErr w:type="spellEnd"/>
      <w:r w:rsidRPr="004B3667">
        <w:t xml:space="preserve"> with the 2022 electric sales forecast is reasonable. </w:t>
      </w:r>
    </w:p>
    <w:p w:rsidRPr="004B3667" w:rsidR="00C829B4" w:rsidP="00F925C7" w:rsidRDefault="00C829B4" w14:paraId="79C92BE2" w14:textId="77777777">
      <w:pPr>
        <w:pStyle w:val="CoL"/>
      </w:pPr>
      <w:r w:rsidRPr="004B3667">
        <w:t>SDG&amp;E’s request to consolidate its annual sales forecast and ERRA forecast proceedings is reasonable.</w:t>
      </w:r>
    </w:p>
    <w:p w:rsidRPr="004B3667" w:rsidR="00C829B4" w:rsidP="00F925C7" w:rsidRDefault="00C829B4" w14:paraId="35A57D88" w14:textId="3EFFAFFA">
      <w:pPr>
        <w:pStyle w:val="CoL"/>
      </w:pPr>
      <w:r w:rsidRPr="004B3667">
        <w:t>SDG&amp;E should file future</w:t>
      </w:r>
      <w:r w:rsidR="00815E9C">
        <w:t xml:space="preserve"> its annual </w:t>
      </w:r>
      <w:r w:rsidRPr="004B3667">
        <w:t xml:space="preserve">sales forecasts </w:t>
      </w:r>
      <w:r w:rsidR="007B2875">
        <w:rPr>
          <w:rFonts w:cs="Times New Roman"/>
          <w:szCs w:val="20"/>
        </w:rPr>
        <w:t xml:space="preserve">in its </w:t>
      </w:r>
      <w:r w:rsidR="00815E9C">
        <w:rPr>
          <w:rFonts w:cs="Times New Roman"/>
          <w:szCs w:val="20"/>
        </w:rPr>
        <w:t xml:space="preserve">annual </w:t>
      </w:r>
      <w:r w:rsidR="007B2875">
        <w:rPr>
          <w:rFonts w:cs="Times New Roman"/>
          <w:szCs w:val="20"/>
        </w:rPr>
        <w:t>ERRA forecast applications, according to the schedule set forth in D.22-01-023</w:t>
      </w:r>
      <w:r w:rsidRPr="004B3667">
        <w:t>.</w:t>
      </w:r>
    </w:p>
    <w:p w:rsidRPr="004B3667" w:rsidR="00C829B4" w:rsidP="00F925C7" w:rsidRDefault="00C829B4" w14:paraId="28CD8AC5" w14:textId="720ECF47">
      <w:pPr>
        <w:pStyle w:val="CoL"/>
      </w:pPr>
      <w:r w:rsidRPr="004B3667">
        <w:t xml:space="preserve">SDG&amp;E’s request for an annual all-party workshop to </w:t>
      </w:r>
      <w:r w:rsidR="0039369E">
        <w:t>consider feedback and concerns prior to preparing</w:t>
      </w:r>
      <w:r w:rsidRPr="004B3667">
        <w:t xml:space="preserve"> its sales forecast is reasonable.</w:t>
      </w:r>
    </w:p>
    <w:p w:rsidRPr="004B3667" w:rsidR="00C829B4" w:rsidP="00F925C7" w:rsidRDefault="00C829B4" w14:paraId="70518287" w14:textId="0B84F7C8">
      <w:pPr>
        <w:pStyle w:val="CoL"/>
      </w:pPr>
      <w:r w:rsidRPr="004B3667">
        <w:t>It is reasonable to direct SDG&amp;E to provide greater executive oversight of quality control in future consolidated sales forecast and ERRA forecast applications.</w:t>
      </w:r>
    </w:p>
    <w:p w:rsidRPr="00866A0A" w:rsidR="00F925C7" w:rsidP="00F925C7" w:rsidRDefault="00F925C7" w14:paraId="7F32A185" w14:textId="77777777">
      <w:pPr>
        <w:pStyle w:val="Mainex"/>
        <w:rPr>
          <w:rFonts w:eastAsiaTheme="majorEastAsia" w:cstheme="majorBidi"/>
        </w:rPr>
      </w:pPr>
      <w:bookmarkStart w:name="_Toc98143124" w:id="92"/>
      <w:r w:rsidRPr="00866A0A">
        <w:rPr>
          <w:rFonts w:eastAsiaTheme="majorEastAsia" w:cstheme="majorBidi"/>
        </w:rPr>
        <w:t>ORDER</w:t>
      </w:r>
      <w:bookmarkEnd w:id="92"/>
    </w:p>
    <w:p w:rsidRPr="004B3667" w:rsidR="00F925C7" w:rsidP="00F925C7" w:rsidRDefault="00F925C7" w14:paraId="546B79AE" w14:textId="77777777">
      <w:pPr>
        <w:keepNext/>
      </w:pPr>
      <w:r w:rsidRPr="004B3667">
        <w:rPr>
          <w:b/>
        </w:rPr>
        <w:t>IT IS ORDERED</w:t>
      </w:r>
      <w:r w:rsidRPr="004B3667">
        <w:t xml:space="preserve"> that:</w:t>
      </w:r>
    </w:p>
    <w:p w:rsidRPr="004B3667" w:rsidR="00F925C7" w:rsidP="00F925C7" w:rsidRDefault="005857DC" w14:paraId="3A27E68C" w14:textId="5EDF8F74">
      <w:pPr>
        <w:pStyle w:val="OP"/>
      </w:pPr>
      <w:r w:rsidRPr="004B3667">
        <w:t xml:space="preserve">Within </w:t>
      </w:r>
      <w:r w:rsidR="005557BC">
        <w:t>6</w:t>
      </w:r>
      <w:r w:rsidRPr="004B3667">
        <w:t xml:space="preserve">0 days of this decision, </w:t>
      </w:r>
      <w:r w:rsidR="00B720AB">
        <w:t>San </w:t>
      </w:r>
      <w:r w:rsidRPr="004B3667">
        <w:t>Diego Gas</w:t>
      </w:r>
      <w:r w:rsidR="00B720AB">
        <w:t xml:space="preserve"> &amp; </w:t>
      </w:r>
      <w:r w:rsidRPr="004B3667">
        <w:t>Electric Company (SDG&amp;E) shall file a Tier</w:t>
      </w:r>
      <w:r w:rsidR="000A3C33">
        <w:t> </w:t>
      </w:r>
      <w:r w:rsidR="005557BC">
        <w:t>1</w:t>
      </w:r>
      <w:r w:rsidRPr="004B3667">
        <w:t xml:space="preserve"> advice letter to implement the approved 2022 Electric Sales Forecast.  If the implementation of the 2022 Electric Sales Forecast will take four months or longer</w:t>
      </w:r>
      <w:r w:rsidR="005557BC">
        <w:t xml:space="preserve"> from the effective date of this decision</w:t>
      </w:r>
      <w:r w:rsidRPr="004B3667">
        <w:t>, SDG&amp;E shall work with Energy Division to determine an appropriate effective date for the 2022 Electric Sales Forecast</w:t>
      </w:r>
      <w:r w:rsidRPr="004B3667" w:rsidR="00F925C7">
        <w:t>.</w:t>
      </w:r>
    </w:p>
    <w:p w:rsidRPr="004B3667" w:rsidR="00C829B4" w:rsidP="005857DC" w:rsidRDefault="00C829B4" w14:paraId="10A2EC09" w14:textId="418F3E7D">
      <w:pPr>
        <w:numPr>
          <w:ilvl w:val="1"/>
          <w:numId w:val="17"/>
        </w:numPr>
        <w:spacing w:after="120" w:line="240" w:lineRule="auto"/>
        <w:ind w:left="1440" w:right="1440"/>
        <w:rPr>
          <w:rFonts w:cs="Times New Roman"/>
          <w:szCs w:val="20"/>
        </w:rPr>
      </w:pPr>
      <w:r w:rsidRPr="004B3667">
        <w:rPr>
          <w:rFonts w:cs="Times New Roman"/>
          <w:szCs w:val="20"/>
        </w:rPr>
        <w:t xml:space="preserve">SDG&amp;E shall use the sales forecast SDG&amp;E developed and submitted to the California Energy Commission (CEC) for CEC’s 2021 California Energy Demand Forecast as the basis of its 2022 Electric </w:t>
      </w:r>
      <w:r w:rsidRPr="004B3667" w:rsidR="00A6226B">
        <w:rPr>
          <w:rFonts w:cs="Times New Roman"/>
          <w:szCs w:val="20"/>
        </w:rPr>
        <w:t>Sales Forecast and</w:t>
      </w:r>
      <w:r w:rsidRPr="004B3667">
        <w:rPr>
          <w:rFonts w:cs="Times New Roman"/>
          <w:szCs w:val="20"/>
        </w:rPr>
        <w:t xml:space="preserve"> shall also factor into the forecast the expected load departures to Community Choice Aggregators and </w:t>
      </w:r>
      <w:r w:rsidRPr="004B3667">
        <w:rPr>
          <w:rFonts w:cs="Times New Roman"/>
          <w:szCs w:val="20"/>
        </w:rPr>
        <w:lastRenderedPageBreak/>
        <w:t xml:space="preserve">direct access programs </w:t>
      </w:r>
      <w:r w:rsidR="00CC1C31">
        <w:rPr>
          <w:rFonts w:cs="Times New Roman"/>
          <w:szCs w:val="20"/>
        </w:rPr>
        <w:t>and the solar generation assumption, as specified in Section</w:t>
      </w:r>
      <w:r w:rsidR="006E4D8B">
        <w:rPr>
          <w:rFonts w:cs="Times New Roman"/>
          <w:szCs w:val="20"/>
        </w:rPr>
        <w:t> </w:t>
      </w:r>
      <w:r w:rsidR="00CC1C31">
        <w:rPr>
          <w:rFonts w:cs="Times New Roman"/>
          <w:szCs w:val="20"/>
        </w:rPr>
        <w:t>3.4 of this decision</w:t>
      </w:r>
      <w:r w:rsidRPr="004B3667">
        <w:rPr>
          <w:rFonts w:cs="Times New Roman"/>
          <w:szCs w:val="20"/>
        </w:rPr>
        <w:t>.</w:t>
      </w:r>
    </w:p>
    <w:p w:rsidRPr="004B3667" w:rsidR="00C829B4" w:rsidP="005857DC" w:rsidRDefault="00C829B4" w14:paraId="5545D688" w14:textId="4E32C3EF">
      <w:pPr>
        <w:numPr>
          <w:ilvl w:val="1"/>
          <w:numId w:val="17"/>
        </w:numPr>
        <w:spacing w:after="120" w:line="240" w:lineRule="auto"/>
        <w:ind w:left="1440" w:right="1440"/>
        <w:rPr>
          <w:rFonts w:cs="Times New Roman"/>
          <w:szCs w:val="20"/>
        </w:rPr>
      </w:pPr>
      <w:r w:rsidRPr="004B3667">
        <w:rPr>
          <w:rFonts w:cs="Times New Roman"/>
          <w:szCs w:val="20"/>
        </w:rPr>
        <w:t>SDG&amp;E shall use the System Average Percent Change methodology when implementing the 2022 Electric Sales Forecast.</w:t>
      </w:r>
    </w:p>
    <w:p w:rsidRPr="004B3667" w:rsidR="00C829B4" w:rsidP="00E957A7" w:rsidRDefault="00B720AB" w14:paraId="73440143" w14:textId="06CEE51E">
      <w:pPr>
        <w:pStyle w:val="OP"/>
      </w:pPr>
      <w:r>
        <w:rPr>
          <w:rFonts w:cs="Times New Roman"/>
          <w:szCs w:val="20"/>
        </w:rPr>
        <w:t>San </w:t>
      </w:r>
      <w:r w:rsidRPr="004B3667" w:rsidR="00C829B4">
        <w:rPr>
          <w:rFonts w:cs="Times New Roman"/>
          <w:szCs w:val="20"/>
        </w:rPr>
        <w:t>Diego Gas</w:t>
      </w:r>
      <w:r>
        <w:rPr>
          <w:rFonts w:cs="Times New Roman"/>
          <w:szCs w:val="20"/>
        </w:rPr>
        <w:t xml:space="preserve"> &amp; </w:t>
      </w:r>
      <w:r w:rsidRPr="004B3667" w:rsidR="00C829B4">
        <w:rPr>
          <w:rFonts w:cs="Times New Roman"/>
          <w:szCs w:val="20"/>
        </w:rPr>
        <w:t xml:space="preserve">Electric Company (SDG&amp;E) </w:t>
      </w:r>
      <w:r w:rsidR="0070740D">
        <w:rPr>
          <w:rFonts w:cs="Times New Roman"/>
          <w:szCs w:val="20"/>
        </w:rPr>
        <w:t>is directed to</w:t>
      </w:r>
      <w:r w:rsidR="00AD2294">
        <w:rPr>
          <w:rFonts w:cs="Times New Roman"/>
          <w:szCs w:val="20"/>
        </w:rPr>
        <w:t>,</w:t>
      </w:r>
      <w:r w:rsidRPr="004B3667" w:rsidR="0070740D">
        <w:rPr>
          <w:rFonts w:cs="Times New Roman"/>
          <w:szCs w:val="20"/>
        </w:rPr>
        <w:t xml:space="preserve"> </w:t>
      </w:r>
      <w:r w:rsidR="00AD2294">
        <w:rPr>
          <w:rFonts w:cs="Times New Roman"/>
          <w:szCs w:val="20"/>
        </w:rPr>
        <w:t xml:space="preserve">after coordination with the </w:t>
      </w:r>
      <w:r w:rsidR="00EF667E">
        <w:rPr>
          <w:rFonts w:cs="Times New Roman"/>
          <w:szCs w:val="20"/>
        </w:rPr>
        <w:t>stakeholders</w:t>
      </w:r>
      <w:r w:rsidR="00AD2294">
        <w:rPr>
          <w:rFonts w:cs="Times New Roman"/>
          <w:szCs w:val="20"/>
        </w:rPr>
        <w:t>,</w:t>
      </w:r>
      <w:r w:rsidRPr="00C829B4" w:rsidR="00AD2294">
        <w:rPr>
          <w:rFonts w:cs="Times New Roman"/>
          <w:szCs w:val="20"/>
        </w:rPr>
        <w:t xml:space="preserve"> </w:t>
      </w:r>
      <w:r w:rsidR="00AD2294">
        <w:rPr>
          <w:rFonts w:cs="Times New Roman"/>
          <w:szCs w:val="20"/>
        </w:rPr>
        <w:t>propose a detailed plan on</w:t>
      </w:r>
      <w:r w:rsidRPr="00C829B4" w:rsidR="00AD2294">
        <w:rPr>
          <w:rFonts w:cs="Times New Roman"/>
          <w:szCs w:val="20"/>
        </w:rPr>
        <w:t xml:space="preserve"> </w:t>
      </w:r>
      <w:r w:rsidR="00AD2294">
        <w:rPr>
          <w:rFonts w:cs="Times New Roman"/>
          <w:szCs w:val="20"/>
        </w:rPr>
        <w:t xml:space="preserve">how to address the delays of implementing modifications to its sales forecasts in its consolidated 2023 </w:t>
      </w:r>
      <w:r w:rsidRPr="00C829B4" w:rsidR="00AD2294">
        <w:t xml:space="preserve">Sales Forecast </w:t>
      </w:r>
      <w:r w:rsidR="00AD2294">
        <w:t>and</w:t>
      </w:r>
      <w:r w:rsidRPr="00C829B4" w:rsidR="00AD2294">
        <w:t xml:space="preserve"> Energy Resource Recovery Account Forecast application</w:t>
      </w:r>
      <w:r w:rsidR="00AD2294">
        <w:t>.  The plan shall aim to provide solutions</w:t>
      </w:r>
      <w:r w:rsidR="00AD2294">
        <w:rPr>
          <w:rFonts w:cs="Times New Roman"/>
          <w:szCs w:val="20"/>
        </w:rPr>
        <w:t xml:space="preserve">, such as </w:t>
      </w:r>
      <w:r w:rsidRPr="00C829B4" w:rsidR="00AD2294">
        <w:rPr>
          <w:rFonts w:cs="Times New Roman"/>
          <w:szCs w:val="20"/>
        </w:rPr>
        <w:t xml:space="preserve">modifications to its existing methodology or a new process </w:t>
      </w:r>
      <w:r w:rsidR="00AD2294">
        <w:rPr>
          <w:rFonts w:cs="Times New Roman"/>
          <w:szCs w:val="20"/>
        </w:rPr>
        <w:t xml:space="preserve">or rate model </w:t>
      </w:r>
      <w:r w:rsidRPr="00C829B4" w:rsidR="00AD2294">
        <w:rPr>
          <w:rFonts w:cs="Times New Roman"/>
          <w:szCs w:val="20"/>
        </w:rPr>
        <w:t xml:space="preserve">for implementing its sales forecast, </w:t>
      </w:r>
      <w:r w:rsidR="00AD2294">
        <w:rPr>
          <w:rFonts w:cs="Times New Roman"/>
          <w:szCs w:val="20"/>
        </w:rPr>
        <w:t>such that</w:t>
      </w:r>
      <w:r w:rsidRPr="00C829B4" w:rsidR="00AD2294">
        <w:rPr>
          <w:rFonts w:cs="Times New Roman"/>
          <w:szCs w:val="20"/>
        </w:rPr>
        <w:t xml:space="preserve"> there is sufficient time for the Commission to consider alternative sales forecast proposals and for SDG&amp;E to implement any alternative proposal </w:t>
      </w:r>
      <w:r w:rsidR="006A48E8">
        <w:rPr>
          <w:rFonts w:cs="Times New Roman"/>
          <w:szCs w:val="20"/>
        </w:rPr>
        <w:t xml:space="preserve">in a timely manner, such as </w:t>
      </w:r>
      <w:r w:rsidRPr="00C829B4" w:rsidR="00AD2294">
        <w:rPr>
          <w:rFonts w:cs="Times New Roman"/>
          <w:szCs w:val="20"/>
        </w:rPr>
        <w:t>by January 1 of the forecasted year</w:t>
      </w:r>
      <w:r w:rsidR="00E957A7">
        <w:rPr>
          <w:rFonts w:cs="Times New Roman"/>
          <w:szCs w:val="20"/>
        </w:rPr>
        <w:t>, including with respect to SDG&amp;E’s 2023 Sales Forecast</w:t>
      </w:r>
      <w:r w:rsidRPr="00E957A7" w:rsidR="00C829B4">
        <w:rPr>
          <w:rFonts w:cs="Times New Roman"/>
          <w:szCs w:val="20"/>
        </w:rPr>
        <w:t>.</w:t>
      </w:r>
      <w:r w:rsidRPr="00E957A7" w:rsidR="00D206A8">
        <w:rPr>
          <w:rFonts w:cs="Times New Roman"/>
          <w:szCs w:val="20"/>
        </w:rPr>
        <w:t xml:space="preserve">  Because SDG&amp;E needs to file its 2023 </w:t>
      </w:r>
      <w:r w:rsidRPr="004B3667" w:rsidR="00303062">
        <w:t>Energy Resource Recovery Account</w:t>
      </w:r>
      <w:r w:rsidRPr="00E957A7" w:rsidR="00303062">
        <w:rPr>
          <w:rFonts w:cs="Times New Roman"/>
          <w:szCs w:val="20"/>
        </w:rPr>
        <w:t xml:space="preserve"> </w:t>
      </w:r>
      <w:r w:rsidRPr="00E957A7" w:rsidR="00D206A8">
        <w:rPr>
          <w:rFonts w:cs="Times New Roman"/>
          <w:szCs w:val="20"/>
        </w:rPr>
        <w:t>Forecast Application by May</w:t>
      </w:r>
      <w:r w:rsidR="000A3C33">
        <w:rPr>
          <w:rFonts w:cs="Times New Roman"/>
          <w:szCs w:val="20"/>
        </w:rPr>
        <w:t> </w:t>
      </w:r>
      <w:r w:rsidRPr="00E957A7" w:rsidR="00D206A8">
        <w:rPr>
          <w:rFonts w:cs="Times New Roman"/>
          <w:szCs w:val="20"/>
        </w:rPr>
        <w:t>15,</w:t>
      </w:r>
      <w:r w:rsidR="000A3C33">
        <w:rPr>
          <w:rFonts w:cs="Times New Roman"/>
          <w:szCs w:val="20"/>
        </w:rPr>
        <w:t> </w:t>
      </w:r>
      <w:r w:rsidRPr="00E957A7" w:rsidR="00D206A8">
        <w:rPr>
          <w:rFonts w:cs="Times New Roman"/>
          <w:szCs w:val="20"/>
        </w:rPr>
        <w:t>2023, SDG&amp;E shall begin the coordination process with the parties immediately upon the effective date of this decision, or April</w:t>
      </w:r>
      <w:r w:rsidR="000A3C33">
        <w:rPr>
          <w:rFonts w:cs="Times New Roman"/>
          <w:szCs w:val="20"/>
        </w:rPr>
        <w:t> </w:t>
      </w:r>
      <w:r w:rsidRPr="00E957A7" w:rsidR="00D206A8">
        <w:rPr>
          <w:rFonts w:cs="Times New Roman"/>
          <w:szCs w:val="20"/>
        </w:rPr>
        <w:t>15,</w:t>
      </w:r>
      <w:r w:rsidR="000A3C33">
        <w:rPr>
          <w:rFonts w:cs="Times New Roman"/>
          <w:szCs w:val="20"/>
        </w:rPr>
        <w:t> </w:t>
      </w:r>
      <w:r w:rsidRPr="00E957A7" w:rsidR="00D206A8">
        <w:rPr>
          <w:rFonts w:cs="Times New Roman"/>
          <w:szCs w:val="20"/>
        </w:rPr>
        <w:t>2023 the latest.</w:t>
      </w:r>
    </w:p>
    <w:p w:rsidRPr="004B3667" w:rsidR="00C829B4" w:rsidP="005857DC" w:rsidRDefault="00B720AB" w14:paraId="12F149B9" w14:textId="2243187A">
      <w:pPr>
        <w:pStyle w:val="OP"/>
      </w:pPr>
      <w:r>
        <w:t>San </w:t>
      </w:r>
      <w:r w:rsidRPr="004B3667" w:rsidR="00C829B4">
        <w:t>Diego Gas</w:t>
      </w:r>
      <w:r>
        <w:t xml:space="preserve"> &amp; </w:t>
      </w:r>
      <w:r w:rsidRPr="004B3667" w:rsidR="00C829B4">
        <w:t>Electric Company shall file its subsequent annual Sales Forecast</w:t>
      </w:r>
      <w:r w:rsidR="00BD436B">
        <w:t>s in</w:t>
      </w:r>
      <w:r w:rsidRPr="004B3667" w:rsidR="00C829B4">
        <w:t xml:space="preserve"> its annual Energy Resource Recovery Account Forecast applications</w:t>
      </w:r>
      <w:r w:rsidR="00BD436B">
        <w:t>, according to the schedule set forth in D</w:t>
      </w:r>
      <w:r w:rsidR="006E4D8B">
        <w:t>ecision (D.) </w:t>
      </w:r>
      <w:r w:rsidR="00BD436B">
        <w:t>22</w:t>
      </w:r>
      <w:r w:rsidR="006E4D8B">
        <w:noBreakHyphen/>
      </w:r>
      <w:r w:rsidR="00BD436B">
        <w:t>01</w:t>
      </w:r>
      <w:r w:rsidR="006E4D8B">
        <w:noBreakHyphen/>
      </w:r>
      <w:r w:rsidR="00BD436B">
        <w:t>023</w:t>
      </w:r>
      <w:r w:rsidRPr="004B3667" w:rsidR="00C829B4">
        <w:t>.</w:t>
      </w:r>
      <w:r w:rsidR="00BD436B">
        <w:t xml:space="preserve"> </w:t>
      </w:r>
      <w:r w:rsidR="004B5B79">
        <w:t xml:space="preserve"> This application must include the </w:t>
      </w:r>
      <w:r w:rsidR="00272320">
        <w:t xml:space="preserve">testimony </w:t>
      </w:r>
      <w:r w:rsidR="00494D6D">
        <w:t>required in Ordering Paragraph</w:t>
      </w:r>
      <w:r w:rsidR="000A3C33">
        <w:t> </w:t>
      </w:r>
      <w:r w:rsidR="00494D6D">
        <w:t xml:space="preserve">8 of </w:t>
      </w:r>
      <w:r w:rsidR="006E4D8B">
        <w:t>D.</w:t>
      </w:r>
      <w:r w:rsidR="008D50EA">
        <w:t>21-12-040.</w:t>
      </w:r>
    </w:p>
    <w:p w:rsidRPr="004B3667" w:rsidR="00C829B4" w:rsidP="005857DC" w:rsidRDefault="005D4779" w14:paraId="4DA604B7" w14:textId="030ECC00">
      <w:pPr>
        <w:pStyle w:val="OP"/>
      </w:pPr>
      <w:r>
        <w:t xml:space="preserve">In preparation for filing its annual sales forecast, </w:t>
      </w:r>
      <w:r w:rsidR="00B720AB">
        <w:t>San </w:t>
      </w:r>
      <w:r w:rsidRPr="004B3667" w:rsidR="00C829B4">
        <w:t>Diego Gas</w:t>
      </w:r>
      <w:r w:rsidR="00B720AB">
        <w:t xml:space="preserve"> &amp; </w:t>
      </w:r>
      <w:r w:rsidRPr="004B3667" w:rsidR="00C829B4">
        <w:t xml:space="preserve">Electric Company (SDG&amp;E) </w:t>
      </w:r>
      <w:r w:rsidR="00620E78">
        <w:t>is directed to</w:t>
      </w:r>
      <w:r w:rsidRPr="004B3667" w:rsidR="00620E78">
        <w:t xml:space="preserve"> </w:t>
      </w:r>
      <w:r w:rsidRPr="004B3667" w:rsidR="00C829B4">
        <w:t xml:space="preserve">hold </w:t>
      </w:r>
      <w:r>
        <w:t xml:space="preserve">an </w:t>
      </w:r>
      <w:r w:rsidRPr="004B3667" w:rsidR="00C829B4">
        <w:t xml:space="preserve">all-party workshop </w:t>
      </w:r>
      <w:r w:rsidR="00620E78">
        <w:t>no later than March</w:t>
      </w:r>
      <w:r w:rsidR="00B71675">
        <w:t xml:space="preserve"> 31</w:t>
      </w:r>
      <w:r w:rsidR="00C00306">
        <w:t xml:space="preserve"> of each year</w:t>
      </w:r>
      <w:r w:rsidRPr="004B3667" w:rsidR="00C829B4">
        <w:t xml:space="preserve">. </w:t>
      </w:r>
      <w:r w:rsidR="00C00306">
        <w:t xml:space="preserve"> </w:t>
      </w:r>
      <w:r w:rsidR="00C00306">
        <w:rPr>
          <w:rFonts w:cs="Times New Roman"/>
          <w:szCs w:val="20"/>
        </w:rPr>
        <w:t xml:space="preserve">The purpose of this workshop is for SDG&amp;E to work with stakeholders and </w:t>
      </w:r>
      <w:r w:rsidRPr="00A90194" w:rsidR="00A90194">
        <w:rPr>
          <w:rFonts w:cs="Times New Roman"/>
          <w:szCs w:val="20"/>
        </w:rPr>
        <w:t xml:space="preserve">to consider any input </w:t>
      </w:r>
      <w:r w:rsidR="00A90194">
        <w:rPr>
          <w:rFonts w:cs="Times New Roman"/>
          <w:szCs w:val="20"/>
        </w:rPr>
        <w:t>they</w:t>
      </w:r>
      <w:r w:rsidRPr="00A90194" w:rsidR="00A90194">
        <w:rPr>
          <w:rFonts w:cs="Times New Roman"/>
          <w:szCs w:val="20"/>
        </w:rPr>
        <w:t xml:space="preserve"> may propose </w:t>
      </w:r>
      <w:r w:rsidR="00C00306">
        <w:rPr>
          <w:rFonts w:cs="Times New Roman"/>
          <w:szCs w:val="20"/>
        </w:rPr>
        <w:t xml:space="preserve">prior to filing its annual sales forecast with the Commission for the upcoming year.  </w:t>
      </w:r>
    </w:p>
    <w:p w:rsidRPr="004B3667" w:rsidR="00C829B4" w:rsidP="005857DC" w:rsidRDefault="00C829B4" w14:paraId="76FB9280" w14:textId="77777777">
      <w:pPr>
        <w:pStyle w:val="OP"/>
      </w:pPr>
      <w:r w:rsidRPr="004B3667">
        <w:lastRenderedPageBreak/>
        <w:t>Application 21-08-010 is closed.</w:t>
      </w:r>
    </w:p>
    <w:p w:rsidRPr="004B3667" w:rsidR="00C829B4" w:rsidP="00C829B4" w:rsidRDefault="00C829B4" w14:paraId="2C303F99" w14:textId="77777777">
      <w:pPr>
        <w:rPr>
          <w:rFonts w:cs="Times New Roman"/>
          <w:szCs w:val="20"/>
        </w:rPr>
      </w:pPr>
      <w:r w:rsidRPr="004B3667">
        <w:rPr>
          <w:rFonts w:cs="Times New Roman"/>
          <w:szCs w:val="20"/>
        </w:rPr>
        <w:t>This order is effective today.</w:t>
      </w:r>
    </w:p>
    <w:p w:rsidRPr="00B31755" w:rsidR="00714CF2" w:rsidP="00D15DC0" w:rsidRDefault="008F0116" w14:paraId="7884D47F" w14:textId="58BF540C">
      <w:r w:rsidRPr="00B31755">
        <w:t xml:space="preserve">Dated </w:t>
      </w:r>
      <w:r w:rsidRPr="00B31755" w:rsidR="004C3BEC">
        <w:t>March 17, 2022</w:t>
      </w:r>
      <w:r w:rsidRPr="00B31755">
        <w:t xml:space="preserve">, at </w:t>
      </w:r>
      <w:r w:rsidRPr="00B31755" w:rsidR="00D53753">
        <w:t>San Francisco</w:t>
      </w:r>
      <w:r w:rsidRPr="00B31755">
        <w:t>, California</w:t>
      </w:r>
      <w:r w:rsidRPr="00B31755" w:rsidR="00D15DC0">
        <w:t>.</w:t>
      </w:r>
    </w:p>
    <w:p w:rsidRPr="00B31755" w:rsidR="004C3BEC" w:rsidP="004C3BEC" w:rsidRDefault="004C3BEC" w14:paraId="371C9A24" w14:textId="77777777">
      <w:pPr>
        <w:keepNext/>
        <w:autoSpaceDE w:val="0"/>
        <w:autoSpaceDN w:val="0"/>
        <w:adjustRightInd w:val="0"/>
        <w:ind w:left="4320"/>
        <w:jc w:val="both"/>
        <w:rPr>
          <w:rFonts w:cs="Times New Roman"/>
          <w:szCs w:val="20"/>
        </w:rPr>
      </w:pPr>
    </w:p>
    <w:p w:rsidRPr="00B31755" w:rsidR="004C3BEC" w:rsidP="004C3BEC" w:rsidRDefault="004C3BEC" w14:paraId="5F52218E" w14:textId="77777777">
      <w:pPr>
        <w:keepNext/>
        <w:autoSpaceDE w:val="0"/>
        <w:autoSpaceDN w:val="0"/>
        <w:adjustRightInd w:val="0"/>
        <w:spacing w:line="240" w:lineRule="auto"/>
        <w:ind w:left="4320"/>
        <w:jc w:val="both"/>
        <w:rPr>
          <w:rFonts w:cs="Times New Roman"/>
          <w:szCs w:val="20"/>
        </w:rPr>
      </w:pPr>
      <w:r w:rsidRPr="00B31755">
        <w:rPr>
          <w:rFonts w:cs="Times New Roman"/>
          <w:szCs w:val="20"/>
        </w:rPr>
        <w:t>ALICE REYNOLDS</w:t>
      </w:r>
    </w:p>
    <w:p w:rsidRPr="00B31755" w:rsidR="004C3BEC" w:rsidP="004C3BEC" w:rsidRDefault="004C3BEC" w14:paraId="6CDE338D" w14:textId="77777777">
      <w:pPr>
        <w:keepNext/>
        <w:autoSpaceDE w:val="0"/>
        <w:autoSpaceDN w:val="0"/>
        <w:adjustRightInd w:val="0"/>
        <w:spacing w:line="240" w:lineRule="auto"/>
        <w:ind w:left="5400"/>
        <w:jc w:val="both"/>
        <w:rPr>
          <w:rFonts w:cs="Times New Roman"/>
          <w:szCs w:val="20"/>
        </w:rPr>
      </w:pPr>
      <w:r w:rsidRPr="00B31755">
        <w:rPr>
          <w:rFonts w:cs="Times New Roman"/>
          <w:szCs w:val="20"/>
        </w:rPr>
        <w:t>President</w:t>
      </w:r>
    </w:p>
    <w:p w:rsidRPr="00B31755" w:rsidR="004C3BEC" w:rsidP="004C3BEC" w:rsidRDefault="004C3BEC" w14:paraId="236CA8CD" w14:textId="77777777">
      <w:pPr>
        <w:keepNext/>
        <w:autoSpaceDE w:val="0"/>
        <w:autoSpaceDN w:val="0"/>
        <w:adjustRightInd w:val="0"/>
        <w:spacing w:line="240" w:lineRule="auto"/>
        <w:ind w:left="4320"/>
        <w:jc w:val="both"/>
        <w:rPr>
          <w:rFonts w:cs="Times New Roman"/>
          <w:szCs w:val="20"/>
        </w:rPr>
      </w:pPr>
      <w:r w:rsidRPr="00B31755">
        <w:rPr>
          <w:rFonts w:cs="Times New Roman"/>
          <w:szCs w:val="20"/>
        </w:rPr>
        <w:t>CLIFFORD RECHTSCHAFFEN</w:t>
      </w:r>
    </w:p>
    <w:p w:rsidRPr="00B31755" w:rsidR="004C3BEC" w:rsidP="004C3BEC" w:rsidRDefault="004C3BEC" w14:paraId="1A948EA0" w14:textId="77777777">
      <w:pPr>
        <w:keepNext/>
        <w:autoSpaceDE w:val="0"/>
        <w:autoSpaceDN w:val="0"/>
        <w:adjustRightInd w:val="0"/>
        <w:spacing w:line="240" w:lineRule="auto"/>
        <w:ind w:left="4320"/>
        <w:jc w:val="both"/>
        <w:rPr>
          <w:rFonts w:cs="Times New Roman"/>
          <w:szCs w:val="20"/>
        </w:rPr>
      </w:pPr>
      <w:r w:rsidRPr="00B31755">
        <w:rPr>
          <w:rFonts w:cs="Times New Roman"/>
          <w:szCs w:val="20"/>
        </w:rPr>
        <w:t>GENEVIEVE SHIROMA</w:t>
      </w:r>
    </w:p>
    <w:p w:rsidRPr="00B31755" w:rsidR="004C3BEC" w:rsidP="004C3BEC" w:rsidRDefault="004C3BEC" w14:paraId="503054E9" w14:textId="77777777">
      <w:pPr>
        <w:keepNext/>
        <w:autoSpaceDE w:val="0"/>
        <w:autoSpaceDN w:val="0"/>
        <w:adjustRightInd w:val="0"/>
        <w:spacing w:line="240" w:lineRule="auto"/>
        <w:ind w:left="4320"/>
        <w:jc w:val="both"/>
        <w:rPr>
          <w:rFonts w:cs="Times New Roman"/>
          <w:szCs w:val="20"/>
        </w:rPr>
      </w:pPr>
      <w:r w:rsidRPr="00B31755">
        <w:rPr>
          <w:rFonts w:cs="Times New Roman"/>
          <w:szCs w:val="20"/>
        </w:rPr>
        <w:t>DARCIE HOUCK</w:t>
      </w:r>
    </w:p>
    <w:p w:rsidRPr="00B31755" w:rsidR="004C3BEC" w:rsidP="004C3BEC" w:rsidRDefault="004C3BEC" w14:paraId="69363EBE" w14:textId="77777777">
      <w:pPr>
        <w:keepNext/>
        <w:autoSpaceDE w:val="0"/>
        <w:autoSpaceDN w:val="0"/>
        <w:adjustRightInd w:val="0"/>
        <w:spacing w:line="240" w:lineRule="auto"/>
        <w:ind w:left="4320"/>
        <w:jc w:val="both"/>
        <w:rPr>
          <w:rFonts w:cs="Times New Roman"/>
          <w:szCs w:val="20"/>
        </w:rPr>
      </w:pPr>
      <w:r w:rsidRPr="00B31755">
        <w:rPr>
          <w:rFonts w:cs="Times New Roman"/>
          <w:szCs w:val="20"/>
        </w:rPr>
        <w:t>JOHN R.D. REYNOLDS</w:t>
      </w:r>
    </w:p>
    <w:p w:rsidRPr="00B31755" w:rsidR="004C3BEC" w:rsidP="004C3BEC" w:rsidRDefault="004C3BEC" w14:paraId="6111DF88" w14:textId="77777777">
      <w:pPr>
        <w:keepNext/>
        <w:autoSpaceDE w:val="0"/>
        <w:autoSpaceDN w:val="0"/>
        <w:adjustRightInd w:val="0"/>
        <w:spacing w:line="240" w:lineRule="auto"/>
        <w:ind w:left="5400"/>
        <w:jc w:val="both"/>
        <w:rPr>
          <w:rFonts w:cs="Times New Roman"/>
          <w:szCs w:val="20"/>
        </w:rPr>
      </w:pPr>
      <w:r w:rsidRPr="00B31755">
        <w:rPr>
          <w:rFonts w:cs="Times New Roman"/>
          <w:szCs w:val="20"/>
        </w:rPr>
        <w:t>Commissioners</w:t>
      </w:r>
    </w:p>
    <w:p w:rsidRPr="004B3667" w:rsidR="004C3BEC" w:rsidP="00D15DC0" w:rsidRDefault="004C3BEC" w14:paraId="3F082913" w14:textId="77777777"/>
    <w:sectPr w:rsidRPr="004B3667" w:rsidR="004C3BEC" w:rsidSect="00D15DC0">
      <w:footerReference w:type="default" r:id="rId14"/>
      <w:pgSz w:w="12240" w:h="15840"/>
      <w:pgMar w:top="1728"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5FE56" w14:textId="77777777" w:rsidR="008B226B" w:rsidRPr="00BE29FD" w:rsidRDefault="008B226B" w:rsidP="0098138E">
      <w:pPr>
        <w:spacing w:line="240" w:lineRule="auto"/>
      </w:pPr>
      <w:r w:rsidRPr="00BE29FD">
        <w:separator/>
      </w:r>
    </w:p>
  </w:endnote>
  <w:endnote w:type="continuationSeparator" w:id="0">
    <w:p w14:paraId="52B170D0" w14:textId="77777777" w:rsidR="008B226B" w:rsidRPr="00BE29FD" w:rsidRDefault="008B226B" w:rsidP="0098138E">
      <w:pPr>
        <w:spacing w:line="240" w:lineRule="auto"/>
      </w:pPr>
      <w:r w:rsidRPr="00BE29F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3B90" w14:textId="77777777" w:rsidR="00F92385" w:rsidRPr="00BE29FD" w:rsidRDefault="00F92385" w:rsidP="007E0FEE">
    <w:pPr>
      <w:ind w:firstLine="0"/>
      <w:jc w:val="center"/>
    </w:pPr>
    <w:r w:rsidRPr="00BE29FD">
      <w:t>-</w:t>
    </w:r>
    <w:sdt>
      <w:sdtPr>
        <w:id w:val="-1472208903"/>
        <w:docPartObj>
          <w:docPartGallery w:val="Page Numbers (Bottom of Page)"/>
          <w:docPartUnique/>
        </w:docPartObj>
      </w:sdtPr>
      <w:sdtEndPr>
        <w:rPr>
          <w:noProof/>
        </w:rPr>
      </w:sdtEndPr>
      <w:sdtContent>
        <w:r w:rsidRPr="00BE29FD">
          <w:fldChar w:fldCharType="begin"/>
        </w:r>
        <w:r w:rsidRPr="00BE29FD">
          <w:instrText xml:space="preserve"> PAGE   \* MERGEFORMAT </w:instrText>
        </w:r>
        <w:r w:rsidRPr="00BE29FD">
          <w:fldChar w:fldCharType="separate"/>
        </w:r>
        <w:r w:rsidRPr="00BE29FD">
          <w:rPr>
            <w:noProof/>
          </w:rPr>
          <w:t>2</w:t>
        </w:r>
        <w:r w:rsidRPr="00BE29FD">
          <w:rPr>
            <w:noProof/>
          </w:rPr>
          <w:fldChar w:fldCharType="end"/>
        </w:r>
        <w:r w:rsidRPr="00BE29FD">
          <w:rPr>
            <w:noProof/>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0CAF" w14:textId="5B3C05BD" w:rsidR="00632207" w:rsidRPr="00BE29FD" w:rsidRDefault="008B226B" w:rsidP="007E0FEE">
    <w:pPr>
      <w:tabs>
        <w:tab w:val="center" w:pos="4680"/>
      </w:tabs>
      <w:ind w:firstLine="0"/>
      <w:rPr>
        <w:noProof/>
      </w:rPr>
    </w:pPr>
    <w:sdt>
      <w:sdtPr>
        <w:id w:val="-1352874971"/>
        <w:docPartObj>
          <w:docPartGallery w:val="Page Numbers (Bottom of Page)"/>
          <w:docPartUnique/>
        </w:docPartObj>
      </w:sdtPr>
      <w:sdtEndPr>
        <w:rPr>
          <w:noProof/>
        </w:rPr>
      </w:sdtEndPr>
      <w:sdtContent>
        <w:r w:rsidR="006066CA" w:rsidRPr="006066CA">
          <w:rPr>
            <w:rFonts w:ascii="Arial" w:hAnsi="Arial" w:cs="Arial"/>
            <w:sz w:val="16"/>
            <w:szCs w:val="16"/>
          </w:rPr>
          <w:t>461921853</w:t>
        </w:r>
        <w:r w:rsidR="00632207" w:rsidRPr="00BE29FD">
          <w:rPr>
            <w:rFonts w:ascii="Arial" w:hAnsi="Arial" w:cs="Arial"/>
            <w:sz w:val="16"/>
            <w:szCs w:val="16"/>
          </w:rPr>
          <w:tab/>
        </w:r>
        <w:r w:rsidR="00F92385" w:rsidRPr="00BE29FD">
          <w:t>-</w:t>
        </w:r>
        <w:r w:rsidR="00EE4315" w:rsidRPr="00BE29FD">
          <w:t xml:space="preserve"> </w:t>
        </w:r>
        <w:r w:rsidR="0055722F" w:rsidRPr="00BE29FD">
          <w:t>1</w:t>
        </w:r>
      </w:sdtContent>
    </w:sdt>
    <w:r w:rsidR="00EE4315" w:rsidRPr="00BE29FD">
      <w:rPr>
        <w:noProof/>
      </w:rPr>
      <w:t xml:space="preserve"> </w:t>
    </w:r>
    <w:r w:rsidR="00F92385" w:rsidRPr="00BE29FD">
      <w:rPr>
        <w:noProo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43A7" w14:textId="77777777" w:rsidR="00E23CBB" w:rsidRPr="00BE29FD" w:rsidRDefault="00E23CBB" w:rsidP="007E0FEE">
    <w:pPr>
      <w:ind w:firstLine="0"/>
      <w:jc w:val="center"/>
    </w:pPr>
    <w:r w:rsidRPr="00BE29FD">
      <w:t>-</w:t>
    </w:r>
    <w:r w:rsidR="00EE4315" w:rsidRPr="00BE29FD">
      <w:t xml:space="preserve"> </w:t>
    </w:r>
    <w:sdt>
      <w:sdtPr>
        <w:id w:val="1793169647"/>
        <w:docPartObj>
          <w:docPartGallery w:val="Page Numbers (Bottom of Page)"/>
          <w:docPartUnique/>
        </w:docPartObj>
      </w:sdtPr>
      <w:sdtEndPr>
        <w:rPr>
          <w:noProof/>
        </w:rPr>
      </w:sdtEndPr>
      <w:sdtContent>
        <w:r w:rsidRPr="00BE29FD">
          <w:fldChar w:fldCharType="begin"/>
        </w:r>
        <w:r w:rsidRPr="00BE29FD">
          <w:instrText xml:space="preserve"> PAGE   \* MERGEFORMAT </w:instrText>
        </w:r>
        <w:r w:rsidRPr="00BE29FD">
          <w:fldChar w:fldCharType="separate"/>
        </w:r>
        <w:r w:rsidRPr="00BE29FD">
          <w:rPr>
            <w:noProof/>
          </w:rPr>
          <w:t>2</w:t>
        </w:r>
        <w:r w:rsidRPr="00BE29FD">
          <w:rPr>
            <w:noProof/>
          </w:rPr>
          <w:fldChar w:fldCharType="end"/>
        </w:r>
        <w:r w:rsidR="00EE4315" w:rsidRPr="00BE29FD">
          <w:rPr>
            <w:noProof/>
          </w:rPr>
          <w:t xml:space="preserve"> </w:t>
        </w:r>
        <w:r w:rsidRPr="00BE29FD">
          <w:rPr>
            <w:noProof/>
          </w:rPr>
          <w:t>-</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4EAF" w14:textId="4783E9B8" w:rsidR="00EE4315" w:rsidRPr="00BE29FD" w:rsidRDefault="00EE4315" w:rsidP="007E0FEE">
    <w:pPr>
      <w:ind w:firstLine="0"/>
      <w:jc w:val="center"/>
    </w:pPr>
    <w:r w:rsidRPr="00BE29FD">
      <w:t xml:space="preserve">- </w:t>
    </w:r>
    <w:sdt>
      <w:sdtPr>
        <w:id w:val="1935164809"/>
        <w:docPartObj>
          <w:docPartGallery w:val="Page Numbers (Bottom of Page)"/>
          <w:docPartUnique/>
        </w:docPartObj>
      </w:sdtPr>
      <w:sdtEndPr>
        <w:rPr>
          <w:noProof/>
        </w:rPr>
      </w:sdtEndPr>
      <w:sdtContent>
        <w:r w:rsidRPr="00BE29FD">
          <w:fldChar w:fldCharType="begin"/>
        </w:r>
        <w:r w:rsidRPr="00BE29FD">
          <w:instrText xml:space="preserve"> PAGE   \* MERGEFORMAT </w:instrText>
        </w:r>
        <w:r w:rsidRPr="00BE29FD">
          <w:fldChar w:fldCharType="separate"/>
        </w:r>
        <w:r w:rsidRPr="00BE29FD">
          <w:rPr>
            <w:noProof/>
          </w:rPr>
          <w:t>2</w:t>
        </w:r>
        <w:r w:rsidRPr="00BE29FD">
          <w:rPr>
            <w:noProof/>
          </w:rPr>
          <w:fldChar w:fldCharType="end"/>
        </w:r>
        <w:r w:rsidRPr="00BE29FD">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F3589" w14:textId="77777777" w:rsidR="008B226B" w:rsidRPr="00BE29FD" w:rsidRDefault="008B226B" w:rsidP="00DF58E7">
      <w:pPr>
        <w:spacing w:line="240" w:lineRule="auto"/>
        <w:ind w:firstLine="0"/>
      </w:pPr>
      <w:r w:rsidRPr="00BE29FD">
        <w:separator/>
      </w:r>
    </w:p>
  </w:footnote>
  <w:footnote w:type="continuationSeparator" w:id="0">
    <w:p w14:paraId="47BF5E31" w14:textId="77777777" w:rsidR="008B226B" w:rsidRPr="00BE29FD" w:rsidRDefault="008B226B" w:rsidP="00DF58E7">
      <w:pPr>
        <w:spacing w:line="240" w:lineRule="auto"/>
        <w:ind w:firstLine="0"/>
      </w:pPr>
      <w:r w:rsidRPr="00BE29FD">
        <w:continuationSeparator/>
      </w:r>
    </w:p>
  </w:footnote>
  <w:footnote w:type="continuationNotice" w:id="1">
    <w:p w14:paraId="2F540CAB" w14:textId="77777777" w:rsidR="008B226B" w:rsidRPr="00BE29FD" w:rsidRDefault="008B226B" w:rsidP="00DF58E7">
      <w:pPr>
        <w:spacing w:line="240" w:lineRule="auto"/>
        <w:ind w:firstLine="0"/>
        <w:jc w:val="right"/>
        <w:rPr>
          <w:i/>
          <w:sz w:val="22"/>
        </w:rPr>
      </w:pPr>
      <w:r w:rsidRPr="00BE29FD">
        <w:rPr>
          <w:i/>
          <w:sz w:val="22"/>
        </w:rPr>
        <w:t>Footnote continued on next page.</w:t>
      </w:r>
    </w:p>
  </w:footnote>
  <w:footnote w:id="2">
    <w:p w14:paraId="297A33AA" w14:textId="584BF8F5" w:rsidR="00C829B4" w:rsidRPr="00BE29FD" w:rsidRDefault="00C829B4" w:rsidP="00C829B4">
      <w:pPr>
        <w:pStyle w:val="FootnoteText"/>
      </w:pPr>
      <w:r w:rsidRPr="00BE29FD">
        <w:rPr>
          <w:rStyle w:val="FootnoteReference"/>
        </w:rPr>
        <w:footnoteRef/>
      </w:r>
      <w:r w:rsidRPr="00BE29FD">
        <w:t xml:space="preserve"> D.21-07-010, Ordering Paragraphs </w:t>
      </w:r>
      <w:r w:rsidR="000C75B0">
        <w:t>(OP) </w:t>
      </w:r>
      <w:r w:rsidRPr="00BE29FD">
        <w:t>1, 2, and 4.</w:t>
      </w:r>
    </w:p>
  </w:footnote>
  <w:footnote w:id="3">
    <w:p w14:paraId="501CBBCD" w14:textId="3F6A8C3D" w:rsidR="00C829B4" w:rsidRPr="00BE29FD" w:rsidRDefault="00C829B4" w:rsidP="00C829B4">
      <w:pPr>
        <w:pStyle w:val="FootnoteText"/>
      </w:pPr>
      <w:r w:rsidRPr="00BE29FD">
        <w:rPr>
          <w:rStyle w:val="FootnoteReference"/>
        </w:rPr>
        <w:footnoteRef/>
      </w:r>
      <w:r w:rsidRPr="00BE29FD">
        <w:t xml:space="preserve"> SDG&amp;E’s GRC Phase 2 Settlement Addendum, Section 2.2.1.2</w:t>
      </w:r>
      <w:r w:rsidR="00F07AD0" w:rsidRPr="00BE29FD">
        <w:t>.</w:t>
      </w:r>
      <w:r w:rsidRPr="00BE29FD">
        <w:t xml:space="preserve"> </w:t>
      </w:r>
    </w:p>
  </w:footnote>
  <w:footnote w:id="4">
    <w:p w14:paraId="795D8667" w14:textId="77777777" w:rsidR="00C829B4" w:rsidRPr="00BE29FD" w:rsidRDefault="00C829B4" w:rsidP="00C829B4">
      <w:pPr>
        <w:pStyle w:val="FootnoteText"/>
      </w:pPr>
      <w:r w:rsidRPr="00BE29FD">
        <w:rPr>
          <w:rStyle w:val="FootnoteReference"/>
        </w:rPr>
        <w:footnoteRef/>
      </w:r>
      <w:r w:rsidRPr="00BE29FD">
        <w:t xml:space="preserve"> SDGE-001 at 5.</w:t>
      </w:r>
    </w:p>
  </w:footnote>
  <w:footnote w:id="5">
    <w:p w14:paraId="13FA22F1" w14:textId="77777777" w:rsidR="00C829B4" w:rsidRPr="00BE29FD" w:rsidRDefault="00C829B4" w:rsidP="00C829B4">
      <w:pPr>
        <w:pStyle w:val="FootnoteText"/>
      </w:pPr>
      <w:r w:rsidRPr="00BE29FD">
        <w:rPr>
          <w:rStyle w:val="FootnoteReference"/>
        </w:rPr>
        <w:footnoteRef/>
      </w:r>
      <w:r w:rsidRPr="00BE29FD">
        <w:t xml:space="preserve"> SDGE-001 at 6-7.</w:t>
      </w:r>
    </w:p>
  </w:footnote>
  <w:footnote w:id="6">
    <w:p w14:paraId="7E1B4566" w14:textId="77777777" w:rsidR="00C829B4" w:rsidRPr="00BE29FD" w:rsidRDefault="00C829B4" w:rsidP="00C829B4">
      <w:pPr>
        <w:pStyle w:val="FootnoteText"/>
      </w:pPr>
      <w:r w:rsidRPr="00BE29FD">
        <w:rPr>
          <w:rStyle w:val="FootnoteReference"/>
        </w:rPr>
        <w:footnoteRef/>
      </w:r>
      <w:r w:rsidRPr="00BE29FD">
        <w:t xml:space="preserve"> SBUA-001 at 14.</w:t>
      </w:r>
    </w:p>
  </w:footnote>
  <w:footnote w:id="7">
    <w:p w14:paraId="77424FB0" w14:textId="77777777" w:rsidR="00C829B4" w:rsidRPr="00BE29FD" w:rsidRDefault="00C829B4" w:rsidP="00C829B4">
      <w:pPr>
        <w:pStyle w:val="FootnoteText"/>
      </w:pPr>
      <w:r w:rsidRPr="00BE29FD">
        <w:rPr>
          <w:rStyle w:val="FootnoteReference"/>
        </w:rPr>
        <w:footnoteRef/>
      </w:r>
      <w:r w:rsidRPr="00BE29FD">
        <w:t xml:space="preserve"> Cal Advocates’ Opening Brief at 9.</w:t>
      </w:r>
    </w:p>
  </w:footnote>
  <w:footnote w:id="8">
    <w:p w14:paraId="43EC30EE" w14:textId="09F7C1B4" w:rsidR="002C59DA" w:rsidRDefault="002C59DA">
      <w:pPr>
        <w:pStyle w:val="FootnoteText"/>
      </w:pPr>
      <w:r>
        <w:rPr>
          <w:rStyle w:val="FootnoteReference"/>
        </w:rPr>
        <w:footnoteRef/>
      </w:r>
      <w:r>
        <w:t xml:space="preserve"> CalAdv-001 at </w:t>
      </w:r>
      <w:r w:rsidR="000556D6">
        <w:t>1</w:t>
      </w:r>
      <w:r w:rsidR="006702FC">
        <w:t>-3.</w:t>
      </w:r>
    </w:p>
  </w:footnote>
  <w:footnote w:id="9">
    <w:p w14:paraId="45F81A08" w14:textId="77777777" w:rsidR="00C829B4" w:rsidRPr="00BE29FD" w:rsidRDefault="00C829B4" w:rsidP="00C829B4">
      <w:pPr>
        <w:pStyle w:val="FootnoteText"/>
      </w:pPr>
      <w:r w:rsidRPr="00BE29FD">
        <w:rPr>
          <w:rStyle w:val="FootnoteReference"/>
        </w:rPr>
        <w:footnoteRef/>
      </w:r>
      <w:r w:rsidRPr="00BE29FD">
        <w:t xml:space="preserve"> SDG&amp;E’s Reply Brief at 8.</w:t>
      </w:r>
    </w:p>
  </w:footnote>
  <w:footnote w:id="10">
    <w:p w14:paraId="08EA15F4" w14:textId="2306F74F" w:rsidR="00C829B4" w:rsidRPr="00E07408" w:rsidRDefault="00C829B4" w:rsidP="007533F4">
      <w:pPr>
        <w:pStyle w:val="ALJBodyText"/>
        <w:ind w:firstLine="0"/>
        <w:rPr>
          <w:sz w:val="22"/>
          <w:szCs w:val="22"/>
        </w:rPr>
      </w:pPr>
      <w:r w:rsidRPr="00E07408">
        <w:rPr>
          <w:rStyle w:val="FootnoteReference"/>
          <w:sz w:val="22"/>
          <w:szCs w:val="22"/>
        </w:rPr>
        <w:footnoteRef/>
      </w:r>
      <w:r w:rsidRPr="00E07408">
        <w:rPr>
          <w:sz w:val="22"/>
          <w:szCs w:val="22"/>
        </w:rPr>
        <w:t xml:space="preserve"> </w:t>
      </w:r>
      <w:r w:rsidR="00AF202F" w:rsidRPr="00E07408">
        <w:rPr>
          <w:sz w:val="22"/>
          <w:szCs w:val="22"/>
        </w:rPr>
        <w:t>Cal Advocates’ Opening Brief at 4.</w:t>
      </w:r>
    </w:p>
  </w:footnote>
  <w:footnote w:id="11">
    <w:p w14:paraId="1758F7DA" w14:textId="77777777" w:rsidR="00C829B4" w:rsidRPr="00BE29FD" w:rsidRDefault="00C829B4" w:rsidP="00C829B4">
      <w:pPr>
        <w:pStyle w:val="FootnoteText"/>
      </w:pPr>
      <w:r w:rsidRPr="00BE29FD">
        <w:rPr>
          <w:rStyle w:val="FootnoteReference"/>
        </w:rPr>
        <w:footnoteRef/>
      </w:r>
      <w:r w:rsidRPr="00BE29FD">
        <w:t xml:space="preserve"> UCAN’s Reply Brief at 2-3.</w:t>
      </w:r>
    </w:p>
  </w:footnote>
  <w:footnote w:id="12">
    <w:p w14:paraId="4B29213D" w14:textId="77777777" w:rsidR="00C829B4" w:rsidRPr="00BE29FD" w:rsidRDefault="00C829B4" w:rsidP="00C829B4">
      <w:pPr>
        <w:pStyle w:val="FootnoteText"/>
      </w:pPr>
      <w:r w:rsidRPr="00BE29FD">
        <w:rPr>
          <w:rStyle w:val="FootnoteReference"/>
        </w:rPr>
        <w:footnoteRef/>
      </w:r>
      <w:r w:rsidRPr="00BE29FD">
        <w:t xml:space="preserve"> SBUA’s Reply Brief at 2-3.</w:t>
      </w:r>
    </w:p>
  </w:footnote>
  <w:footnote w:id="13">
    <w:p w14:paraId="03ED0019" w14:textId="77777777" w:rsidR="00C829B4" w:rsidRPr="00BE29FD" w:rsidRDefault="00C829B4" w:rsidP="00C829B4">
      <w:pPr>
        <w:pStyle w:val="FootnoteText"/>
      </w:pPr>
      <w:r w:rsidRPr="00BE29FD">
        <w:rPr>
          <w:rStyle w:val="FootnoteReference"/>
        </w:rPr>
        <w:footnoteRef/>
      </w:r>
      <w:r w:rsidRPr="00BE29FD">
        <w:t xml:space="preserve"> SDG&amp;E’s Opening Brief at 6.</w:t>
      </w:r>
    </w:p>
  </w:footnote>
  <w:footnote w:id="14">
    <w:p w14:paraId="362977E1" w14:textId="77777777" w:rsidR="00C829B4" w:rsidRPr="00BE29FD" w:rsidRDefault="00C829B4" w:rsidP="00C829B4">
      <w:pPr>
        <w:pStyle w:val="FootnoteText"/>
      </w:pPr>
      <w:r w:rsidRPr="00BE29FD">
        <w:rPr>
          <w:rStyle w:val="FootnoteReference"/>
        </w:rPr>
        <w:footnoteRef/>
      </w:r>
      <w:r w:rsidRPr="00BE29FD">
        <w:t xml:space="preserve"> SDGE-003 at 2.</w:t>
      </w:r>
    </w:p>
  </w:footnote>
  <w:footnote w:id="15">
    <w:p w14:paraId="6FE8C070" w14:textId="77777777" w:rsidR="00C829B4" w:rsidRPr="00BE29FD" w:rsidRDefault="00C829B4" w:rsidP="00C829B4">
      <w:pPr>
        <w:pStyle w:val="FootnoteText"/>
      </w:pPr>
      <w:r w:rsidRPr="00BE29FD">
        <w:rPr>
          <w:rStyle w:val="FootnoteReference"/>
        </w:rPr>
        <w:footnoteRef/>
      </w:r>
      <w:r w:rsidRPr="00BE29FD">
        <w:t xml:space="preserve"> Cal Advocates’ Opening Brief at 5.</w:t>
      </w:r>
    </w:p>
  </w:footnote>
  <w:footnote w:id="16">
    <w:p w14:paraId="4F2B7063" w14:textId="77777777" w:rsidR="00C829B4" w:rsidRPr="00BE29FD" w:rsidRDefault="00C829B4" w:rsidP="00C829B4">
      <w:pPr>
        <w:pStyle w:val="FootnoteText"/>
      </w:pPr>
      <w:r w:rsidRPr="00BE29FD">
        <w:rPr>
          <w:rStyle w:val="FootnoteReference"/>
        </w:rPr>
        <w:footnoteRef/>
      </w:r>
      <w:r w:rsidRPr="00BE29FD">
        <w:t xml:space="preserve"> SDG&amp;E’s Reply Brief at 5-6.</w:t>
      </w:r>
    </w:p>
  </w:footnote>
  <w:footnote w:id="17">
    <w:p w14:paraId="50836ECA" w14:textId="77777777" w:rsidR="00C829B4" w:rsidRPr="00BE29FD" w:rsidRDefault="00C829B4" w:rsidP="00C829B4">
      <w:pPr>
        <w:pStyle w:val="FootnoteText"/>
      </w:pPr>
      <w:r w:rsidRPr="00BE29FD">
        <w:rPr>
          <w:rStyle w:val="FootnoteReference"/>
        </w:rPr>
        <w:footnoteRef/>
      </w:r>
      <w:r w:rsidRPr="00BE29FD">
        <w:t xml:space="preserve"> SDG&amp;E’s Reply Brief at 5-6.</w:t>
      </w:r>
    </w:p>
  </w:footnote>
  <w:footnote w:id="18">
    <w:p w14:paraId="5D3E19A4" w14:textId="77777777" w:rsidR="00C829B4" w:rsidRPr="00BE29FD" w:rsidRDefault="00C829B4" w:rsidP="00C829B4">
      <w:pPr>
        <w:pStyle w:val="FootnoteText"/>
      </w:pPr>
      <w:r w:rsidRPr="00BE29FD">
        <w:rPr>
          <w:rStyle w:val="FootnoteReference"/>
        </w:rPr>
        <w:footnoteRef/>
      </w:r>
      <w:r w:rsidRPr="00BE29FD">
        <w:t xml:space="preserve"> SDG&amp;E’s Reply Brief at 5-6; List of Stipulated Facts at 5.</w:t>
      </w:r>
    </w:p>
  </w:footnote>
  <w:footnote w:id="19">
    <w:p w14:paraId="326A95C0" w14:textId="77777777" w:rsidR="00C829B4" w:rsidRPr="00BE29FD" w:rsidRDefault="00C829B4" w:rsidP="00C829B4">
      <w:pPr>
        <w:pStyle w:val="FootnoteText"/>
      </w:pPr>
      <w:r w:rsidRPr="00BE29FD">
        <w:rPr>
          <w:rStyle w:val="FootnoteReference"/>
        </w:rPr>
        <w:footnoteRef/>
      </w:r>
      <w:r w:rsidRPr="00BE29FD">
        <w:t xml:space="preserve"> Cal Advocates’ Opening Brief at 5-6.</w:t>
      </w:r>
    </w:p>
  </w:footnote>
  <w:footnote w:id="20">
    <w:p w14:paraId="6EFD8475" w14:textId="4E415076" w:rsidR="00A626EA" w:rsidRDefault="00A626EA">
      <w:pPr>
        <w:pStyle w:val="FootnoteText"/>
      </w:pPr>
      <w:r>
        <w:rPr>
          <w:rStyle w:val="FootnoteReference"/>
        </w:rPr>
        <w:footnoteRef/>
      </w:r>
      <w:r>
        <w:t xml:space="preserve"> D.14-06-029 at 12.</w:t>
      </w:r>
    </w:p>
  </w:footnote>
  <w:footnote w:id="21">
    <w:p w14:paraId="71044DEF" w14:textId="5DAD5846" w:rsidR="00A21510" w:rsidRDefault="00A21510">
      <w:pPr>
        <w:pStyle w:val="FootnoteText"/>
      </w:pPr>
      <w:r>
        <w:rPr>
          <w:rStyle w:val="FootnoteReference"/>
        </w:rPr>
        <w:footnoteRef/>
      </w:r>
      <w:r>
        <w:t xml:space="preserve"> D.</w:t>
      </w:r>
      <w:r w:rsidR="0088181C" w:rsidRPr="00B24926">
        <w:t>19-06-026</w:t>
      </w:r>
      <w:r>
        <w:t xml:space="preserve">, </w:t>
      </w:r>
      <w:r w:rsidR="000C75B0">
        <w:t>OP </w:t>
      </w:r>
      <w:r>
        <w:t>14.</w:t>
      </w:r>
    </w:p>
  </w:footnote>
  <w:footnote w:id="22">
    <w:p w14:paraId="3DFFB32D" w14:textId="77777777" w:rsidR="00C829B4" w:rsidRPr="00BE29FD" w:rsidRDefault="00C829B4" w:rsidP="00C829B4">
      <w:pPr>
        <w:pStyle w:val="FootnoteText"/>
      </w:pPr>
      <w:r w:rsidRPr="00BE29FD">
        <w:rPr>
          <w:rStyle w:val="FootnoteReference"/>
        </w:rPr>
        <w:footnoteRef/>
      </w:r>
      <w:r w:rsidRPr="00BE29FD">
        <w:t xml:space="preserve"> SDGE</w:t>
      </w:r>
      <w:r w:rsidRPr="00BE29FD">
        <w:rPr>
          <w:rFonts w:ascii="Times New Roman" w:hAnsi="Times New Roman"/>
        </w:rPr>
        <w:t>‐</w:t>
      </w:r>
      <w:r w:rsidRPr="00BE29FD">
        <w:t>003 at 8.</w:t>
      </w:r>
    </w:p>
  </w:footnote>
  <w:footnote w:id="23">
    <w:p w14:paraId="1589A9AE" w14:textId="77777777" w:rsidR="00C829B4" w:rsidRPr="00BE29FD" w:rsidRDefault="00C829B4" w:rsidP="00C829B4">
      <w:pPr>
        <w:pStyle w:val="FootnoteText"/>
      </w:pPr>
      <w:r w:rsidRPr="00BE29FD">
        <w:rPr>
          <w:rStyle w:val="FootnoteReference"/>
        </w:rPr>
        <w:footnoteRef/>
      </w:r>
      <w:r w:rsidRPr="00BE29FD">
        <w:t xml:space="preserve"> Cal Advocates’ Opening Brief at 7.</w:t>
      </w:r>
    </w:p>
  </w:footnote>
  <w:footnote w:id="24">
    <w:p w14:paraId="5D3F3401" w14:textId="77777777" w:rsidR="00C829B4" w:rsidRPr="00BE29FD" w:rsidRDefault="00C829B4" w:rsidP="00C829B4">
      <w:pPr>
        <w:pStyle w:val="FootnoteText"/>
      </w:pPr>
      <w:r w:rsidRPr="00BE29FD">
        <w:rPr>
          <w:rStyle w:val="FootnoteReference"/>
        </w:rPr>
        <w:footnoteRef/>
      </w:r>
      <w:r w:rsidRPr="00BE29FD">
        <w:t xml:space="preserve"> UCAN’s Reply Brief at 3.</w:t>
      </w:r>
    </w:p>
  </w:footnote>
  <w:footnote w:id="25">
    <w:p w14:paraId="4860AF54" w14:textId="119AC43C" w:rsidR="00D206A8" w:rsidRDefault="00D206A8">
      <w:pPr>
        <w:pStyle w:val="FootnoteText"/>
      </w:pPr>
      <w:r w:rsidRPr="003A7461">
        <w:rPr>
          <w:rStyle w:val="FootnoteReference"/>
        </w:rPr>
        <w:footnoteRef/>
      </w:r>
      <w:r w:rsidRPr="003A7461">
        <w:t xml:space="preserve"> D.22-01-023, </w:t>
      </w:r>
      <w:r w:rsidR="000C75B0">
        <w:t>OP </w:t>
      </w:r>
      <w:r w:rsidRPr="003A7461">
        <w:t>3.</w:t>
      </w:r>
    </w:p>
  </w:footnote>
  <w:footnote w:id="26">
    <w:p w14:paraId="5CBAE241" w14:textId="77777777" w:rsidR="00C829B4" w:rsidRPr="00BE29FD" w:rsidRDefault="00C829B4" w:rsidP="00C829B4">
      <w:pPr>
        <w:pStyle w:val="FootnoteText"/>
      </w:pPr>
      <w:r w:rsidRPr="00BE29FD">
        <w:rPr>
          <w:rStyle w:val="FootnoteReference"/>
        </w:rPr>
        <w:footnoteRef/>
      </w:r>
      <w:r w:rsidRPr="00BE29FD">
        <w:t xml:space="preserve"> SBUA’s Opening Brief at 7.</w:t>
      </w:r>
    </w:p>
  </w:footnote>
  <w:footnote w:id="27">
    <w:p w14:paraId="0886B3EE" w14:textId="77777777" w:rsidR="00C829B4" w:rsidRPr="00BE29FD" w:rsidRDefault="00C829B4" w:rsidP="00C829B4">
      <w:pPr>
        <w:pStyle w:val="FootnoteText"/>
      </w:pPr>
      <w:r w:rsidRPr="00BE29FD">
        <w:rPr>
          <w:rStyle w:val="FootnoteReference"/>
        </w:rPr>
        <w:footnoteRef/>
      </w:r>
      <w:r w:rsidRPr="00BE29FD">
        <w:t xml:space="preserve"> SDG&amp;E’s Reply Brief at 6.</w:t>
      </w:r>
    </w:p>
  </w:footnote>
  <w:footnote w:id="28">
    <w:p w14:paraId="32B15C8C" w14:textId="77777777" w:rsidR="00C829B4" w:rsidRPr="00BE29FD" w:rsidRDefault="00C829B4" w:rsidP="00C829B4">
      <w:pPr>
        <w:pStyle w:val="FootnoteText"/>
      </w:pPr>
      <w:r w:rsidRPr="00BE29FD">
        <w:rPr>
          <w:rStyle w:val="FootnoteReference"/>
        </w:rPr>
        <w:footnoteRef/>
      </w:r>
      <w:r w:rsidRPr="00BE29FD">
        <w:t xml:space="preserve"> SDGE</w:t>
      </w:r>
      <w:r w:rsidRPr="00BE29FD">
        <w:rPr>
          <w:rFonts w:ascii="Times New Roman" w:hAnsi="Times New Roman"/>
        </w:rPr>
        <w:t>‐</w:t>
      </w:r>
      <w:r w:rsidRPr="00BE29FD">
        <w:t>002 at 6.</w:t>
      </w:r>
    </w:p>
  </w:footnote>
  <w:footnote w:id="29">
    <w:p w14:paraId="59382B58" w14:textId="77777777" w:rsidR="00C829B4" w:rsidRPr="00BE29FD" w:rsidRDefault="00C829B4" w:rsidP="00C829B4">
      <w:pPr>
        <w:pStyle w:val="FootnoteText"/>
      </w:pPr>
      <w:r w:rsidRPr="00BE29FD">
        <w:rPr>
          <w:rStyle w:val="FootnoteReference"/>
        </w:rPr>
        <w:footnoteRef/>
      </w:r>
      <w:r w:rsidRPr="00BE29FD">
        <w:t xml:space="preserve"> D.21-07-010 at 18.</w:t>
      </w:r>
    </w:p>
  </w:footnote>
  <w:footnote w:id="30">
    <w:p w14:paraId="14D9FD5A" w14:textId="2D7E503A" w:rsidR="005D390A" w:rsidRPr="004B3667" w:rsidRDefault="005D390A">
      <w:pPr>
        <w:pStyle w:val="FootnoteText"/>
      </w:pPr>
      <w:r w:rsidRPr="00BE29FD">
        <w:rPr>
          <w:rStyle w:val="FootnoteReference"/>
        </w:rPr>
        <w:footnoteRef/>
      </w:r>
      <w:r w:rsidRPr="004B3667">
        <w:t xml:space="preserve"> </w:t>
      </w:r>
      <w:r w:rsidR="006934CE" w:rsidRPr="004B3667">
        <w:t>Application at 8.</w:t>
      </w:r>
    </w:p>
  </w:footnote>
  <w:footnote w:id="31">
    <w:p w14:paraId="5AE3A98E" w14:textId="77777777" w:rsidR="00C829B4" w:rsidRPr="004B3667" w:rsidRDefault="00C829B4" w:rsidP="00C829B4">
      <w:pPr>
        <w:pStyle w:val="FootnoteText"/>
      </w:pPr>
      <w:r w:rsidRPr="004B3667">
        <w:rPr>
          <w:rStyle w:val="FootnoteReference"/>
        </w:rPr>
        <w:footnoteRef/>
      </w:r>
      <w:r w:rsidRPr="004B3667">
        <w:t xml:space="preserve"> SDG&amp;E’s Motion to Strike UCAN SAPC Testimony at 2; SDG&amp;E’s Reply Brief at 11-12.</w:t>
      </w:r>
    </w:p>
  </w:footnote>
  <w:footnote w:id="32">
    <w:p w14:paraId="6AEC9D93" w14:textId="77777777" w:rsidR="00C829B4" w:rsidRPr="004B3667" w:rsidRDefault="00C829B4" w:rsidP="00C829B4">
      <w:pPr>
        <w:pStyle w:val="FootnoteText"/>
      </w:pPr>
      <w:r w:rsidRPr="004B3667">
        <w:rPr>
          <w:rStyle w:val="FootnoteReference"/>
        </w:rPr>
        <w:footnoteRef/>
      </w:r>
      <w:r w:rsidRPr="004B3667">
        <w:t xml:space="preserve"> List of Stipulated and Disputed Facts at 2.</w:t>
      </w:r>
    </w:p>
  </w:footnote>
  <w:footnote w:id="33">
    <w:p w14:paraId="12660D50" w14:textId="5817C89A" w:rsidR="00C829B4" w:rsidRPr="004B3667" w:rsidRDefault="00C829B4" w:rsidP="00C829B4">
      <w:pPr>
        <w:pStyle w:val="FootnoteText"/>
        <w:rPr>
          <w:i/>
          <w:iCs/>
        </w:rPr>
      </w:pPr>
      <w:r w:rsidRPr="004B3667">
        <w:rPr>
          <w:rStyle w:val="FootnoteReference"/>
        </w:rPr>
        <w:footnoteRef/>
      </w:r>
      <w:r w:rsidRPr="004B3667">
        <w:t xml:space="preserve"> </w:t>
      </w:r>
      <w:r w:rsidR="00AD27DD" w:rsidRPr="004B3667">
        <w:rPr>
          <w:i/>
          <w:iCs/>
        </w:rPr>
        <w:t>I</w:t>
      </w:r>
      <w:r w:rsidRPr="004B3667">
        <w:rPr>
          <w:i/>
          <w:iCs/>
        </w:rPr>
        <w:t>bid.</w:t>
      </w:r>
    </w:p>
  </w:footnote>
  <w:footnote w:id="34">
    <w:p w14:paraId="701961BE" w14:textId="7DEF61E9" w:rsidR="00C829B4" w:rsidRPr="004B3667" w:rsidRDefault="00C829B4" w:rsidP="00C829B4">
      <w:pPr>
        <w:pStyle w:val="FootnoteText"/>
      </w:pPr>
      <w:r w:rsidRPr="004B3667">
        <w:rPr>
          <w:rStyle w:val="FootnoteReference"/>
        </w:rPr>
        <w:footnoteRef/>
      </w:r>
      <w:r w:rsidRPr="004B3667">
        <w:t xml:space="preserve"> Cal Advocates’ Opening Brief at 10; </w:t>
      </w:r>
      <w:r w:rsidR="00B720AB">
        <w:t>San </w:t>
      </w:r>
      <w:r w:rsidRPr="004B3667">
        <w:t>Diego CCAs’ Opening Brief at 6; UCAN</w:t>
      </w:r>
      <w:r w:rsidRPr="004B3667">
        <w:rPr>
          <w:rFonts w:ascii="Times New Roman" w:hAnsi="Times New Roman"/>
        </w:rPr>
        <w:t>‐</w:t>
      </w:r>
      <w:r w:rsidRPr="004B3667">
        <w:t>001 at 3.</w:t>
      </w:r>
    </w:p>
  </w:footnote>
  <w:footnote w:id="35">
    <w:p w14:paraId="18C7B242" w14:textId="77777777" w:rsidR="00C829B4" w:rsidRPr="004B3667" w:rsidRDefault="00C829B4" w:rsidP="00C829B4">
      <w:pPr>
        <w:pStyle w:val="FootnoteText"/>
      </w:pPr>
      <w:r w:rsidRPr="004B3667">
        <w:rPr>
          <w:rStyle w:val="FootnoteReference"/>
        </w:rPr>
        <w:footnoteRef/>
      </w:r>
      <w:r w:rsidRPr="004B3667">
        <w:t xml:space="preserve"> Cal Advocates’ Opening Brief at 10.</w:t>
      </w:r>
    </w:p>
  </w:footnote>
  <w:footnote w:id="36">
    <w:p w14:paraId="1481BBED" w14:textId="1D08E066" w:rsidR="00943677" w:rsidRDefault="00943677">
      <w:pPr>
        <w:pStyle w:val="FootnoteText"/>
      </w:pPr>
      <w:r>
        <w:rPr>
          <w:rStyle w:val="FootnoteReference"/>
        </w:rPr>
        <w:footnoteRef/>
      </w:r>
      <w:r>
        <w:t xml:space="preserve"> D.22-01-023, </w:t>
      </w:r>
      <w:r w:rsidR="000C75B0">
        <w:t>OP </w:t>
      </w:r>
      <w:r>
        <w:t>3.</w:t>
      </w:r>
    </w:p>
  </w:footnote>
  <w:footnote w:id="37">
    <w:p w14:paraId="400E47BF" w14:textId="77777777" w:rsidR="00C829B4" w:rsidRPr="004B3667" w:rsidRDefault="00C829B4" w:rsidP="00C829B4">
      <w:pPr>
        <w:pStyle w:val="FootnoteText"/>
      </w:pPr>
      <w:r w:rsidRPr="004B3667">
        <w:rPr>
          <w:rStyle w:val="FootnoteReference"/>
        </w:rPr>
        <w:footnoteRef/>
      </w:r>
      <w:r w:rsidRPr="004B3667">
        <w:t xml:space="preserve"> Assigned Commissioner’s Scoping Memo and Ruling at 2-3. </w:t>
      </w:r>
    </w:p>
  </w:footnote>
  <w:footnote w:id="38">
    <w:p w14:paraId="06E617CA" w14:textId="610B2234" w:rsidR="00114FAF" w:rsidRDefault="00114FAF">
      <w:pPr>
        <w:pStyle w:val="FootnoteText"/>
      </w:pPr>
      <w:r>
        <w:rPr>
          <w:rStyle w:val="FootnoteReference"/>
        </w:rPr>
        <w:footnoteRef/>
      </w:r>
      <w:r>
        <w:t xml:space="preserve"> D.22-01-023, </w:t>
      </w:r>
      <w:r w:rsidR="000C75B0">
        <w:t>OP </w:t>
      </w:r>
      <w:r>
        <w:t>3.</w:t>
      </w:r>
    </w:p>
  </w:footnote>
  <w:footnote w:id="39">
    <w:p w14:paraId="6FFF53C4" w14:textId="77777777" w:rsidR="00C829B4" w:rsidRPr="004B3667" w:rsidRDefault="00C829B4" w:rsidP="00C829B4">
      <w:pPr>
        <w:pStyle w:val="FootnoteText"/>
      </w:pPr>
      <w:r w:rsidRPr="004B3667">
        <w:rPr>
          <w:rStyle w:val="FootnoteReference"/>
        </w:rPr>
        <w:footnoteRef/>
      </w:r>
      <w:r w:rsidRPr="004B3667">
        <w:t xml:space="preserve"> SDG&amp;E’s Reply Brief at 10-11.</w:t>
      </w:r>
    </w:p>
  </w:footnote>
  <w:footnote w:id="40">
    <w:p w14:paraId="313D73F9" w14:textId="224ED502" w:rsidR="00C829B4" w:rsidRPr="004B3667" w:rsidRDefault="00C829B4" w:rsidP="00C829B4">
      <w:pPr>
        <w:pStyle w:val="FootnoteText"/>
        <w:rPr>
          <w:i/>
          <w:iCs/>
        </w:rPr>
      </w:pPr>
      <w:r w:rsidRPr="004B3667">
        <w:rPr>
          <w:rStyle w:val="FootnoteReference"/>
        </w:rPr>
        <w:footnoteRef/>
      </w:r>
      <w:r w:rsidRPr="004B3667">
        <w:t xml:space="preserve"> </w:t>
      </w:r>
      <w:r w:rsidR="00AD27DD" w:rsidRPr="004B3667">
        <w:rPr>
          <w:i/>
          <w:iCs/>
        </w:rPr>
        <w:t>I</w:t>
      </w:r>
      <w:r w:rsidRPr="004B3667">
        <w:rPr>
          <w:i/>
          <w:iCs/>
        </w:rPr>
        <w:t>bid.</w:t>
      </w:r>
    </w:p>
  </w:footnote>
  <w:footnote w:id="41">
    <w:p w14:paraId="1D96F558" w14:textId="77777777" w:rsidR="00C829B4" w:rsidRPr="004B3667" w:rsidRDefault="00C829B4" w:rsidP="00C829B4">
      <w:pPr>
        <w:pStyle w:val="FootnoteText"/>
      </w:pPr>
      <w:r w:rsidRPr="004B3667">
        <w:rPr>
          <w:rStyle w:val="FootnoteReference"/>
        </w:rPr>
        <w:footnoteRef/>
      </w:r>
      <w:r w:rsidRPr="004B3667">
        <w:t xml:space="preserve"> UCAN-001 at 4-6; UCAN-002 at 2-4.</w:t>
      </w:r>
    </w:p>
  </w:footnote>
  <w:footnote w:id="42">
    <w:p w14:paraId="434EFB4C" w14:textId="77777777" w:rsidR="00C829B4" w:rsidRPr="004B3667" w:rsidRDefault="00C829B4" w:rsidP="00C829B4">
      <w:pPr>
        <w:pStyle w:val="FootnoteText"/>
      </w:pPr>
      <w:r w:rsidRPr="004B3667">
        <w:rPr>
          <w:rStyle w:val="FootnoteReference"/>
        </w:rPr>
        <w:footnoteRef/>
      </w:r>
      <w:r w:rsidRPr="004B3667">
        <w:t xml:space="preserve"> SDGE</w:t>
      </w:r>
      <w:r w:rsidRPr="004B3667">
        <w:rPr>
          <w:rFonts w:ascii="Times New Roman" w:hAnsi="Times New Roman"/>
        </w:rPr>
        <w:t>‐</w:t>
      </w:r>
      <w:r w:rsidRPr="004B3667">
        <w:t>004 at 1; SDG&amp;E’s Opening Brief at 9.</w:t>
      </w:r>
    </w:p>
  </w:footnote>
  <w:footnote w:id="43">
    <w:p w14:paraId="480B73A4" w14:textId="77777777" w:rsidR="00C829B4" w:rsidRPr="004B3667" w:rsidRDefault="00C829B4" w:rsidP="00C829B4">
      <w:pPr>
        <w:pStyle w:val="FootnoteText"/>
      </w:pPr>
      <w:r w:rsidRPr="004B3667">
        <w:rPr>
          <w:rStyle w:val="FootnoteReference"/>
        </w:rPr>
        <w:footnoteRef/>
      </w:r>
      <w:r w:rsidRPr="004B3667">
        <w:t xml:space="preserve"> D.21-12-040 at 19-20.</w:t>
      </w:r>
    </w:p>
  </w:footnote>
  <w:footnote w:id="44">
    <w:p w14:paraId="7A603D08" w14:textId="6D07A1A2" w:rsidR="00C829B4" w:rsidRPr="004B3667" w:rsidRDefault="00C829B4" w:rsidP="00C829B4">
      <w:pPr>
        <w:pStyle w:val="FootnoteText"/>
        <w:rPr>
          <w:i/>
          <w:iCs/>
        </w:rPr>
      </w:pPr>
      <w:r w:rsidRPr="004B3667">
        <w:rPr>
          <w:rStyle w:val="FootnoteReference"/>
        </w:rPr>
        <w:footnoteRef/>
      </w:r>
      <w:r w:rsidRPr="004B3667">
        <w:t xml:space="preserve"> </w:t>
      </w:r>
      <w:r w:rsidR="00AD27DD" w:rsidRPr="004B3667">
        <w:rPr>
          <w:i/>
          <w:iCs/>
        </w:rPr>
        <w:t>I</w:t>
      </w:r>
      <w:r w:rsidRPr="004B3667">
        <w:rPr>
          <w:i/>
          <w:iCs/>
        </w:rPr>
        <w:t>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8BFC" w14:textId="77777777" w:rsidR="00F92385" w:rsidRPr="00BE29FD" w:rsidRDefault="00F92385" w:rsidP="007E0FEE">
    <w:pPr>
      <w:pStyle w:val="Header"/>
      <w:tabs>
        <w:tab w:val="clear" w:pos="4680"/>
      </w:tabs>
      <w:ind w:firstLine="0"/>
      <w:jc w:val="center"/>
      <w:rPr>
        <w:b/>
      </w:rPr>
    </w:pPr>
    <w:r w:rsidRPr="00BE29FD">
      <w:rPr>
        <w:i/>
        <w:color w:val="FF0000"/>
        <w:sz w:val="20"/>
        <w:szCs w:val="20"/>
      </w:rPr>
      <w:t xml:space="preserve">Internal Review Draft; Subject to </w:t>
    </w:r>
    <w:r w:rsidRPr="00BE29FD">
      <w:rPr>
        <w:b/>
        <w:i/>
        <w:color w:val="FF0000"/>
        <w:sz w:val="20"/>
        <w:szCs w:val="20"/>
      </w:rPr>
      <w:t>ALJ Division Review</w:t>
    </w:r>
    <w:r w:rsidRPr="00BE29FD">
      <w:rPr>
        <w:i/>
        <w:color w:val="FF0000"/>
        <w:sz w:val="20"/>
        <w:szCs w:val="20"/>
      </w:rPr>
      <w:t xml:space="preserve"> /</w:t>
    </w:r>
    <w:r w:rsidRPr="00BE29FD">
      <w:rPr>
        <w:color w:val="FF0000"/>
        <w:sz w:val="20"/>
        <w:szCs w:val="20"/>
      </w:rPr>
      <w:t xml:space="preserve"> </w:t>
    </w:r>
    <w:r w:rsidRPr="00BE29FD">
      <w:rPr>
        <w:b/>
        <w:color w:val="FF0000"/>
        <w:sz w:val="20"/>
        <w:szCs w:val="20"/>
      </w:rPr>
      <w:t>CONFIDENTIAL;</w:t>
    </w:r>
    <w:r w:rsidRPr="00BE29FD">
      <w:rPr>
        <w:color w:val="FF0000"/>
        <w:sz w:val="20"/>
        <w:szCs w:val="20"/>
      </w:rPr>
      <w:t xml:space="preserve"> </w:t>
    </w:r>
    <w:r w:rsidRPr="00BE29FD">
      <w:rPr>
        <w:i/>
        <w:color w:val="FF0000"/>
        <w:sz w:val="20"/>
        <w:szCs w:val="20"/>
      </w:rPr>
      <w:t>Deliberative Process Privilege</w:t>
    </w:r>
    <w:r w:rsidRPr="00BE29FD">
      <w:br/>
    </w:r>
    <w:proofErr w:type="spellStart"/>
    <w:r w:rsidRPr="00BE29FD">
      <w:t>X.XX</w:t>
    </w:r>
    <w:proofErr w:type="spellEnd"/>
    <w:r w:rsidRPr="00BE29FD">
      <w:t>-XX-XXX  ^^^/^^^/^^^</w:t>
    </w:r>
    <w:r w:rsidR="007E0FEE" w:rsidRPr="00BE29FD">
      <w:tab/>
    </w:r>
    <w:r w:rsidRPr="00BE29FD">
      <w:rPr>
        <w:b/>
      </w:rPr>
      <w:t>PROPOSED DECISION</w:t>
    </w:r>
  </w:p>
  <w:p w14:paraId="59B71F28" w14:textId="77777777" w:rsidR="00F92385" w:rsidRPr="00BE29FD" w:rsidRDefault="00F92385" w:rsidP="00F92385">
    <w:pPr>
      <w:pStyle w:val="Header"/>
      <w:ind w:firstLine="0"/>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9C32" w14:textId="43487A8E" w:rsidR="00F92385" w:rsidRPr="001D0BC9" w:rsidRDefault="00F92385" w:rsidP="001D0BC9">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AAE3" w14:textId="500DE6A2" w:rsidR="00D177FF" w:rsidRDefault="00C829B4" w:rsidP="00D177FF">
    <w:pPr>
      <w:tabs>
        <w:tab w:val="right" w:pos="9360"/>
      </w:tabs>
      <w:spacing w:line="240" w:lineRule="auto"/>
      <w:ind w:firstLine="0"/>
      <w:rPr>
        <w:b/>
        <w:szCs w:val="26"/>
      </w:rPr>
    </w:pPr>
    <w:r w:rsidRPr="00BE29FD">
      <w:t>A.21-08-010</w:t>
    </w:r>
    <w:r w:rsidR="00D177FF" w:rsidRPr="00BE29FD">
      <w:t xml:space="preserve">  ALJ/</w:t>
    </w:r>
    <w:r w:rsidRPr="00BE29FD">
      <w:t>EC2</w:t>
    </w:r>
    <w:r w:rsidR="00D177FF" w:rsidRPr="00BE29FD">
      <w:t>/</w:t>
    </w:r>
    <w:proofErr w:type="spellStart"/>
    <w:r w:rsidR="00D177FF" w:rsidRPr="00BE29FD">
      <w:t>lil</w:t>
    </w:r>
    <w:proofErr w:type="spellEnd"/>
    <w:r w:rsidR="001D0BC9">
      <w:t>/nd3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 w15:restartNumberingAfterBreak="0">
    <w:nsid w:val="15F056CB"/>
    <w:multiLevelType w:val="multilevel"/>
    <w:tmpl w:val="18F4A5AC"/>
    <w:numStyleLink w:val="FoFCoLOP"/>
  </w:abstractNum>
  <w:abstractNum w:abstractNumId="3"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70038F"/>
    <w:multiLevelType w:val="multilevel"/>
    <w:tmpl w:val="3C526EDE"/>
    <w:numStyleLink w:val="Headings"/>
  </w:abstractNum>
  <w:abstractNum w:abstractNumId="5" w15:restartNumberingAfterBreak="0">
    <w:nsid w:val="1E2242C9"/>
    <w:multiLevelType w:val="multilevel"/>
    <w:tmpl w:val="3C526EDE"/>
    <w:numStyleLink w:val="Headings"/>
  </w:abstractNum>
  <w:abstractNum w:abstractNumId="6" w15:restartNumberingAfterBreak="0">
    <w:nsid w:val="21FB58FE"/>
    <w:multiLevelType w:val="multilevel"/>
    <w:tmpl w:val="3C526EDE"/>
    <w:numStyleLink w:val="Headings"/>
  </w:abstractNum>
  <w:abstractNum w:abstractNumId="7" w15:restartNumberingAfterBreak="0">
    <w:nsid w:val="243663A0"/>
    <w:multiLevelType w:val="multilevel"/>
    <w:tmpl w:val="3C526EDE"/>
    <w:numStyleLink w:val="Headings"/>
  </w:abstractNum>
  <w:abstractNum w:abstractNumId="8" w15:restartNumberingAfterBreak="0">
    <w:nsid w:val="2B8124D7"/>
    <w:multiLevelType w:val="multilevel"/>
    <w:tmpl w:val="3C526EDE"/>
    <w:numStyleLink w:val="Headings"/>
  </w:abstractNum>
  <w:abstractNum w:abstractNumId="9" w15:restartNumberingAfterBreak="0">
    <w:nsid w:val="331F6D42"/>
    <w:multiLevelType w:val="multilevel"/>
    <w:tmpl w:val="3C526EDE"/>
    <w:styleLink w:val="Headings"/>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0" w15:restartNumberingAfterBreak="0">
    <w:nsid w:val="35496F0E"/>
    <w:multiLevelType w:val="hybridMultilevel"/>
    <w:tmpl w:val="8AF089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640612A"/>
    <w:multiLevelType w:val="hybridMultilevel"/>
    <w:tmpl w:val="F8242C50"/>
    <w:lvl w:ilvl="0" w:tplc="5DE0CA64">
      <w:start w:val="1"/>
      <w:numFmt w:val="decimal"/>
      <w:pStyle w:val="ALJOP"/>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A1713CD"/>
    <w:multiLevelType w:val="hybridMultilevel"/>
    <w:tmpl w:val="BAA86DD8"/>
    <w:lvl w:ilvl="0" w:tplc="E6644334">
      <w:start w:val="1"/>
      <w:numFmt w:val="decimal"/>
      <w:pStyle w:val="ALJ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9D042D7"/>
    <w:multiLevelType w:val="multilevel"/>
    <w:tmpl w:val="18F4A5AC"/>
    <w:numStyleLink w:val="FoFCoLOP"/>
  </w:abstractNum>
  <w:abstractNum w:abstractNumId="14" w15:restartNumberingAfterBreak="0">
    <w:nsid w:val="5A9E2171"/>
    <w:multiLevelType w:val="multilevel"/>
    <w:tmpl w:val="3C526EDE"/>
    <w:numStyleLink w:val="Headings"/>
  </w:abstractNum>
  <w:abstractNum w:abstractNumId="15" w15:restartNumberingAfterBreak="0">
    <w:nsid w:val="61A25780"/>
    <w:multiLevelType w:val="multilevel"/>
    <w:tmpl w:val="3C526EDE"/>
    <w:numStyleLink w:val="Headings"/>
  </w:abstractNum>
  <w:abstractNum w:abstractNumId="16"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89A0AFE"/>
    <w:multiLevelType w:val="multilevel"/>
    <w:tmpl w:val="18F4A5AC"/>
    <w:numStyleLink w:val="FoFCoLOP"/>
  </w:abstractNum>
  <w:num w:numId="1">
    <w:abstractNumId w:val="14"/>
  </w:num>
  <w:num w:numId="2">
    <w:abstractNumId w:val="1"/>
  </w:num>
  <w:num w:numId="3">
    <w:abstractNumId w:val="13"/>
  </w:num>
  <w:num w:numId="4">
    <w:abstractNumId w:val="2"/>
  </w:num>
  <w:num w:numId="5">
    <w:abstractNumId w:val="17"/>
  </w:num>
  <w:num w:numId="6">
    <w:abstractNumId w:val="9"/>
  </w:num>
  <w:num w:numId="7">
    <w:abstractNumId w:val="5"/>
  </w:num>
  <w:num w:numId="8">
    <w:abstractNumId w:val="16"/>
  </w:num>
  <w:num w:numId="9">
    <w:abstractNumId w:val="0"/>
  </w:num>
  <w:num w:numId="10">
    <w:abstractNumId w:val="4"/>
  </w:num>
  <w:num w:numId="11">
    <w:abstractNumId w:val="6"/>
  </w:num>
  <w:num w:numId="12">
    <w:abstractNumId w:val="3"/>
  </w:num>
  <w:num w:numId="13">
    <w:abstractNumId w:val="7"/>
  </w:num>
  <w:num w:numId="14">
    <w:abstractNumId w:val="8"/>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2"/>
  </w:num>
  <w:num w:numId="19">
    <w:abstractNumId w:val="10"/>
  </w:num>
  <w:num w:numId="20">
    <w:abstractNumId w:val="13"/>
  </w:num>
  <w:num w:numId="21">
    <w:abstractNumId w:val="2"/>
  </w:num>
  <w:num w:numId="22">
    <w:abstractNumId w:val="17"/>
  </w:num>
  <w:num w:numId="2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F1F"/>
    <w:rsid w:val="00000F6A"/>
    <w:rsid w:val="00003664"/>
    <w:rsid w:val="00023A4C"/>
    <w:rsid w:val="0002447B"/>
    <w:rsid w:val="00031EDB"/>
    <w:rsid w:val="000504CD"/>
    <w:rsid w:val="00050B40"/>
    <w:rsid w:val="000556D6"/>
    <w:rsid w:val="0006058C"/>
    <w:rsid w:val="00070302"/>
    <w:rsid w:val="0007115A"/>
    <w:rsid w:val="00095EBB"/>
    <w:rsid w:val="000973C8"/>
    <w:rsid w:val="000A2AA9"/>
    <w:rsid w:val="000A3C33"/>
    <w:rsid w:val="000A56F2"/>
    <w:rsid w:val="000A6E05"/>
    <w:rsid w:val="000A7D5D"/>
    <w:rsid w:val="000B12FA"/>
    <w:rsid w:val="000C08BF"/>
    <w:rsid w:val="000C3B9A"/>
    <w:rsid w:val="000C75B0"/>
    <w:rsid w:val="000C7AB8"/>
    <w:rsid w:val="000D25A8"/>
    <w:rsid w:val="000E270A"/>
    <w:rsid w:val="000E2A67"/>
    <w:rsid w:val="000E4C53"/>
    <w:rsid w:val="000F08D3"/>
    <w:rsid w:val="00103167"/>
    <w:rsid w:val="001135F7"/>
    <w:rsid w:val="00114FAF"/>
    <w:rsid w:val="0011627E"/>
    <w:rsid w:val="001202C6"/>
    <w:rsid w:val="00121089"/>
    <w:rsid w:val="00125939"/>
    <w:rsid w:val="00127FE7"/>
    <w:rsid w:val="001303C0"/>
    <w:rsid w:val="00140639"/>
    <w:rsid w:val="00144709"/>
    <w:rsid w:val="00146C53"/>
    <w:rsid w:val="00152A5B"/>
    <w:rsid w:val="00155752"/>
    <w:rsid w:val="00156E05"/>
    <w:rsid w:val="00157CB9"/>
    <w:rsid w:val="00164B40"/>
    <w:rsid w:val="00174C22"/>
    <w:rsid w:val="00182582"/>
    <w:rsid w:val="00192B99"/>
    <w:rsid w:val="00194269"/>
    <w:rsid w:val="0019532B"/>
    <w:rsid w:val="001B072B"/>
    <w:rsid w:val="001B3746"/>
    <w:rsid w:val="001B5480"/>
    <w:rsid w:val="001C363F"/>
    <w:rsid w:val="001D0BC9"/>
    <w:rsid w:val="001E22BA"/>
    <w:rsid w:val="001E2A62"/>
    <w:rsid w:val="001F2819"/>
    <w:rsid w:val="00201C12"/>
    <w:rsid w:val="002043EC"/>
    <w:rsid w:val="00212429"/>
    <w:rsid w:val="00213884"/>
    <w:rsid w:val="0022243F"/>
    <w:rsid w:val="00224EA6"/>
    <w:rsid w:val="00231A21"/>
    <w:rsid w:val="00232571"/>
    <w:rsid w:val="002439F0"/>
    <w:rsid w:val="00243DC0"/>
    <w:rsid w:val="00247477"/>
    <w:rsid w:val="00253332"/>
    <w:rsid w:val="0025376F"/>
    <w:rsid w:val="00254E2D"/>
    <w:rsid w:val="002573DA"/>
    <w:rsid w:val="00270440"/>
    <w:rsid w:val="00272320"/>
    <w:rsid w:val="00287BC5"/>
    <w:rsid w:val="00291CF1"/>
    <w:rsid w:val="00293DEE"/>
    <w:rsid w:val="002A038D"/>
    <w:rsid w:val="002A0B5D"/>
    <w:rsid w:val="002A323F"/>
    <w:rsid w:val="002A4475"/>
    <w:rsid w:val="002B08F6"/>
    <w:rsid w:val="002B3364"/>
    <w:rsid w:val="002B3C24"/>
    <w:rsid w:val="002B4D64"/>
    <w:rsid w:val="002B7259"/>
    <w:rsid w:val="002C59DA"/>
    <w:rsid w:val="002C7FE9"/>
    <w:rsid w:val="002D0DC5"/>
    <w:rsid w:val="002D4B04"/>
    <w:rsid w:val="002D4EFD"/>
    <w:rsid w:val="002E3F70"/>
    <w:rsid w:val="002E48B3"/>
    <w:rsid w:val="00303062"/>
    <w:rsid w:val="00305BBE"/>
    <w:rsid w:val="0031583E"/>
    <w:rsid w:val="00316071"/>
    <w:rsid w:val="00326BC7"/>
    <w:rsid w:val="00327EA1"/>
    <w:rsid w:val="00330774"/>
    <w:rsid w:val="003342A2"/>
    <w:rsid w:val="00336854"/>
    <w:rsid w:val="00343E5C"/>
    <w:rsid w:val="003457F9"/>
    <w:rsid w:val="003472C1"/>
    <w:rsid w:val="00351D62"/>
    <w:rsid w:val="0036017B"/>
    <w:rsid w:val="00362755"/>
    <w:rsid w:val="00363152"/>
    <w:rsid w:val="00365D33"/>
    <w:rsid w:val="003720CD"/>
    <w:rsid w:val="003729CF"/>
    <w:rsid w:val="00373B93"/>
    <w:rsid w:val="0037585A"/>
    <w:rsid w:val="003776EA"/>
    <w:rsid w:val="00380CD1"/>
    <w:rsid w:val="00382422"/>
    <w:rsid w:val="00391AB4"/>
    <w:rsid w:val="00392F57"/>
    <w:rsid w:val="0039369E"/>
    <w:rsid w:val="003A38F0"/>
    <w:rsid w:val="003A7461"/>
    <w:rsid w:val="003C5A15"/>
    <w:rsid w:val="003D4192"/>
    <w:rsid w:val="003D515E"/>
    <w:rsid w:val="003E33DA"/>
    <w:rsid w:val="003F069A"/>
    <w:rsid w:val="003F4220"/>
    <w:rsid w:val="003F4329"/>
    <w:rsid w:val="00401AAE"/>
    <w:rsid w:val="00405AF7"/>
    <w:rsid w:val="00412534"/>
    <w:rsid w:val="00412C83"/>
    <w:rsid w:val="004139DE"/>
    <w:rsid w:val="00420F66"/>
    <w:rsid w:val="004228A4"/>
    <w:rsid w:val="00423BFD"/>
    <w:rsid w:val="00426014"/>
    <w:rsid w:val="004356BB"/>
    <w:rsid w:val="004359BF"/>
    <w:rsid w:val="004559B8"/>
    <w:rsid w:val="00460B7D"/>
    <w:rsid w:val="004736D0"/>
    <w:rsid w:val="00480CB0"/>
    <w:rsid w:val="004943F0"/>
    <w:rsid w:val="00494D6D"/>
    <w:rsid w:val="00495F1A"/>
    <w:rsid w:val="004A21B1"/>
    <w:rsid w:val="004B0581"/>
    <w:rsid w:val="004B21D2"/>
    <w:rsid w:val="004B34EA"/>
    <w:rsid w:val="004B3667"/>
    <w:rsid w:val="004B5494"/>
    <w:rsid w:val="004B5B79"/>
    <w:rsid w:val="004C3BEC"/>
    <w:rsid w:val="004C73D6"/>
    <w:rsid w:val="004C7A2B"/>
    <w:rsid w:val="004C7D3A"/>
    <w:rsid w:val="004E72D4"/>
    <w:rsid w:val="005018A8"/>
    <w:rsid w:val="00505A39"/>
    <w:rsid w:val="00510F32"/>
    <w:rsid w:val="00512AC0"/>
    <w:rsid w:val="005155BF"/>
    <w:rsid w:val="00523FE7"/>
    <w:rsid w:val="005240BF"/>
    <w:rsid w:val="00525184"/>
    <w:rsid w:val="00535916"/>
    <w:rsid w:val="005412EB"/>
    <w:rsid w:val="00541D7B"/>
    <w:rsid w:val="005557BC"/>
    <w:rsid w:val="0055722F"/>
    <w:rsid w:val="005779A0"/>
    <w:rsid w:val="00577CD1"/>
    <w:rsid w:val="00585390"/>
    <w:rsid w:val="00585737"/>
    <w:rsid w:val="005857DC"/>
    <w:rsid w:val="005935AD"/>
    <w:rsid w:val="005939A5"/>
    <w:rsid w:val="00593F0E"/>
    <w:rsid w:val="00595725"/>
    <w:rsid w:val="00597DC7"/>
    <w:rsid w:val="005A148C"/>
    <w:rsid w:val="005A2A59"/>
    <w:rsid w:val="005A401E"/>
    <w:rsid w:val="005A52CE"/>
    <w:rsid w:val="005C31DC"/>
    <w:rsid w:val="005D1680"/>
    <w:rsid w:val="005D1F44"/>
    <w:rsid w:val="005D390A"/>
    <w:rsid w:val="005D4779"/>
    <w:rsid w:val="005E4DD4"/>
    <w:rsid w:val="005E615B"/>
    <w:rsid w:val="005E7A31"/>
    <w:rsid w:val="00603AFE"/>
    <w:rsid w:val="006066CA"/>
    <w:rsid w:val="006172ED"/>
    <w:rsid w:val="00620E78"/>
    <w:rsid w:val="00631948"/>
    <w:rsid w:val="00632207"/>
    <w:rsid w:val="0063491C"/>
    <w:rsid w:val="00647178"/>
    <w:rsid w:val="006479E2"/>
    <w:rsid w:val="00650650"/>
    <w:rsid w:val="00651FD7"/>
    <w:rsid w:val="006525F5"/>
    <w:rsid w:val="00653FB5"/>
    <w:rsid w:val="00661AFE"/>
    <w:rsid w:val="006702FC"/>
    <w:rsid w:val="006769BC"/>
    <w:rsid w:val="00677582"/>
    <w:rsid w:val="00681282"/>
    <w:rsid w:val="006934CE"/>
    <w:rsid w:val="006A1014"/>
    <w:rsid w:val="006A270F"/>
    <w:rsid w:val="006A48E8"/>
    <w:rsid w:val="006A58AC"/>
    <w:rsid w:val="006A68A4"/>
    <w:rsid w:val="006B2CB3"/>
    <w:rsid w:val="006B78EC"/>
    <w:rsid w:val="006C1F10"/>
    <w:rsid w:val="006D013E"/>
    <w:rsid w:val="006D047A"/>
    <w:rsid w:val="006E4D8B"/>
    <w:rsid w:val="006E5E28"/>
    <w:rsid w:val="006E6574"/>
    <w:rsid w:val="0070644D"/>
    <w:rsid w:val="0070740D"/>
    <w:rsid w:val="00707ECE"/>
    <w:rsid w:val="00714CF2"/>
    <w:rsid w:val="007156B9"/>
    <w:rsid w:val="00720817"/>
    <w:rsid w:val="00722850"/>
    <w:rsid w:val="00724EFB"/>
    <w:rsid w:val="00726AA1"/>
    <w:rsid w:val="0073353F"/>
    <w:rsid w:val="00735A91"/>
    <w:rsid w:val="007368D1"/>
    <w:rsid w:val="00741D8F"/>
    <w:rsid w:val="00742E45"/>
    <w:rsid w:val="007447AF"/>
    <w:rsid w:val="00746F3F"/>
    <w:rsid w:val="00750816"/>
    <w:rsid w:val="007533F4"/>
    <w:rsid w:val="007657C1"/>
    <w:rsid w:val="00765DF2"/>
    <w:rsid w:val="007723A0"/>
    <w:rsid w:val="00774249"/>
    <w:rsid w:val="007771A0"/>
    <w:rsid w:val="0077755F"/>
    <w:rsid w:val="00795957"/>
    <w:rsid w:val="007A0A5E"/>
    <w:rsid w:val="007A0F13"/>
    <w:rsid w:val="007A406D"/>
    <w:rsid w:val="007A50A2"/>
    <w:rsid w:val="007A62B0"/>
    <w:rsid w:val="007A71C2"/>
    <w:rsid w:val="007B2875"/>
    <w:rsid w:val="007B7B9A"/>
    <w:rsid w:val="007C0C86"/>
    <w:rsid w:val="007C1CF3"/>
    <w:rsid w:val="007C355C"/>
    <w:rsid w:val="007C5A0C"/>
    <w:rsid w:val="007D0D02"/>
    <w:rsid w:val="007D1D60"/>
    <w:rsid w:val="007E0FEE"/>
    <w:rsid w:val="007F2017"/>
    <w:rsid w:val="008006F7"/>
    <w:rsid w:val="00807F3D"/>
    <w:rsid w:val="00811A17"/>
    <w:rsid w:val="00815E9C"/>
    <w:rsid w:val="008339BB"/>
    <w:rsid w:val="008372F1"/>
    <w:rsid w:val="00837FE4"/>
    <w:rsid w:val="00847041"/>
    <w:rsid w:val="00847427"/>
    <w:rsid w:val="0085249B"/>
    <w:rsid w:val="00860C07"/>
    <w:rsid w:val="00862DB2"/>
    <w:rsid w:val="0086332E"/>
    <w:rsid w:val="0086419A"/>
    <w:rsid w:val="00864AE5"/>
    <w:rsid w:val="008658CC"/>
    <w:rsid w:val="00866A0A"/>
    <w:rsid w:val="0087023B"/>
    <w:rsid w:val="00870AD2"/>
    <w:rsid w:val="00870F72"/>
    <w:rsid w:val="00874668"/>
    <w:rsid w:val="008770AD"/>
    <w:rsid w:val="0088181C"/>
    <w:rsid w:val="00881AB9"/>
    <w:rsid w:val="00885EFE"/>
    <w:rsid w:val="0088719E"/>
    <w:rsid w:val="00887F5D"/>
    <w:rsid w:val="008900E9"/>
    <w:rsid w:val="008A0153"/>
    <w:rsid w:val="008A179F"/>
    <w:rsid w:val="008A35C7"/>
    <w:rsid w:val="008B0864"/>
    <w:rsid w:val="008B226B"/>
    <w:rsid w:val="008B4B67"/>
    <w:rsid w:val="008C0F1E"/>
    <w:rsid w:val="008C50D7"/>
    <w:rsid w:val="008C7413"/>
    <w:rsid w:val="008D16B7"/>
    <w:rsid w:val="008D2943"/>
    <w:rsid w:val="008D4D22"/>
    <w:rsid w:val="008D50EA"/>
    <w:rsid w:val="008E2E3D"/>
    <w:rsid w:val="008E447F"/>
    <w:rsid w:val="008E6AE6"/>
    <w:rsid w:val="008F0116"/>
    <w:rsid w:val="008F0179"/>
    <w:rsid w:val="008F143D"/>
    <w:rsid w:val="00903DC9"/>
    <w:rsid w:val="00904B25"/>
    <w:rsid w:val="00916F31"/>
    <w:rsid w:val="009278D0"/>
    <w:rsid w:val="00932865"/>
    <w:rsid w:val="009418BC"/>
    <w:rsid w:val="00943677"/>
    <w:rsid w:val="00944D3D"/>
    <w:rsid w:val="00964EA3"/>
    <w:rsid w:val="0098138E"/>
    <w:rsid w:val="00981B20"/>
    <w:rsid w:val="0098362C"/>
    <w:rsid w:val="0098655A"/>
    <w:rsid w:val="0098768D"/>
    <w:rsid w:val="00992238"/>
    <w:rsid w:val="009A7299"/>
    <w:rsid w:val="009B047A"/>
    <w:rsid w:val="009C09DD"/>
    <w:rsid w:val="009C2916"/>
    <w:rsid w:val="009C7A59"/>
    <w:rsid w:val="009D002A"/>
    <w:rsid w:val="009D5DEC"/>
    <w:rsid w:val="009E70D4"/>
    <w:rsid w:val="009E7C7F"/>
    <w:rsid w:val="00A150CF"/>
    <w:rsid w:val="00A17CE0"/>
    <w:rsid w:val="00A21510"/>
    <w:rsid w:val="00A23D48"/>
    <w:rsid w:val="00A2607C"/>
    <w:rsid w:val="00A278E8"/>
    <w:rsid w:val="00A34035"/>
    <w:rsid w:val="00A34457"/>
    <w:rsid w:val="00A42306"/>
    <w:rsid w:val="00A44E8D"/>
    <w:rsid w:val="00A5113E"/>
    <w:rsid w:val="00A520AC"/>
    <w:rsid w:val="00A54CD0"/>
    <w:rsid w:val="00A55767"/>
    <w:rsid w:val="00A55ACD"/>
    <w:rsid w:val="00A60167"/>
    <w:rsid w:val="00A6226B"/>
    <w:rsid w:val="00A626EA"/>
    <w:rsid w:val="00A64925"/>
    <w:rsid w:val="00A733B4"/>
    <w:rsid w:val="00A74D18"/>
    <w:rsid w:val="00A801F9"/>
    <w:rsid w:val="00A83669"/>
    <w:rsid w:val="00A90194"/>
    <w:rsid w:val="00AB7875"/>
    <w:rsid w:val="00AC2330"/>
    <w:rsid w:val="00AC68EE"/>
    <w:rsid w:val="00AD2294"/>
    <w:rsid w:val="00AD27DD"/>
    <w:rsid w:val="00AD2D38"/>
    <w:rsid w:val="00AF09C6"/>
    <w:rsid w:val="00AF202F"/>
    <w:rsid w:val="00AF4FC9"/>
    <w:rsid w:val="00AF733B"/>
    <w:rsid w:val="00AF78D8"/>
    <w:rsid w:val="00B0186A"/>
    <w:rsid w:val="00B01F7E"/>
    <w:rsid w:val="00B048F1"/>
    <w:rsid w:val="00B151A9"/>
    <w:rsid w:val="00B3087D"/>
    <w:rsid w:val="00B31755"/>
    <w:rsid w:val="00B34794"/>
    <w:rsid w:val="00B45F21"/>
    <w:rsid w:val="00B60421"/>
    <w:rsid w:val="00B664A8"/>
    <w:rsid w:val="00B66FAD"/>
    <w:rsid w:val="00B71675"/>
    <w:rsid w:val="00B720AB"/>
    <w:rsid w:val="00B83DA0"/>
    <w:rsid w:val="00BA2B17"/>
    <w:rsid w:val="00BB0243"/>
    <w:rsid w:val="00BB4C65"/>
    <w:rsid w:val="00BC1031"/>
    <w:rsid w:val="00BD436B"/>
    <w:rsid w:val="00BE29FD"/>
    <w:rsid w:val="00BF224F"/>
    <w:rsid w:val="00C00306"/>
    <w:rsid w:val="00C014B3"/>
    <w:rsid w:val="00C10B5F"/>
    <w:rsid w:val="00C3496D"/>
    <w:rsid w:val="00C4624A"/>
    <w:rsid w:val="00C56403"/>
    <w:rsid w:val="00C61879"/>
    <w:rsid w:val="00C80ED7"/>
    <w:rsid w:val="00C829B4"/>
    <w:rsid w:val="00C84A55"/>
    <w:rsid w:val="00C913A1"/>
    <w:rsid w:val="00C91C14"/>
    <w:rsid w:val="00C927DA"/>
    <w:rsid w:val="00C96E10"/>
    <w:rsid w:val="00CB2767"/>
    <w:rsid w:val="00CB77BF"/>
    <w:rsid w:val="00CC1C31"/>
    <w:rsid w:val="00CC36C0"/>
    <w:rsid w:val="00CC6A99"/>
    <w:rsid w:val="00CC7B00"/>
    <w:rsid w:val="00CD554A"/>
    <w:rsid w:val="00CD5633"/>
    <w:rsid w:val="00CE10E8"/>
    <w:rsid w:val="00CE1359"/>
    <w:rsid w:val="00CE5349"/>
    <w:rsid w:val="00CE5FF8"/>
    <w:rsid w:val="00CF1EFD"/>
    <w:rsid w:val="00CF6D69"/>
    <w:rsid w:val="00D00436"/>
    <w:rsid w:val="00D00AA3"/>
    <w:rsid w:val="00D015C0"/>
    <w:rsid w:val="00D01B5C"/>
    <w:rsid w:val="00D07F73"/>
    <w:rsid w:val="00D13FB6"/>
    <w:rsid w:val="00D14844"/>
    <w:rsid w:val="00D154B9"/>
    <w:rsid w:val="00D15DC0"/>
    <w:rsid w:val="00D15FE7"/>
    <w:rsid w:val="00D173B3"/>
    <w:rsid w:val="00D177FF"/>
    <w:rsid w:val="00D2041C"/>
    <w:rsid w:val="00D206A8"/>
    <w:rsid w:val="00D25ADE"/>
    <w:rsid w:val="00D31121"/>
    <w:rsid w:val="00D31945"/>
    <w:rsid w:val="00D33ECD"/>
    <w:rsid w:val="00D359AB"/>
    <w:rsid w:val="00D36AB1"/>
    <w:rsid w:val="00D43297"/>
    <w:rsid w:val="00D44DB6"/>
    <w:rsid w:val="00D464EC"/>
    <w:rsid w:val="00D50119"/>
    <w:rsid w:val="00D53753"/>
    <w:rsid w:val="00D67B6B"/>
    <w:rsid w:val="00D7350A"/>
    <w:rsid w:val="00D75A78"/>
    <w:rsid w:val="00D82A43"/>
    <w:rsid w:val="00D8317A"/>
    <w:rsid w:val="00D92BA0"/>
    <w:rsid w:val="00D94CA1"/>
    <w:rsid w:val="00DA2C89"/>
    <w:rsid w:val="00DA7B5D"/>
    <w:rsid w:val="00DC00B9"/>
    <w:rsid w:val="00DD0A98"/>
    <w:rsid w:val="00DD25E8"/>
    <w:rsid w:val="00DD4841"/>
    <w:rsid w:val="00DE12CE"/>
    <w:rsid w:val="00DE5653"/>
    <w:rsid w:val="00DF035E"/>
    <w:rsid w:val="00DF4C83"/>
    <w:rsid w:val="00DF58E7"/>
    <w:rsid w:val="00E01ADC"/>
    <w:rsid w:val="00E07408"/>
    <w:rsid w:val="00E11140"/>
    <w:rsid w:val="00E11876"/>
    <w:rsid w:val="00E23CBB"/>
    <w:rsid w:val="00E25DC4"/>
    <w:rsid w:val="00E35B87"/>
    <w:rsid w:val="00E37B59"/>
    <w:rsid w:val="00E37CC7"/>
    <w:rsid w:val="00E41C40"/>
    <w:rsid w:val="00E44388"/>
    <w:rsid w:val="00E468C7"/>
    <w:rsid w:val="00E53438"/>
    <w:rsid w:val="00E623F7"/>
    <w:rsid w:val="00E65443"/>
    <w:rsid w:val="00E67F1F"/>
    <w:rsid w:val="00E725FC"/>
    <w:rsid w:val="00E80DE3"/>
    <w:rsid w:val="00E90CA8"/>
    <w:rsid w:val="00E91FC2"/>
    <w:rsid w:val="00E957A7"/>
    <w:rsid w:val="00EA36C6"/>
    <w:rsid w:val="00EA3AB4"/>
    <w:rsid w:val="00EB2C47"/>
    <w:rsid w:val="00EC21AA"/>
    <w:rsid w:val="00EC30F9"/>
    <w:rsid w:val="00EC3E1C"/>
    <w:rsid w:val="00EC657D"/>
    <w:rsid w:val="00ED10BC"/>
    <w:rsid w:val="00ED5725"/>
    <w:rsid w:val="00ED7031"/>
    <w:rsid w:val="00ED75AB"/>
    <w:rsid w:val="00EE3060"/>
    <w:rsid w:val="00EE4315"/>
    <w:rsid w:val="00EF3C88"/>
    <w:rsid w:val="00EF667E"/>
    <w:rsid w:val="00EF6925"/>
    <w:rsid w:val="00EF6B38"/>
    <w:rsid w:val="00EF7031"/>
    <w:rsid w:val="00F005AA"/>
    <w:rsid w:val="00F04225"/>
    <w:rsid w:val="00F07AD0"/>
    <w:rsid w:val="00F146F3"/>
    <w:rsid w:val="00F26ED3"/>
    <w:rsid w:val="00F32000"/>
    <w:rsid w:val="00F35F22"/>
    <w:rsid w:val="00F41E00"/>
    <w:rsid w:val="00F51FBC"/>
    <w:rsid w:val="00F52B45"/>
    <w:rsid w:val="00F57B93"/>
    <w:rsid w:val="00F62B7A"/>
    <w:rsid w:val="00F6397D"/>
    <w:rsid w:val="00F71B19"/>
    <w:rsid w:val="00F7293E"/>
    <w:rsid w:val="00F76650"/>
    <w:rsid w:val="00F811B9"/>
    <w:rsid w:val="00F83CB0"/>
    <w:rsid w:val="00F85697"/>
    <w:rsid w:val="00F8596A"/>
    <w:rsid w:val="00F9187B"/>
    <w:rsid w:val="00F92385"/>
    <w:rsid w:val="00F925C7"/>
    <w:rsid w:val="00F9429F"/>
    <w:rsid w:val="00F96BD2"/>
    <w:rsid w:val="00FA1B4F"/>
    <w:rsid w:val="00FA247B"/>
    <w:rsid w:val="00FA5276"/>
    <w:rsid w:val="00FB535E"/>
    <w:rsid w:val="00FC47F9"/>
    <w:rsid w:val="00FE1C43"/>
    <w:rsid w:val="00FE2351"/>
    <w:rsid w:val="00FE4CA3"/>
    <w:rsid w:val="00FE5580"/>
    <w:rsid w:val="00FF110C"/>
    <w:rsid w:val="00FF46BE"/>
    <w:rsid w:val="00FF6F3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57A5C"/>
  <w15:chartTrackingRefBased/>
  <w15:docId w15:val="{9D136055-7B24-4252-8F39-6A95F78E2C9B}"/>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numPr>
        <w:numId w:val="15"/>
      </w:numPr>
      <w:ind w:right="2160"/>
    </w:pPr>
    <w:rPr>
      <w:rFonts w:eastAsia="Times New Roman" w:cs="Times New Roman"/>
      <w:szCs w:val="32"/>
    </w:rPr>
  </w:style>
  <w:style w:type="paragraph" w:styleId="Heading2">
    <w:name w:val="heading 2"/>
    <w:basedOn w:val="Dummy"/>
    <w:next w:val="Standard"/>
    <w:link w:val="Heading2Char"/>
    <w:uiPriority w:val="4"/>
    <w:qFormat/>
    <w:rsid w:val="008658CC"/>
    <w:pPr>
      <w:numPr>
        <w:ilvl w:val="1"/>
        <w:numId w:val="15"/>
      </w:numPr>
      <w:tabs>
        <w:tab w:val="clear" w:pos="1080"/>
      </w:tabs>
      <w:ind w:left="1530" w:right="2160" w:hanging="810"/>
      <w:outlineLvl w:val="1"/>
    </w:pPr>
  </w:style>
  <w:style w:type="paragraph" w:styleId="Heading3">
    <w:name w:val="heading 3"/>
    <w:basedOn w:val="Dummy"/>
    <w:next w:val="Standard"/>
    <w:link w:val="Heading3Char"/>
    <w:uiPriority w:val="4"/>
    <w:qFormat/>
    <w:rsid w:val="000E270A"/>
    <w:pPr>
      <w:numPr>
        <w:ilvl w:val="2"/>
        <w:numId w:val="15"/>
      </w:numPr>
      <w:ind w:right="2160"/>
      <w:outlineLvl w:val="2"/>
    </w:pPr>
    <w:rPr>
      <w:rFonts w:eastAsia="Times New Roman" w:cs="Times New Roman"/>
      <w:szCs w:val="24"/>
    </w:rPr>
  </w:style>
  <w:style w:type="paragraph" w:styleId="Heading4">
    <w:name w:val="heading 4"/>
    <w:basedOn w:val="Dummy"/>
    <w:next w:val="Standard"/>
    <w:link w:val="Heading4Char"/>
    <w:uiPriority w:val="4"/>
    <w:rsid w:val="000E270A"/>
    <w:pPr>
      <w:numPr>
        <w:ilvl w:val="3"/>
        <w:numId w:val="15"/>
      </w:numPr>
      <w:ind w:right="2160"/>
      <w:outlineLvl w:val="3"/>
    </w:pPr>
    <w:rPr>
      <w:rFonts w:eastAsia="Times New Roman" w:cs="Times New Roman"/>
      <w:iCs/>
    </w:rPr>
  </w:style>
  <w:style w:type="paragraph" w:styleId="Heading5">
    <w:name w:val="heading 5"/>
    <w:basedOn w:val="Dummy"/>
    <w:next w:val="Standard"/>
    <w:link w:val="Heading5Char"/>
    <w:uiPriority w:val="4"/>
    <w:rsid w:val="000E270A"/>
    <w:pPr>
      <w:numPr>
        <w:ilvl w:val="4"/>
        <w:numId w:val="15"/>
      </w:numPr>
      <w:ind w:right="2160"/>
      <w:outlineLvl w:val="4"/>
    </w:pPr>
    <w:rPr>
      <w:rFonts w:eastAsia="Times New Roman" w:cs="Times New Roman"/>
    </w:rPr>
  </w:style>
  <w:style w:type="paragraph" w:styleId="Heading6">
    <w:name w:val="heading 6"/>
    <w:basedOn w:val="Dummy"/>
    <w:next w:val="Standard"/>
    <w:link w:val="Heading6Char"/>
    <w:uiPriority w:val="4"/>
    <w:rsid w:val="000E270A"/>
    <w:pPr>
      <w:numPr>
        <w:ilvl w:val="5"/>
        <w:numId w:val="15"/>
      </w:numPr>
      <w:spacing w:before="40"/>
      <w:ind w:right="2160"/>
      <w:outlineLvl w:val="5"/>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imes New Roman" w:hAnsi="Arial" w:cs="Times New Roman"/>
      <w:b/>
      <w:sz w:val="26"/>
      <w:szCs w:val="32"/>
    </w:rPr>
  </w:style>
  <w:style w:type="paragraph" w:styleId="TOCHeading">
    <w:name w:val="TOC Heading"/>
    <w:next w:val="Normal"/>
    <w:uiPriority w:val="39"/>
    <w:unhideWhenUsed/>
    <w:rsid w:val="001E2A62"/>
    <w:pPr>
      <w:spacing w:line="240" w:lineRule="auto"/>
      <w:jc w:val="center"/>
    </w:pPr>
    <w:rPr>
      <w:rFonts w:ascii="Arial" w:eastAsia="Times New Roman" w:hAnsi="Arial" w:cs="Times New Roman"/>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imes New Roman" w:cs="Times New Roman"/>
      <w:caps/>
      <w:szCs w:val="56"/>
    </w:rPr>
  </w:style>
  <w:style w:type="character" w:customStyle="1" w:styleId="TitleChar">
    <w:name w:val="Title Char"/>
    <w:basedOn w:val="DefaultParagraphFont"/>
    <w:link w:val="Title"/>
    <w:uiPriority w:val="10"/>
    <w:semiHidden/>
    <w:rsid w:val="0036017B"/>
    <w:rPr>
      <w:rFonts w:ascii="Arial" w:eastAsia="Times New Roman" w:hAnsi="Arial" w:cs="Times New Roman"/>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8658CC"/>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imes New Roman" w:hAnsi="Arial" w:cs="Times New Roman"/>
      <w:b/>
      <w:sz w:val="26"/>
      <w:szCs w:val="24"/>
    </w:rPr>
  </w:style>
  <w:style w:type="character" w:customStyle="1" w:styleId="Heading4Char">
    <w:name w:val="Heading 4 Char"/>
    <w:basedOn w:val="DefaultParagraphFont"/>
    <w:link w:val="Heading4"/>
    <w:uiPriority w:val="4"/>
    <w:rsid w:val="00287BC5"/>
    <w:rPr>
      <w:rFonts w:ascii="Arial" w:eastAsia="Times New Roman" w:hAnsi="Arial" w:cs="Times New Roman"/>
      <w:b/>
      <w:iCs/>
      <w:sz w:val="26"/>
      <w:szCs w:val="26"/>
    </w:rPr>
  </w:style>
  <w:style w:type="character" w:customStyle="1" w:styleId="Heading5Char">
    <w:name w:val="Heading 5 Char"/>
    <w:basedOn w:val="DefaultParagraphFont"/>
    <w:link w:val="Heading5"/>
    <w:uiPriority w:val="4"/>
    <w:rsid w:val="00287BC5"/>
    <w:rPr>
      <w:rFonts w:ascii="Arial" w:eastAsia="Times New Roman" w:hAnsi="Arial" w:cs="Times New Roman"/>
      <w:b/>
      <w:sz w:val="26"/>
      <w:szCs w:val="26"/>
    </w:rPr>
  </w:style>
  <w:style w:type="paragraph" w:customStyle="1" w:styleId="Main">
    <w:name w:val="Main"/>
    <w:next w:val="Normal"/>
    <w:uiPriority w:val="19"/>
    <w:rsid w:val="00F62B7A"/>
    <w:pPr>
      <w:spacing w:after="0" w:line="240" w:lineRule="auto"/>
      <w:jc w:val="center"/>
    </w:pPr>
    <w:rPr>
      <w:rFonts w:ascii="Arial" w:eastAsia="Times New Roman" w:hAnsi="Arial" w:cs="Times New Roman"/>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B720AB"/>
    <w:pPr>
      <w:spacing w:line="240" w:lineRule="auto"/>
      <w:ind w:left="1123" w:right="720" w:hanging="648"/>
    </w:pPr>
    <w:rPr>
      <w:rFonts w:eastAsia="Times New Roman" w:cs="Times New Roman"/>
    </w:rPr>
  </w:style>
  <w:style w:type="paragraph" w:styleId="TOC1">
    <w:name w:val="toc 1"/>
    <w:basedOn w:val="Normal"/>
    <w:next w:val="Normal"/>
    <w:uiPriority w:val="39"/>
    <w:unhideWhenUsed/>
    <w:rsid w:val="00B720AB"/>
    <w:pPr>
      <w:spacing w:line="240" w:lineRule="auto"/>
      <w:ind w:left="475" w:right="720" w:hanging="475"/>
    </w:pPr>
    <w:rPr>
      <w:rFonts w:eastAsia="Times New Roman" w:cs="Times New Roman"/>
    </w:rPr>
  </w:style>
  <w:style w:type="paragraph" w:styleId="TOC3">
    <w:name w:val="toc 3"/>
    <w:basedOn w:val="Normal"/>
    <w:next w:val="Normal"/>
    <w:uiPriority w:val="39"/>
    <w:unhideWhenUsed/>
    <w:rsid w:val="00B720AB"/>
    <w:pPr>
      <w:spacing w:line="240" w:lineRule="auto"/>
      <w:ind w:left="2016" w:right="720" w:hanging="864"/>
    </w:pPr>
    <w:rPr>
      <w:rFonts w:eastAsia="Times New Roman"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basedOn w:val="Normal"/>
    <w:link w:val="FootnoteTextChar"/>
    <w:uiPriority w:val="99"/>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99"/>
    <w:rsid w:val="007657C1"/>
    <w:rPr>
      <w:rFonts w:ascii="Book Antiqua" w:hAnsi="Book Antiqua"/>
      <w:szCs w:val="20"/>
    </w:rPr>
  </w:style>
  <w:style w:type="character" w:styleId="FootnoteReference">
    <w:name w:val="footnote reference"/>
    <w:aliases w:val="o,fr,o1,o2,o3,o4,o5,o6,o11,o21,o7,Style 3,o + Times New Roman,Style 58"/>
    <w:basedOn w:val="DefaultParagraphFont"/>
    <w:uiPriority w:val="99"/>
    <w:unhideWhenUsed/>
    <w:rsid w:val="00DF58E7"/>
    <w:rPr>
      <w:vertAlign w:val="superscript"/>
    </w:rPr>
  </w:style>
  <w:style w:type="paragraph" w:customStyle="1" w:styleId="FoF">
    <w:name w:val="FoF"/>
    <w:basedOn w:val="Standard"/>
    <w:uiPriority w:val="6"/>
    <w:qFormat/>
    <w:rsid w:val="001E2A62"/>
    <w:pPr>
      <w:numPr>
        <w:numId w:val="3"/>
      </w:numPr>
      <w:ind w:firstLine="547"/>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numPr>
        <w:ilvl w:val="7"/>
        <w:numId w:val="15"/>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imes New Roman" w:hAnsi="Arial" w:cs="Times New Roman"/>
      <w:b/>
      <w:sz w:val="26"/>
      <w:szCs w:val="26"/>
    </w:rPr>
  </w:style>
  <w:style w:type="paragraph" w:styleId="TOC4">
    <w:name w:val="toc 4"/>
    <w:basedOn w:val="Normal"/>
    <w:next w:val="Normal"/>
    <w:autoRedefine/>
    <w:uiPriority w:val="39"/>
    <w:unhideWhenUsed/>
    <w:rsid w:val="009418BC"/>
    <w:pPr>
      <w:tabs>
        <w:tab w:val="right" w:leader="dot" w:pos="9350"/>
      </w:tabs>
      <w:spacing w:line="240" w:lineRule="auto"/>
      <w:ind w:left="2880" w:hanging="99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15"/>
      </w:numPr>
      <w:spacing w:after="120" w:line="240" w:lineRule="auto"/>
    </w:pPr>
  </w:style>
  <w:style w:type="paragraph" w:styleId="ListParagraph">
    <w:name w:val="List Paragraph"/>
    <w:basedOn w:val="Normal"/>
    <w:uiPriority w:val="34"/>
    <w:rsid w:val="0055722F"/>
    <w:pPr>
      <w:ind w:left="720"/>
      <w:contextualSpacing/>
    </w:pPr>
  </w:style>
  <w:style w:type="paragraph" w:customStyle="1" w:styleId="ALJBodyText">
    <w:name w:val="ALJ Body Text"/>
    <w:basedOn w:val="Normal"/>
    <w:link w:val="ALJBodyTextChar"/>
    <w:qFormat/>
    <w:rsid w:val="00C829B4"/>
    <w:rPr>
      <w:rFonts w:cs="Times New Roman"/>
      <w:szCs w:val="20"/>
    </w:rPr>
  </w:style>
  <w:style w:type="character" w:customStyle="1" w:styleId="ALJBodyTextChar">
    <w:name w:val="ALJ Body Text Char"/>
    <w:basedOn w:val="DefaultParagraphFont"/>
    <w:link w:val="ALJBodyText"/>
    <w:rsid w:val="00C829B4"/>
    <w:rPr>
      <w:rFonts w:ascii="Book Antiqua" w:hAnsi="Book Antiqua" w:cs="Times New Roman"/>
      <w:sz w:val="26"/>
      <w:szCs w:val="20"/>
    </w:rPr>
  </w:style>
  <w:style w:type="paragraph" w:customStyle="1" w:styleId="ALJHeading4">
    <w:name w:val="ALJ Heading 4"/>
    <w:basedOn w:val="Normal"/>
    <w:next w:val="ALJBodyText"/>
    <w:qFormat/>
    <w:rsid w:val="00C829B4"/>
    <w:pPr>
      <w:keepNext/>
      <w:numPr>
        <w:numId w:val="18"/>
      </w:numPr>
      <w:spacing w:before="120" w:after="120" w:line="240" w:lineRule="auto"/>
    </w:pPr>
    <w:rPr>
      <w:rFonts w:ascii="Arial" w:hAnsi="Arial" w:cs="Arial"/>
      <w:b/>
      <w:szCs w:val="20"/>
    </w:rPr>
  </w:style>
  <w:style w:type="paragraph" w:customStyle="1" w:styleId="ALJOP">
    <w:name w:val="ALJ OP"/>
    <w:basedOn w:val="ALJBodyText"/>
    <w:qFormat/>
    <w:rsid w:val="00C829B4"/>
    <w:pPr>
      <w:numPr>
        <w:numId w:val="17"/>
      </w:numPr>
      <w:ind w:left="0" w:firstLine="720"/>
    </w:pPr>
  </w:style>
  <w:style w:type="paragraph" w:styleId="Revision">
    <w:name w:val="Revision"/>
    <w:hidden/>
    <w:uiPriority w:val="99"/>
    <w:semiHidden/>
    <w:rsid w:val="00CF1EFD"/>
    <w:pPr>
      <w:spacing w:after="0" w:line="240" w:lineRule="auto"/>
    </w:pPr>
    <w:rPr>
      <w:rFonts w:ascii="Book Antiqua" w:hAnsi="Book Antiqua"/>
      <w:sz w:val="26"/>
    </w:rPr>
  </w:style>
  <w:style w:type="character" w:styleId="CommentReference">
    <w:name w:val="annotation reference"/>
    <w:basedOn w:val="DefaultParagraphFont"/>
    <w:uiPriority w:val="99"/>
    <w:semiHidden/>
    <w:unhideWhenUsed/>
    <w:rsid w:val="00D31121"/>
    <w:rPr>
      <w:sz w:val="16"/>
      <w:szCs w:val="16"/>
    </w:rPr>
  </w:style>
  <w:style w:type="paragraph" w:styleId="CommentText">
    <w:name w:val="annotation text"/>
    <w:basedOn w:val="Normal"/>
    <w:link w:val="CommentTextChar"/>
    <w:uiPriority w:val="99"/>
    <w:unhideWhenUsed/>
    <w:rsid w:val="00D31121"/>
    <w:pPr>
      <w:spacing w:line="240" w:lineRule="auto"/>
    </w:pPr>
    <w:rPr>
      <w:sz w:val="20"/>
      <w:szCs w:val="20"/>
    </w:rPr>
  </w:style>
  <w:style w:type="character" w:customStyle="1" w:styleId="CommentTextChar">
    <w:name w:val="Comment Text Char"/>
    <w:basedOn w:val="DefaultParagraphFont"/>
    <w:link w:val="CommentText"/>
    <w:uiPriority w:val="99"/>
    <w:rsid w:val="00D31121"/>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D31121"/>
    <w:rPr>
      <w:b/>
      <w:bCs/>
    </w:rPr>
  </w:style>
  <w:style w:type="character" w:customStyle="1" w:styleId="CommentSubjectChar">
    <w:name w:val="Comment Subject Char"/>
    <w:basedOn w:val="CommentTextChar"/>
    <w:link w:val="CommentSubject"/>
    <w:uiPriority w:val="99"/>
    <w:semiHidden/>
    <w:rsid w:val="00D31121"/>
    <w:rPr>
      <w:rFonts w:ascii="Book Antiqua" w:hAnsi="Book Antiqu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90F43-E299-4AB8-8D84-0EA4E7F3522D}">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27</ap:Pages>
  <ap:Words>5952</ap:Words>
  <ap:Characters>33930</ap:Characters>
  <ap:Application>Microsoft Office Word</ap:Application>
  <ap:DocSecurity>0</ap:DocSecurity>
  <ap:Lines>282</ap:Lines>
  <ap:Paragraphs>79</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39803</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2022-01-27T16:58:00Z</cp:lastPrinted>
  <dcterms:created xsi:type="dcterms:W3CDTF">2022-03-23T10:25:27Z</dcterms:created>
  <dcterms:modified xsi:type="dcterms:W3CDTF">2022-03-23T10:25:27Z</dcterms:modified>
</cp:coreProperties>
</file>