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Layout w:type="fixed"/>
        <w:tblCellMar>
          <w:left w:w="0" w:type="dxa"/>
          <w:right w:w="0" w:type="dxa"/>
        </w:tblCellMar>
        <w:tblLook w:val="01E0" w:firstRow="1" w:lastRow="1" w:firstColumn="1" w:lastColumn="1" w:noHBand="0" w:noVBand="0"/>
      </w:tblPr>
      <w:tblGrid>
        <w:gridCol w:w="1331"/>
        <w:gridCol w:w="8462"/>
      </w:tblGrid>
      <w:tr w:rsidRPr="00C148E2" w:rsidR="00B646A0" w:rsidTr="00295986" w14:paraId="7ACB2F78" w14:textId="77777777">
        <w:trPr>
          <w:trHeight w:val="810"/>
        </w:trPr>
        <w:tc>
          <w:tcPr>
            <w:tcW w:w="9793" w:type="dxa"/>
            <w:gridSpan w:val="2"/>
          </w:tcPr>
          <w:p w:rsidR="00295986" w:rsidP="00295986" w:rsidRDefault="006F1017" w14:paraId="5BDF77AC" w14:textId="77777777">
            <w:pPr>
              <w:pStyle w:val="TableParagraph"/>
              <w:tabs>
                <w:tab w:val="left" w:pos="6912"/>
              </w:tabs>
              <w:ind w:left="7636" w:hanging="7384"/>
              <w:jc w:val="center"/>
              <w:rPr>
                <w:b/>
                <w:sz w:val="24"/>
                <w:szCs w:val="24"/>
              </w:rPr>
            </w:pPr>
            <w:r w:rsidRPr="00C148E2">
              <w:rPr>
                <w:b/>
                <w:sz w:val="24"/>
                <w:szCs w:val="24"/>
              </w:rPr>
              <w:t>State of California</w:t>
            </w:r>
            <w:r w:rsidRPr="00C148E2">
              <w:rPr>
                <w:b/>
                <w:sz w:val="24"/>
                <w:szCs w:val="24"/>
              </w:rPr>
              <w:tab/>
              <w:t xml:space="preserve">Public Utilities Commission </w:t>
            </w:r>
          </w:p>
          <w:p w:rsidRPr="00C148E2" w:rsidR="00B646A0" w:rsidP="00295986" w:rsidRDefault="006F1017" w14:paraId="7ACB2F76" w14:textId="4CE081C6">
            <w:pPr>
              <w:pStyle w:val="TableParagraph"/>
              <w:tabs>
                <w:tab w:val="left" w:pos="6244"/>
              </w:tabs>
              <w:ind w:left="7636" w:hanging="7636"/>
              <w:jc w:val="right"/>
              <w:rPr>
                <w:b/>
                <w:sz w:val="24"/>
                <w:szCs w:val="24"/>
              </w:rPr>
            </w:pPr>
            <w:r w:rsidRPr="00C148E2">
              <w:rPr>
                <w:b/>
                <w:sz w:val="24"/>
                <w:szCs w:val="24"/>
              </w:rPr>
              <w:t>San Francisco</w:t>
            </w:r>
          </w:p>
          <w:p w:rsidRPr="00C148E2" w:rsidR="00B646A0" w:rsidP="00295986" w:rsidRDefault="006F1017" w14:paraId="7ACB2F77" w14:textId="77777777">
            <w:pPr>
              <w:pStyle w:val="TableParagraph"/>
              <w:ind w:left="252"/>
              <w:rPr>
                <w:b/>
                <w:sz w:val="24"/>
                <w:szCs w:val="24"/>
              </w:rPr>
            </w:pPr>
            <w:r w:rsidRPr="00C148E2">
              <w:rPr>
                <w:b/>
                <w:sz w:val="24"/>
                <w:szCs w:val="24"/>
              </w:rPr>
              <w:t>M E M O R A N D U M</w:t>
            </w:r>
          </w:p>
        </w:tc>
      </w:tr>
      <w:tr w:rsidRPr="00C148E2" w:rsidR="00B646A0" w:rsidTr="00295986" w14:paraId="7ACB2F7D" w14:textId="77777777">
        <w:trPr>
          <w:trHeight w:val="690"/>
        </w:trPr>
        <w:tc>
          <w:tcPr>
            <w:tcW w:w="1331" w:type="dxa"/>
          </w:tcPr>
          <w:p w:rsidRPr="00C148E2" w:rsidR="00B646A0" w:rsidRDefault="00B646A0" w14:paraId="7ACB2F79" w14:textId="77777777">
            <w:pPr>
              <w:pStyle w:val="TableParagraph"/>
              <w:spacing w:before="6"/>
              <w:rPr>
                <w:sz w:val="24"/>
                <w:szCs w:val="24"/>
              </w:rPr>
            </w:pPr>
          </w:p>
          <w:p w:rsidRPr="00C148E2" w:rsidR="00B646A0" w:rsidRDefault="006F1017" w14:paraId="7ACB2F7A" w14:textId="77777777">
            <w:pPr>
              <w:pStyle w:val="TableParagraph"/>
              <w:ind w:left="200"/>
              <w:rPr>
                <w:b/>
                <w:sz w:val="24"/>
                <w:szCs w:val="24"/>
              </w:rPr>
            </w:pPr>
            <w:r w:rsidRPr="00C148E2">
              <w:rPr>
                <w:b/>
                <w:sz w:val="24"/>
                <w:szCs w:val="24"/>
              </w:rPr>
              <w:t>Date:</w:t>
            </w:r>
          </w:p>
        </w:tc>
        <w:tc>
          <w:tcPr>
            <w:tcW w:w="8462" w:type="dxa"/>
          </w:tcPr>
          <w:p w:rsidRPr="00C148E2" w:rsidR="00B646A0" w:rsidRDefault="00B646A0" w14:paraId="7ACB2F7B" w14:textId="77777777">
            <w:pPr>
              <w:pStyle w:val="TableParagraph"/>
              <w:spacing w:before="6"/>
              <w:rPr>
                <w:sz w:val="24"/>
                <w:szCs w:val="24"/>
              </w:rPr>
            </w:pPr>
          </w:p>
          <w:p w:rsidRPr="00C148E2" w:rsidR="00B646A0" w:rsidRDefault="007A1BE5" w14:paraId="7ACB2F7C" w14:textId="6A0F0F0D">
            <w:pPr>
              <w:pStyle w:val="TableParagraph"/>
              <w:ind w:left="280"/>
              <w:rPr>
                <w:b/>
                <w:sz w:val="24"/>
                <w:szCs w:val="24"/>
              </w:rPr>
            </w:pPr>
            <w:r>
              <w:rPr>
                <w:b/>
                <w:sz w:val="24"/>
                <w:szCs w:val="24"/>
              </w:rPr>
              <w:t>April 1, 2022</w:t>
            </w:r>
          </w:p>
        </w:tc>
      </w:tr>
      <w:tr w:rsidRPr="00C148E2" w:rsidR="00B646A0" w:rsidTr="00295986" w14:paraId="7ACB2F81" w14:textId="77777777">
        <w:trPr>
          <w:trHeight w:val="639"/>
        </w:trPr>
        <w:tc>
          <w:tcPr>
            <w:tcW w:w="1331" w:type="dxa"/>
          </w:tcPr>
          <w:p w:rsidRPr="00C148E2" w:rsidR="00B646A0" w:rsidRDefault="006F1017" w14:paraId="7ACB2F7E" w14:textId="77777777">
            <w:pPr>
              <w:pStyle w:val="TableParagraph"/>
              <w:spacing w:before="133"/>
              <w:ind w:left="200"/>
              <w:rPr>
                <w:b/>
                <w:sz w:val="24"/>
                <w:szCs w:val="24"/>
              </w:rPr>
            </w:pPr>
            <w:r w:rsidRPr="00C148E2">
              <w:rPr>
                <w:b/>
                <w:sz w:val="24"/>
                <w:szCs w:val="24"/>
              </w:rPr>
              <w:t>To:</w:t>
            </w:r>
          </w:p>
        </w:tc>
        <w:tc>
          <w:tcPr>
            <w:tcW w:w="8462" w:type="dxa"/>
          </w:tcPr>
          <w:p w:rsidRPr="00C148E2" w:rsidR="00B646A0" w:rsidRDefault="006F1017" w14:paraId="7ACB2F7F" w14:textId="77777777">
            <w:pPr>
              <w:pStyle w:val="TableParagraph"/>
              <w:spacing w:before="133"/>
              <w:ind w:left="280"/>
              <w:rPr>
                <w:b/>
                <w:sz w:val="24"/>
                <w:szCs w:val="24"/>
              </w:rPr>
            </w:pPr>
            <w:r w:rsidRPr="00C148E2">
              <w:rPr>
                <w:b/>
                <w:sz w:val="24"/>
                <w:szCs w:val="24"/>
              </w:rPr>
              <w:t>The Commission</w:t>
            </w:r>
          </w:p>
          <w:p w:rsidRPr="00C148E2" w:rsidR="00B646A0" w:rsidRDefault="006F1017" w14:paraId="7ACB2F80" w14:textId="2D54F326">
            <w:pPr>
              <w:pStyle w:val="TableParagraph"/>
              <w:ind w:left="280"/>
              <w:rPr>
                <w:b/>
                <w:sz w:val="24"/>
                <w:szCs w:val="24"/>
              </w:rPr>
            </w:pPr>
            <w:r w:rsidRPr="00C148E2">
              <w:rPr>
                <w:b/>
                <w:sz w:val="24"/>
                <w:szCs w:val="24"/>
              </w:rPr>
              <w:t xml:space="preserve">(Meeting of </w:t>
            </w:r>
            <w:r w:rsidR="00EA78F6">
              <w:rPr>
                <w:b/>
                <w:sz w:val="24"/>
                <w:szCs w:val="24"/>
              </w:rPr>
              <w:t>April 7</w:t>
            </w:r>
            <w:r w:rsidRPr="00C148E2" w:rsidR="004E0212">
              <w:rPr>
                <w:b/>
                <w:sz w:val="24"/>
                <w:szCs w:val="24"/>
              </w:rPr>
              <w:t>, 202</w:t>
            </w:r>
            <w:r w:rsidRPr="00C148E2" w:rsidR="00913DC6">
              <w:rPr>
                <w:b/>
                <w:sz w:val="24"/>
                <w:szCs w:val="24"/>
              </w:rPr>
              <w:t>2</w:t>
            </w:r>
            <w:r w:rsidRPr="00C148E2">
              <w:rPr>
                <w:b/>
                <w:sz w:val="24"/>
                <w:szCs w:val="24"/>
              </w:rPr>
              <w:t>)</w:t>
            </w:r>
          </w:p>
        </w:tc>
      </w:tr>
      <w:tr w:rsidRPr="00C148E2" w:rsidR="00B646A0" w:rsidTr="00295986" w14:paraId="7ACB2F84" w14:textId="77777777">
        <w:trPr>
          <w:trHeight w:val="441"/>
        </w:trPr>
        <w:tc>
          <w:tcPr>
            <w:tcW w:w="1331" w:type="dxa"/>
          </w:tcPr>
          <w:p w:rsidRPr="00C148E2" w:rsidR="00B646A0" w:rsidRDefault="006F1017" w14:paraId="7ACB2F82" w14:textId="77777777">
            <w:pPr>
              <w:pStyle w:val="TableParagraph"/>
              <w:spacing w:before="133"/>
              <w:ind w:left="200"/>
              <w:rPr>
                <w:b/>
                <w:sz w:val="24"/>
                <w:szCs w:val="24"/>
              </w:rPr>
            </w:pPr>
            <w:r w:rsidRPr="00C148E2">
              <w:rPr>
                <w:b/>
                <w:sz w:val="24"/>
                <w:szCs w:val="24"/>
              </w:rPr>
              <w:t>From:</w:t>
            </w:r>
          </w:p>
        </w:tc>
        <w:tc>
          <w:tcPr>
            <w:tcW w:w="8462" w:type="dxa"/>
          </w:tcPr>
          <w:p w:rsidRPr="00C148E2" w:rsidR="00B646A0" w:rsidRDefault="00520251" w14:paraId="7ACB2F83" w14:textId="0D54ECF2">
            <w:pPr>
              <w:pStyle w:val="TableParagraph"/>
              <w:spacing w:before="133"/>
              <w:ind w:left="277"/>
              <w:rPr>
                <w:b/>
                <w:sz w:val="24"/>
                <w:szCs w:val="24"/>
              </w:rPr>
            </w:pPr>
            <w:r>
              <w:rPr>
                <w:b/>
                <w:sz w:val="24"/>
                <w:szCs w:val="24"/>
              </w:rPr>
              <w:t>Office of the Commission</w:t>
            </w:r>
          </w:p>
        </w:tc>
      </w:tr>
      <w:tr w:rsidRPr="00C148E2" w:rsidR="00B646A0" w:rsidTr="00295986" w14:paraId="7ACB2F89" w14:textId="77777777">
        <w:trPr>
          <w:trHeight w:val="547"/>
        </w:trPr>
        <w:tc>
          <w:tcPr>
            <w:tcW w:w="1331" w:type="dxa"/>
          </w:tcPr>
          <w:p w:rsidRPr="00C148E2" w:rsidR="00B646A0" w:rsidRDefault="00B646A0" w14:paraId="7ACB2F85" w14:textId="77777777">
            <w:pPr>
              <w:pStyle w:val="TableParagraph"/>
              <w:spacing w:before="6"/>
              <w:rPr>
                <w:sz w:val="24"/>
                <w:szCs w:val="24"/>
              </w:rPr>
            </w:pPr>
          </w:p>
          <w:p w:rsidRPr="00C148E2" w:rsidR="00B646A0" w:rsidRDefault="006F1017" w14:paraId="7ACB2F86" w14:textId="77777777">
            <w:pPr>
              <w:pStyle w:val="TableParagraph"/>
              <w:spacing w:line="256" w:lineRule="exact"/>
              <w:ind w:left="200"/>
              <w:rPr>
                <w:b/>
                <w:sz w:val="24"/>
                <w:szCs w:val="24"/>
              </w:rPr>
            </w:pPr>
            <w:r w:rsidRPr="00C148E2">
              <w:rPr>
                <w:b/>
                <w:sz w:val="24"/>
                <w:szCs w:val="24"/>
              </w:rPr>
              <w:t>Subject:</w:t>
            </w:r>
          </w:p>
        </w:tc>
        <w:tc>
          <w:tcPr>
            <w:tcW w:w="8462" w:type="dxa"/>
          </w:tcPr>
          <w:p w:rsidRPr="00C148E2" w:rsidR="00B646A0" w:rsidRDefault="00B646A0" w14:paraId="7ACB2F87" w14:textId="77777777">
            <w:pPr>
              <w:pStyle w:val="TableParagraph"/>
              <w:spacing w:before="6"/>
              <w:rPr>
                <w:sz w:val="24"/>
                <w:szCs w:val="24"/>
              </w:rPr>
            </w:pPr>
          </w:p>
          <w:p w:rsidRPr="00C148E2" w:rsidR="00B646A0" w:rsidRDefault="006F1017" w14:paraId="7ACB2F88" w14:textId="3B0103C1">
            <w:pPr>
              <w:pStyle w:val="TableParagraph"/>
              <w:spacing w:line="256" w:lineRule="exact"/>
              <w:ind w:left="277"/>
              <w:rPr>
                <w:b/>
                <w:sz w:val="24"/>
                <w:szCs w:val="24"/>
              </w:rPr>
            </w:pPr>
            <w:r w:rsidRPr="00C148E2">
              <w:rPr>
                <w:b/>
                <w:sz w:val="24"/>
                <w:szCs w:val="24"/>
              </w:rPr>
              <w:t>Environmental and Social Justice Action Plan Version 2</w:t>
            </w:r>
          </w:p>
        </w:tc>
      </w:tr>
    </w:tbl>
    <w:p w:rsidRPr="00C148E2" w:rsidR="00B646A0" w:rsidRDefault="00B646A0" w14:paraId="7ACB2F8A" w14:textId="77777777">
      <w:pPr>
        <w:pStyle w:val="BodyText"/>
      </w:pPr>
    </w:p>
    <w:p w:rsidRPr="00C148E2" w:rsidR="00B646A0" w:rsidRDefault="006F1017" w14:paraId="7ACB2F8C" w14:textId="7C25A54C">
      <w:pPr>
        <w:pStyle w:val="BodyText"/>
        <w:spacing w:before="90"/>
        <w:ind w:left="391" w:right="117"/>
      </w:pPr>
      <w:r w:rsidRPr="00C148E2">
        <w:rPr>
          <w:b/>
          <w:u w:val="single"/>
        </w:rPr>
        <w:t>SUMMARY</w:t>
      </w:r>
      <w:r w:rsidRPr="00C148E2">
        <w:rPr>
          <w:b/>
        </w:rPr>
        <w:t xml:space="preserve">: </w:t>
      </w:r>
      <w:r w:rsidRPr="00C148E2">
        <w:t xml:space="preserve">The Environmental and Social Justice Action Plan (Plan) will </w:t>
      </w:r>
      <w:r w:rsidRPr="00C148E2" w:rsidR="00F4590F">
        <w:t xml:space="preserve">continue to </w:t>
      </w:r>
      <w:r w:rsidRPr="00C148E2">
        <w:t xml:space="preserve">serve as a roadmap to implement the California Public Utilities Commission’s (Commission) vision of advancing equity in its programs and policies. The </w:t>
      </w:r>
      <w:r w:rsidRPr="00C148E2" w:rsidR="00F4590F">
        <w:t xml:space="preserve">Commission adopted the first version of </w:t>
      </w:r>
      <w:r w:rsidRPr="00C148E2" w:rsidR="00277F3F">
        <w:t xml:space="preserve">the Plan in February 2019 which was </w:t>
      </w:r>
      <w:r w:rsidRPr="00C148E2">
        <w:t xml:space="preserve">developed collaboratively with all industry divisions. </w:t>
      </w:r>
      <w:r w:rsidRPr="00C148E2" w:rsidR="00575905">
        <w:t xml:space="preserve">It lays out nine key goals, with objectives and concrete actions attached to each goal. </w:t>
      </w:r>
      <w:r w:rsidRPr="00C148E2" w:rsidR="00277F3F">
        <w:t>This update</w:t>
      </w:r>
      <w:r w:rsidRPr="00C148E2" w:rsidR="004131DA">
        <w:t>d Plan</w:t>
      </w:r>
      <w:r w:rsidRPr="00C148E2" w:rsidR="00277F3F">
        <w:t xml:space="preserve"> </w:t>
      </w:r>
      <w:r w:rsidRPr="00C148E2" w:rsidR="00B9328A">
        <w:t xml:space="preserve">(Plan v.2) </w:t>
      </w:r>
      <w:r w:rsidRPr="00C148E2" w:rsidR="004131DA">
        <w:t xml:space="preserve">incorporates lessons learned over the last two years </w:t>
      </w:r>
      <w:r w:rsidRPr="00C148E2" w:rsidR="00575905">
        <w:t xml:space="preserve">and lays out updated action items to track. </w:t>
      </w:r>
      <w:r w:rsidR="00644CDB">
        <w:t xml:space="preserve">Plan v.2 </w:t>
      </w:r>
      <w:r w:rsidR="009915AC">
        <w:t xml:space="preserve">also includes feedback from various stakeholders who participated in </w:t>
      </w:r>
      <w:r w:rsidR="00DD153C">
        <w:t xml:space="preserve">public workshops held throughout the year. </w:t>
      </w:r>
      <w:r w:rsidRPr="00C148E2">
        <w:t xml:space="preserve">Plan </w:t>
      </w:r>
      <w:r w:rsidR="00493DC0">
        <w:t xml:space="preserve">v.2 </w:t>
      </w:r>
      <w:r w:rsidRPr="00C148E2">
        <w:t xml:space="preserve">will enable the Commission to evaluate and track its progress on advancing equity and environmental justice in all sectors it regulates. A draft of </w:t>
      </w:r>
      <w:r w:rsidR="00974E74">
        <w:t>Plan v.2</w:t>
      </w:r>
      <w:r w:rsidRPr="00C148E2">
        <w:t xml:space="preserve"> is available on the Commission website and can be found by visiting </w:t>
      </w:r>
      <w:hyperlink r:id="rId7">
        <w:r w:rsidRPr="00C148E2">
          <w:rPr>
            <w:color w:val="0000FF"/>
            <w:u w:val="single" w:color="0000FF"/>
          </w:rPr>
          <w:t>http://cpuc.ca.gov/discom/</w:t>
        </w:r>
        <w:r w:rsidRPr="00C148E2">
          <w:rPr>
            <w:color w:val="0000FF"/>
          </w:rPr>
          <w:t xml:space="preserve"> </w:t>
        </w:r>
      </w:hyperlink>
      <w:r w:rsidRPr="00C148E2">
        <w:t>and scrolling down to the section entitled “Environmental and Social Justice Action Plan”.</w:t>
      </w:r>
    </w:p>
    <w:p w:rsidRPr="00C148E2" w:rsidR="00B646A0" w:rsidRDefault="00B646A0" w14:paraId="7ACB2F8D" w14:textId="77777777">
      <w:pPr>
        <w:pStyle w:val="BodyText"/>
      </w:pPr>
    </w:p>
    <w:p w:rsidRPr="00C148E2" w:rsidR="00FB5C10" w:rsidRDefault="006F1017" w14:paraId="3D895352" w14:textId="77777777">
      <w:pPr>
        <w:pStyle w:val="BodyText"/>
        <w:ind w:left="391" w:right="142"/>
        <w:rPr>
          <w:b/>
        </w:rPr>
      </w:pPr>
      <w:r w:rsidRPr="00C148E2">
        <w:rPr>
          <w:b/>
          <w:u w:val="single"/>
        </w:rPr>
        <w:t>BACKGROUND</w:t>
      </w:r>
      <w:r w:rsidRPr="00C148E2">
        <w:rPr>
          <w:b/>
        </w:rPr>
        <w:t xml:space="preserve">: </w:t>
      </w:r>
    </w:p>
    <w:p w:rsidRPr="00C148E2" w:rsidR="00B646A0" w:rsidP="00FB5C10" w:rsidRDefault="006F1017" w14:paraId="7ACB2F8E" w14:textId="5B789F6F">
      <w:pPr>
        <w:pStyle w:val="BodyText"/>
        <w:spacing w:before="240"/>
        <w:ind w:left="391" w:right="142"/>
      </w:pPr>
      <w:r w:rsidRPr="00C148E2">
        <w:t xml:space="preserve">Advancing environmental justice has long been a goal for California; in 2000, California adopted legislation that required environmental justice achievements to be part of the state’s mission. California has adopted numerous environmental justice statues since 2000 that direct the Commission to incorporate environmental and social justice objectives into its work. The Environmental and Social Justice Action Plan will </w:t>
      </w:r>
      <w:r w:rsidRPr="00C148E2" w:rsidR="00575905">
        <w:t xml:space="preserve">continue to </w:t>
      </w:r>
      <w:r w:rsidRPr="00C148E2">
        <w:t>serve as a roadmap for implementing policies and programs at the Commission in a way that advances social and environmental justice.</w:t>
      </w:r>
    </w:p>
    <w:p w:rsidRPr="00C148E2" w:rsidR="00B646A0" w:rsidRDefault="00B646A0" w14:paraId="7ACB2F8F" w14:textId="77777777">
      <w:pPr>
        <w:pStyle w:val="BodyText"/>
        <w:spacing w:before="5"/>
      </w:pPr>
    </w:p>
    <w:p w:rsidRPr="00BC5547" w:rsidR="00B646A0" w:rsidRDefault="006F1017" w14:paraId="7ACB2F90" w14:textId="77777777">
      <w:pPr>
        <w:pStyle w:val="Heading1"/>
        <w:rPr>
          <w:caps/>
          <w:u w:val="none"/>
        </w:rPr>
      </w:pPr>
      <w:r w:rsidRPr="00BC5547">
        <w:rPr>
          <w:caps/>
        </w:rPr>
        <w:t>Overview of ESJ Action Plan</w:t>
      </w:r>
    </w:p>
    <w:p w:rsidRPr="00C148E2" w:rsidR="00B646A0" w:rsidRDefault="00B646A0" w14:paraId="7ACB2F91" w14:textId="77777777">
      <w:pPr>
        <w:pStyle w:val="BodyText"/>
        <w:spacing w:before="9"/>
        <w:rPr>
          <w:b/>
        </w:rPr>
      </w:pPr>
    </w:p>
    <w:p w:rsidRPr="00C148E2" w:rsidR="00B646A0" w:rsidRDefault="006F1017" w14:paraId="7ACB2F92" w14:textId="77777777">
      <w:pPr>
        <w:pStyle w:val="BodyText"/>
        <w:spacing w:before="90"/>
        <w:ind w:left="391" w:right="145"/>
      </w:pPr>
      <w:r w:rsidRPr="00C148E2">
        <w:t>The Environmental and Social Justice Action Plan establishes nine goals to inform its strategies to achieve environmental justice. Each goal has objectives and specific actions that the Commission will take. These goals, objectives, and actions respond to existing inequities and identify how the Commission can use its authority to address health and safety, consumer protection, and enforcement across the industries it regulates. The goals, objectives, and actions also highlight how the Commission can engage directly with environmental and social justice communities (ESJ communities), build relationships, and gather more information about the concerns ESJ communities face and the ways they would like to engage with the Commission.</w:t>
      </w:r>
    </w:p>
    <w:p w:rsidRPr="00C148E2" w:rsidR="00B646A0" w:rsidRDefault="00B646A0" w14:paraId="7ACB2F93" w14:textId="77777777">
      <w:pPr>
        <w:pStyle w:val="BodyText"/>
        <w:spacing w:before="1"/>
      </w:pPr>
    </w:p>
    <w:p w:rsidRPr="00C148E2" w:rsidR="00B646A0" w:rsidP="00FB5C10" w:rsidRDefault="006F1017" w14:paraId="7ACB2F96" w14:textId="71ADBF03">
      <w:pPr>
        <w:pStyle w:val="BodyText"/>
        <w:ind w:left="391"/>
      </w:pPr>
      <w:r w:rsidRPr="00C148E2">
        <w:lastRenderedPageBreak/>
        <w:t xml:space="preserve">The nine goals </w:t>
      </w:r>
      <w:r w:rsidR="00C21D35">
        <w:t xml:space="preserve">and respective objectives </w:t>
      </w:r>
      <w:r w:rsidR="007D5705">
        <w:t xml:space="preserve">have been updated </w:t>
      </w:r>
      <w:r w:rsidRPr="00C148E2">
        <w:t xml:space="preserve">in Plan </w:t>
      </w:r>
      <w:r w:rsidR="00F55774">
        <w:t xml:space="preserve">v.2 </w:t>
      </w:r>
      <w:r w:rsidR="007D5705">
        <w:t xml:space="preserve">and </w:t>
      </w:r>
      <w:r w:rsidRPr="00C148E2">
        <w:t>are:</w:t>
      </w:r>
    </w:p>
    <w:p w:rsidR="00AD7E84" w:rsidP="00AD7E84" w:rsidRDefault="00A97054" w14:paraId="5E05B78A" w14:textId="77777777">
      <w:pPr>
        <w:pStyle w:val="Heading1"/>
        <w:spacing w:before="125"/>
        <w:ind w:left="720"/>
        <w:rPr>
          <w:b w:val="0"/>
          <w:bCs w:val="0"/>
          <w:u w:val="none"/>
        </w:rPr>
      </w:pPr>
      <w:r w:rsidRPr="00AD7E84">
        <w:rPr>
          <w:b w:val="0"/>
          <w:bCs w:val="0"/>
        </w:rPr>
        <w:t>Goal 1</w:t>
      </w:r>
      <w:r w:rsidRPr="00A97054">
        <w:rPr>
          <w:b w:val="0"/>
          <w:bCs w:val="0"/>
          <w:u w:val="none"/>
        </w:rPr>
        <w:t>: Consistently integrate equity and access considerations throughout CPUC regulatory activities.</w:t>
      </w:r>
    </w:p>
    <w:p w:rsidR="00AD7E84" w:rsidP="00AD7E84" w:rsidRDefault="00A97054" w14:paraId="429CBF5A" w14:textId="77777777">
      <w:pPr>
        <w:pStyle w:val="Heading1"/>
        <w:spacing w:before="125"/>
        <w:ind w:left="720" w:firstLine="720"/>
        <w:rPr>
          <w:b w:val="0"/>
          <w:bCs w:val="0"/>
          <w:u w:val="none"/>
        </w:rPr>
      </w:pPr>
      <w:r w:rsidRPr="00A97054">
        <w:rPr>
          <w:b w:val="0"/>
          <w:bCs w:val="0"/>
          <w:u w:val="none"/>
        </w:rPr>
        <w:t xml:space="preserve">1.1 </w:t>
      </w:r>
      <w:r w:rsidRPr="00A97054">
        <w:rPr>
          <w:b w:val="0"/>
          <w:bCs w:val="0"/>
          <w:u w:val="none"/>
        </w:rPr>
        <w:tab/>
        <w:t>Build Systematic Approaches for ESJ Priorities</w:t>
      </w:r>
    </w:p>
    <w:p w:rsidRPr="00A97054" w:rsidR="00A97054" w:rsidP="00AD7E84" w:rsidRDefault="00A97054" w14:paraId="26FF4AB0" w14:textId="3EAB099E">
      <w:pPr>
        <w:pStyle w:val="Heading1"/>
        <w:spacing w:before="125"/>
        <w:ind w:left="720" w:firstLine="720"/>
        <w:rPr>
          <w:b w:val="0"/>
          <w:bCs w:val="0"/>
          <w:u w:val="none"/>
        </w:rPr>
      </w:pPr>
      <w:r w:rsidRPr="00A97054">
        <w:rPr>
          <w:b w:val="0"/>
          <w:bCs w:val="0"/>
          <w:u w:val="none"/>
        </w:rPr>
        <w:t xml:space="preserve">1.2 </w:t>
      </w:r>
      <w:r w:rsidRPr="00A97054">
        <w:rPr>
          <w:b w:val="0"/>
          <w:bCs w:val="0"/>
          <w:u w:val="none"/>
        </w:rPr>
        <w:tab/>
        <w:t>Expand Opportunities for Access</w:t>
      </w:r>
    </w:p>
    <w:p w:rsidRPr="00A97054" w:rsidR="00A97054" w:rsidP="00AD7E84" w:rsidRDefault="00A97054" w14:paraId="2AE11170" w14:textId="77777777">
      <w:pPr>
        <w:pStyle w:val="Heading1"/>
        <w:spacing w:before="125"/>
        <w:ind w:left="720"/>
        <w:rPr>
          <w:b w:val="0"/>
          <w:bCs w:val="0"/>
          <w:u w:val="none"/>
        </w:rPr>
      </w:pPr>
      <w:r w:rsidRPr="00AD7E84">
        <w:rPr>
          <w:b w:val="0"/>
          <w:bCs w:val="0"/>
        </w:rPr>
        <w:t>Goal 2</w:t>
      </w:r>
      <w:r w:rsidRPr="00A97054">
        <w:rPr>
          <w:b w:val="0"/>
          <w:bCs w:val="0"/>
          <w:u w:val="none"/>
        </w:rPr>
        <w:t>: Increase investment in clean energy resources to benefit ESJ communities, especially to improve local air quality and public health.</w:t>
      </w:r>
    </w:p>
    <w:p w:rsidRPr="00A97054" w:rsidR="00A97054" w:rsidP="00AD7E84" w:rsidRDefault="00A97054" w14:paraId="1766C4D1" w14:textId="77777777">
      <w:pPr>
        <w:pStyle w:val="Heading1"/>
        <w:spacing w:before="125"/>
        <w:ind w:left="1111" w:firstLine="329"/>
        <w:rPr>
          <w:b w:val="0"/>
          <w:bCs w:val="0"/>
          <w:u w:val="none"/>
        </w:rPr>
      </w:pPr>
      <w:r w:rsidRPr="00A97054">
        <w:rPr>
          <w:b w:val="0"/>
          <w:bCs w:val="0"/>
          <w:u w:val="none"/>
        </w:rPr>
        <w:t xml:space="preserve">2.1 </w:t>
      </w:r>
      <w:r w:rsidRPr="00A97054">
        <w:rPr>
          <w:b w:val="0"/>
          <w:bCs w:val="0"/>
          <w:u w:val="none"/>
        </w:rPr>
        <w:tab/>
        <w:t>Enhance Outreach &amp; Engagement</w:t>
      </w:r>
    </w:p>
    <w:p w:rsidRPr="00A97054" w:rsidR="00A97054" w:rsidP="00AD7E84" w:rsidRDefault="00A97054" w14:paraId="5C993235" w14:textId="77777777">
      <w:pPr>
        <w:pStyle w:val="Heading1"/>
        <w:spacing w:before="125"/>
        <w:ind w:left="782" w:firstLine="658"/>
        <w:rPr>
          <w:b w:val="0"/>
          <w:bCs w:val="0"/>
          <w:u w:val="none"/>
        </w:rPr>
      </w:pPr>
      <w:r w:rsidRPr="00A97054">
        <w:rPr>
          <w:b w:val="0"/>
          <w:bCs w:val="0"/>
          <w:u w:val="none"/>
        </w:rPr>
        <w:t xml:space="preserve">2.2 </w:t>
      </w:r>
      <w:r w:rsidRPr="00A97054">
        <w:rPr>
          <w:b w:val="0"/>
          <w:bCs w:val="0"/>
          <w:u w:val="none"/>
        </w:rPr>
        <w:tab/>
        <w:t>Continue Research &amp; Analysis to Understand Impact</w:t>
      </w:r>
    </w:p>
    <w:p w:rsidRPr="00A97054" w:rsidR="00A97054" w:rsidP="00AD7E84" w:rsidRDefault="00A97054" w14:paraId="7C280280" w14:textId="77777777">
      <w:pPr>
        <w:pStyle w:val="Heading1"/>
        <w:spacing w:before="125"/>
        <w:ind w:left="1111" w:firstLine="329"/>
        <w:rPr>
          <w:b w:val="0"/>
          <w:bCs w:val="0"/>
          <w:u w:val="none"/>
        </w:rPr>
      </w:pPr>
      <w:r w:rsidRPr="00A97054">
        <w:rPr>
          <w:b w:val="0"/>
          <w:bCs w:val="0"/>
          <w:u w:val="none"/>
        </w:rPr>
        <w:t xml:space="preserve">2.3 </w:t>
      </w:r>
      <w:r w:rsidRPr="00A97054">
        <w:rPr>
          <w:b w:val="0"/>
          <w:bCs w:val="0"/>
          <w:u w:val="none"/>
        </w:rPr>
        <w:tab/>
        <w:t>Move Towards Mutual Eligibility &amp; Maximizing Impact</w:t>
      </w:r>
    </w:p>
    <w:p w:rsidRPr="00A97054" w:rsidR="00A97054" w:rsidP="00AD7E84" w:rsidRDefault="00A97054" w14:paraId="25F4F43E" w14:textId="77777777">
      <w:pPr>
        <w:pStyle w:val="Heading1"/>
        <w:spacing w:before="125"/>
        <w:ind w:left="782" w:firstLine="658"/>
        <w:rPr>
          <w:b w:val="0"/>
          <w:bCs w:val="0"/>
          <w:u w:val="none"/>
        </w:rPr>
      </w:pPr>
      <w:r w:rsidRPr="00A97054">
        <w:rPr>
          <w:b w:val="0"/>
          <w:bCs w:val="0"/>
          <w:u w:val="none"/>
        </w:rPr>
        <w:t xml:space="preserve">2.4 </w:t>
      </w:r>
      <w:r w:rsidRPr="00A97054">
        <w:rPr>
          <w:b w:val="0"/>
          <w:bCs w:val="0"/>
          <w:u w:val="none"/>
        </w:rPr>
        <w:tab/>
        <w:t>Address Impacts in ESJ Communities</w:t>
      </w:r>
    </w:p>
    <w:p w:rsidRPr="00A97054" w:rsidR="00A97054" w:rsidP="00AD7E84" w:rsidRDefault="00A97054" w14:paraId="414ABF39" w14:textId="77777777">
      <w:pPr>
        <w:pStyle w:val="Heading1"/>
        <w:spacing w:before="125"/>
        <w:ind w:left="1111" w:firstLine="329"/>
        <w:rPr>
          <w:b w:val="0"/>
          <w:bCs w:val="0"/>
          <w:u w:val="none"/>
        </w:rPr>
      </w:pPr>
      <w:r w:rsidRPr="00A97054">
        <w:rPr>
          <w:b w:val="0"/>
          <w:bCs w:val="0"/>
          <w:u w:val="none"/>
        </w:rPr>
        <w:t xml:space="preserve">2.5 </w:t>
      </w:r>
      <w:r w:rsidRPr="00A97054">
        <w:rPr>
          <w:b w:val="0"/>
          <w:bCs w:val="0"/>
          <w:u w:val="none"/>
        </w:rPr>
        <w:tab/>
        <w:t>Continue Ongoing Investment</w:t>
      </w:r>
    </w:p>
    <w:p w:rsidRPr="00A97054" w:rsidR="00A97054" w:rsidP="00B9235D" w:rsidRDefault="00A97054" w14:paraId="6B96B93B" w14:textId="77777777">
      <w:pPr>
        <w:pStyle w:val="Heading1"/>
        <w:spacing w:before="125"/>
        <w:ind w:left="720"/>
        <w:rPr>
          <w:b w:val="0"/>
          <w:bCs w:val="0"/>
          <w:u w:val="none"/>
        </w:rPr>
      </w:pPr>
      <w:r w:rsidRPr="00AD7E84">
        <w:rPr>
          <w:b w:val="0"/>
          <w:bCs w:val="0"/>
        </w:rPr>
        <w:t>Goal 3</w:t>
      </w:r>
      <w:r w:rsidRPr="00A97054">
        <w:rPr>
          <w:b w:val="0"/>
          <w:bCs w:val="0"/>
          <w:u w:val="none"/>
        </w:rPr>
        <w:t>: Strive to improve access to high-quality water, communications, and transportation services for ESJ communities.</w:t>
      </w:r>
    </w:p>
    <w:p w:rsidRPr="00A97054" w:rsidR="00A97054" w:rsidP="00AD7E84" w:rsidRDefault="00A97054" w14:paraId="104D103C" w14:textId="77777777">
      <w:pPr>
        <w:pStyle w:val="Heading1"/>
        <w:spacing w:before="125"/>
        <w:ind w:left="1440"/>
        <w:rPr>
          <w:b w:val="0"/>
          <w:bCs w:val="0"/>
          <w:u w:val="none"/>
        </w:rPr>
      </w:pPr>
      <w:r w:rsidRPr="00A97054">
        <w:rPr>
          <w:b w:val="0"/>
          <w:bCs w:val="0"/>
          <w:u w:val="none"/>
        </w:rPr>
        <w:t xml:space="preserve">3.1 </w:t>
      </w:r>
      <w:r w:rsidRPr="00A97054">
        <w:rPr>
          <w:b w:val="0"/>
          <w:bCs w:val="0"/>
          <w:u w:val="none"/>
        </w:rPr>
        <w:tab/>
        <w:t>Ensure Equitable Clean Transportation</w:t>
      </w:r>
    </w:p>
    <w:p w:rsidRPr="00A97054" w:rsidR="00A97054" w:rsidP="00AD7E84" w:rsidRDefault="00A97054" w14:paraId="777494C0" w14:textId="77777777">
      <w:pPr>
        <w:pStyle w:val="Heading1"/>
        <w:spacing w:before="125"/>
        <w:ind w:left="1111" w:firstLine="329"/>
        <w:rPr>
          <w:b w:val="0"/>
          <w:bCs w:val="0"/>
          <w:u w:val="none"/>
        </w:rPr>
      </w:pPr>
      <w:r w:rsidRPr="00A97054">
        <w:rPr>
          <w:b w:val="0"/>
          <w:bCs w:val="0"/>
          <w:u w:val="none"/>
        </w:rPr>
        <w:t xml:space="preserve">3.2 </w:t>
      </w:r>
      <w:r w:rsidRPr="00A97054">
        <w:rPr>
          <w:b w:val="0"/>
          <w:bCs w:val="0"/>
          <w:u w:val="none"/>
        </w:rPr>
        <w:tab/>
        <w:t>Ensure Water Customer Resilience</w:t>
      </w:r>
    </w:p>
    <w:p w:rsidRPr="00A97054" w:rsidR="00A97054" w:rsidP="00AD7E84" w:rsidRDefault="00A97054" w14:paraId="4E7B8A7A" w14:textId="77777777">
      <w:pPr>
        <w:pStyle w:val="Heading1"/>
        <w:spacing w:before="125"/>
        <w:ind w:left="782" w:firstLine="658"/>
        <w:rPr>
          <w:b w:val="0"/>
          <w:bCs w:val="0"/>
          <w:u w:val="none"/>
        </w:rPr>
      </w:pPr>
      <w:r w:rsidRPr="00A97054">
        <w:rPr>
          <w:b w:val="0"/>
          <w:bCs w:val="0"/>
          <w:u w:val="none"/>
        </w:rPr>
        <w:t xml:space="preserve">3.3 </w:t>
      </w:r>
      <w:r w:rsidRPr="00A97054">
        <w:rPr>
          <w:b w:val="0"/>
          <w:bCs w:val="0"/>
          <w:u w:val="none"/>
        </w:rPr>
        <w:tab/>
        <w:t>Extend Rail Safety to ESJ Communities</w:t>
      </w:r>
    </w:p>
    <w:p w:rsidRPr="00A97054" w:rsidR="00A97054" w:rsidP="00AD7E84" w:rsidRDefault="00A97054" w14:paraId="747C468E" w14:textId="77777777">
      <w:pPr>
        <w:pStyle w:val="Heading1"/>
        <w:spacing w:before="125"/>
        <w:ind w:left="782" w:firstLine="658"/>
        <w:rPr>
          <w:b w:val="0"/>
          <w:bCs w:val="0"/>
          <w:u w:val="none"/>
        </w:rPr>
      </w:pPr>
      <w:r w:rsidRPr="00A97054">
        <w:rPr>
          <w:b w:val="0"/>
          <w:bCs w:val="0"/>
          <w:u w:val="none"/>
        </w:rPr>
        <w:t xml:space="preserve">3.4 </w:t>
      </w:r>
      <w:r w:rsidRPr="00A97054">
        <w:rPr>
          <w:b w:val="0"/>
          <w:bCs w:val="0"/>
          <w:u w:val="none"/>
        </w:rPr>
        <w:tab/>
        <w:t>Extend Essential Communications Services to ESJ Communities</w:t>
      </w:r>
    </w:p>
    <w:p w:rsidRPr="00A97054" w:rsidR="00A97054" w:rsidP="00B9235D" w:rsidRDefault="00A97054" w14:paraId="5EABA66D" w14:textId="77777777">
      <w:pPr>
        <w:pStyle w:val="Heading1"/>
        <w:spacing w:before="125"/>
        <w:ind w:firstLine="329"/>
        <w:rPr>
          <w:b w:val="0"/>
          <w:bCs w:val="0"/>
          <w:u w:val="none"/>
        </w:rPr>
      </w:pPr>
      <w:r w:rsidRPr="00AD7E84">
        <w:rPr>
          <w:b w:val="0"/>
          <w:bCs w:val="0"/>
        </w:rPr>
        <w:t>Goal 4</w:t>
      </w:r>
      <w:r w:rsidRPr="00A97054">
        <w:rPr>
          <w:b w:val="0"/>
          <w:bCs w:val="0"/>
          <w:u w:val="none"/>
        </w:rPr>
        <w:t>: Increase climate resiliency in ESJ communities.</w:t>
      </w:r>
    </w:p>
    <w:p w:rsidRPr="00A97054" w:rsidR="00A97054" w:rsidP="00AD7E84" w:rsidRDefault="00A97054" w14:paraId="7A1C92B7" w14:textId="77777777">
      <w:pPr>
        <w:pStyle w:val="Heading1"/>
        <w:spacing w:before="125"/>
        <w:ind w:left="1111" w:firstLine="329"/>
        <w:rPr>
          <w:b w:val="0"/>
          <w:bCs w:val="0"/>
          <w:u w:val="none"/>
        </w:rPr>
      </w:pPr>
      <w:r w:rsidRPr="00A97054">
        <w:rPr>
          <w:b w:val="0"/>
          <w:bCs w:val="0"/>
          <w:u w:val="none"/>
        </w:rPr>
        <w:t xml:space="preserve">4.1 </w:t>
      </w:r>
      <w:r w:rsidRPr="00A97054">
        <w:rPr>
          <w:b w:val="0"/>
          <w:bCs w:val="0"/>
          <w:u w:val="none"/>
        </w:rPr>
        <w:tab/>
        <w:t>Emphasize Adaptive Capacity</w:t>
      </w:r>
    </w:p>
    <w:p w:rsidRPr="00A97054" w:rsidR="00A97054" w:rsidP="00B9235D" w:rsidRDefault="00A97054" w14:paraId="35355EA2" w14:textId="77777777">
      <w:pPr>
        <w:pStyle w:val="Heading1"/>
        <w:spacing w:before="125"/>
        <w:ind w:left="720"/>
        <w:rPr>
          <w:b w:val="0"/>
          <w:bCs w:val="0"/>
          <w:u w:val="none"/>
        </w:rPr>
      </w:pPr>
      <w:r w:rsidRPr="00AD7E84">
        <w:rPr>
          <w:b w:val="0"/>
          <w:bCs w:val="0"/>
        </w:rPr>
        <w:t>Goal 5:</w:t>
      </w:r>
      <w:r w:rsidRPr="00A97054">
        <w:rPr>
          <w:b w:val="0"/>
          <w:bCs w:val="0"/>
          <w:u w:val="none"/>
        </w:rPr>
        <w:t xml:space="preserve"> Enhance outreach and public participation opportunities for ESJ communities to meaningfully participate in the CPUC’s decision-making process and benefit from CPUC programs.</w:t>
      </w:r>
    </w:p>
    <w:p w:rsidRPr="00A97054" w:rsidR="00A97054" w:rsidP="00B9235D" w:rsidRDefault="00A97054" w14:paraId="5B7C32E8" w14:textId="77777777">
      <w:pPr>
        <w:pStyle w:val="Heading1"/>
        <w:spacing w:before="125"/>
        <w:ind w:left="1111" w:firstLine="329"/>
        <w:rPr>
          <w:b w:val="0"/>
          <w:bCs w:val="0"/>
          <w:u w:val="none"/>
        </w:rPr>
      </w:pPr>
      <w:r w:rsidRPr="00A97054">
        <w:rPr>
          <w:b w:val="0"/>
          <w:bCs w:val="0"/>
          <w:u w:val="none"/>
        </w:rPr>
        <w:t xml:space="preserve">5.1 </w:t>
      </w:r>
      <w:r w:rsidRPr="00A97054">
        <w:rPr>
          <w:b w:val="0"/>
          <w:bCs w:val="0"/>
          <w:u w:val="none"/>
        </w:rPr>
        <w:tab/>
        <w:t>Improve Communication with ESJ Lens</w:t>
      </w:r>
    </w:p>
    <w:p w:rsidRPr="00A97054" w:rsidR="00A97054" w:rsidP="00B9235D" w:rsidRDefault="00A97054" w14:paraId="46B9E81D" w14:textId="77777777">
      <w:pPr>
        <w:pStyle w:val="Heading1"/>
        <w:spacing w:before="125"/>
        <w:ind w:left="782" w:firstLine="658"/>
        <w:rPr>
          <w:b w:val="0"/>
          <w:bCs w:val="0"/>
          <w:u w:val="none"/>
        </w:rPr>
      </w:pPr>
      <w:r w:rsidRPr="00A97054">
        <w:rPr>
          <w:b w:val="0"/>
          <w:bCs w:val="0"/>
          <w:u w:val="none"/>
        </w:rPr>
        <w:t xml:space="preserve">5.2 </w:t>
      </w:r>
      <w:r w:rsidRPr="00A97054">
        <w:rPr>
          <w:b w:val="0"/>
          <w:bCs w:val="0"/>
          <w:u w:val="none"/>
        </w:rPr>
        <w:tab/>
        <w:t>Continue to Emphasize Engagement with CBOs</w:t>
      </w:r>
    </w:p>
    <w:p w:rsidRPr="00A97054" w:rsidR="00A97054" w:rsidP="00B9235D" w:rsidRDefault="00A97054" w14:paraId="650A87B6" w14:textId="77777777">
      <w:pPr>
        <w:pStyle w:val="Heading1"/>
        <w:spacing w:before="125"/>
        <w:ind w:left="1111" w:firstLine="329"/>
        <w:rPr>
          <w:b w:val="0"/>
          <w:bCs w:val="0"/>
          <w:u w:val="none"/>
        </w:rPr>
      </w:pPr>
      <w:r w:rsidRPr="00A97054">
        <w:rPr>
          <w:b w:val="0"/>
          <w:bCs w:val="0"/>
          <w:u w:val="none"/>
        </w:rPr>
        <w:t xml:space="preserve">5.3 </w:t>
      </w:r>
      <w:r w:rsidRPr="00A97054">
        <w:rPr>
          <w:b w:val="0"/>
          <w:bCs w:val="0"/>
          <w:u w:val="none"/>
        </w:rPr>
        <w:tab/>
        <w:t>Build Pathways for Public Participation</w:t>
      </w:r>
    </w:p>
    <w:p w:rsidRPr="00A97054" w:rsidR="00A97054" w:rsidP="00B9235D" w:rsidRDefault="00A97054" w14:paraId="60052F86" w14:textId="77777777">
      <w:pPr>
        <w:pStyle w:val="Heading1"/>
        <w:spacing w:before="125"/>
        <w:ind w:left="782" w:firstLine="658"/>
        <w:rPr>
          <w:b w:val="0"/>
          <w:bCs w:val="0"/>
          <w:u w:val="none"/>
        </w:rPr>
      </w:pPr>
      <w:r w:rsidRPr="00A97054">
        <w:rPr>
          <w:b w:val="0"/>
          <w:bCs w:val="0"/>
          <w:u w:val="none"/>
        </w:rPr>
        <w:t xml:space="preserve">5.4 </w:t>
      </w:r>
      <w:r w:rsidRPr="00A97054">
        <w:rPr>
          <w:b w:val="0"/>
          <w:bCs w:val="0"/>
          <w:u w:val="none"/>
        </w:rPr>
        <w:tab/>
        <w:t>Enhance Engagement with Particular ESJ Communities and Individuals</w:t>
      </w:r>
    </w:p>
    <w:p w:rsidRPr="00A97054" w:rsidR="00A97054" w:rsidP="00B9235D" w:rsidRDefault="00A97054" w14:paraId="41FD22C9" w14:textId="77777777">
      <w:pPr>
        <w:pStyle w:val="Heading1"/>
        <w:spacing w:before="125"/>
        <w:ind w:left="720"/>
        <w:rPr>
          <w:b w:val="0"/>
          <w:bCs w:val="0"/>
          <w:u w:val="none"/>
        </w:rPr>
      </w:pPr>
      <w:r w:rsidRPr="00B9235D">
        <w:rPr>
          <w:b w:val="0"/>
          <w:bCs w:val="0"/>
        </w:rPr>
        <w:t>Goal 6</w:t>
      </w:r>
      <w:r w:rsidRPr="00A97054">
        <w:rPr>
          <w:b w:val="0"/>
          <w:bCs w:val="0"/>
          <w:u w:val="none"/>
        </w:rPr>
        <w:t>: Enhance enforcement to ensure safety and consumer protection for all, especially for ESJ communities.</w:t>
      </w:r>
    </w:p>
    <w:p w:rsidRPr="00A97054" w:rsidR="00A97054" w:rsidP="00B9235D" w:rsidRDefault="00A97054" w14:paraId="272C6392" w14:textId="77777777">
      <w:pPr>
        <w:pStyle w:val="Heading1"/>
        <w:spacing w:before="125"/>
        <w:ind w:left="1111" w:firstLine="329"/>
        <w:rPr>
          <w:b w:val="0"/>
          <w:bCs w:val="0"/>
          <w:u w:val="none"/>
        </w:rPr>
      </w:pPr>
      <w:r w:rsidRPr="00A97054">
        <w:rPr>
          <w:b w:val="0"/>
          <w:bCs w:val="0"/>
          <w:u w:val="none"/>
        </w:rPr>
        <w:t xml:space="preserve">6.1 </w:t>
      </w:r>
      <w:r w:rsidRPr="00A97054">
        <w:rPr>
          <w:b w:val="0"/>
          <w:bCs w:val="0"/>
          <w:u w:val="none"/>
        </w:rPr>
        <w:tab/>
        <w:t>Protect ESJ Consumers</w:t>
      </w:r>
    </w:p>
    <w:p w:rsidRPr="00A97054" w:rsidR="00A97054" w:rsidP="00B9235D" w:rsidRDefault="00A97054" w14:paraId="6CF496C0" w14:textId="77777777">
      <w:pPr>
        <w:pStyle w:val="Heading1"/>
        <w:spacing w:before="125"/>
        <w:ind w:left="782" w:firstLine="658"/>
        <w:rPr>
          <w:b w:val="0"/>
          <w:bCs w:val="0"/>
          <w:u w:val="none"/>
        </w:rPr>
      </w:pPr>
      <w:r w:rsidRPr="00A97054">
        <w:rPr>
          <w:b w:val="0"/>
          <w:bCs w:val="0"/>
          <w:u w:val="none"/>
        </w:rPr>
        <w:t xml:space="preserve">6.2 </w:t>
      </w:r>
      <w:r w:rsidRPr="00A97054">
        <w:rPr>
          <w:b w:val="0"/>
          <w:bCs w:val="0"/>
          <w:u w:val="none"/>
        </w:rPr>
        <w:tab/>
        <w:t>Conduct Proactive Action &amp; Analysis in Transportation and Utility Enforcement</w:t>
      </w:r>
    </w:p>
    <w:p w:rsidRPr="00A97054" w:rsidR="00A97054" w:rsidP="00B9235D" w:rsidRDefault="00A97054" w14:paraId="7E484539" w14:textId="77777777">
      <w:pPr>
        <w:pStyle w:val="Heading1"/>
        <w:spacing w:before="125"/>
        <w:ind w:left="1111" w:firstLine="329"/>
        <w:rPr>
          <w:b w:val="0"/>
          <w:bCs w:val="0"/>
          <w:u w:val="none"/>
        </w:rPr>
      </w:pPr>
      <w:r w:rsidRPr="00A97054">
        <w:rPr>
          <w:b w:val="0"/>
          <w:bCs w:val="0"/>
          <w:u w:val="none"/>
        </w:rPr>
        <w:t xml:space="preserve">6.3 </w:t>
      </w:r>
      <w:r w:rsidRPr="00A97054">
        <w:rPr>
          <w:b w:val="0"/>
          <w:bCs w:val="0"/>
          <w:u w:val="none"/>
        </w:rPr>
        <w:tab/>
        <w:t>Apply ESJ Lens to CPUC Enforcement Policy</w:t>
      </w:r>
    </w:p>
    <w:p w:rsidRPr="00A97054" w:rsidR="00A97054" w:rsidP="00B9235D" w:rsidRDefault="00A97054" w14:paraId="3594971D" w14:textId="77777777">
      <w:pPr>
        <w:pStyle w:val="Heading1"/>
        <w:spacing w:before="125"/>
        <w:ind w:left="782" w:firstLine="658"/>
        <w:rPr>
          <w:b w:val="0"/>
          <w:bCs w:val="0"/>
          <w:u w:val="none"/>
        </w:rPr>
      </w:pPr>
      <w:r w:rsidRPr="00A97054">
        <w:rPr>
          <w:b w:val="0"/>
          <w:bCs w:val="0"/>
          <w:u w:val="none"/>
        </w:rPr>
        <w:t xml:space="preserve">6.4 </w:t>
      </w:r>
      <w:r w:rsidRPr="00A97054">
        <w:rPr>
          <w:b w:val="0"/>
          <w:bCs w:val="0"/>
          <w:u w:val="none"/>
        </w:rPr>
        <w:tab/>
        <w:t>Maximize Opportunities within Utility Audits</w:t>
      </w:r>
    </w:p>
    <w:p w:rsidRPr="00A97054" w:rsidR="00A97054" w:rsidP="00B9235D" w:rsidRDefault="00A97054" w14:paraId="207613AC" w14:textId="55658EFD">
      <w:pPr>
        <w:pStyle w:val="Heading1"/>
        <w:spacing w:before="125"/>
        <w:ind w:left="720"/>
        <w:rPr>
          <w:b w:val="0"/>
          <w:bCs w:val="0"/>
          <w:u w:val="none"/>
        </w:rPr>
      </w:pPr>
      <w:r w:rsidRPr="00B9235D">
        <w:rPr>
          <w:b w:val="0"/>
          <w:bCs w:val="0"/>
        </w:rPr>
        <w:t>Goal 7</w:t>
      </w:r>
      <w:r w:rsidRPr="00A97054">
        <w:rPr>
          <w:b w:val="0"/>
          <w:bCs w:val="0"/>
          <w:u w:val="none"/>
        </w:rPr>
        <w:t xml:space="preserve">: Promote high road career paths and economic opportunity for residents of ESJ </w:t>
      </w:r>
      <w:r w:rsidRPr="00A97054">
        <w:rPr>
          <w:b w:val="0"/>
          <w:bCs w:val="0"/>
          <w:u w:val="none"/>
        </w:rPr>
        <w:lastRenderedPageBreak/>
        <w:t>communities.</w:t>
      </w:r>
    </w:p>
    <w:p w:rsidRPr="00A97054" w:rsidR="00A97054" w:rsidP="00B9235D" w:rsidRDefault="00A97054" w14:paraId="6CDD62AE" w14:textId="77777777">
      <w:pPr>
        <w:pStyle w:val="Heading1"/>
        <w:spacing w:before="125"/>
        <w:ind w:left="1111" w:firstLine="329"/>
        <w:rPr>
          <w:b w:val="0"/>
          <w:bCs w:val="0"/>
          <w:u w:val="none"/>
        </w:rPr>
      </w:pPr>
      <w:r w:rsidRPr="00A97054">
        <w:rPr>
          <w:b w:val="0"/>
          <w:bCs w:val="0"/>
          <w:u w:val="none"/>
        </w:rPr>
        <w:t xml:space="preserve">7.1 </w:t>
      </w:r>
      <w:r w:rsidRPr="00A97054">
        <w:rPr>
          <w:b w:val="0"/>
          <w:bCs w:val="0"/>
          <w:u w:val="none"/>
        </w:rPr>
        <w:tab/>
        <w:t>Maximize Authority to Promote High Road</w:t>
      </w:r>
    </w:p>
    <w:p w:rsidRPr="00A97054" w:rsidR="00A97054" w:rsidP="00B9235D" w:rsidRDefault="00A97054" w14:paraId="041FAC12" w14:textId="77777777">
      <w:pPr>
        <w:pStyle w:val="Heading1"/>
        <w:spacing w:before="125"/>
        <w:ind w:left="782" w:firstLine="658"/>
        <w:rPr>
          <w:b w:val="0"/>
          <w:bCs w:val="0"/>
          <w:u w:val="none"/>
        </w:rPr>
      </w:pPr>
      <w:r w:rsidRPr="00A97054">
        <w:rPr>
          <w:b w:val="0"/>
          <w:bCs w:val="0"/>
          <w:u w:val="none"/>
        </w:rPr>
        <w:t xml:space="preserve">7.2 </w:t>
      </w:r>
      <w:r w:rsidRPr="00A97054">
        <w:rPr>
          <w:b w:val="0"/>
          <w:bCs w:val="0"/>
          <w:u w:val="none"/>
        </w:rPr>
        <w:tab/>
        <w:t>Educate on High Road Careers</w:t>
      </w:r>
    </w:p>
    <w:p w:rsidRPr="00A97054" w:rsidR="00A97054" w:rsidP="00B9235D" w:rsidRDefault="00A97054" w14:paraId="4E18CF95" w14:textId="77777777">
      <w:pPr>
        <w:pStyle w:val="Heading1"/>
        <w:spacing w:before="125"/>
        <w:ind w:left="1111" w:firstLine="329"/>
        <w:rPr>
          <w:b w:val="0"/>
          <w:bCs w:val="0"/>
          <w:u w:val="none"/>
        </w:rPr>
      </w:pPr>
      <w:r w:rsidRPr="00A97054">
        <w:rPr>
          <w:b w:val="0"/>
          <w:bCs w:val="0"/>
          <w:u w:val="none"/>
        </w:rPr>
        <w:t xml:space="preserve">7.3 </w:t>
      </w:r>
      <w:r w:rsidRPr="00A97054">
        <w:rPr>
          <w:b w:val="0"/>
          <w:bCs w:val="0"/>
          <w:u w:val="none"/>
        </w:rPr>
        <w:tab/>
        <w:t>Partner with Utilities and Sister Agencies</w:t>
      </w:r>
    </w:p>
    <w:p w:rsidRPr="00A97054" w:rsidR="00A97054" w:rsidP="00B9235D" w:rsidRDefault="00A97054" w14:paraId="28E064F1" w14:textId="77777777">
      <w:pPr>
        <w:pStyle w:val="Heading1"/>
        <w:spacing w:before="125"/>
        <w:ind w:left="720"/>
        <w:rPr>
          <w:b w:val="0"/>
          <w:bCs w:val="0"/>
          <w:u w:val="none"/>
        </w:rPr>
      </w:pPr>
      <w:r w:rsidRPr="00B9235D">
        <w:rPr>
          <w:b w:val="0"/>
          <w:bCs w:val="0"/>
        </w:rPr>
        <w:t>Goal 8</w:t>
      </w:r>
      <w:r w:rsidRPr="00A97054">
        <w:rPr>
          <w:b w:val="0"/>
          <w:bCs w:val="0"/>
          <w:u w:val="none"/>
        </w:rPr>
        <w:t>: Improve training and staff development related to environmental and social justice issues within the CPUC’s jurisdiction.</w:t>
      </w:r>
    </w:p>
    <w:p w:rsidRPr="00A97054" w:rsidR="00A97054" w:rsidP="00B9235D" w:rsidRDefault="00A97054" w14:paraId="438D34E9" w14:textId="77777777">
      <w:pPr>
        <w:pStyle w:val="Heading1"/>
        <w:spacing w:before="125"/>
        <w:ind w:left="1111" w:firstLine="329"/>
        <w:rPr>
          <w:b w:val="0"/>
          <w:bCs w:val="0"/>
          <w:u w:val="none"/>
        </w:rPr>
      </w:pPr>
      <w:r w:rsidRPr="00A97054">
        <w:rPr>
          <w:b w:val="0"/>
          <w:bCs w:val="0"/>
          <w:u w:val="none"/>
        </w:rPr>
        <w:t xml:space="preserve">8.1 </w:t>
      </w:r>
      <w:r w:rsidRPr="00A97054">
        <w:rPr>
          <w:b w:val="0"/>
          <w:bCs w:val="0"/>
          <w:u w:val="none"/>
        </w:rPr>
        <w:tab/>
        <w:t>Bolster Staff Knowledge on ESJ Issues and Resources</w:t>
      </w:r>
    </w:p>
    <w:p w:rsidRPr="00A97054" w:rsidR="00A97054" w:rsidP="00B9235D" w:rsidRDefault="00A97054" w14:paraId="1B33B3CD" w14:textId="77777777">
      <w:pPr>
        <w:pStyle w:val="Heading1"/>
        <w:spacing w:before="125"/>
        <w:ind w:left="782" w:firstLine="658"/>
        <w:rPr>
          <w:b w:val="0"/>
          <w:bCs w:val="0"/>
          <w:u w:val="none"/>
        </w:rPr>
      </w:pPr>
      <w:r w:rsidRPr="00A97054">
        <w:rPr>
          <w:b w:val="0"/>
          <w:bCs w:val="0"/>
          <w:u w:val="none"/>
        </w:rPr>
        <w:t xml:space="preserve">8.2 </w:t>
      </w:r>
      <w:r w:rsidRPr="00A97054">
        <w:rPr>
          <w:b w:val="0"/>
          <w:bCs w:val="0"/>
          <w:u w:val="none"/>
        </w:rPr>
        <w:tab/>
        <w:t>Support Emerging Priorities and Skill Needs</w:t>
      </w:r>
    </w:p>
    <w:p w:rsidRPr="00A97054" w:rsidR="00A97054" w:rsidP="00B9235D" w:rsidRDefault="00A97054" w14:paraId="29857B31" w14:textId="77777777">
      <w:pPr>
        <w:pStyle w:val="Heading1"/>
        <w:spacing w:before="125"/>
        <w:ind w:left="720"/>
        <w:rPr>
          <w:b w:val="0"/>
          <w:bCs w:val="0"/>
          <w:u w:val="none"/>
        </w:rPr>
      </w:pPr>
      <w:r w:rsidRPr="00B9235D">
        <w:rPr>
          <w:b w:val="0"/>
          <w:bCs w:val="0"/>
        </w:rPr>
        <w:t>Goal 9</w:t>
      </w:r>
      <w:r w:rsidRPr="00A97054">
        <w:rPr>
          <w:b w:val="0"/>
          <w:bCs w:val="0"/>
          <w:u w:val="none"/>
        </w:rPr>
        <w:t>: Monitor the CPUC’s environmental and social justice efforts to evaluate how they are achieving their objectives.</w:t>
      </w:r>
    </w:p>
    <w:p w:rsidRPr="00A97054" w:rsidR="00A97054" w:rsidP="00B9235D" w:rsidRDefault="00A97054" w14:paraId="00D3D7BA" w14:textId="77777777">
      <w:pPr>
        <w:pStyle w:val="Heading1"/>
        <w:spacing w:before="125"/>
        <w:ind w:left="1111" w:firstLine="329"/>
        <w:rPr>
          <w:b w:val="0"/>
          <w:bCs w:val="0"/>
          <w:u w:val="none"/>
        </w:rPr>
      </w:pPr>
      <w:r w:rsidRPr="00A97054">
        <w:rPr>
          <w:b w:val="0"/>
          <w:bCs w:val="0"/>
          <w:u w:val="none"/>
        </w:rPr>
        <w:t xml:space="preserve">9.1 </w:t>
      </w:r>
      <w:r w:rsidRPr="00A97054">
        <w:rPr>
          <w:b w:val="0"/>
          <w:bCs w:val="0"/>
          <w:u w:val="none"/>
        </w:rPr>
        <w:tab/>
        <w:t>Establish Consistent Quantitative Metrics</w:t>
      </w:r>
    </w:p>
    <w:p w:rsidR="00B9235D" w:rsidP="00B9235D" w:rsidRDefault="00A97054" w14:paraId="7CCBBBAE" w14:textId="77777777">
      <w:pPr>
        <w:pStyle w:val="Heading1"/>
        <w:spacing w:before="125"/>
        <w:ind w:left="782" w:firstLine="658"/>
        <w:rPr>
          <w:b w:val="0"/>
          <w:bCs w:val="0"/>
          <w:u w:val="none"/>
        </w:rPr>
      </w:pPr>
      <w:r w:rsidRPr="00A97054">
        <w:rPr>
          <w:b w:val="0"/>
          <w:bCs w:val="0"/>
          <w:u w:val="none"/>
        </w:rPr>
        <w:t xml:space="preserve">9.2 </w:t>
      </w:r>
      <w:r w:rsidRPr="00A97054">
        <w:rPr>
          <w:b w:val="0"/>
          <w:bCs w:val="0"/>
          <w:u w:val="none"/>
        </w:rPr>
        <w:tab/>
        <w:t>Promote Meaningful Feedback Loops</w:t>
      </w:r>
    </w:p>
    <w:p w:rsidRPr="00C148E2" w:rsidR="00B646A0" w:rsidP="00B9235D" w:rsidRDefault="006F1017" w14:paraId="7ACB2FA5" w14:textId="342B50E9">
      <w:pPr>
        <w:pStyle w:val="Heading1"/>
        <w:spacing w:before="125"/>
        <w:ind w:left="0" w:firstLine="450"/>
        <w:rPr>
          <w:u w:val="none"/>
        </w:rPr>
      </w:pPr>
      <w:r w:rsidRPr="00C148E2">
        <w:t>Plan Development Process</w:t>
      </w:r>
    </w:p>
    <w:p w:rsidRPr="00C148E2" w:rsidR="00B646A0" w:rsidRDefault="00B646A0" w14:paraId="7ACB2FA6" w14:textId="77777777">
      <w:pPr>
        <w:pStyle w:val="BodyText"/>
        <w:spacing w:before="9"/>
        <w:rPr>
          <w:b/>
        </w:rPr>
      </w:pPr>
    </w:p>
    <w:p w:rsidR="00B128AB" w:rsidRDefault="00C95189" w14:paraId="7233E823" w14:textId="406989C1">
      <w:pPr>
        <w:pStyle w:val="BodyText"/>
        <w:spacing w:before="90"/>
        <w:ind w:left="391"/>
      </w:pPr>
      <w:r>
        <w:t xml:space="preserve">The CPUC held a workshop </w:t>
      </w:r>
      <w:r w:rsidR="00850571">
        <w:t>o</w:t>
      </w:r>
      <w:r w:rsidRPr="00C148E2">
        <w:t>n February 3 and 4, 2021</w:t>
      </w:r>
      <w:r w:rsidR="00B128AB">
        <w:t xml:space="preserve"> </w:t>
      </w:r>
      <w:r>
        <w:t>to</w:t>
      </w:r>
      <w:r w:rsidRPr="00C148E2">
        <w:t xml:space="preserve"> seek input on </w:t>
      </w:r>
      <w:r w:rsidR="00B128AB">
        <w:t xml:space="preserve">desired </w:t>
      </w:r>
      <w:r w:rsidRPr="00C148E2">
        <w:t xml:space="preserve">revisions to the </w:t>
      </w:r>
      <w:r>
        <w:t>ESJ Action Plan Version 1.0</w:t>
      </w:r>
      <w:r w:rsidR="00850571">
        <w:t xml:space="preserve">. </w:t>
      </w:r>
      <w:r w:rsidR="00C024A6">
        <w:t>About 628 attendees participate</w:t>
      </w:r>
      <w:r w:rsidR="003328A2">
        <w:t xml:space="preserve">d with 437 individuals representing outside organizations. </w:t>
      </w:r>
      <w:r w:rsidR="00C71205">
        <w:t xml:space="preserve">Participants in the two-day workshop </w:t>
      </w:r>
      <w:r w:rsidR="00974C35">
        <w:t xml:space="preserve">represented a diverse group of stakeholders </w:t>
      </w:r>
      <w:r w:rsidR="00E11FD0">
        <w:t xml:space="preserve">who had the ability to provide feedback directly to </w:t>
      </w:r>
      <w:r w:rsidR="00CE6F41">
        <w:t>CPUC staff and at times Commissioners. Following the workshop</w:t>
      </w:r>
      <w:r w:rsidR="00427B1E">
        <w:t>, feedback and comments were aggregated and used to inform revisions</w:t>
      </w:r>
      <w:r w:rsidR="00B128AB">
        <w:t xml:space="preserve">. </w:t>
      </w:r>
    </w:p>
    <w:p w:rsidRPr="00C148E2" w:rsidR="00B646A0" w:rsidP="00E0716F" w:rsidRDefault="00AB1B8F" w14:paraId="7ACB2FA7" w14:textId="4C5D7F0D">
      <w:pPr>
        <w:pStyle w:val="BodyText"/>
        <w:spacing w:before="120"/>
        <w:ind w:left="389"/>
      </w:pPr>
      <w:r w:rsidRPr="00C148E2">
        <w:t xml:space="preserve">Plan v.2 </w:t>
      </w:r>
      <w:r w:rsidRPr="00C148E2" w:rsidR="006F1017">
        <w:t xml:space="preserve">was developed by </w:t>
      </w:r>
      <w:r w:rsidRPr="00C148E2" w:rsidR="00A50234">
        <w:t xml:space="preserve">CPUC </w:t>
      </w:r>
      <w:r w:rsidRPr="00C148E2" w:rsidR="0099560E">
        <w:t>s</w:t>
      </w:r>
      <w:r w:rsidRPr="00C148E2" w:rsidR="006F1017">
        <w:t xml:space="preserve">taff through regular meetings beginning in </w:t>
      </w:r>
      <w:r w:rsidRPr="00C148E2" w:rsidR="00F6217A">
        <w:t>the late summer of 2021</w:t>
      </w:r>
      <w:r w:rsidRPr="00C148E2" w:rsidR="006F1017">
        <w:t xml:space="preserve"> </w:t>
      </w:r>
      <w:r w:rsidRPr="00C148E2" w:rsidR="00A50234">
        <w:t>in coordination with</w:t>
      </w:r>
      <w:r w:rsidRPr="00C148E2" w:rsidR="006F1017">
        <w:t xml:space="preserve"> the industry divisions, the News and Outreach Office, </w:t>
      </w:r>
      <w:r w:rsidRPr="00C148E2" w:rsidR="009F001D">
        <w:t xml:space="preserve">Tribal Advisor, </w:t>
      </w:r>
      <w:r w:rsidRPr="00C148E2" w:rsidR="00615ED5">
        <w:t xml:space="preserve">Office of the Commission, </w:t>
      </w:r>
      <w:r w:rsidRPr="00C148E2" w:rsidR="006F1017">
        <w:t>and staff for Commissioners Guzman Aceve</w:t>
      </w:r>
      <w:r w:rsidRPr="00C148E2" w:rsidR="00615ED5">
        <w:t>s and</w:t>
      </w:r>
      <w:r w:rsidRPr="00C148E2" w:rsidR="006F1017">
        <w:t xml:space="preserve"> Rechtschaffen. During these meetings, participants </w:t>
      </w:r>
      <w:r w:rsidRPr="00C148E2" w:rsidR="00615ED5">
        <w:t>revisited the original nine t</w:t>
      </w:r>
      <w:r w:rsidRPr="00C148E2" w:rsidR="006F1017">
        <w:t>he goals</w:t>
      </w:r>
      <w:r w:rsidRPr="00C148E2" w:rsidR="00615ED5">
        <w:t xml:space="preserve"> and</w:t>
      </w:r>
      <w:r w:rsidRPr="00C148E2" w:rsidR="006F1017">
        <w:t xml:space="preserve"> objectives</w:t>
      </w:r>
      <w:r w:rsidRPr="00C148E2" w:rsidR="00615ED5">
        <w:t xml:space="preserve"> to ensure they continued to direct attention to the appropriate communities</w:t>
      </w:r>
      <w:r w:rsidRPr="00C148E2" w:rsidR="006F1017">
        <w:t xml:space="preserve">, and </w:t>
      </w:r>
      <w:r w:rsidRPr="00C148E2" w:rsidR="00F61FFD">
        <w:t xml:space="preserve">update </w:t>
      </w:r>
      <w:r w:rsidRPr="00C148E2" w:rsidR="006F1017">
        <w:t>actions listed in the Plan.</w:t>
      </w:r>
      <w:r w:rsidR="00F81CA3">
        <w:t xml:space="preserve"> </w:t>
      </w:r>
    </w:p>
    <w:p w:rsidRPr="00C148E2" w:rsidR="00B646A0" w:rsidRDefault="00B646A0" w14:paraId="7ACB2FA8" w14:textId="77777777">
      <w:pPr>
        <w:pStyle w:val="BodyText"/>
      </w:pPr>
    </w:p>
    <w:p w:rsidRPr="00C148E2" w:rsidR="00B646A0" w:rsidRDefault="006F1017" w14:paraId="7ACB2FA9" w14:textId="4DA30E87">
      <w:pPr>
        <w:pStyle w:val="BodyText"/>
        <w:ind w:left="391" w:right="131"/>
      </w:pPr>
      <w:r w:rsidRPr="00C148E2">
        <w:t xml:space="preserve">Beginning in </w:t>
      </w:r>
      <w:r w:rsidRPr="00C148E2" w:rsidR="00A136DA">
        <w:t>October</w:t>
      </w:r>
      <w:r w:rsidRPr="00C148E2">
        <w:t xml:space="preserve"> 20</w:t>
      </w:r>
      <w:r w:rsidRPr="00C148E2" w:rsidR="0099560E">
        <w:t>21</w:t>
      </w:r>
      <w:r w:rsidRPr="00C148E2">
        <w:t xml:space="preserve">, the Draft ESJ Action Plan </w:t>
      </w:r>
      <w:r w:rsidR="00C2789B">
        <w:t>v.2</w:t>
      </w:r>
      <w:r w:rsidR="00B20431">
        <w:t xml:space="preserve"> </w:t>
      </w:r>
      <w:r w:rsidRPr="00C148E2">
        <w:t xml:space="preserve">was available for public input. An early draft was introduced at the Disadvantaged Communities Advisory Group’s (DACAG) quarterly meeting on </w:t>
      </w:r>
      <w:r w:rsidRPr="00C148E2" w:rsidR="00A136DA">
        <w:t xml:space="preserve">October 14, </w:t>
      </w:r>
      <w:r w:rsidRPr="00C148E2" w:rsidR="006D31FC">
        <w:t>20</w:t>
      </w:r>
      <w:r w:rsidRPr="00C148E2">
        <w:t xml:space="preserve">21, </w:t>
      </w:r>
      <w:proofErr w:type="gramStart"/>
      <w:r w:rsidRPr="00C148E2">
        <w:t>and also</w:t>
      </w:r>
      <w:proofErr w:type="gramEnd"/>
      <w:r w:rsidRPr="00C148E2">
        <w:t xml:space="preserve"> discussed at the Low</w:t>
      </w:r>
      <w:r w:rsidRPr="00C148E2" w:rsidR="002B2966">
        <w:t>-</w:t>
      </w:r>
      <w:r w:rsidRPr="00C148E2">
        <w:t>Income Oversight Board meeting on September 2</w:t>
      </w:r>
      <w:r w:rsidRPr="00C148E2" w:rsidR="006D31FC">
        <w:t>4</w:t>
      </w:r>
      <w:r w:rsidRPr="00C148E2">
        <w:t xml:space="preserve">. </w:t>
      </w:r>
      <w:r w:rsidRPr="00C148E2" w:rsidR="008078E4">
        <w:t>with a</w:t>
      </w:r>
      <w:r w:rsidRPr="00C148E2" w:rsidR="00A958D2">
        <w:t xml:space="preserve"> second set of webinars </w:t>
      </w:r>
      <w:r w:rsidRPr="00C148E2" w:rsidR="008078E4">
        <w:t xml:space="preserve">to present the draft for comment </w:t>
      </w:r>
      <w:r w:rsidRPr="00C148E2" w:rsidR="00A958D2">
        <w:t xml:space="preserve">were </w:t>
      </w:r>
      <w:r w:rsidRPr="00C148E2">
        <w:t xml:space="preserve">also held on November </w:t>
      </w:r>
      <w:r w:rsidRPr="00C148E2" w:rsidR="003E56B4">
        <w:t xml:space="preserve">10 </w:t>
      </w:r>
      <w:r w:rsidRPr="00C148E2" w:rsidR="009C04B0">
        <w:t>and 17</w:t>
      </w:r>
      <w:r w:rsidRPr="00C148E2">
        <w:t>, 20</w:t>
      </w:r>
      <w:r w:rsidRPr="00C148E2" w:rsidR="009C04B0">
        <w:t>21</w:t>
      </w:r>
      <w:r w:rsidRPr="00C148E2">
        <w:t xml:space="preserve">. As a result of these sessions and other public outreach efforts, the Commission received both verbal and written comments from various stakeholders. A draft of Plan </w:t>
      </w:r>
      <w:r w:rsidR="004D094B">
        <w:t xml:space="preserve">v.2 </w:t>
      </w:r>
      <w:r w:rsidR="00121F20">
        <w:t xml:space="preserve">is </w:t>
      </w:r>
      <w:r w:rsidR="00C2789B">
        <w:t xml:space="preserve">available </w:t>
      </w:r>
      <w:r w:rsidR="00121F20">
        <w:t>on</w:t>
      </w:r>
      <w:r w:rsidRPr="00C148E2">
        <w:t xml:space="preserve"> the Commission website.</w:t>
      </w:r>
    </w:p>
    <w:p w:rsidRPr="00C148E2" w:rsidR="00B646A0" w:rsidRDefault="00B646A0" w14:paraId="7ACB2FAA" w14:textId="77777777">
      <w:pPr>
        <w:pStyle w:val="BodyText"/>
        <w:spacing w:before="1"/>
      </w:pPr>
    </w:p>
    <w:p w:rsidRPr="00C148E2" w:rsidR="00B646A0" w:rsidRDefault="006F1017" w14:paraId="7ACB2FAB" w14:textId="10B1A902">
      <w:pPr>
        <w:pStyle w:val="BodyText"/>
        <w:ind w:left="391" w:right="137"/>
      </w:pPr>
      <w:r w:rsidRPr="00C148E2">
        <w:rPr>
          <w:b/>
          <w:u w:val="single"/>
        </w:rPr>
        <w:t>CONCLUSION</w:t>
      </w:r>
      <w:r w:rsidRPr="00C148E2">
        <w:rPr>
          <w:b/>
        </w:rPr>
        <w:t xml:space="preserve">: </w:t>
      </w:r>
      <w:r w:rsidRPr="00C148E2">
        <w:t xml:space="preserve">The Plan </w:t>
      </w:r>
      <w:r w:rsidR="00C2789B">
        <w:t xml:space="preserve">v.2 </w:t>
      </w:r>
      <w:r w:rsidRPr="00C148E2">
        <w:t xml:space="preserve">will </w:t>
      </w:r>
      <w:r w:rsidRPr="00C148E2" w:rsidR="009C04B0">
        <w:t xml:space="preserve">continue to </w:t>
      </w:r>
      <w:r w:rsidRPr="00C148E2">
        <w:t xml:space="preserve">help the Commission meet statutory requirements and internal goals by providing a roadmap for integrating environmental and social justice across all programs. Plan </w:t>
      </w:r>
      <w:r w:rsidR="00F65FA9">
        <w:t xml:space="preserve">v.2 </w:t>
      </w:r>
      <w:r w:rsidRPr="00C148E2">
        <w:t xml:space="preserve">will serve as a </w:t>
      </w:r>
      <w:r w:rsidR="00121F20">
        <w:t>resource and reference document</w:t>
      </w:r>
      <w:r w:rsidR="002F4296">
        <w:t xml:space="preserve"> </w:t>
      </w:r>
      <w:r w:rsidRPr="00C148E2">
        <w:t xml:space="preserve">and will be updated regularly </w:t>
      </w:r>
      <w:r w:rsidR="002F4296">
        <w:t>every three years to ensure</w:t>
      </w:r>
      <w:r w:rsidRPr="00C148E2">
        <w:t xml:space="preserve"> the Commission’s progress on the listed goals. We request </w:t>
      </w:r>
      <w:r w:rsidR="00F65FA9">
        <w:t>adoption</w:t>
      </w:r>
      <w:r w:rsidRPr="00C148E2">
        <w:t xml:space="preserve"> of Plan</w:t>
      </w:r>
      <w:r w:rsidR="00F65FA9">
        <w:t xml:space="preserve"> v.2</w:t>
      </w:r>
      <w:r w:rsidRPr="00C148E2">
        <w:t xml:space="preserve"> as an important</w:t>
      </w:r>
      <w:r w:rsidRPr="00C148E2" w:rsidR="00792BF5">
        <w:t xml:space="preserve"> t</w:t>
      </w:r>
      <w:r w:rsidRPr="00C148E2">
        <w:t xml:space="preserve">ool for the Commission as we work to advance </w:t>
      </w:r>
      <w:r w:rsidR="00A004F4">
        <w:t xml:space="preserve">equity and </w:t>
      </w:r>
      <w:r w:rsidRPr="00C148E2">
        <w:t>environmental and social justice in our work.</w:t>
      </w:r>
    </w:p>
    <w:p w:rsidRPr="00C148E2" w:rsidR="00B646A0" w:rsidRDefault="00B646A0" w14:paraId="7ACB2FAC" w14:textId="77777777">
      <w:pPr>
        <w:rPr>
          <w:sz w:val="24"/>
          <w:szCs w:val="24"/>
        </w:rPr>
        <w:sectPr w:rsidRPr="00C148E2" w:rsidR="00B646A0" w:rsidSect="00880AAE">
          <w:headerReference w:type="default" r:id="rId8"/>
          <w:headerReference w:type="first" r:id="rId9"/>
          <w:pgSz w:w="12240" w:h="15840"/>
          <w:pgMar w:top="1440" w:right="1080" w:bottom="1440" w:left="1080" w:header="722" w:footer="0" w:gutter="0"/>
          <w:pgNumType w:start="2"/>
          <w:cols w:space="720"/>
          <w:titlePg/>
          <w:docGrid w:linePitch="299"/>
        </w:sectPr>
      </w:pPr>
    </w:p>
    <w:p w:rsidRPr="00C148E2" w:rsidR="00B646A0" w:rsidRDefault="006F1017" w14:paraId="7ACB2FAD" w14:textId="77777777">
      <w:pPr>
        <w:pStyle w:val="BodyText"/>
        <w:spacing w:before="82"/>
        <w:ind w:left="300"/>
      </w:pPr>
      <w:r w:rsidRPr="00C148E2">
        <w:lastRenderedPageBreak/>
        <w:t>Sincerely,</w:t>
      </w:r>
    </w:p>
    <w:p w:rsidRPr="00C148E2" w:rsidR="00B646A0" w:rsidRDefault="00B646A0" w14:paraId="7ACB2FAE" w14:textId="55DD00CE">
      <w:pPr>
        <w:pStyle w:val="BodyText"/>
        <w:spacing w:before="4"/>
      </w:pPr>
    </w:p>
    <w:p w:rsidR="0071462C" w:rsidP="0071462C" w:rsidRDefault="0071462C" w14:paraId="76707F1D" w14:textId="77777777">
      <w:pPr>
        <w:pStyle w:val="BodyText"/>
        <w:spacing w:before="136" w:line="360" w:lineRule="auto"/>
        <w:ind w:left="300" w:right="5581"/>
      </w:pPr>
      <w:r>
        <w:t>Nicole Cropper, Special Assistant</w:t>
      </w:r>
    </w:p>
    <w:p w:rsidRPr="00C148E2" w:rsidR="00B646A0" w:rsidP="0071462C" w:rsidRDefault="0071462C" w14:paraId="7ACB2FAF" w14:textId="4021147B">
      <w:pPr>
        <w:pStyle w:val="BodyText"/>
        <w:spacing w:before="136" w:line="360" w:lineRule="auto"/>
        <w:ind w:left="300" w:right="5581"/>
      </w:pPr>
      <w:r>
        <w:t>Office of the Commission</w:t>
      </w:r>
      <w:r w:rsidRPr="00C148E2" w:rsidR="006F1017">
        <w:t xml:space="preserve"> </w:t>
      </w:r>
    </w:p>
    <w:sectPr w:rsidRPr="00C148E2" w:rsidR="00B646A0">
      <w:pgSz w:w="12240" w:h="15840"/>
      <w:pgMar w:top="1340" w:right="1360" w:bottom="280" w:left="11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E80A" w14:textId="77777777" w:rsidR="006E5E78" w:rsidRDefault="006E5E78">
      <w:r>
        <w:separator/>
      </w:r>
    </w:p>
  </w:endnote>
  <w:endnote w:type="continuationSeparator" w:id="0">
    <w:p w14:paraId="695D3AA8" w14:textId="77777777" w:rsidR="006E5E78" w:rsidRDefault="006E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F873" w14:textId="77777777" w:rsidR="006E5E78" w:rsidRDefault="006E5E78">
      <w:r>
        <w:separator/>
      </w:r>
    </w:p>
  </w:footnote>
  <w:footnote w:type="continuationSeparator" w:id="0">
    <w:p w14:paraId="5283DE55" w14:textId="77777777" w:rsidR="006E5E78" w:rsidRDefault="006E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2FB2" w14:textId="1D9DF8A0" w:rsidR="00B646A0" w:rsidRDefault="00AF615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CB2FB3" wp14:editId="62DEEFAF">
              <wp:simplePos x="0" y="0"/>
              <wp:positionH relativeFrom="page">
                <wp:posOffset>3816985</wp:posOffset>
              </wp:positionH>
              <wp:positionV relativeFrom="page">
                <wp:posOffset>445770</wp:posOffset>
              </wp:positionV>
              <wp:extent cx="1524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2FB4" w14:textId="77777777" w:rsidR="00B646A0" w:rsidRDefault="006F1017">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B2FB3" id="_x0000_t202" coordsize="21600,21600" o:spt="202" path="m,l,21600r21600,l21600,xe">
              <v:stroke joinstyle="miter"/>
              <v:path gradientshapeok="t" o:connecttype="rect"/>
            </v:shapetype>
            <v:shape id="docshape1" o:spid="_x0000_s1026" type="#_x0000_t202" style="position:absolute;margin-left:300.55pt;margin-top:35.1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" filled="f" stroked="f">
              <v:textbox inset="0,0,0,0">
                <w:txbxContent>
                  <w:p w14:paraId="7ACB2FB4" w14:textId="77777777" w:rsidR="00B646A0" w:rsidRDefault="006F1017">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7E58" w14:textId="605B1D8F" w:rsidR="00880AAE" w:rsidRPr="00880AAE" w:rsidRDefault="00880AAE" w:rsidP="00880AAE">
    <w:pPr>
      <w:pStyle w:val="Header"/>
      <w:jc w:val="right"/>
      <w:rPr>
        <w:b/>
        <w:bCs/>
        <w:lang w:val="en-ZW"/>
      </w:rPr>
    </w:pPr>
    <w:r w:rsidRPr="00880AAE">
      <w:rPr>
        <w:b/>
        <w:bCs/>
        <w:lang w:val="en-ZW"/>
      </w:rPr>
      <w:t>Agenda ID# 20479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26DD"/>
    <w:multiLevelType w:val="hybridMultilevel"/>
    <w:tmpl w:val="2D100830"/>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 w15:restartNumberingAfterBreak="0">
    <w:nsid w:val="4B1B0E81"/>
    <w:multiLevelType w:val="hybridMultilevel"/>
    <w:tmpl w:val="0E04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77E7A"/>
    <w:multiLevelType w:val="hybridMultilevel"/>
    <w:tmpl w:val="BEEA90DC"/>
    <w:lvl w:ilvl="0" w:tplc="D11EE7FA">
      <w:start w:val="1"/>
      <w:numFmt w:val="decimal"/>
      <w:lvlText w:val="%1)"/>
      <w:lvlJc w:val="left"/>
      <w:pPr>
        <w:ind w:left="1380" w:hanging="360"/>
      </w:pPr>
      <w:rPr>
        <w:rFonts w:ascii="Times New Roman" w:eastAsia="Times New Roman" w:hAnsi="Times New Roman" w:cs="Times New Roman" w:hint="default"/>
        <w:b w:val="0"/>
        <w:bCs w:val="0"/>
        <w:i w:val="0"/>
        <w:iCs w:val="0"/>
        <w:w w:val="100"/>
        <w:sz w:val="24"/>
        <w:szCs w:val="24"/>
        <w:lang w:val="en-US" w:eastAsia="en-US" w:bidi="ar-SA"/>
      </w:rPr>
    </w:lvl>
    <w:lvl w:ilvl="1" w:tplc="E2E85C2E">
      <w:numFmt w:val="bullet"/>
      <w:lvlText w:val="•"/>
      <w:lvlJc w:val="left"/>
      <w:pPr>
        <w:ind w:left="2216" w:hanging="360"/>
      </w:pPr>
      <w:rPr>
        <w:rFonts w:hint="default"/>
        <w:lang w:val="en-US" w:eastAsia="en-US" w:bidi="ar-SA"/>
      </w:rPr>
    </w:lvl>
    <w:lvl w:ilvl="2" w:tplc="E836E45A">
      <w:numFmt w:val="bullet"/>
      <w:lvlText w:val="•"/>
      <w:lvlJc w:val="left"/>
      <w:pPr>
        <w:ind w:left="3052" w:hanging="360"/>
      </w:pPr>
      <w:rPr>
        <w:rFonts w:hint="default"/>
        <w:lang w:val="en-US" w:eastAsia="en-US" w:bidi="ar-SA"/>
      </w:rPr>
    </w:lvl>
    <w:lvl w:ilvl="3" w:tplc="1582963C">
      <w:numFmt w:val="bullet"/>
      <w:lvlText w:val="•"/>
      <w:lvlJc w:val="left"/>
      <w:pPr>
        <w:ind w:left="3888" w:hanging="360"/>
      </w:pPr>
      <w:rPr>
        <w:rFonts w:hint="default"/>
        <w:lang w:val="en-US" w:eastAsia="en-US" w:bidi="ar-SA"/>
      </w:rPr>
    </w:lvl>
    <w:lvl w:ilvl="4" w:tplc="F17E3156">
      <w:numFmt w:val="bullet"/>
      <w:lvlText w:val="•"/>
      <w:lvlJc w:val="left"/>
      <w:pPr>
        <w:ind w:left="4724" w:hanging="360"/>
      </w:pPr>
      <w:rPr>
        <w:rFonts w:hint="default"/>
        <w:lang w:val="en-US" w:eastAsia="en-US" w:bidi="ar-SA"/>
      </w:rPr>
    </w:lvl>
    <w:lvl w:ilvl="5" w:tplc="0AE0AC54">
      <w:numFmt w:val="bullet"/>
      <w:lvlText w:val="•"/>
      <w:lvlJc w:val="left"/>
      <w:pPr>
        <w:ind w:left="5560" w:hanging="360"/>
      </w:pPr>
      <w:rPr>
        <w:rFonts w:hint="default"/>
        <w:lang w:val="en-US" w:eastAsia="en-US" w:bidi="ar-SA"/>
      </w:rPr>
    </w:lvl>
    <w:lvl w:ilvl="6" w:tplc="C3BA5644">
      <w:numFmt w:val="bullet"/>
      <w:lvlText w:val="•"/>
      <w:lvlJc w:val="left"/>
      <w:pPr>
        <w:ind w:left="6396" w:hanging="360"/>
      </w:pPr>
      <w:rPr>
        <w:rFonts w:hint="default"/>
        <w:lang w:val="en-US" w:eastAsia="en-US" w:bidi="ar-SA"/>
      </w:rPr>
    </w:lvl>
    <w:lvl w:ilvl="7" w:tplc="F1C46B7A">
      <w:numFmt w:val="bullet"/>
      <w:lvlText w:val="•"/>
      <w:lvlJc w:val="left"/>
      <w:pPr>
        <w:ind w:left="7232" w:hanging="360"/>
      </w:pPr>
      <w:rPr>
        <w:rFonts w:hint="default"/>
        <w:lang w:val="en-US" w:eastAsia="en-US" w:bidi="ar-SA"/>
      </w:rPr>
    </w:lvl>
    <w:lvl w:ilvl="8" w:tplc="A54CC050">
      <w:numFmt w:val="bullet"/>
      <w:lvlText w:val="•"/>
      <w:lvlJc w:val="left"/>
      <w:pPr>
        <w:ind w:left="8068"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0"/>
    <w:rsid w:val="000864B0"/>
    <w:rsid w:val="000D145F"/>
    <w:rsid w:val="00121F20"/>
    <w:rsid w:val="00234732"/>
    <w:rsid w:val="0026569E"/>
    <w:rsid w:val="00277F3F"/>
    <w:rsid w:val="00295986"/>
    <w:rsid w:val="002B2966"/>
    <w:rsid w:val="002F4296"/>
    <w:rsid w:val="00301CCC"/>
    <w:rsid w:val="00323205"/>
    <w:rsid w:val="003328A2"/>
    <w:rsid w:val="00345155"/>
    <w:rsid w:val="003E56B4"/>
    <w:rsid w:val="004131DA"/>
    <w:rsid w:val="00427B1E"/>
    <w:rsid w:val="00471925"/>
    <w:rsid w:val="00491A4C"/>
    <w:rsid w:val="00493DC0"/>
    <w:rsid w:val="004D094B"/>
    <w:rsid w:val="004E0212"/>
    <w:rsid w:val="00520251"/>
    <w:rsid w:val="005233A2"/>
    <w:rsid w:val="0057174F"/>
    <w:rsid w:val="00575905"/>
    <w:rsid w:val="00615ED5"/>
    <w:rsid w:val="00644CDB"/>
    <w:rsid w:val="00670FFB"/>
    <w:rsid w:val="006D31FC"/>
    <w:rsid w:val="006E5E78"/>
    <w:rsid w:val="006F1017"/>
    <w:rsid w:val="0070629E"/>
    <w:rsid w:val="0071462C"/>
    <w:rsid w:val="00792BF5"/>
    <w:rsid w:val="007A1BE5"/>
    <w:rsid w:val="007D5705"/>
    <w:rsid w:val="008078E4"/>
    <w:rsid w:val="00850571"/>
    <w:rsid w:val="00880AAE"/>
    <w:rsid w:val="00882AF9"/>
    <w:rsid w:val="00913DC6"/>
    <w:rsid w:val="00947E03"/>
    <w:rsid w:val="00974C35"/>
    <w:rsid w:val="00974E74"/>
    <w:rsid w:val="009915AC"/>
    <w:rsid w:val="0099560E"/>
    <w:rsid w:val="009B4828"/>
    <w:rsid w:val="009C04B0"/>
    <w:rsid w:val="009F001D"/>
    <w:rsid w:val="00A004F4"/>
    <w:rsid w:val="00A136DA"/>
    <w:rsid w:val="00A24D38"/>
    <w:rsid w:val="00A3257D"/>
    <w:rsid w:val="00A50234"/>
    <w:rsid w:val="00A958D2"/>
    <w:rsid w:val="00A97054"/>
    <w:rsid w:val="00AA66B1"/>
    <w:rsid w:val="00AB1B8F"/>
    <w:rsid w:val="00AD7E84"/>
    <w:rsid w:val="00AF6156"/>
    <w:rsid w:val="00B128AB"/>
    <w:rsid w:val="00B17CCC"/>
    <w:rsid w:val="00B20431"/>
    <w:rsid w:val="00B646A0"/>
    <w:rsid w:val="00B9235D"/>
    <w:rsid w:val="00B9328A"/>
    <w:rsid w:val="00BA0015"/>
    <w:rsid w:val="00BC5547"/>
    <w:rsid w:val="00C024A6"/>
    <w:rsid w:val="00C148E2"/>
    <w:rsid w:val="00C21D35"/>
    <w:rsid w:val="00C2789B"/>
    <w:rsid w:val="00C71205"/>
    <w:rsid w:val="00C84E5B"/>
    <w:rsid w:val="00C95189"/>
    <w:rsid w:val="00CE6F41"/>
    <w:rsid w:val="00DD153C"/>
    <w:rsid w:val="00E0716F"/>
    <w:rsid w:val="00E11FD0"/>
    <w:rsid w:val="00E36F4F"/>
    <w:rsid w:val="00EA78F6"/>
    <w:rsid w:val="00F4590F"/>
    <w:rsid w:val="00F55774"/>
    <w:rsid w:val="00F61FFD"/>
    <w:rsid w:val="00F6217A"/>
    <w:rsid w:val="00F65FA9"/>
    <w:rsid w:val="00F75182"/>
    <w:rsid w:val="00F81CA3"/>
    <w:rsid w:val="00FB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2F76"/>
  <w15:docId w15:val="{F41A53E7-F5A4-4D3F-A482-BBDEA5D7451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1"/>
      <w:outlineLvl w:val="0"/>
    </w:pPr>
    <w:rPr>
      <w:b/>
      <w:bCs/>
      <w:sz w:val="24"/>
      <w:szCs w:val="24"/>
      <w:u w:val="single" w:color="000000"/>
    </w:rPr>
  </w:style>
  <w:style w:type="paragraph" w:styleId="Heading5">
    <w:name w:val="heading 5"/>
    <w:basedOn w:val="Normal"/>
    <w:next w:val="Normal"/>
    <w:link w:val="Heading5Char"/>
    <w:uiPriority w:val="9"/>
    <w:semiHidden/>
    <w:unhideWhenUsed/>
    <w:qFormat/>
    <w:rsid w:val="00A9705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3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0212"/>
    <w:rPr>
      <w:sz w:val="16"/>
      <w:szCs w:val="16"/>
    </w:rPr>
  </w:style>
  <w:style w:type="paragraph" w:styleId="CommentText">
    <w:name w:val="annotation text"/>
    <w:basedOn w:val="Normal"/>
    <w:link w:val="CommentTextChar"/>
    <w:uiPriority w:val="99"/>
    <w:semiHidden/>
    <w:unhideWhenUsed/>
    <w:rsid w:val="004E0212"/>
    <w:rPr>
      <w:sz w:val="20"/>
      <w:szCs w:val="20"/>
    </w:rPr>
  </w:style>
  <w:style w:type="character" w:customStyle="1" w:styleId="CommentTextChar">
    <w:name w:val="Comment Text Char"/>
    <w:basedOn w:val="DefaultParagraphFont"/>
    <w:link w:val="CommentText"/>
    <w:uiPriority w:val="99"/>
    <w:semiHidden/>
    <w:rsid w:val="004E0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212"/>
    <w:rPr>
      <w:b/>
      <w:bCs/>
    </w:rPr>
  </w:style>
  <w:style w:type="character" w:customStyle="1" w:styleId="CommentSubjectChar">
    <w:name w:val="Comment Subject Char"/>
    <w:basedOn w:val="CommentTextChar"/>
    <w:link w:val="CommentSubject"/>
    <w:uiPriority w:val="99"/>
    <w:semiHidden/>
    <w:rsid w:val="004E021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A97054"/>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B17CCC"/>
    <w:pPr>
      <w:tabs>
        <w:tab w:val="center" w:pos="4680"/>
        <w:tab w:val="right" w:pos="9360"/>
      </w:tabs>
    </w:pPr>
  </w:style>
  <w:style w:type="character" w:customStyle="1" w:styleId="HeaderChar">
    <w:name w:val="Header Char"/>
    <w:basedOn w:val="DefaultParagraphFont"/>
    <w:link w:val="Header"/>
    <w:uiPriority w:val="99"/>
    <w:rsid w:val="00B17CCC"/>
    <w:rPr>
      <w:rFonts w:ascii="Times New Roman" w:eastAsia="Times New Roman" w:hAnsi="Times New Roman" w:cs="Times New Roman"/>
    </w:rPr>
  </w:style>
  <w:style w:type="paragraph" w:styleId="Footer">
    <w:name w:val="footer"/>
    <w:basedOn w:val="Normal"/>
    <w:link w:val="FooterChar"/>
    <w:uiPriority w:val="99"/>
    <w:unhideWhenUsed/>
    <w:rsid w:val="00B17CCC"/>
    <w:pPr>
      <w:tabs>
        <w:tab w:val="center" w:pos="4680"/>
        <w:tab w:val="right" w:pos="9360"/>
      </w:tabs>
    </w:pPr>
  </w:style>
  <w:style w:type="character" w:customStyle="1" w:styleId="FooterChar">
    <w:name w:val="Footer Char"/>
    <w:basedOn w:val="DefaultParagraphFont"/>
    <w:link w:val="Footer"/>
    <w:uiPriority w:val="99"/>
    <w:rsid w:val="00B17C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puc.ca.gov/d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1088</ap:Words>
  <ap:Characters>6205</ap:Characters>
  <ap:Application>Microsoft Office Word</ap:Application>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7279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2022-04-01T16:09:43Z</dcterms:created>
  <dcterms:modified xsi:type="dcterms:W3CDTF">2022-04-01T16:09:43Z</dcterms:modified>
</cp:coreProperties>
</file>