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18FA" w:rsidP="003C18FA" w:rsidRDefault="003C18FA" w14:paraId="4DA3D187" w14:textId="77777777">
      <w:pPr>
        <w:jc w:val="center"/>
        <w:rPr>
          <w:rFonts w:ascii="Book Antiqua" w:hAnsi="Book Antiqua"/>
          <w:b/>
          <w:sz w:val="40"/>
          <w:szCs w:val="40"/>
        </w:rPr>
      </w:pPr>
    </w:p>
    <w:p w:rsidR="003C18FA" w:rsidP="003C18FA" w:rsidRDefault="003C18FA" w14:paraId="20A9F6DF" w14:textId="77777777">
      <w:pPr>
        <w:jc w:val="center"/>
        <w:rPr>
          <w:rFonts w:ascii="Book Antiqua" w:hAnsi="Book Antiqua"/>
          <w:b/>
          <w:sz w:val="40"/>
          <w:szCs w:val="40"/>
        </w:rPr>
      </w:pPr>
    </w:p>
    <w:p w:rsidR="003C18FA" w:rsidP="003C18FA" w:rsidRDefault="003C18FA" w14:paraId="33707FC9" w14:textId="77777777">
      <w:pPr>
        <w:jc w:val="center"/>
        <w:rPr>
          <w:rFonts w:ascii="Book Antiqua" w:hAnsi="Book Antiqua"/>
          <w:b/>
          <w:sz w:val="40"/>
          <w:szCs w:val="40"/>
        </w:rPr>
      </w:pPr>
    </w:p>
    <w:p w:rsidR="003C18FA" w:rsidP="003C18FA" w:rsidRDefault="003C18FA" w14:paraId="7DE31363" w14:textId="77777777">
      <w:pPr>
        <w:jc w:val="center"/>
        <w:rPr>
          <w:rFonts w:ascii="Book Antiqua" w:hAnsi="Book Antiqua"/>
          <w:b/>
          <w:sz w:val="40"/>
          <w:szCs w:val="40"/>
        </w:rPr>
      </w:pPr>
    </w:p>
    <w:p w:rsidR="003C18FA" w:rsidP="003C18FA" w:rsidRDefault="003C18FA" w14:paraId="0B6BC736" w14:textId="77777777">
      <w:pPr>
        <w:jc w:val="center"/>
        <w:rPr>
          <w:rFonts w:ascii="Book Antiqua" w:hAnsi="Book Antiqua"/>
          <w:b/>
          <w:sz w:val="40"/>
          <w:szCs w:val="40"/>
        </w:rPr>
      </w:pPr>
    </w:p>
    <w:p w:rsidR="003C18FA" w:rsidP="003C18FA" w:rsidRDefault="003C18FA" w14:paraId="40C61B0A" w14:textId="77777777">
      <w:pPr>
        <w:jc w:val="center"/>
        <w:rPr>
          <w:rFonts w:ascii="Book Antiqua" w:hAnsi="Book Antiqua"/>
          <w:b/>
          <w:sz w:val="40"/>
          <w:szCs w:val="40"/>
        </w:rPr>
      </w:pPr>
    </w:p>
    <w:p w:rsidR="003C18FA" w:rsidP="003C18FA" w:rsidRDefault="003C18FA" w14:paraId="0B081FDC" w14:textId="77777777">
      <w:pPr>
        <w:jc w:val="center"/>
        <w:rPr>
          <w:rFonts w:ascii="Book Antiqua" w:hAnsi="Book Antiqua"/>
          <w:b/>
          <w:sz w:val="40"/>
          <w:szCs w:val="40"/>
        </w:rPr>
      </w:pPr>
    </w:p>
    <w:p w:rsidRPr="00DF206D" w:rsidR="003C18FA" w:rsidP="003C18FA" w:rsidRDefault="003C18FA" w14:paraId="51BAEA80" w14:textId="77777777">
      <w:pPr>
        <w:jc w:val="center"/>
        <w:rPr>
          <w:rFonts w:ascii="Book Antiqua" w:hAnsi="Book Antiqua"/>
          <w:sz w:val="40"/>
          <w:szCs w:val="40"/>
        </w:rPr>
      </w:pPr>
      <w:r w:rsidRPr="0013487D">
        <w:rPr>
          <w:rFonts w:ascii="Book Antiqua" w:hAnsi="Book Antiqua"/>
          <w:b/>
          <w:sz w:val="48"/>
          <w:szCs w:val="48"/>
        </w:rPr>
        <w:t>APPENDIX A:</w:t>
      </w:r>
      <w:r w:rsidRPr="0013487D">
        <w:rPr>
          <w:rFonts w:ascii="Book Antiqua" w:hAnsi="Book Antiqua"/>
          <w:b/>
          <w:sz w:val="48"/>
          <w:szCs w:val="48"/>
        </w:rPr>
        <w:br/>
      </w:r>
      <w:r w:rsidRPr="00DF206D">
        <w:rPr>
          <w:rFonts w:ascii="Book Antiqua" w:hAnsi="Book Antiqua"/>
          <w:sz w:val="40"/>
          <w:szCs w:val="40"/>
        </w:rPr>
        <w:t>Proposed Framework and Analysis</w:t>
      </w:r>
    </w:p>
    <w:p w:rsidRPr="00DF206D" w:rsidR="003C18FA" w:rsidP="003C18FA" w:rsidRDefault="003C18FA" w14:paraId="0AC31774" w14:textId="77777777">
      <w:pPr>
        <w:jc w:val="center"/>
        <w:rPr>
          <w:rFonts w:ascii="Book Antiqua" w:hAnsi="Book Antiqua"/>
          <w:sz w:val="40"/>
          <w:szCs w:val="40"/>
        </w:rPr>
      </w:pPr>
    </w:p>
    <w:p w:rsidR="003C18FA" w:rsidRDefault="003C18FA" w14:paraId="4E3A82BA" w14:textId="77777777">
      <w:pPr>
        <w:spacing w:after="200" w:line="276" w:lineRule="auto"/>
      </w:pPr>
    </w:p>
    <w:p w:rsidR="003C18FA" w:rsidRDefault="003C18FA" w14:paraId="1052B486" w14:textId="79084B37">
      <w:pPr>
        <w:spacing w:after="200" w:line="276" w:lineRule="auto"/>
      </w:pPr>
      <w:r>
        <w:br w:type="page"/>
      </w:r>
    </w:p>
    <w:p w:rsidR="0029434C" w:rsidRDefault="0029434C" w14:paraId="18B67948" w14:textId="77777777"/>
    <w:p w:rsidR="0029434C" w:rsidRDefault="0029434C" w14:paraId="4FE44209" w14:textId="77777777"/>
    <w:p w:rsidR="0029434C" w:rsidRDefault="0029434C" w14:paraId="02C62672" w14:textId="77777777"/>
    <w:tbl>
      <w:tblPr>
        <w:tblStyle w:val="TableGrid"/>
        <w:tblW w:w="0" w:type="auto"/>
        <w:tblBorders>
          <w:top w:val="single" w:color="auto" w:sz="12" w:space="0"/>
          <w:left w:val="none" w:color="auto" w:sz="0" w:space="0"/>
          <w:bottom w:val="none" w:color="auto" w:sz="0" w:space="0"/>
          <w:right w:val="none" w:color="auto" w:sz="0" w:space="0"/>
          <w:insideH w:val="single" w:color="auto" w:sz="12" w:space="0"/>
        </w:tblBorders>
        <w:tblLook w:val="04A0" w:firstRow="1" w:lastRow="0" w:firstColumn="1" w:lastColumn="0" w:noHBand="0" w:noVBand="1"/>
      </w:tblPr>
      <w:tblGrid>
        <w:gridCol w:w="10070"/>
      </w:tblGrid>
      <w:tr w:rsidR="00623680" w:rsidTr="00AE25D6" w14:paraId="3024D398" w14:textId="77777777">
        <w:tc>
          <w:tcPr>
            <w:tcW w:w="10070" w:type="dxa"/>
            <w:tcBorders>
              <w:top w:val="nil"/>
              <w:bottom w:val="single" w:color="FFC000" w:sz="12" w:space="0"/>
            </w:tcBorders>
          </w:tcPr>
          <w:p w:rsidRPr="00DD2890" w:rsidR="00623680" w:rsidP="00DF2394" w:rsidRDefault="00BE1538" w14:paraId="06BD885C" w14:textId="6EE06895">
            <w:pPr>
              <w:pStyle w:val="CoverPageTitle"/>
            </w:pPr>
            <w:r>
              <w:t xml:space="preserve">A </w:t>
            </w:r>
            <w:r w:rsidR="008C1375">
              <w:t>Revised</w:t>
            </w:r>
            <w:r>
              <w:t xml:space="preserve"> Framework for </w:t>
            </w:r>
            <w:r w:rsidR="00620203">
              <w:t xml:space="preserve">Water Utility </w:t>
            </w:r>
            <w:r>
              <w:t>Acquisitions</w:t>
            </w:r>
          </w:p>
        </w:tc>
      </w:tr>
      <w:tr w:rsidR="00623680" w:rsidTr="00F308C4" w14:paraId="274CA30A" w14:textId="77777777">
        <w:trPr>
          <w:trHeight w:val="1464"/>
        </w:trPr>
        <w:tc>
          <w:tcPr>
            <w:tcW w:w="10070" w:type="dxa"/>
            <w:tcBorders>
              <w:top w:val="single" w:color="FFC000" w:sz="12" w:space="0"/>
              <w:bottom w:val="nil"/>
            </w:tcBorders>
            <w:vAlign w:val="center"/>
          </w:tcPr>
          <w:p w:rsidR="00620203" w:rsidP="00DD2890" w:rsidRDefault="00620203" w14:paraId="3348A1CB" w14:textId="77777777">
            <w:pPr>
              <w:pStyle w:val="CoverPageSubtitle"/>
            </w:pPr>
            <w:r>
              <w:t>Staff White Paper</w:t>
            </w:r>
          </w:p>
          <w:p w:rsidR="00623680" w:rsidP="00DD2890" w:rsidRDefault="00484DE3" w14:paraId="0FD63219" w14:textId="22C9C5C2">
            <w:pPr>
              <w:pStyle w:val="CoverPageSubtitle"/>
            </w:pPr>
            <w:r>
              <w:t>recommen</w:t>
            </w:r>
            <w:r w:rsidR="001309A1">
              <w:t>d</w:t>
            </w:r>
            <w:r>
              <w:t>ing</w:t>
            </w:r>
            <w:r w:rsidR="00620203">
              <w:t xml:space="preserve"> an order instituting rulemaking </w:t>
            </w:r>
          </w:p>
        </w:tc>
      </w:tr>
      <w:tr w:rsidR="00623680" w:rsidTr="00FA2B22" w14:paraId="1D0CD3B2" w14:textId="77777777">
        <w:trPr>
          <w:trHeight w:val="1440"/>
        </w:trPr>
        <w:tc>
          <w:tcPr>
            <w:tcW w:w="10070" w:type="dxa"/>
            <w:tcBorders>
              <w:top w:val="nil"/>
              <w:bottom w:val="nil"/>
            </w:tcBorders>
          </w:tcPr>
          <w:p w:rsidR="00623680" w:rsidP="00DD2890" w:rsidRDefault="009F5BD2" w14:paraId="4217906F" w14:textId="67627EAC">
            <w:pPr>
              <w:pStyle w:val="Date"/>
            </w:pPr>
            <w:bookmarkStart w:name="_Hlk82123334" w:id="0"/>
            <w:bookmarkEnd w:id="0"/>
            <w:r>
              <w:rPr>
                <w:noProof/>
              </w:rPr>
              <w:drawing>
                <wp:anchor distT="0" distB="0" distL="114300" distR="114300" simplePos="0" relativeHeight="251658240" behindDoc="1" locked="0" layoutInCell="1" allowOverlap="1" wp14:editId="7797F048" wp14:anchorId="523E3254">
                  <wp:simplePos x="0" y="0"/>
                  <wp:positionH relativeFrom="margin">
                    <wp:posOffset>-754380</wp:posOffset>
                  </wp:positionH>
                  <wp:positionV relativeFrom="paragraph">
                    <wp:posOffset>-5526405</wp:posOffset>
                  </wp:positionV>
                  <wp:extent cx="7791062" cy="10082778"/>
                  <wp:effectExtent l="0" t="0" r="635" b="0"/>
                  <wp:wrapNone/>
                  <wp:docPr id="4" name="Picture 4" descr="California Public Utilities Co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_cover1.jpg"/>
                          <pic:cNvPicPr/>
                        </pic:nvPicPr>
                        <pic:blipFill>
                          <a:blip r:embed="rId11">
                            <a:extLst>
                              <a:ext uri="{28A0092B-C50C-407E-A947-70E740481C1C}">
                                <a14:useLocalDpi xmlns:a14="http://schemas.microsoft.com/office/drawing/2010/main" val="0"/>
                              </a:ext>
                            </a:extLst>
                          </a:blip>
                          <a:stretch>
                            <a:fillRect/>
                          </a:stretch>
                        </pic:blipFill>
                        <pic:spPr>
                          <a:xfrm>
                            <a:off x="0" y="0"/>
                            <a:ext cx="7791062" cy="10082778"/>
                          </a:xfrm>
                          <a:prstGeom prst="rect">
                            <a:avLst/>
                          </a:prstGeom>
                        </pic:spPr>
                      </pic:pic>
                    </a:graphicData>
                  </a:graphic>
                  <wp14:sizeRelH relativeFrom="page">
                    <wp14:pctWidth>0</wp14:pctWidth>
                  </wp14:sizeRelH>
                  <wp14:sizeRelV relativeFrom="page">
                    <wp14:pctHeight>0</wp14:pctHeight>
                  </wp14:sizeRelV>
                </wp:anchor>
              </w:drawing>
            </w:r>
            <w:r w:rsidR="00447365">
              <w:t>March</w:t>
            </w:r>
            <w:r w:rsidR="000D2A30">
              <w:t xml:space="preserve"> 202</w:t>
            </w:r>
            <w:r w:rsidR="00447365">
              <w:t>2</w:t>
            </w:r>
          </w:p>
        </w:tc>
      </w:tr>
      <w:tr w:rsidR="0016569C" w:rsidTr="001303CD" w14:paraId="0794FDEE" w14:textId="77777777">
        <w:trPr>
          <w:trHeight w:val="3222"/>
        </w:trPr>
        <w:tc>
          <w:tcPr>
            <w:tcW w:w="10070" w:type="dxa"/>
            <w:tcBorders>
              <w:top w:val="nil"/>
              <w:bottom w:val="nil"/>
            </w:tcBorders>
          </w:tcPr>
          <w:p w:rsidR="0016569C" w:rsidP="009D5D51" w:rsidRDefault="0016569C" w14:paraId="10221BE6" w14:textId="707E2D40">
            <w:pPr>
              <w:pStyle w:val="Abstract"/>
            </w:pPr>
          </w:p>
        </w:tc>
      </w:tr>
    </w:tbl>
    <w:p w:rsidR="00D4773D" w:rsidRDefault="00D4773D" w14:paraId="79DE4FDA" w14:textId="2C796BCC">
      <w:r>
        <w:br w:type="page"/>
      </w:r>
    </w:p>
    <w:p w:rsidR="005B2529" w:rsidRDefault="005B2529" w14:paraId="60AA4778" w14:textId="77777777"/>
    <w:p w:rsidR="005B2529" w:rsidRDefault="005B2529" w14:paraId="7F84A85F" w14:textId="77777777"/>
    <w:p w:rsidR="005B2529" w:rsidRDefault="005B2529" w14:paraId="1F3C464A" w14:textId="77777777"/>
    <w:p w:rsidR="000622D7" w:rsidRDefault="000622D7" w14:paraId="66614F6F" w14:textId="77777777"/>
    <w:p w:rsidR="000622D7" w:rsidRDefault="000622D7" w14:paraId="3E314B43" w14:textId="77777777"/>
    <w:p w:rsidR="005B2529" w:rsidRDefault="005B2529" w14:paraId="36737C1A" w14:textId="77777777"/>
    <w:p w:rsidR="005B2529" w:rsidRDefault="005B2529" w14:paraId="076CB256" w14:textId="77777777"/>
    <w:p w:rsidRPr="00A57DE6" w:rsidR="005B2529" w:rsidP="000D2A30" w:rsidRDefault="000D2A30" w14:paraId="70024C41" w14:textId="13EAD64A">
      <w:pPr>
        <w:jc w:val="center"/>
        <w:rPr>
          <w:b/>
          <w:bCs/>
          <w:sz w:val="28"/>
          <w:szCs w:val="28"/>
        </w:rPr>
      </w:pPr>
      <w:r w:rsidRPr="00A57DE6">
        <w:rPr>
          <w:b/>
          <w:bCs/>
          <w:sz w:val="28"/>
          <w:szCs w:val="28"/>
        </w:rPr>
        <w:t>Authors:</w:t>
      </w:r>
    </w:p>
    <w:p w:rsidRPr="00A57DE6" w:rsidR="006B332C" w:rsidP="000D2A30" w:rsidRDefault="006B332C" w14:paraId="332B8F07" w14:textId="699566F3">
      <w:pPr>
        <w:jc w:val="center"/>
        <w:rPr>
          <w:b/>
          <w:bCs/>
          <w:sz w:val="28"/>
          <w:szCs w:val="28"/>
        </w:rPr>
      </w:pPr>
      <w:r w:rsidRPr="00A57DE6">
        <w:rPr>
          <w:b/>
          <w:bCs/>
          <w:sz w:val="28"/>
          <w:szCs w:val="28"/>
        </w:rPr>
        <w:t>Jefferson Hancock</w:t>
      </w:r>
    </w:p>
    <w:p w:rsidRPr="00A57DE6" w:rsidR="005B2529" w:rsidP="006B332C" w:rsidRDefault="000D2A30" w14:paraId="2334509A" w14:textId="140486E9">
      <w:pPr>
        <w:jc w:val="center"/>
        <w:rPr>
          <w:b/>
          <w:bCs/>
          <w:sz w:val="28"/>
          <w:szCs w:val="28"/>
        </w:rPr>
      </w:pPr>
      <w:r w:rsidRPr="00A57DE6">
        <w:rPr>
          <w:b/>
          <w:bCs/>
          <w:sz w:val="28"/>
          <w:szCs w:val="28"/>
        </w:rPr>
        <w:t>Kevin Truong</w:t>
      </w:r>
    </w:p>
    <w:p w:rsidRPr="00AA5391" w:rsidR="00AA5391" w:rsidP="00AA5391" w:rsidRDefault="00AA5391" w14:paraId="3C587E6C" w14:textId="77777777"/>
    <w:p w:rsidR="007C574C" w:rsidRDefault="007C574C" w14:paraId="6B8E5AC3" w14:textId="77777777"/>
    <w:p w:rsidR="007C574C" w:rsidRDefault="007C574C" w14:paraId="226DB778" w14:textId="77777777"/>
    <w:p w:rsidR="007C574C" w:rsidRDefault="007C574C" w14:paraId="0E05150D" w14:textId="77777777"/>
    <w:p w:rsidR="005B2529" w:rsidRDefault="005B2529" w14:paraId="3AB47200" w14:textId="77777777"/>
    <w:p w:rsidR="005B2529" w:rsidP="00FF358C" w:rsidRDefault="00457DA2" w14:paraId="37864ABC" w14:textId="2319AB58">
      <w:pPr>
        <w:jc w:val="center"/>
      </w:pPr>
      <w:r>
        <w:t xml:space="preserve">With Special </w:t>
      </w:r>
      <w:r w:rsidR="005B2529">
        <w:t>Thanks to:</w:t>
      </w:r>
    </w:p>
    <w:p w:rsidR="00495251" w:rsidP="00B07E62" w:rsidRDefault="009F5BD2" w14:paraId="42DCB20D" w14:textId="77777777">
      <w:pPr>
        <w:jc w:val="center"/>
      </w:pPr>
      <w:r>
        <w:t>Terence Shia</w:t>
      </w:r>
      <w:r w:rsidR="00276DB6">
        <w:t xml:space="preserve">, </w:t>
      </w:r>
      <w:r>
        <w:t>Bruce DeBerry</w:t>
      </w:r>
      <w:r w:rsidR="00276DB6">
        <w:t xml:space="preserve">, </w:t>
      </w:r>
      <w:r>
        <w:t>James Boothe</w:t>
      </w:r>
      <w:r w:rsidR="00276DB6">
        <w:t xml:space="preserve">, </w:t>
      </w:r>
      <w:r>
        <w:t>Moises Chavez</w:t>
      </w:r>
      <w:r w:rsidR="00276DB6">
        <w:t xml:space="preserve">, </w:t>
      </w:r>
      <w:r w:rsidR="005C1F3A">
        <w:t>Steve St. Marie</w:t>
      </w:r>
      <w:r w:rsidR="00276DB6">
        <w:t xml:space="preserve">, </w:t>
      </w:r>
      <w:r w:rsidR="005A436B">
        <w:t>Rachel Peterson</w:t>
      </w:r>
      <w:r w:rsidR="00276DB6">
        <w:t>,</w:t>
      </w:r>
    </w:p>
    <w:p w:rsidR="005A436B" w:rsidP="00B07E62" w:rsidRDefault="005A436B" w14:paraId="36DDEC83" w14:textId="7D51B6BF">
      <w:pPr>
        <w:jc w:val="center"/>
      </w:pPr>
      <w:r>
        <w:t>April Mulqueen</w:t>
      </w:r>
      <w:r w:rsidR="00276DB6">
        <w:t xml:space="preserve">, </w:t>
      </w:r>
      <w:r>
        <w:t>Emiko Burchill</w:t>
      </w:r>
      <w:r w:rsidR="00276DB6">
        <w:t xml:space="preserve">, </w:t>
      </w:r>
      <w:r>
        <w:t>Candace Morey</w:t>
      </w:r>
      <w:r w:rsidR="00276DB6">
        <w:t xml:space="preserve">, </w:t>
      </w:r>
      <w:r>
        <w:t xml:space="preserve">Galen </w:t>
      </w:r>
      <w:proofErr w:type="spellStart"/>
      <w:r>
        <w:t>L</w:t>
      </w:r>
      <w:r w:rsidR="009F0EAF">
        <w:t>a</w:t>
      </w:r>
      <w:r>
        <w:t>mei</w:t>
      </w:r>
      <w:proofErr w:type="spellEnd"/>
      <w:r w:rsidR="00276DB6">
        <w:t xml:space="preserve">, </w:t>
      </w:r>
      <w:r w:rsidR="00457DA2">
        <w:t xml:space="preserve">and </w:t>
      </w:r>
      <w:r>
        <w:t>Vanessa Baldwin</w:t>
      </w:r>
    </w:p>
    <w:p w:rsidR="00BD66A4" w:rsidP="00BD66A4" w:rsidRDefault="00BD66A4" w14:paraId="7BC4819B" w14:textId="77777777">
      <w:pPr>
        <w:rPr>
          <w:szCs w:val="24"/>
        </w:rPr>
      </w:pPr>
    </w:p>
    <w:p w:rsidR="00BD66A4" w:rsidP="00BD66A4" w:rsidRDefault="00BD66A4" w14:paraId="51FB3E7B" w14:textId="77777777">
      <w:pPr>
        <w:rPr>
          <w:szCs w:val="24"/>
        </w:rPr>
      </w:pPr>
    </w:p>
    <w:p w:rsidRPr="00AA5391" w:rsidR="00AA5391" w:rsidP="00AA5391" w:rsidRDefault="00AA5391" w14:paraId="46131F59" w14:textId="77777777">
      <w:pPr>
        <w:rPr>
          <w:szCs w:val="24"/>
        </w:rPr>
      </w:pPr>
    </w:p>
    <w:p w:rsidR="007C574C" w:rsidP="00BD66A4" w:rsidRDefault="007C574C" w14:paraId="3011C7B7" w14:textId="77777777">
      <w:pPr>
        <w:rPr>
          <w:szCs w:val="24"/>
        </w:rPr>
      </w:pPr>
    </w:p>
    <w:p w:rsidR="00BD66A4" w:rsidP="00BD66A4" w:rsidRDefault="00BD66A4" w14:paraId="6388F729" w14:textId="77777777">
      <w:pPr>
        <w:rPr>
          <w:szCs w:val="24"/>
        </w:rPr>
      </w:pPr>
    </w:p>
    <w:p w:rsidR="00BD66A4" w:rsidP="00BD66A4" w:rsidRDefault="00BD66A4" w14:paraId="2B8425D0" w14:textId="77777777">
      <w:pPr>
        <w:rPr>
          <w:szCs w:val="24"/>
        </w:rPr>
      </w:pPr>
    </w:p>
    <w:p w:rsidR="00BD66A4" w:rsidP="00BD66A4" w:rsidRDefault="00BD66A4" w14:paraId="12DA3E4F" w14:textId="77777777">
      <w:pPr>
        <w:rPr>
          <w:szCs w:val="24"/>
        </w:rPr>
      </w:pPr>
    </w:p>
    <w:p w:rsidRPr="00AD6029" w:rsidR="00BD66A4" w:rsidRDefault="00BD66A4" w14:paraId="55984AB5" w14:textId="38F13ACF">
      <w:pPr>
        <w:rPr>
          <w:b/>
          <w:bCs/>
          <w:szCs w:val="24"/>
        </w:rPr>
      </w:pPr>
      <w:r w:rsidRPr="007B71C8">
        <w:rPr>
          <w:b/>
          <w:bCs/>
          <w:szCs w:val="24"/>
        </w:rPr>
        <w:t xml:space="preserve">DISCLAIMER This paper does not necessarily represent the views of the </w:t>
      </w:r>
      <w:r w:rsidR="001A7684">
        <w:rPr>
          <w:b/>
          <w:bCs/>
          <w:szCs w:val="24"/>
        </w:rPr>
        <w:t xml:space="preserve">California Public Utilities </w:t>
      </w:r>
      <w:r w:rsidRPr="00CA5812">
        <w:rPr>
          <w:b/>
          <w:bCs/>
          <w:szCs w:val="24"/>
        </w:rPr>
        <w:t>C</w:t>
      </w:r>
      <w:r w:rsidR="008052F3">
        <w:rPr>
          <w:b/>
          <w:bCs/>
          <w:szCs w:val="24"/>
        </w:rPr>
        <w:t>ommission</w:t>
      </w:r>
      <w:r w:rsidRPr="00AD6029">
        <w:rPr>
          <w:b/>
          <w:bCs/>
          <w:szCs w:val="24"/>
        </w:rPr>
        <w:t>, its employees, or the State of California. This paper has not been approved or disapproved by the C</w:t>
      </w:r>
      <w:r w:rsidR="008052F3">
        <w:rPr>
          <w:b/>
          <w:bCs/>
          <w:szCs w:val="24"/>
        </w:rPr>
        <w:t>ommission</w:t>
      </w:r>
      <w:r w:rsidRPr="00AD6029">
        <w:rPr>
          <w:b/>
          <w:bCs/>
          <w:szCs w:val="24"/>
        </w:rPr>
        <w:t xml:space="preserve"> nor has the C</w:t>
      </w:r>
      <w:r w:rsidR="008052F3">
        <w:rPr>
          <w:b/>
          <w:bCs/>
          <w:szCs w:val="24"/>
        </w:rPr>
        <w:t>ommission</w:t>
      </w:r>
      <w:r w:rsidRPr="00AD6029">
        <w:rPr>
          <w:b/>
          <w:bCs/>
          <w:szCs w:val="24"/>
        </w:rPr>
        <w:t xml:space="preserve"> passed upon the accuracy or adequacy of the information in this paper.</w:t>
      </w:r>
    </w:p>
    <w:sdt>
      <w:sdtPr>
        <w:rPr>
          <w:rFonts w:ascii="Garamond" w:hAnsi="Garamond" w:eastAsiaTheme="minorHAnsi"/>
          <w:caps/>
          <w:noProof/>
          <w:color w:val="auto"/>
          <w:spacing w:val="0"/>
          <w:sz w:val="20"/>
          <w:szCs w:val="20"/>
        </w:rPr>
        <w:id w:val="742075847"/>
        <w:docPartObj>
          <w:docPartGallery w:val="Table of Contents"/>
          <w:docPartUnique/>
        </w:docPartObj>
      </w:sdtPr>
      <w:sdtEndPr>
        <w:rPr>
          <w:rFonts w:ascii="Century Gothic" w:hAnsi="Century Gothic"/>
          <w:b/>
          <w:bCs/>
          <w:color w:val="393939" w:themeColor="background2" w:themeShade="40"/>
          <w:spacing w:val="20"/>
          <w:sz w:val="24"/>
        </w:rPr>
      </w:sdtEndPr>
      <w:sdtContent>
        <w:p w:rsidRPr="00E8339C" w:rsidR="00BD1965" w:rsidP="00674E72" w:rsidRDefault="00E8339C" w14:paraId="165CC028" w14:textId="77777777">
          <w:pPr>
            <w:pStyle w:val="TOCHeading"/>
          </w:pPr>
          <w:r>
            <w:t>Contents</w:t>
          </w:r>
        </w:p>
        <w:p w:rsidR="005D444E" w:rsidRDefault="00BD1965" w14:paraId="2859571E" w14:textId="6829A753">
          <w:pPr>
            <w:pStyle w:val="TOC1"/>
            <w:rPr>
              <w:rFonts w:asciiTheme="minorHAnsi" w:hAnsiTheme="minorHAnsi" w:eastAsiaTheme="minorEastAsia" w:cstheme="minorBidi"/>
              <w:caps w:val="0"/>
              <w:color w:val="auto"/>
              <w:spacing w:val="0"/>
              <w:kern w:val="0"/>
              <w:sz w:val="22"/>
              <w:szCs w:val="22"/>
              <w14:ligatures w14:val="none"/>
            </w:rPr>
          </w:pPr>
          <w:r>
            <w:fldChar w:fldCharType="begin"/>
          </w:r>
          <w:r>
            <w:instrText xml:space="preserve"> TOC \o "1-3" \h \z \u </w:instrText>
          </w:r>
          <w:r>
            <w:fldChar w:fldCharType="separate"/>
          </w:r>
          <w:hyperlink w:history="1" w:anchor="_Toc91071031">
            <w:r w:rsidRPr="00E87061" w:rsidR="005D444E">
              <w:rPr>
                <w:rStyle w:val="Hyperlink"/>
              </w:rPr>
              <w:t>Executive Summary</w:t>
            </w:r>
            <w:r w:rsidR="005D444E">
              <w:rPr>
                <w:webHidden/>
              </w:rPr>
              <w:tab/>
            </w:r>
            <w:r w:rsidR="005D444E">
              <w:rPr>
                <w:webHidden/>
              </w:rPr>
              <w:fldChar w:fldCharType="begin"/>
            </w:r>
            <w:r w:rsidR="005D444E">
              <w:rPr>
                <w:webHidden/>
              </w:rPr>
              <w:instrText xml:space="preserve"> PAGEREF _Toc91071031 \h </w:instrText>
            </w:r>
            <w:r w:rsidR="005D444E">
              <w:rPr>
                <w:webHidden/>
              </w:rPr>
            </w:r>
            <w:r w:rsidR="005D444E">
              <w:rPr>
                <w:webHidden/>
              </w:rPr>
              <w:fldChar w:fldCharType="separate"/>
            </w:r>
            <w:r w:rsidR="002B1FD6">
              <w:rPr>
                <w:webHidden/>
              </w:rPr>
              <w:t>7</w:t>
            </w:r>
            <w:r w:rsidR="005D444E">
              <w:rPr>
                <w:webHidden/>
              </w:rPr>
              <w:fldChar w:fldCharType="end"/>
            </w:r>
          </w:hyperlink>
        </w:p>
        <w:p w:rsidR="005D444E" w:rsidRDefault="003E501A" w14:paraId="066FDE16" w14:textId="0310A33C">
          <w:pPr>
            <w:pStyle w:val="TOC1"/>
            <w:rPr>
              <w:rFonts w:asciiTheme="minorHAnsi" w:hAnsiTheme="minorHAnsi" w:eastAsiaTheme="minorEastAsia" w:cstheme="minorBidi"/>
              <w:caps w:val="0"/>
              <w:color w:val="auto"/>
              <w:spacing w:val="0"/>
              <w:kern w:val="0"/>
              <w:sz w:val="22"/>
              <w:szCs w:val="22"/>
              <w14:ligatures w14:val="none"/>
            </w:rPr>
          </w:pPr>
          <w:hyperlink w:history="1" w:anchor="_Toc91071032">
            <w:r w:rsidRPr="00E87061" w:rsidR="005D444E">
              <w:rPr>
                <w:rStyle w:val="Hyperlink"/>
              </w:rPr>
              <w:t>Summary of the Existing Framework</w:t>
            </w:r>
            <w:r w:rsidR="005D444E">
              <w:rPr>
                <w:webHidden/>
              </w:rPr>
              <w:tab/>
            </w:r>
            <w:r w:rsidR="005D444E">
              <w:rPr>
                <w:webHidden/>
              </w:rPr>
              <w:fldChar w:fldCharType="begin"/>
            </w:r>
            <w:r w:rsidR="005D444E">
              <w:rPr>
                <w:webHidden/>
              </w:rPr>
              <w:instrText xml:space="preserve"> PAGEREF _Toc91071032 \h </w:instrText>
            </w:r>
            <w:r w:rsidR="005D444E">
              <w:rPr>
                <w:webHidden/>
              </w:rPr>
            </w:r>
            <w:r w:rsidR="005D444E">
              <w:rPr>
                <w:webHidden/>
              </w:rPr>
              <w:fldChar w:fldCharType="separate"/>
            </w:r>
            <w:r w:rsidR="002B1FD6">
              <w:rPr>
                <w:webHidden/>
              </w:rPr>
              <w:t>9</w:t>
            </w:r>
            <w:r w:rsidR="005D444E">
              <w:rPr>
                <w:webHidden/>
              </w:rPr>
              <w:fldChar w:fldCharType="end"/>
            </w:r>
          </w:hyperlink>
        </w:p>
        <w:p w:rsidR="005D444E" w:rsidRDefault="003E501A" w14:paraId="0CA7B0B6" w14:textId="767AA48D">
          <w:pPr>
            <w:pStyle w:val="TOC2"/>
            <w:rPr>
              <w:rFonts w:eastAsiaTheme="minorEastAsia" w:cstheme="minorBidi"/>
              <w:spacing w:val="0"/>
              <w:kern w:val="0"/>
              <w:sz w:val="22"/>
              <w:szCs w:val="22"/>
              <w14:ligatures w14:val="none"/>
            </w:rPr>
          </w:pPr>
          <w:hyperlink w:history="1" w:anchor="_Toc91071033">
            <w:r w:rsidRPr="00E87061" w:rsidR="005D444E">
              <w:rPr>
                <w:rStyle w:val="Hyperlink"/>
              </w:rPr>
              <w:t>Governing Statutes</w:t>
            </w:r>
            <w:r w:rsidR="005D444E">
              <w:rPr>
                <w:webHidden/>
              </w:rPr>
              <w:tab/>
            </w:r>
            <w:r w:rsidR="005D444E">
              <w:rPr>
                <w:webHidden/>
              </w:rPr>
              <w:fldChar w:fldCharType="begin"/>
            </w:r>
            <w:r w:rsidR="005D444E">
              <w:rPr>
                <w:webHidden/>
              </w:rPr>
              <w:instrText xml:space="preserve"> PAGEREF _Toc91071033 \h </w:instrText>
            </w:r>
            <w:r w:rsidR="005D444E">
              <w:rPr>
                <w:webHidden/>
              </w:rPr>
            </w:r>
            <w:r w:rsidR="005D444E">
              <w:rPr>
                <w:webHidden/>
              </w:rPr>
              <w:fldChar w:fldCharType="separate"/>
            </w:r>
            <w:r w:rsidR="002B1FD6">
              <w:rPr>
                <w:webHidden/>
              </w:rPr>
              <w:t>9</w:t>
            </w:r>
            <w:r w:rsidR="005D444E">
              <w:rPr>
                <w:webHidden/>
              </w:rPr>
              <w:fldChar w:fldCharType="end"/>
            </w:r>
          </w:hyperlink>
        </w:p>
        <w:p w:rsidR="005D444E" w:rsidRDefault="003E501A" w14:paraId="1832EADF" w14:textId="7366582C">
          <w:pPr>
            <w:pStyle w:val="TOC2"/>
            <w:rPr>
              <w:rFonts w:eastAsiaTheme="minorEastAsia" w:cstheme="minorBidi"/>
              <w:spacing w:val="0"/>
              <w:kern w:val="0"/>
              <w:sz w:val="22"/>
              <w:szCs w:val="22"/>
              <w14:ligatures w14:val="none"/>
            </w:rPr>
          </w:pPr>
          <w:hyperlink w:history="1" w:anchor="_Toc91071034">
            <w:r w:rsidRPr="00E87061" w:rsidR="005D444E">
              <w:rPr>
                <w:rStyle w:val="Hyperlink"/>
              </w:rPr>
              <w:t>Background</w:t>
            </w:r>
            <w:r w:rsidR="005D444E">
              <w:rPr>
                <w:webHidden/>
              </w:rPr>
              <w:tab/>
            </w:r>
            <w:r w:rsidR="005D444E">
              <w:rPr>
                <w:webHidden/>
              </w:rPr>
              <w:fldChar w:fldCharType="begin"/>
            </w:r>
            <w:r w:rsidR="005D444E">
              <w:rPr>
                <w:webHidden/>
              </w:rPr>
              <w:instrText xml:space="preserve"> PAGEREF _Toc91071034 \h </w:instrText>
            </w:r>
            <w:r w:rsidR="005D444E">
              <w:rPr>
                <w:webHidden/>
              </w:rPr>
            </w:r>
            <w:r w:rsidR="005D444E">
              <w:rPr>
                <w:webHidden/>
              </w:rPr>
              <w:fldChar w:fldCharType="separate"/>
            </w:r>
            <w:r w:rsidR="002B1FD6">
              <w:rPr>
                <w:webHidden/>
              </w:rPr>
              <w:t>10</w:t>
            </w:r>
            <w:r w:rsidR="005D444E">
              <w:rPr>
                <w:webHidden/>
              </w:rPr>
              <w:fldChar w:fldCharType="end"/>
            </w:r>
          </w:hyperlink>
        </w:p>
        <w:p w:rsidR="005D444E" w:rsidRDefault="003E501A" w14:paraId="74691BB0" w14:textId="2D3D65F1">
          <w:pPr>
            <w:pStyle w:val="TOC3"/>
            <w:rPr>
              <w:rFonts w:eastAsiaTheme="minorEastAsia" w:cstheme="minorBidi"/>
              <w:spacing w:val="0"/>
              <w:kern w:val="0"/>
              <w:sz w:val="22"/>
              <w:szCs w:val="22"/>
              <w14:ligatures w14:val="none"/>
            </w:rPr>
          </w:pPr>
          <w:hyperlink w:history="1" w:anchor="_Toc91071035">
            <w:r w:rsidRPr="00E87061" w:rsidR="005D444E">
              <w:rPr>
                <w:rStyle w:val="Hyperlink"/>
              </w:rPr>
              <w:t>The Framework Decision</w:t>
            </w:r>
            <w:r w:rsidR="005D444E">
              <w:rPr>
                <w:webHidden/>
              </w:rPr>
              <w:tab/>
            </w:r>
            <w:r w:rsidR="005D444E">
              <w:rPr>
                <w:webHidden/>
              </w:rPr>
              <w:fldChar w:fldCharType="begin"/>
            </w:r>
            <w:r w:rsidR="005D444E">
              <w:rPr>
                <w:webHidden/>
              </w:rPr>
              <w:instrText xml:space="preserve"> PAGEREF _Toc91071035 \h </w:instrText>
            </w:r>
            <w:r w:rsidR="005D444E">
              <w:rPr>
                <w:webHidden/>
              </w:rPr>
            </w:r>
            <w:r w:rsidR="005D444E">
              <w:rPr>
                <w:webHidden/>
              </w:rPr>
              <w:fldChar w:fldCharType="separate"/>
            </w:r>
            <w:r w:rsidR="002B1FD6">
              <w:rPr>
                <w:webHidden/>
              </w:rPr>
              <w:t>11</w:t>
            </w:r>
            <w:r w:rsidR="005D444E">
              <w:rPr>
                <w:webHidden/>
              </w:rPr>
              <w:fldChar w:fldCharType="end"/>
            </w:r>
          </w:hyperlink>
        </w:p>
        <w:p w:rsidR="005D444E" w:rsidRDefault="003E501A" w14:paraId="7F58355B" w14:textId="703BA534">
          <w:pPr>
            <w:pStyle w:val="TOC1"/>
            <w:rPr>
              <w:rFonts w:asciiTheme="minorHAnsi" w:hAnsiTheme="minorHAnsi" w:eastAsiaTheme="minorEastAsia" w:cstheme="minorBidi"/>
              <w:caps w:val="0"/>
              <w:color w:val="auto"/>
              <w:spacing w:val="0"/>
              <w:kern w:val="0"/>
              <w:sz w:val="22"/>
              <w:szCs w:val="22"/>
              <w14:ligatures w14:val="none"/>
            </w:rPr>
          </w:pPr>
          <w:hyperlink w:history="1" w:anchor="_Toc91071036">
            <w:r w:rsidRPr="00E87061" w:rsidR="005D444E">
              <w:rPr>
                <w:rStyle w:val="Hyperlink"/>
              </w:rPr>
              <w:t>Issues with the Existing Framework</w:t>
            </w:r>
            <w:r w:rsidR="005D444E">
              <w:rPr>
                <w:webHidden/>
              </w:rPr>
              <w:tab/>
            </w:r>
            <w:r w:rsidR="005D444E">
              <w:rPr>
                <w:webHidden/>
              </w:rPr>
              <w:fldChar w:fldCharType="begin"/>
            </w:r>
            <w:r w:rsidR="005D444E">
              <w:rPr>
                <w:webHidden/>
              </w:rPr>
              <w:instrText xml:space="preserve"> PAGEREF _Toc91071036 \h </w:instrText>
            </w:r>
            <w:r w:rsidR="005D444E">
              <w:rPr>
                <w:webHidden/>
              </w:rPr>
            </w:r>
            <w:r w:rsidR="005D444E">
              <w:rPr>
                <w:webHidden/>
              </w:rPr>
              <w:fldChar w:fldCharType="separate"/>
            </w:r>
            <w:r w:rsidR="002B1FD6">
              <w:rPr>
                <w:webHidden/>
              </w:rPr>
              <w:t>13</w:t>
            </w:r>
            <w:r w:rsidR="005D444E">
              <w:rPr>
                <w:webHidden/>
              </w:rPr>
              <w:fldChar w:fldCharType="end"/>
            </w:r>
          </w:hyperlink>
        </w:p>
        <w:p w:rsidR="005D444E" w:rsidRDefault="003E501A" w14:paraId="7603DF2A" w14:textId="45C84B8B">
          <w:pPr>
            <w:pStyle w:val="TOC2"/>
            <w:rPr>
              <w:rFonts w:eastAsiaTheme="minorEastAsia" w:cstheme="minorBidi"/>
              <w:spacing w:val="0"/>
              <w:kern w:val="0"/>
              <w:sz w:val="22"/>
              <w:szCs w:val="22"/>
              <w14:ligatures w14:val="none"/>
            </w:rPr>
          </w:pPr>
          <w:hyperlink w:history="1" w:anchor="_Toc91071037">
            <w:r w:rsidRPr="00E87061" w:rsidR="005D444E">
              <w:rPr>
                <w:rStyle w:val="Hyperlink"/>
              </w:rPr>
              <w:t>Price and Valuation</w:t>
            </w:r>
            <w:r w:rsidR="005D444E">
              <w:rPr>
                <w:webHidden/>
              </w:rPr>
              <w:tab/>
            </w:r>
            <w:r w:rsidR="005D444E">
              <w:rPr>
                <w:webHidden/>
              </w:rPr>
              <w:fldChar w:fldCharType="begin"/>
            </w:r>
            <w:r w:rsidR="005D444E">
              <w:rPr>
                <w:webHidden/>
              </w:rPr>
              <w:instrText xml:space="preserve"> PAGEREF _Toc91071037 \h </w:instrText>
            </w:r>
            <w:r w:rsidR="005D444E">
              <w:rPr>
                <w:webHidden/>
              </w:rPr>
            </w:r>
            <w:r w:rsidR="005D444E">
              <w:rPr>
                <w:webHidden/>
              </w:rPr>
              <w:fldChar w:fldCharType="separate"/>
            </w:r>
            <w:r w:rsidR="002B1FD6">
              <w:rPr>
                <w:webHidden/>
              </w:rPr>
              <w:t>13</w:t>
            </w:r>
            <w:r w:rsidR="005D444E">
              <w:rPr>
                <w:webHidden/>
              </w:rPr>
              <w:fldChar w:fldCharType="end"/>
            </w:r>
          </w:hyperlink>
        </w:p>
        <w:p w:rsidR="005D444E" w:rsidRDefault="003E501A" w14:paraId="0D9538E2" w14:textId="1597E4BC">
          <w:pPr>
            <w:pStyle w:val="TOC3"/>
            <w:rPr>
              <w:rFonts w:eastAsiaTheme="minorEastAsia" w:cstheme="minorBidi"/>
              <w:spacing w:val="0"/>
              <w:kern w:val="0"/>
              <w:sz w:val="22"/>
              <w:szCs w:val="22"/>
              <w14:ligatures w14:val="none"/>
            </w:rPr>
          </w:pPr>
          <w:hyperlink w:history="1" w:anchor="_Toc91071038">
            <w:r w:rsidRPr="00E87061" w:rsidR="005D444E">
              <w:rPr>
                <w:rStyle w:val="Hyperlink"/>
              </w:rPr>
              <w:t>Case Study: City of Bellflower Water System</w:t>
            </w:r>
            <w:r w:rsidR="005D444E">
              <w:rPr>
                <w:webHidden/>
              </w:rPr>
              <w:tab/>
            </w:r>
            <w:r w:rsidR="005D444E">
              <w:rPr>
                <w:webHidden/>
              </w:rPr>
              <w:fldChar w:fldCharType="begin"/>
            </w:r>
            <w:r w:rsidR="005D444E">
              <w:rPr>
                <w:webHidden/>
              </w:rPr>
              <w:instrText xml:space="preserve"> PAGEREF _Toc91071038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30B3FBDC" w14:textId="3FC74CAD">
          <w:pPr>
            <w:pStyle w:val="TOC2"/>
            <w:rPr>
              <w:rFonts w:eastAsiaTheme="minorEastAsia" w:cstheme="minorBidi"/>
              <w:spacing w:val="0"/>
              <w:kern w:val="0"/>
              <w:sz w:val="22"/>
              <w:szCs w:val="22"/>
              <w14:ligatures w14:val="none"/>
            </w:rPr>
          </w:pPr>
          <w:hyperlink w:history="1" w:anchor="_Toc91071039">
            <w:r w:rsidRPr="00E87061" w:rsidR="005D444E">
              <w:rPr>
                <w:rStyle w:val="Hyperlink"/>
              </w:rPr>
              <w:t>Water Rights</w:t>
            </w:r>
            <w:r w:rsidR="005D444E">
              <w:rPr>
                <w:webHidden/>
              </w:rPr>
              <w:tab/>
            </w:r>
            <w:r w:rsidR="005D444E">
              <w:rPr>
                <w:webHidden/>
              </w:rPr>
              <w:fldChar w:fldCharType="begin"/>
            </w:r>
            <w:r w:rsidR="005D444E">
              <w:rPr>
                <w:webHidden/>
              </w:rPr>
              <w:instrText xml:space="preserve"> PAGEREF _Toc91071039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03D204E3" w14:textId="24E443DA">
          <w:pPr>
            <w:pStyle w:val="TOC3"/>
            <w:rPr>
              <w:rFonts w:eastAsiaTheme="minorEastAsia" w:cstheme="minorBidi"/>
              <w:spacing w:val="0"/>
              <w:kern w:val="0"/>
              <w:sz w:val="22"/>
              <w:szCs w:val="22"/>
              <w14:ligatures w14:val="none"/>
            </w:rPr>
          </w:pPr>
          <w:hyperlink w:history="1" w:anchor="_Toc91071040">
            <w:r w:rsidRPr="00E87061" w:rsidR="005D444E">
              <w:rPr>
                <w:rStyle w:val="Hyperlink"/>
              </w:rPr>
              <w:t>Case Study: East Pasadena Water Company</w:t>
            </w:r>
            <w:r w:rsidR="005D444E">
              <w:rPr>
                <w:webHidden/>
              </w:rPr>
              <w:tab/>
            </w:r>
            <w:r w:rsidR="005D444E">
              <w:rPr>
                <w:webHidden/>
              </w:rPr>
              <w:fldChar w:fldCharType="begin"/>
            </w:r>
            <w:r w:rsidR="005D444E">
              <w:rPr>
                <w:webHidden/>
              </w:rPr>
              <w:instrText xml:space="preserve"> PAGEREF _Toc91071040 \h </w:instrText>
            </w:r>
            <w:r w:rsidR="005D444E">
              <w:rPr>
                <w:webHidden/>
              </w:rPr>
            </w:r>
            <w:r w:rsidR="005D444E">
              <w:rPr>
                <w:webHidden/>
              </w:rPr>
              <w:fldChar w:fldCharType="separate"/>
            </w:r>
            <w:r w:rsidR="002B1FD6">
              <w:rPr>
                <w:webHidden/>
              </w:rPr>
              <w:t>17</w:t>
            </w:r>
            <w:r w:rsidR="005D444E">
              <w:rPr>
                <w:webHidden/>
              </w:rPr>
              <w:fldChar w:fldCharType="end"/>
            </w:r>
          </w:hyperlink>
        </w:p>
        <w:p w:rsidR="005D444E" w:rsidRDefault="003E501A" w14:paraId="2B122366" w14:textId="33647534">
          <w:pPr>
            <w:pStyle w:val="TOC2"/>
            <w:rPr>
              <w:rFonts w:eastAsiaTheme="minorEastAsia" w:cstheme="minorBidi"/>
              <w:spacing w:val="0"/>
              <w:kern w:val="0"/>
              <w:sz w:val="22"/>
              <w:szCs w:val="22"/>
              <w14:ligatures w14:val="none"/>
            </w:rPr>
          </w:pPr>
          <w:hyperlink w:history="1" w:anchor="_Toc91071041">
            <w:r w:rsidRPr="00E87061" w:rsidR="005D444E">
              <w:rPr>
                <w:rStyle w:val="Hyperlink"/>
              </w:rPr>
              <w:t>Acquisitions Involving Mutual or Publicly Owned Water Systems</w:t>
            </w:r>
            <w:r w:rsidR="005D444E">
              <w:rPr>
                <w:webHidden/>
              </w:rPr>
              <w:tab/>
            </w:r>
            <w:r w:rsidR="005D444E">
              <w:rPr>
                <w:webHidden/>
              </w:rPr>
              <w:fldChar w:fldCharType="begin"/>
            </w:r>
            <w:r w:rsidR="005D444E">
              <w:rPr>
                <w:webHidden/>
              </w:rPr>
              <w:instrText xml:space="preserve"> PAGEREF _Toc91071041 \h </w:instrText>
            </w:r>
            <w:r w:rsidR="005D444E">
              <w:rPr>
                <w:webHidden/>
              </w:rPr>
            </w:r>
            <w:r w:rsidR="005D444E">
              <w:rPr>
                <w:webHidden/>
              </w:rPr>
              <w:fldChar w:fldCharType="separate"/>
            </w:r>
            <w:r w:rsidR="002B1FD6">
              <w:rPr>
                <w:webHidden/>
              </w:rPr>
              <w:t>18</w:t>
            </w:r>
            <w:r w:rsidR="005D444E">
              <w:rPr>
                <w:webHidden/>
              </w:rPr>
              <w:fldChar w:fldCharType="end"/>
            </w:r>
          </w:hyperlink>
        </w:p>
        <w:p w:rsidR="005D444E" w:rsidRDefault="003E501A" w14:paraId="71E4DCF7" w14:textId="51F94054">
          <w:pPr>
            <w:pStyle w:val="TOC3"/>
            <w:rPr>
              <w:rFonts w:eastAsiaTheme="minorEastAsia" w:cstheme="minorBidi"/>
              <w:spacing w:val="0"/>
              <w:kern w:val="0"/>
              <w:sz w:val="22"/>
              <w:szCs w:val="22"/>
              <w14:ligatures w14:val="none"/>
            </w:rPr>
          </w:pPr>
          <w:hyperlink w:history="1" w:anchor="_Toc91071042">
            <w:r w:rsidRPr="00E87061" w:rsidR="005D444E">
              <w:rPr>
                <w:rStyle w:val="Hyperlink"/>
              </w:rPr>
              <w:t>Case Study: City of Montebello Water System</w:t>
            </w:r>
            <w:r w:rsidR="005D444E">
              <w:rPr>
                <w:webHidden/>
              </w:rPr>
              <w:tab/>
            </w:r>
            <w:r w:rsidR="005D444E">
              <w:rPr>
                <w:webHidden/>
              </w:rPr>
              <w:fldChar w:fldCharType="begin"/>
            </w:r>
            <w:r w:rsidR="005D444E">
              <w:rPr>
                <w:webHidden/>
              </w:rPr>
              <w:instrText xml:space="preserve"> PAGEREF _Toc91071042 \h </w:instrText>
            </w:r>
            <w:r w:rsidR="005D444E">
              <w:rPr>
                <w:webHidden/>
              </w:rPr>
            </w:r>
            <w:r w:rsidR="005D444E">
              <w:rPr>
                <w:webHidden/>
              </w:rPr>
              <w:fldChar w:fldCharType="separate"/>
            </w:r>
            <w:r w:rsidR="002B1FD6">
              <w:rPr>
                <w:webHidden/>
              </w:rPr>
              <w:t>18</w:t>
            </w:r>
            <w:r w:rsidR="005D444E">
              <w:rPr>
                <w:webHidden/>
              </w:rPr>
              <w:fldChar w:fldCharType="end"/>
            </w:r>
          </w:hyperlink>
        </w:p>
        <w:p w:rsidR="005D444E" w:rsidRDefault="003E501A" w14:paraId="73FDD28F" w14:textId="5B921D3A">
          <w:pPr>
            <w:pStyle w:val="TOC2"/>
            <w:rPr>
              <w:rFonts w:eastAsiaTheme="minorEastAsia" w:cstheme="minorBidi"/>
              <w:spacing w:val="0"/>
              <w:kern w:val="0"/>
              <w:sz w:val="22"/>
              <w:szCs w:val="22"/>
              <w14:ligatures w14:val="none"/>
            </w:rPr>
          </w:pPr>
          <w:hyperlink w:history="1" w:anchor="_Toc91071043">
            <w:r w:rsidRPr="00E87061" w:rsidR="005D444E">
              <w:rPr>
                <w:rStyle w:val="Hyperlink"/>
              </w:rPr>
              <w:t>Different Standards for Evaluating Acquisitions</w:t>
            </w:r>
            <w:r w:rsidR="005D444E">
              <w:rPr>
                <w:webHidden/>
              </w:rPr>
              <w:tab/>
            </w:r>
            <w:r w:rsidR="005D444E">
              <w:rPr>
                <w:webHidden/>
              </w:rPr>
              <w:fldChar w:fldCharType="begin"/>
            </w:r>
            <w:r w:rsidR="005D444E">
              <w:rPr>
                <w:webHidden/>
              </w:rPr>
              <w:instrText xml:space="preserve"> PAGEREF _Toc91071043 \h </w:instrText>
            </w:r>
            <w:r w:rsidR="005D444E">
              <w:rPr>
                <w:webHidden/>
              </w:rPr>
            </w:r>
            <w:r w:rsidR="005D444E">
              <w:rPr>
                <w:webHidden/>
              </w:rPr>
              <w:fldChar w:fldCharType="separate"/>
            </w:r>
            <w:r w:rsidR="002B1FD6">
              <w:rPr>
                <w:webHidden/>
              </w:rPr>
              <w:t>1</w:t>
            </w:r>
            <w:r w:rsidR="005D444E">
              <w:rPr>
                <w:webHidden/>
              </w:rPr>
              <w:fldChar w:fldCharType="end"/>
            </w:r>
          </w:hyperlink>
        </w:p>
        <w:p w:rsidR="005D444E" w:rsidRDefault="003E501A" w14:paraId="6B83A844" w14:textId="10FBF124">
          <w:pPr>
            <w:pStyle w:val="TOC2"/>
            <w:rPr>
              <w:rFonts w:eastAsiaTheme="minorEastAsia" w:cstheme="minorBidi"/>
              <w:spacing w:val="0"/>
              <w:kern w:val="0"/>
              <w:sz w:val="22"/>
              <w:szCs w:val="22"/>
              <w14:ligatures w14:val="none"/>
            </w:rPr>
          </w:pPr>
          <w:hyperlink w:history="1" w:anchor="_Toc91071044">
            <w:r w:rsidRPr="00E87061" w:rsidR="005D444E">
              <w:rPr>
                <w:rStyle w:val="Hyperlink"/>
              </w:rPr>
              <w:t>Effects on Customers</w:t>
            </w:r>
            <w:r w:rsidR="005D444E">
              <w:rPr>
                <w:webHidden/>
              </w:rPr>
              <w:tab/>
            </w:r>
            <w:r w:rsidR="005D444E">
              <w:rPr>
                <w:webHidden/>
              </w:rPr>
              <w:fldChar w:fldCharType="begin"/>
            </w:r>
            <w:r w:rsidR="005D444E">
              <w:rPr>
                <w:webHidden/>
              </w:rPr>
              <w:instrText xml:space="preserve"> PAGEREF _Toc91071044 \h </w:instrText>
            </w:r>
            <w:r w:rsidR="005D444E">
              <w:rPr>
                <w:webHidden/>
              </w:rPr>
            </w:r>
            <w:r w:rsidR="005D444E">
              <w:rPr>
                <w:webHidden/>
              </w:rPr>
              <w:fldChar w:fldCharType="separate"/>
            </w:r>
            <w:r w:rsidR="002B1FD6">
              <w:rPr>
                <w:webHidden/>
              </w:rPr>
              <w:t>4</w:t>
            </w:r>
            <w:r w:rsidR="005D444E">
              <w:rPr>
                <w:webHidden/>
              </w:rPr>
              <w:fldChar w:fldCharType="end"/>
            </w:r>
          </w:hyperlink>
        </w:p>
        <w:p w:rsidR="005D444E" w:rsidRDefault="003E501A" w14:paraId="34DB1D55" w14:textId="47C835D3">
          <w:pPr>
            <w:pStyle w:val="TOC3"/>
            <w:rPr>
              <w:rFonts w:eastAsiaTheme="minorEastAsia" w:cstheme="minorBidi"/>
              <w:spacing w:val="0"/>
              <w:kern w:val="0"/>
              <w:sz w:val="22"/>
              <w:szCs w:val="22"/>
              <w14:ligatures w14:val="none"/>
            </w:rPr>
          </w:pPr>
          <w:hyperlink w:history="1" w:anchor="_Toc91071045">
            <w:r w:rsidRPr="00E87061" w:rsidR="005D444E">
              <w:rPr>
                <w:rStyle w:val="Hyperlink"/>
              </w:rPr>
              <w:t>Case Study: East Pasadena Water Company</w:t>
            </w:r>
            <w:r w:rsidR="005D444E">
              <w:rPr>
                <w:webHidden/>
              </w:rPr>
              <w:tab/>
            </w:r>
            <w:r w:rsidR="005D444E">
              <w:rPr>
                <w:webHidden/>
              </w:rPr>
              <w:fldChar w:fldCharType="begin"/>
            </w:r>
            <w:r w:rsidR="005D444E">
              <w:rPr>
                <w:webHidden/>
              </w:rPr>
              <w:instrText xml:space="preserve"> PAGEREF _Toc91071045 \h </w:instrText>
            </w:r>
            <w:r w:rsidR="005D444E">
              <w:rPr>
                <w:webHidden/>
              </w:rPr>
            </w:r>
            <w:r w:rsidR="005D444E">
              <w:rPr>
                <w:webHidden/>
              </w:rPr>
              <w:fldChar w:fldCharType="separate"/>
            </w:r>
            <w:r w:rsidR="002B1FD6">
              <w:rPr>
                <w:webHidden/>
              </w:rPr>
              <w:t>6</w:t>
            </w:r>
            <w:r w:rsidR="005D444E">
              <w:rPr>
                <w:webHidden/>
              </w:rPr>
              <w:fldChar w:fldCharType="end"/>
            </w:r>
          </w:hyperlink>
        </w:p>
        <w:p w:rsidR="005D444E" w:rsidRDefault="003E501A" w14:paraId="55011D9E" w14:textId="4A80E769">
          <w:pPr>
            <w:pStyle w:val="TOC2"/>
            <w:rPr>
              <w:rFonts w:eastAsiaTheme="minorEastAsia" w:cstheme="minorBidi"/>
              <w:spacing w:val="0"/>
              <w:kern w:val="0"/>
              <w:sz w:val="22"/>
              <w:szCs w:val="22"/>
              <w14:ligatures w14:val="none"/>
            </w:rPr>
          </w:pPr>
          <w:hyperlink w:history="1" w:anchor="_Toc91071046">
            <w:r w:rsidRPr="00E87061" w:rsidR="005D444E">
              <w:rPr>
                <w:rStyle w:val="Hyperlink"/>
              </w:rPr>
              <w:t>Coordination with the State Water Resources Control Board</w:t>
            </w:r>
            <w:r w:rsidR="005D444E">
              <w:rPr>
                <w:webHidden/>
              </w:rPr>
              <w:tab/>
            </w:r>
            <w:r w:rsidR="005D444E">
              <w:rPr>
                <w:webHidden/>
              </w:rPr>
              <w:fldChar w:fldCharType="begin"/>
            </w:r>
            <w:r w:rsidR="005D444E">
              <w:rPr>
                <w:webHidden/>
              </w:rPr>
              <w:instrText xml:space="preserve"> PAGEREF _Toc91071046 \h </w:instrText>
            </w:r>
            <w:r w:rsidR="005D444E">
              <w:rPr>
                <w:webHidden/>
              </w:rPr>
            </w:r>
            <w:r w:rsidR="005D444E">
              <w:rPr>
                <w:webHidden/>
              </w:rPr>
              <w:fldChar w:fldCharType="separate"/>
            </w:r>
            <w:r w:rsidR="002B1FD6">
              <w:rPr>
                <w:webHidden/>
              </w:rPr>
              <w:t>8</w:t>
            </w:r>
            <w:r w:rsidR="005D444E">
              <w:rPr>
                <w:webHidden/>
              </w:rPr>
              <w:fldChar w:fldCharType="end"/>
            </w:r>
          </w:hyperlink>
        </w:p>
        <w:p w:rsidR="005D444E" w:rsidRDefault="003E501A" w14:paraId="26DA2B23" w14:textId="3630CCAF">
          <w:pPr>
            <w:pStyle w:val="TOC3"/>
            <w:rPr>
              <w:rFonts w:eastAsiaTheme="minorEastAsia" w:cstheme="minorBidi"/>
              <w:spacing w:val="0"/>
              <w:kern w:val="0"/>
              <w:sz w:val="22"/>
              <w:szCs w:val="22"/>
              <w14:ligatures w14:val="none"/>
            </w:rPr>
          </w:pPr>
          <w:hyperlink w:history="1" w:anchor="_Toc91071047">
            <w:r w:rsidRPr="00E87061" w:rsidR="005D444E">
              <w:rPr>
                <w:rStyle w:val="Hyperlink"/>
              </w:rPr>
              <w:t>Safe and Affordable Funding for Equity and Resilience (SAFER) Program</w:t>
            </w:r>
            <w:r w:rsidR="005D444E">
              <w:rPr>
                <w:webHidden/>
              </w:rPr>
              <w:tab/>
            </w:r>
            <w:r w:rsidR="005D444E">
              <w:rPr>
                <w:webHidden/>
              </w:rPr>
              <w:fldChar w:fldCharType="begin"/>
            </w:r>
            <w:r w:rsidR="005D444E">
              <w:rPr>
                <w:webHidden/>
              </w:rPr>
              <w:instrText xml:space="preserve"> PAGEREF _Toc91071047 \h </w:instrText>
            </w:r>
            <w:r w:rsidR="005D444E">
              <w:rPr>
                <w:webHidden/>
              </w:rPr>
            </w:r>
            <w:r w:rsidR="005D444E">
              <w:rPr>
                <w:webHidden/>
              </w:rPr>
              <w:fldChar w:fldCharType="separate"/>
            </w:r>
            <w:r w:rsidR="002B1FD6">
              <w:rPr>
                <w:webHidden/>
              </w:rPr>
              <w:t>8</w:t>
            </w:r>
            <w:r w:rsidR="005D444E">
              <w:rPr>
                <w:webHidden/>
              </w:rPr>
              <w:fldChar w:fldCharType="end"/>
            </w:r>
          </w:hyperlink>
        </w:p>
        <w:p w:rsidR="005D444E" w:rsidRDefault="003E501A" w14:paraId="1AB5B768" w14:textId="0B774DE8">
          <w:pPr>
            <w:pStyle w:val="TOC3"/>
            <w:rPr>
              <w:rFonts w:eastAsiaTheme="minorEastAsia" w:cstheme="minorBidi"/>
              <w:spacing w:val="0"/>
              <w:kern w:val="0"/>
              <w:sz w:val="22"/>
              <w:szCs w:val="22"/>
              <w14:ligatures w14:val="none"/>
            </w:rPr>
          </w:pPr>
          <w:hyperlink w:history="1" w:anchor="_Toc91071048">
            <w:r w:rsidRPr="00E87061" w:rsidR="005D444E">
              <w:rPr>
                <w:rStyle w:val="Hyperlink"/>
              </w:rPr>
              <w:t>Grant Funding</w:t>
            </w:r>
            <w:r w:rsidR="005D444E">
              <w:rPr>
                <w:webHidden/>
              </w:rPr>
              <w:tab/>
            </w:r>
            <w:r w:rsidR="005D444E">
              <w:rPr>
                <w:webHidden/>
              </w:rPr>
              <w:fldChar w:fldCharType="begin"/>
            </w:r>
            <w:r w:rsidR="005D444E">
              <w:rPr>
                <w:webHidden/>
              </w:rPr>
              <w:instrText xml:space="preserve"> PAGEREF _Toc91071048 \h </w:instrText>
            </w:r>
            <w:r w:rsidR="005D444E">
              <w:rPr>
                <w:webHidden/>
              </w:rPr>
            </w:r>
            <w:r w:rsidR="005D444E">
              <w:rPr>
                <w:webHidden/>
              </w:rPr>
              <w:fldChar w:fldCharType="separate"/>
            </w:r>
            <w:r w:rsidR="002B1FD6">
              <w:rPr>
                <w:webHidden/>
              </w:rPr>
              <w:t>9</w:t>
            </w:r>
            <w:r w:rsidR="005D444E">
              <w:rPr>
                <w:webHidden/>
              </w:rPr>
              <w:fldChar w:fldCharType="end"/>
            </w:r>
          </w:hyperlink>
        </w:p>
        <w:p w:rsidR="005D444E" w:rsidRDefault="003E501A" w14:paraId="4849D484" w14:textId="11E3AE21">
          <w:pPr>
            <w:pStyle w:val="TOC2"/>
            <w:rPr>
              <w:rFonts w:eastAsiaTheme="minorEastAsia" w:cstheme="minorBidi"/>
              <w:spacing w:val="0"/>
              <w:kern w:val="0"/>
              <w:sz w:val="22"/>
              <w:szCs w:val="22"/>
              <w14:ligatures w14:val="none"/>
            </w:rPr>
          </w:pPr>
          <w:hyperlink w:history="1" w:anchor="_Toc91071049">
            <w:r w:rsidRPr="00E87061" w:rsidR="005D444E">
              <w:rPr>
                <w:rStyle w:val="Hyperlink"/>
              </w:rPr>
              <w:t>Timeline and Procedural Schedule</w:t>
            </w:r>
            <w:r w:rsidR="005D444E">
              <w:rPr>
                <w:webHidden/>
              </w:rPr>
              <w:tab/>
            </w:r>
            <w:r w:rsidR="005D444E">
              <w:rPr>
                <w:webHidden/>
              </w:rPr>
              <w:fldChar w:fldCharType="begin"/>
            </w:r>
            <w:r w:rsidR="005D444E">
              <w:rPr>
                <w:webHidden/>
              </w:rPr>
              <w:instrText xml:space="preserve"> PAGEREF _Toc91071049 \h </w:instrText>
            </w:r>
            <w:r w:rsidR="005D444E">
              <w:rPr>
                <w:webHidden/>
              </w:rPr>
            </w:r>
            <w:r w:rsidR="005D444E">
              <w:rPr>
                <w:webHidden/>
              </w:rPr>
              <w:fldChar w:fldCharType="separate"/>
            </w:r>
            <w:r w:rsidR="002B1FD6">
              <w:rPr>
                <w:webHidden/>
              </w:rPr>
              <w:t>12</w:t>
            </w:r>
            <w:r w:rsidR="005D444E">
              <w:rPr>
                <w:webHidden/>
              </w:rPr>
              <w:fldChar w:fldCharType="end"/>
            </w:r>
          </w:hyperlink>
        </w:p>
        <w:p w:rsidR="005D444E" w:rsidRDefault="003E501A" w14:paraId="536AAD95" w14:textId="06951B02">
          <w:pPr>
            <w:pStyle w:val="TOC1"/>
            <w:rPr>
              <w:rFonts w:asciiTheme="minorHAnsi" w:hAnsiTheme="minorHAnsi" w:eastAsiaTheme="minorEastAsia" w:cstheme="minorBidi"/>
              <w:caps w:val="0"/>
              <w:color w:val="auto"/>
              <w:spacing w:val="0"/>
              <w:kern w:val="0"/>
              <w:sz w:val="22"/>
              <w:szCs w:val="22"/>
              <w14:ligatures w14:val="none"/>
            </w:rPr>
          </w:pPr>
          <w:hyperlink w:history="1" w:anchor="_Toc91071050">
            <w:r w:rsidRPr="00E87061" w:rsidR="005D444E">
              <w:rPr>
                <w:rStyle w:val="Hyperlink"/>
              </w:rPr>
              <w:t>Questions to Consider in a New OIR</w:t>
            </w:r>
            <w:r w:rsidR="005D444E">
              <w:rPr>
                <w:webHidden/>
              </w:rPr>
              <w:tab/>
            </w:r>
            <w:r w:rsidR="005D444E">
              <w:rPr>
                <w:webHidden/>
              </w:rPr>
              <w:fldChar w:fldCharType="begin"/>
            </w:r>
            <w:r w:rsidR="005D444E">
              <w:rPr>
                <w:webHidden/>
              </w:rPr>
              <w:instrText xml:space="preserve"> PAGEREF _Toc91071050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3E9220F8" w14:textId="3FC3A71A">
          <w:pPr>
            <w:pStyle w:val="TOC2"/>
            <w:rPr>
              <w:rFonts w:eastAsiaTheme="minorEastAsia" w:cstheme="minorBidi"/>
              <w:spacing w:val="0"/>
              <w:kern w:val="0"/>
              <w:sz w:val="22"/>
              <w:szCs w:val="22"/>
              <w14:ligatures w14:val="none"/>
            </w:rPr>
          </w:pPr>
          <w:hyperlink w:history="1" w:anchor="_Toc91071051">
            <w:r w:rsidRPr="00E87061" w:rsidR="005D444E">
              <w:rPr>
                <w:rStyle w:val="Hyperlink"/>
              </w:rPr>
              <w:t>Price and Valuation</w:t>
            </w:r>
            <w:r w:rsidR="005D444E">
              <w:rPr>
                <w:webHidden/>
              </w:rPr>
              <w:tab/>
            </w:r>
            <w:r w:rsidR="005D444E">
              <w:rPr>
                <w:webHidden/>
              </w:rPr>
              <w:fldChar w:fldCharType="begin"/>
            </w:r>
            <w:r w:rsidR="005D444E">
              <w:rPr>
                <w:webHidden/>
              </w:rPr>
              <w:instrText xml:space="preserve"> PAGEREF _Toc91071051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07079CE5" w14:textId="05C9E2B7">
          <w:pPr>
            <w:pStyle w:val="TOC3"/>
            <w:rPr>
              <w:rFonts w:eastAsiaTheme="minorEastAsia" w:cstheme="minorBidi"/>
              <w:spacing w:val="0"/>
              <w:kern w:val="0"/>
              <w:sz w:val="22"/>
              <w:szCs w:val="22"/>
              <w14:ligatures w14:val="none"/>
            </w:rPr>
          </w:pPr>
          <w:hyperlink w:history="1" w:anchor="_Toc91071052">
            <w:r w:rsidRPr="00E87061" w:rsidR="005D444E">
              <w:rPr>
                <w:rStyle w:val="Hyperlink"/>
              </w:rPr>
              <w:t>How should the value of a system be determined in acquisitions?</w:t>
            </w:r>
            <w:r w:rsidR="005D444E">
              <w:rPr>
                <w:webHidden/>
              </w:rPr>
              <w:tab/>
            </w:r>
            <w:r w:rsidR="005D444E">
              <w:rPr>
                <w:webHidden/>
              </w:rPr>
              <w:fldChar w:fldCharType="begin"/>
            </w:r>
            <w:r w:rsidR="005D444E">
              <w:rPr>
                <w:webHidden/>
              </w:rPr>
              <w:instrText xml:space="preserve"> PAGEREF _Toc91071052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4A1AA5A7" w14:textId="24AF672D">
          <w:pPr>
            <w:pStyle w:val="TOC3"/>
            <w:rPr>
              <w:rFonts w:eastAsiaTheme="minorEastAsia" w:cstheme="minorBidi"/>
              <w:spacing w:val="0"/>
              <w:kern w:val="0"/>
              <w:sz w:val="22"/>
              <w:szCs w:val="22"/>
              <w14:ligatures w14:val="none"/>
            </w:rPr>
          </w:pPr>
          <w:hyperlink w:history="1" w:anchor="_Toc91071053">
            <w:r w:rsidRPr="00E87061" w:rsidR="005D444E">
              <w:rPr>
                <w:rStyle w:val="Hyperlink"/>
              </w:rPr>
              <w:t>Should Section 1263.320(b) of the Code of Civil Procedure be applied to proposed acquisitions?</w:t>
            </w:r>
            <w:r w:rsidR="005D444E">
              <w:rPr>
                <w:webHidden/>
              </w:rPr>
              <w:tab/>
            </w:r>
            <w:r w:rsidR="005D444E">
              <w:rPr>
                <w:webHidden/>
              </w:rPr>
              <w:fldChar w:fldCharType="begin"/>
            </w:r>
            <w:r w:rsidR="005D444E">
              <w:rPr>
                <w:webHidden/>
              </w:rPr>
              <w:instrText xml:space="preserve"> PAGEREF _Toc91071053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7B51D4CD" w14:textId="7B7A48AA">
          <w:pPr>
            <w:pStyle w:val="TOC3"/>
            <w:rPr>
              <w:rFonts w:eastAsiaTheme="minorEastAsia" w:cstheme="minorBidi"/>
              <w:spacing w:val="0"/>
              <w:kern w:val="0"/>
              <w:sz w:val="22"/>
              <w:szCs w:val="22"/>
              <w14:ligatures w14:val="none"/>
            </w:rPr>
          </w:pPr>
          <w:hyperlink w:history="1" w:anchor="_Toc91071054">
            <w:r w:rsidRPr="00E87061" w:rsidR="005D444E">
              <w:rPr>
                <w:rStyle w:val="Hyperlink"/>
              </w:rPr>
              <w:t>How could Cost-Sharing procedures apply to acquisitions?</w:t>
            </w:r>
            <w:r w:rsidR="005D444E">
              <w:rPr>
                <w:webHidden/>
              </w:rPr>
              <w:tab/>
            </w:r>
            <w:r w:rsidR="005D444E">
              <w:rPr>
                <w:webHidden/>
              </w:rPr>
              <w:fldChar w:fldCharType="begin"/>
            </w:r>
            <w:r w:rsidR="005D444E">
              <w:rPr>
                <w:webHidden/>
              </w:rPr>
              <w:instrText xml:space="preserve"> PAGEREF _Toc91071054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0D5DB436" w14:textId="1E5DC25C">
          <w:pPr>
            <w:pStyle w:val="TOC3"/>
            <w:rPr>
              <w:rFonts w:eastAsiaTheme="minorEastAsia" w:cstheme="minorBidi"/>
              <w:spacing w:val="0"/>
              <w:kern w:val="0"/>
              <w:sz w:val="22"/>
              <w:szCs w:val="22"/>
              <w14:ligatures w14:val="none"/>
            </w:rPr>
          </w:pPr>
          <w:hyperlink w:history="1" w:anchor="_Toc91071055">
            <w:r w:rsidRPr="00E87061" w:rsidR="005D444E">
              <w:rPr>
                <w:rStyle w:val="Hyperlink"/>
              </w:rPr>
              <w:t>How should different assets and liabilities be treated for ratemaking purposes in proposed acquisitions?</w:t>
            </w:r>
            <w:r w:rsidR="005D444E">
              <w:rPr>
                <w:webHidden/>
              </w:rPr>
              <w:tab/>
            </w:r>
            <w:r w:rsidR="005D444E">
              <w:rPr>
                <w:webHidden/>
              </w:rPr>
              <w:fldChar w:fldCharType="begin"/>
            </w:r>
            <w:r w:rsidR="005D444E">
              <w:rPr>
                <w:webHidden/>
              </w:rPr>
              <w:instrText xml:space="preserve"> PAGEREF _Toc91071055 \h </w:instrText>
            </w:r>
            <w:r w:rsidR="005D444E">
              <w:rPr>
                <w:webHidden/>
              </w:rPr>
            </w:r>
            <w:r w:rsidR="005D444E">
              <w:rPr>
                <w:webHidden/>
              </w:rPr>
              <w:fldChar w:fldCharType="separate"/>
            </w:r>
            <w:r w:rsidR="002B1FD6">
              <w:rPr>
                <w:webHidden/>
              </w:rPr>
              <w:t>14</w:t>
            </w:r>
            <w:r w:rsidR="005D444E">
              <w:rPr>
                <w:webHidden/>
              </w:rPr>
              <w:fldChar w:fldCharType="end"/>
            </w:r>
          </w:hyperlink>
        </w:p>
        <w:p w:rsidR="005D444E" w:rsidRDefault="003E501A" w14:paraId="5ED73948" w14:textId="33C51C6C">
          <w:pPr>
            <w:pStyle w:val="TOC3"/>
            <w:rPr>
              <w:rFonts w:eastAsiaTheme="minorEastAsia" w:cstheme="minorBidi"/>
              <w:spacing w:val="0"/>
              <w:kern w:val="0"/>
              <w:sz w:val="22"/>
              <w:szCs w:val="22"/>
              <w14:ligatures w14:val="none"/>
            </w:rPr>
          </w:pPr>
          <w:hyperlink w:history="1" w:anchor="_Toc91071056">
            <w:r w:rsidRPr="00E87061" w:rsidR="005D444E">
              <w:rPr>
                <w:rStyle w:val="Hyperlink"/>
              </w:rPr>
              <w:t>Should there be a study or analysis conducted to examine the increasing purchase prices of acquisitions?</w:t>
            </w:r>
            <w:r w:rsidR="005D444E">
              <w:rPr>
                <w:webHidden/>
              </w:rPr>
              <w:tab/>
            </w:r>
            <w:r w:rsidR="005D444E">
              <w:rPr>
                <w:webHidden/>
              </w:rPr>
              <w:fldChar w:fldCharType="begin"/>
            </w:r>
            <w:r w:rsidR="005D444E">
              <w:rPr>
                <w:webHidden/>
              </w:rPr>
              <w:instrText xml:space="preserve"> PAGEREF _Toc91071056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01BD6BCE" w14:textId="501C7135">
          <w:pPr>
            <w:pStyle w:val="TOC2"/>
            <w:rPr>
              <w:rFonts w:eastAsiaTheme="minorEastAsia" w:cstheme="minorBidi"/>
              <w:spacing w:val="0"/>
              <w:kern w:val="0"/>
              <w:sz w:val="22"/>
              <w:szCs w:val="22"/>
              <w14:ligatures w14:val="none"/>
            </w:rPr>
          </w:pPr>
          <w:hyperlink w:history="1" w:anchor="_Toc91071057">
            <w:r w:rsidRPr="00E87061" w:rsidR="005D444E">
              <w:rPr>
                <w:rStyle w:val="Hyperlink"/>
              </w:rPr>
              <w:t>Ratepayer Impacts</w:t>
            </w:r>
            <w:r w:rsidR="005D444E">
              <w:rPr>
                <w:webHidden/>
              </w:rPr>
              <w:tab/>
            </w:r>
            <w:r w:rsidR="005D444E">
              <w:rPr>
                <w:webHidden/>
              </w:rPr>
              <w:fldChar w:fldCharType="begin"/>
            </w:r>
            <w:r w:rsidR="005D444E">
              <w:rPr>
                <w:webHidden/>
              </w:rPr>
              <w:instrText xml:space="preserve"> PAGEREF _Toc91071057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5ADD7FD9" w14:textId="3DEEF1F7">
          <w:pPr>
            <w:pStyle w:val="TOC3"/>
            <w:rPr>
              <w:rFonts w:eastAsiaTheme="minorEastAsia" w:cstheme="minorBidi"/>
              <w:spacing w:val="0"/>
              <w:kern w:val="0"/>
              <w:sz w:val="22"/>
              <w:szCs w:val="22"/>
              <w14:ligatures w14:val="none"/>
            </w:rPr>
          </w:pPr>
          <w:hyperlink w:history="1" w:anchor="_Toc91071058">
            <w:r w:rsidRPr="00E87061" w:rsidR="005D444E">
              <w:rPr>
                <w:rStyle w:val="Hyperlink"/>
              </w:rPr>
              <w:t>How should the Commission examine ratepayer impacts when reviewing an acquisition?</w:t>
            </w:r>
            <w:r w:rsidR="005D444E">
              <w:rPr>
                <w:webHidden/>
              </w:rPr>
              <w:tab/>
            </w:r>
            <w:r w:rsidR="005D444E">
              <w:rPr>
                <w:webHidden/>
              </w:rPr>
              <w:fldChar w:fldCharType="begin"/>
            </w:r>
            <w:r w:rsidR="005D444E">
              <w:rPr>
                <w:webHidden/>
              </w:rPr>
              <w:instrText xml:space="preserve"> PAGEREF _Toc91071058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7E7E82A5" w14:textId="3C95DDB1">
          <w:pPr>
            <w:pStyle w:val="TOC3"/>
            <w:rPr>
              <w:rFonts w:eastAsiaTheme="minorEastAsia" w:cstheme="minorBidi"/>
              <w:spacing w:val="0"/>
              <w:kern w:val="0"/>
              <w:sz w:val="22"/>
              <w:szCs w:val="22"/>
              <w14:ligatures w14:val="none"/>
            </w:rPr>
          </w:pPr>
          <w:hyperlink w:history="1" w:anchor="_Toc91071059">
            <w:r w:rsidRPr="00E87061" w:rsidR="005D444E">
              <w:rPr>
                <w:rStyle w:val="Hyperlink"/>
              </w:rPr>
              <w:t>What standard should be used to determine ratepayer impacts in acquisitions?</w:t>
            </w:r>
            <w:r w:rsidR="005D444E">
              <w:rPr>
                <w:webHidden/>
              </w:rPr>
              <w:tab/>
            </w:r>
            <w:r w:rsidR="005D444E">
              <w:rPr>
                <w:webHidden/>
              </w:rPr>
              <w:fldChar w:fldCharType="begin"/>
            </w:r>
            <w:r w:rsidR="005D444E">
              <w:rPr>
                <w:webHidden/>
              </w:rPr>
              <w:instrText xml:space="preserve"> PAGEREF _Toc91071059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5666EA7A" w14:textId="68B0248B">
          <w:pPr>
            <w:pStyle w:val="TOC3"/>
            <w:rPr>
              <w:rFonts w:eastAsiaTheme="minorEastAsia" w:cstheme="minorBidi"/>
              <w:spacing w:val="0"/>
              <w:kern w:val="0"/>
              <w:sz w:val="22"/>
              <w:szCs w:val="22"/>
              <w14:ligatures w14:val="none"/>
            </w:rPr>
          </w:pPr>
          <w:hyperlink w:history="1" w:anchor="_Toc91071060">
            <w:r w:rsidRPr="00E87061" w:rsidR="005D444E">
              <w:rPr>
                <w:rStyle w:val="Hyperlink"/>
              </w:rPr>
              <w:t>Should existing customers of the acquiring utility be included in the review of ratepayer impact?</w:t>
            </w:r>
            <w:r w:rsidR="005D444E">
              <w:rPr>
                <w:webHidden/>
              </w:rPr>
              <w:tab/>
            </w:r>
            <w:r w:rsidR="005D444E">
              <w:rPr>
                <w:webHidden/>
              </w:rPr>
              <w:fldChar w:fldCharType="begin"/>
            </w:r>
            <w:r w:rsidR="005D444E">
              <w:rPr>
                <w:webHidden/>
              </w:rPr>
              <w:instrText xml:space="preserve"> PAGEREF _Toc91071060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453E31F2" w14:textId="10B95B85">
          <w:pPr>
            <w:pStyle w:val="TOC3"/>
            <w:rPr>
              <w:rFonts w:eastAsiaTheme="minorEastAsia" w:cstheme="minorBidi"/>
              <w:spacing w:val="0"/>
              <w:kern w:val="0"/>
              <w:sz w:val="22"/>
              <w:szCs w:val="22"/>
              <w14:ligatures w14:val="none"/>
            </w:rPr>
          </w:pPr>
          <w:hyperlink w:history="1" w:anchor="_Toc91071061">
            <w:r w:rsidRPr="00E87061" w:rsidR="005D444E">
              <w:rPr>
                <w:rStyle w:val="Hyperlink"/>
              </w:rPr>
              <w:t>How should the benefits and costs of acquisitions be quantified?</w:t>
            </w:r>
            <w:r w:rsidR="005D444E">
              <w:rPr>
                <w:webHidden/>
              </w:rPr>
              <w:tab/>
            </w:r>
            <w:r w:rsidR="005D444E">
              <w:rPr>
                <w:webHidden/>
              </w:rPr>
              <w:fldChar w:fldCharType="begin"/>
            </w:r>
            <w:r w:rsidR="005D444E">
              <w:rPr>
                <w:webHidden/>
              </w:rPr>
              <w:instrText xml:space="preserve"> PAGEREF _Toc91071061 \h </w:instrText>
            </w:r>
            <w:r w:rsidR="005D444E">
              <w:rPr>
                <w:webHidden/>
              </w:rPr>
            </w:r>
            <w:r w:rsidR="005D444E">
              <w:rPr>
                <w:webHidden/>
              </w:rPr>
              <w:fldChar w:fldCharType="separate"/>
            </w:r>
            <w:r w:rsidR="002B1FD6">
              <w:rPr>
                <w:webHidden/>
              </w:rPr>
              <w:t>15</w:t>
            </w:r>
            <w:r w:rsidR="005D444E">
              <w:rPr>
                <w:webHidden/>
              </w:rPr>
              <w:fldChar w:fldCharType="end"/>
            </w:r>
          </w:hyperlink>
        </w:p>
        <w:p w:rsidR="005D444E" w:rsidRDefault="003E501A" w14:paraId="7E0EF2C4" w14:textId="2BEB35B2">
          <w:pPr>
            <w:pStyle w:val="TOC3"/>
            <w:rPr>
              <w:rFonts w:eastAsiaTheme="minorEastAsia" w:cstheme="minorBidi"/>
              <w:spacing w:val="0"/>
              <w:kern w:val="0"/>
              <w:sz w:val="22"/>
              <w:szCs w:val="22"/>
              <w14:ligatures w14:val="none"/>
            </w:rPr>
          </w:pPr>
          <w:hyperlink w:history="1" w:anchor="_Toc91071062">
            <w:r w:rsidRPr="00E87061" w:rsidR="005D444E">
              <w:rPr>
                <w:rStyle w:val="Hyperlink"/>
              </w:rPr>
              <w:t>How should rate impacts from previous acquisitions be assessed when reviewing a proposed acquisition?</w:t>
            </w:r>
            <w:r w:rsidR="005D444E">
              <w:rPr>
                <w:webHidden/>
              </w:rPr>
              <w:tab/>
            </w:r>
            <w:r w:rsidR="005D444E">
              <w:rPr>
                <w:webHidden/>
              </w:rPr>
              <w:fldChar w:fldCharType="begin"/>
            </w:r>
            <w:r w:rsidR="005D444E">
              <w:rPr>
                <w:webHidden/>
              </w:rPr>
              <w:instrText xml:space="preserve"> PAGEREF _Toc91071062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1E8451F3" w14:textId="02643A98">
          <w:pPr>
            <w:pStyle w:val="TOC2"/>
            <w:rPr>
              <w:rFonts w:eastAsiaTheme="minorEastAsia" w:cstheme="minorBidi"/>
              <w:spacing w:val="0"/>
              <w:kern w:val="0"/>
              <w:sz w:val="22"/>
              <w:szCs w:val="22"/>
              <w14:ligatures w14:val="none"/>
            </w:rPr>
          </w:pPr>
          <w:hyperlink w:history="1" w:anchor="_Toc91071063">
            <w:r w:rsidRPr="00E87061" w:rsidR="005D444E">
              <w:rPr>
                <w:rStyle w:val="Hyperlink"/>
              </w:rPr>
              <w:t>Inadequately Operated and Maintained Systems</w:t>
            </w:r>
            <w:r w:rsidR="005D444E">
              <w:rPr>
                <w:webHidden/>
              </w:rPr>
              <w:tab/>
            </w:r>
            <w:r w:rsidR="005D444E">
              <w:rPr>
                <w:webHidden/>
              </w:rPr>
              <w:fldChar w:fldCharType="begin"/>
            </w:r>
            <w:r w:rsidR="005D444E">
              <w:rPr>
                <w:webHidden/>
              </w:rPr>
              <w:instrText xml:space="preserve"> PAGEREF _Toc91071063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55489DC9" w14:textId="5DD5FAED">
          <w:pPr>
            <w:pStyle w:val="TOC3"/>
            <w:rPr>
              <w:rFonts w:eastAsiaTheme="minorEastAsia" w:cstheme="minorBidi"/>
              <w:spacing w:val="0"/>
              <w:kern w:val="0"/>
              <w:sz w:val="22"/>
              <w:szCs w:val="22"/>
              <w14:ligatures w14:val="none"/>
            </w:rPr>
          </w:pPr>
          <w:hyperlink w:history="1" w:anchor="_Toc91071064">
            <w:r w:rsidRPr="00E87061" w:rsidR="005D444E">
              <w:rPr>
                <w:rStyle w:val="Hyperlink"/>
              </w:rPr>
              <w:t>How should acquisitions be prioritized for inadequately operated and maintained systems?</w:t>
            </w:r>
            <w:r w:rsidR="005D444E">
              <w:rPr>
                <w:webHidden/>
              </w:rPr>
              <w:tab/>
            </w:r>
            <w:r w:rsidR="005D444E">
              <w:rPr>
                <w:webHidden/>
              </w:rPr>
              <w:fldChar w:fldCharType="begin"/>
            </w:r>
            <w:r w:rsidR="005D444E">
              <w:rPr>
                <w:webHidden/>
              </w:rPr>
              <w:instrText xml:space="preserve"> PAGEREF _Toc91071064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5DD9FEEF" w14:textId="59EC9046">
          <w:pPr>
            <w:pStyle w:val="TOC3"/>
            <w:rPr>
              <w:rFonts w:eastAsiaTheme="minorEastAsia" w:cstheme="minorBidi"/>
              <w:spacing w:val="0"/>
              <w:kern w:val="0"/>
              <w:sz w:val="22"/>
              <w:szCs w:val="22"/>
              <w14:ligatures w14:val="none"/>
            </w:rPr>
          </w:pPr>
          <w:hyperlink w:history="1" w:anchor="_Toc91071065">
            <w:r w:rsidRPr="00E87061" w:rsidR="005D444E">
              <w:rPr>
                <w:rStyle w:val="Hyperlink"/>
              </w:rPr>
              <w:t>How should coordination efforts between the Commission and the SWRCB be improved on to address inadequately operated and maintained systems?</w:t>
            </w:r>
            <w:r w:rsidR="005D444E">
              <w:rPr>
                <w:webHidden/>
              </w:rPr>
              <w:tab/>
            </w:r>
            <w:r w:rsidR="005D444E">
              <w:rPr>
                <w:webHidden/>
              </w:rPr>
              <w:fldChar w:fldCharType="begin"/>
            </w:r>
            <w:r w:rsidR="005D444E">
              <w:rPr>
                <w:webHidden/>
              </w:rPr>
              <w:instrText xml:space="preserve"> PAGEREF _Toc91071065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0F160BA4" w14:textId="1F121F7E">
          <w:pPr>
            <w:pStyle w:val="TOC3"/>
            <w:rPr>
              <w:rFonts w:eastAsiaTheme="minorEastAsia" w:cstheme="minorBidi"/>
              <w:spacing w:val="0"/>
              <w:kern w:val="0"/>
              <w:sz w:val="22"/>
              <w:szCs w:val="22"/>
              <w14:ligatures w14:val="none"/>
            </w:rPr>
          </w:pPr>
          <w:hyperlink w:history="1" w:anchor="_Toc91071066">
            <w:r w:rsidRPr="00E87061" w:rsidR="005D444E">
              <w:rPr>
                <w:rStyle w:val="Hyperlink"/>
              </w:rPr>
              <w:t>How should the acquisitions of systems in disadvantaged communities be approached?</w:t>
            </w:r>
            <w:r w:rsidR="005D444E">
              <w:rPr>
                <w:webHidden/>
              </w:rPr>
              <w:tab/>
            </w:r>
            <w:r w:rsidR="005D444E">
              <w:rPr>
                <w:webHidden/>
              </w:rPr>
              <w:fldChar w:fldCharType="begin"/>
            </w:r>
            <w:r w:rsidR="005D444E">
              <w:rPr>
                <w:webHidden/>
              </w:rPr>
              <w:instrText xml:space="preserve"> PAGEREF _Toc91071066 \h </w:instrText>
            </w:r>
            <w:r w:rsidR="005D444E">
              <w:rPr>
                <w:webHidden/>
              </w:rPr>
            </w:r>
            <w:r w:rsidR="005D444E">
              <w:rPr>
                <w:webHidden/>
              </w:rPr>
              <w:fldChar w:fldCharType="separate"/>
            </w:r>
            <w:r w:rsidR="002B1FD6">
              <w:rPr>
                <w:webHidden/>
              </w:rPr>
              <w:t>16</w:t>
            </w:r>
            <w:r w:rsidR="005D444E">
              <w:rPr>
                <w:webHidden/>
              </w:rPr>
              <w:fldChar w:fldCharType="end"/>
            </w:r>
          </w:hyperlink>
        </w:p>
        <w:p w:rsidR="005D444E" w:rsidRDefault="003E501A" w14:paraId="5BC94CDF" w14:textId="102EF9DE">
          <w:pPr>
            <w:pStyle w:val="TOC3"/>
            <w:rPr>
              <w:rFonts w:eastAsiaTheme="minorEastAsia" w:cstheme="minorBidi"/>
              <w:spacing w:val="0"/>
              <w:kern w:val="0"/>
              <w:sz w:val="22"/>
              <w:szCs w:val="22"/>
              <w14:ligatures w14:val="none"/>
            </w:rPr>
          </w:pPr>
          <w:hyperlink w:history="1" w:anchor="_Toc91071067">
            <w:r w:rsidRPr="00E87061" w:rsidR="005D444E">
              <w:rPr>
                <w:rStyle w:val="Hyperlink"/>
              </w:rPr>
              <w:t>What incentives for acquiring inadequately operated and maintained systems would be most effective?</w:t>
            </w:r>
            <w:r w:rsidR="005D444E">
              <w:rPr>
                <w:webHidden/>
              </w:rPr>
              <w:tab/>
            </w:r>
            <w:r w:rsidR="005D444E">
              <w:rPr>
                <w:webHidden/>
              </w:rPr>
              <w:fldChar w:fldCharType="begin"/>
            </w:r>
            <w:r w:rsidR="005D444E">
              <w:rPr>
                <w:webHidden/>
              </w:rPr>
              <w:instrText xml:space="preserve"> PAGEREF _Toc91071067 \h </w:instrText>
            </w:r>
            <w:r w:rsidR="005D444E">
              <w:rPr>
                <w:webHidden/>
              </w:rPr>
            </w:r>
            <w:r w:rsidR="005D444E">
              <w:rPr>
                <w:webHidden/>
              </w:rPr>
              <w:fldChar w:fldCharType="separate"/>
            </w:r>
            <w:r w:rsidR="002B1FD6">
              <w:rPr>
                <w:webHidden/>
              </w:rPr>
              <w:t>17</w:t>
            </w:r>
            <w:r w:rsidR="005D444E">
              <w:rPr>
                <w:webHidden/>
              </w:rPr>
              <w:fldChar w:fldCharType="end"/>
            </w:r>
          </w:hyperlink>
        </w:p>
        <w:p w:rsidR="005D444E" w:rsidRDefault="003E501A" w14:paraId="5496ECFD" w14:textId="7A701215">
          <w:pPr>
            <w:pStyle w:val="TOC3"/>
            <w:rPr>
              <w:rFonts w:eastAsiaTheme="minorEastAsia" w:cstheme="minorBidi"/>
              <w:spacing w:val="0"/>
              <w:kern w:val="0"/>
              <w:sz w:val="22"/>
              <w:szCs w:val="22"/>
              <w14:ligatures w14:val="none"/>
            </w:rPr>
          </w:pPr>
          <w:hyperlink w:history="1" w:anchor="_Toc91071068">
            <w:r w:rsidRPr="00E87061" w:rsidR="005D444E">
              <w:rPr>
                <w:rStyle w:val="Hyperlink"/>
              </w:rPr>
              <w:t>Should the incentives for acquiring well-maintained systems be decreased?</w:t>
            </w:r>
            <w:r w:rsidR="005D444E">
              <w:rPr>
                <w:webHidden/>
              </w:rPr>
              <w:tab/>
            </w:r>
            <w:r w:rsidR="005D444E">
              <w:rPr>
                <w:webHidden/>
              </w:rPr>
              <w:fldChar w:fldCharType="begin"/>
            </w:r>
            <w:r w:rsidR="005D444E">
              <w:rPr>
                <w:webHidden/>
              </w:rPr>
              <w:instrText xml:space="preserve"> PAGEREF _Toc91071068 \h </w:instrText>
            </w:r>
            <w:r w:rsidR="005D444E">
              <w:rPr>
                <w:webHidden/>
              </w:rPr>
            </w:r>
            <w:r w:rsidR="005D444E">
              <w:rPr>
                <w:webHidden/>
              </w:rPr>
              <w:fldChar w:fldCharType="separate"/>
            </w:r>
            <w:r w:rsidR="002B1FD6">
              <w:rPr>
                <w:webHidden/>
              </w:rPr>
              <w:t>17</w:t>
            </w:r>
            <w:r w:rsidR="005D444E">
              <w:rPr>
                <w:webHidden/>
              </w:rPr>
              <w:fldChar w:fldCharType="end"/>
            </w:r>
          </w:hyperlink>
        </w:p>
        <w:p w:rsidR="005D444E" w:rsidRDefault="003E501A" w14:paraId="3D0E87EB" w14:textId="2251D5D1">
          <w:pPr>
            <w:pStyle w:val="TOC3"/>
            <w:rPr>
              <w:rFonts w:eastAsiaTheme="minorEastAsia" w:cstheme="minorBidi"/>
              <w:spacing w:val="0"/>
              <w:kern w:val="0"/>
              <w:sz w:val="22"/>
              <w:szCs w:val="22"/>
              <w14:ligatures w14:val="none"/>
            </w:rPr>
          </w:pPr>
          <w:hyperlink w:history="1" w:anchor="_Toc91071069">
            <w:r w:rsidRPr="00E87061" w:rsidR="005D444E">
              <w:rPr>
                <w:rStyle w:val="Hyperlink"/>
              </w:rPr>
              <w:t>How should the Commission treat grant funding in acquisitions?</w:t>
            </w:r>
            <w:r w:rsidR="005D444E">
              <w:rPr>
                <w:webHidden/>
              </w:rPr>
              <w:tab/>
            </w:r>
            <w:r w:rsidR="005D444E">
              <w:rPr>
                <w:webHidden/>
              </w:rPr>
              <w:fldChar w:fldCharType="begin"/>
            </w:r>
            <w:r w:rsidR="005D444E">
              <w:rPr>
                <w:webHidden/>
              </w:rPr>
              <w:instrText xml:space="preserve"> PAGEREF _Toc91071069 \h </w:instrText>
            </w:r>
            <w:r w:rsidR="005D444E">
              <w:rPr>
                <w:webHidden/>
              </w:rPr>
            </w:r>
            <w:r w:rsidR="005D444E">
              <w:rPr>
                <w:webHidden/>
              </w:rPr>
              <w:fldChar w:fldCharType="separate"/>
            </w:r>
            <w:r w:rsidR="002B1FD6">
              <w:rPr>
                <w:webHidden/>
              </w:rPr>
              <w:t>17</w:t>
            </w:r>
            <w:r w:rsidR="005D444E">
              <w:rPr>
                <w:webHidden/>
              </w:rPr>
              <w:fldChar w:fldCharType="end"/>
            </w:r>
          </w:hyperlink>
        </w:p>
        <w:p w:rsidR="005D444E" w:rsidRDefault="003E501A" w14:paraId="71810C53" w14:textId="4F80B3BB">
          <w:pPr>
            <w:pStyle w:val="TOC3"/>
            <w:rPr>
              <w:rFonts w:eastAsiaTheme="minorEastAsia" w:cstheme="minorBidi"/>
              <w:spacing w:val="0"/>
              <w:kern w:val="0"/>
              <w:sz w:val="22"/>
              <w:szCs w:val="22"/>
              <w14:ligatures w14:val="none"/>
            </w:rPr>
          </w:pPr>
          <w:hyperlink w:history="1" w:anchor="_Toc91071070">
            <w:r w:rsidRPr="00E87061" w:rsidR="005D444E">
              <w:rPr>
                <w:rStyle w:val="Hyperlink"/>
              </w:rPr>
              <w:t>What options other than acquisitions should be considered?</w:t>
            </w:r>
            <w:r w:rsidR="005D444E">
              <w:rPr>
                <w:webHidden/>
              </w:rPr>
              <w:tab/>
            </w:r>
            <w:r w:rsidR="005D444E">
              <w:rPr>
                <w:webHidden/>
              </w:rPr>
              <w:fldChar w:fldCharType="begin"/>
            </w:r>
            <w:r w:rsidR="005D444E">
              <w:rPr>
                <w:webHidden/>
              </w:rPr>
              <w:instrText xml:space="preserve"> PAGEREF _Toc91071070 \h </w:instrText>
            </w:r>
            <w:r w:rsidR="005D444E">
              <w:rPr>
                <w:webHidden/>
              </w:rPr>
            </w:r>
            <w:r w:rsidR="005D444E">
              <w:rPr>
                <w:webHidden/>
              </w:rPr>
              <w:fldChar w:fldCharType="separate"/>
            </w:r>
            <w:r w:rsidR="002B1FD6">
              <w:rPr>
                <w:webHidden/>
              </w:rPr>
              <w:t>17</w:t>
            </w:r>
            <w:r w:rsidR="005D444E">
              <w:rPr>
                <w:webHidden/>
              </w:rPr>
              <w:fldChar w:fldCharType="end"/>
            </w:r>
          </w:hyperlink>
        </w:p>
        <w:p w:rsidR="005D444E" w:rsidRDefault="003E501A" w14:paraId="7EC2B0B4" w14:textId="057C80AF">
          <w:pPr>
            <w:pStyle w:val="TOC2"/>
            <w:rPr>
              <w:rFonts w:eastAsiaTheme="minorEastAsia" w:cstheme="minorBidi"/>
              <w:spacing w:val="0"/>
              <w:kern w:val="0"/>
              <w:sz w:val="22"/>
              <w:szCs w:val="22"/>
              <w14:ligatures w14:val="none"/>
            </w:rPr>
          </w:pPr>
          <w:hyperlink w:history="1" w:anchor="_Toc91071071">
            <w:r w:rsidRPr="00E87061" w:rsidR="005D444E">
              <w:rPr>
                <w:rStyle w:val="Hyperlink"/>
              </w:rPr>
              <w:t>Schedule and Timeline</w:t>
            </w:r>
            <w:r w:rsidR="005D444E">
              <w:rPr>
                <w:webHidden/>
              </w:rPr>
              <w:tab/>
            </w:r>
            <w:r w:rsidR="005D444E">
              <w:rPr>
                <w:webHidden/>
              </w:rPr>
              <w:fldChar w:fldCharType="begin"/>
            </w:r>
            <w:r w:rsidR="005D444E">
              <w:rPr>
                <w:webHidden/>
              </w:rPr>
              <w:instrText xml:space="preserve"> PAGEREF _Toc91071071 \h </w:instrText>
            </w:r>
            <w:r w:rsidR="005D444E">
              <w:rPr>
                <w:webHidden/>
              </w:rPr>
            </w:r>
            <w:r w:rsidR="005D444E">
              <w:rPr>
                <w:webHidden/>
              </w:rPr>
              <w:fldChar w:fldCharType="separate"/>
            </w:r>
            <w:r w:rsidR="002B1FD6">
              <w:rPr>
                <w:webHidden/>
              </w:rPr>
              <w:t>18</w:t>
            </w:r>
            <w:r w:rsidR="005D444E">
              <w:rPr>
                <w:webHidden/>
              </w:rPr>
              <w:fldChar w:fldCharType="end"/>
            </w:r>
          </w:hyperlink>
        </w:p>
        <w:p w:rsidR="005D444E" w:rsidRDefault="003E501A" w14:paraId="0E01E09B" w14:textId="7B7E5C6A">
          <w:pPr>
            <w:pStyle w:val="TOC3"/>
            <w:rPr>
              <w:rFonts w:eastAsiaTheme="minorEastAsia" w:cstheme="minorBidi"/>
              <w:spacing w:val="0"/>
              <w:kern w:val="0"/>
              <w:sz w:val="22"/>
              <w:szCs w:val="22"/>
              <w14:ligatures w14:val="none"/>
            </w:rPr>
          </w:pPr>
          <w:hyperlink w:history="1" w:anchor="_Toc91071072">
            <w:r w:rsidRPr="00E87061" w:rsidR="005D444E">
              <w:rPr>
                <w:rStyle w:val="Hyperlink"/>
              </w:rPr>
              <w:t>How can the Commission process acquisitions within the required time limits?</w:t>
            </w:r>
            <w:r w:rsidR="005D444E">
              <w:rPr>
                <w:webHidden/>
              </w:rPr>
              <w:tab/>
            </w:r>
            <w:r w:rsidR="005D444E">
              <w:rPr>
                <w:webHidden/>
              </w:rPr>
              <w:fldChar w:fldCharType="begin"/>
            </w:r>
            <w:r w:rsidR="005D444E">
              <w:rPr>
                <w:webHidden/>
              </w:rPr>
              <w:instrText xml:space="preserve"> PAGEREF _Toc91071072 \h </w:instrText>
            </w:r>
            <w:r w:rsidR="005D444E">
              <w:rPr>
                <w:webHidden/>
              </w:rPr>
            </w:r>
            <w:r w:rsidR="005D444E">
              <w:rPr>
                <w:webHidden/>
              </w:rPr>
              <w:fldChar w:fldCharType="separate"/>
            </w:r>
            <w:r w:rsidR="002B1FD6">
              <w:rPr>
                <w:webHidden/>
              </w:rPr>
              <w:t>18</w:t>
            </w:r>
            <w:r w:rsidR="005D444E">
              <w:rPr>
                <w:webHidden/>
              </w:rPr>
              <w:fldChar w:fldCharType="end"/>
            </w:r>
          </w:hyperlink>
        </w:p>
        <w:p w:rsidR="005D444E" w:rsidRDefault="003E501A" w14:paraId="79124D7B" w14:textId="20016890">
          <w:pPr>
            <w:pStyle w:val="TOC3"/>
            <w:rPr>
              <w:rFonts w:eastAsiaTheme="minorEastAsia" w:cstheme="minorBidi"/>
              <w:spacing w:val="0"/>
              <w:kern w:val="0"/>
              <w:sz w:val="22"/>
              <w:szCs w:val="22"/>
              <w14:ligatures w14:val="none"/>
            </w:rPr>
          </w:pPr>
          <w:hyperlink w:history="1" w:anchor="_Toc91071073">
            <w:r w:rsidRPr="00E87061" w:rsidR="005D444E">
              <w:rPr>
                <w:rStyle w:val="Hyperlink"/>
              </w:rPr>
              <w:t>What would a new procedural structure look like?</w:t>
            </w:r>
            <w:r w:rsidR="005D444E">
              <w:rPr>
                <w:webHidden/>
              </w:rPr>
              <w:tab/>
            </w:r>
            <w:r w:rsidR="005D444E">
              <w:rPr>
                <w:webHidden/>
              </w:rPr>
              <w:fldChar w:fldCharType="begin"/>
            </w:r>
            <w:r w:rsidR="005D444E">
              <w:rPr>
                <w:webHidden/>
              </w:rPr>
              <w:instrText xml:space="preserve"> PAGEREF _Toc91071073 \h </w:instrText>
            </w:r>
            <w:r w:rsidR="005D444E">
              <w:rPr>
                <w:webHidden/>
              </w:rPr>
            </w:r>
            <w:r w:rsidR="005D444E">
              <w:rPr>
                <w:webHidden/>
              </w:rPr>
              <w:fldChar w:fldCharType="separate"/>
            </w:r>
            <w:r w:rsidR="002B1FD6">
              <w:rPr>
                <w:webHidden/>
              </w:rPr>
              <w:t>18</w:t>
            </w:r>
            <w:r w:rsidR="005D444E">
              <w:rPr>
                <w:webHidden/>
              </w:rPr>
              <w:fldChar w:fldCharType="end"/>
            </w:r>
          </w:hyperlink>
        </w:p>
        <w:p w:rsidR="005D444E" w:rsidRDefault="003E501A" w14:paraId="4E336A35" w14:textId="51561B2E">
          <w:pPr>
            <w:pStyle w:val="TOC3"/>
            <w:rPr>
              <w:rFonts w:eastAsiaTheme="minorEastAsia" w:cstheme="minorBidi"/>
              <w:spacing w:val="0"/>
              <w:kern w:val="0"/>
              <w:sz w:val="22"/>
              <w:szCs w:val="22"/>
              <w14:ligatures w14:val="none"/>
            </w:rPr>
          </w:pPr>
          <w:hyperlink w:history="1" w:anchor="_Toc91071074">
            <w:r w:rsidRPr="00E87061" w:rsidR="005D444E">
              <w:rPr>
                <w:rStyle w:val="Hyperlink"/>
              </w:rPr>
              <w:t>What reporting requirements should be adopted for proposed acquisitions?</w:t>
            </w:r>
            <w:r w:rsidR="005D444E">
              <w:rPr>
                <w:webHidden/>
              </w:rPr>
              <w:tab/>
            </w:r>
            <w:r w:rsidR="005D444E">
              <w:rPr>
                <w:webHidden/>
              </w:rPr>
              <w:fldChar w:fldCharType="begin"/>
            </w:r>
            <w:r w:rsidR="005D444E">
              <w:rPr>
                <w:webHidden/>
              </w:rPr>
              <w:instrText xml:space="preserve"> PAGEREF _Toc91071074 \h </w:instrText>
            </w:r>
            <w:r w:rsidR="005D444E">
              <w:rPr>
                <w:webHidden/>
              </w:rPr>
            </w:r>
            <w:r w:rsidR="005D444E">
              <w:rPr>
                <w:webHidden/>
              </w:rPr>
              <w:fldChar w:fldCharType="separate"/>
            </w:r>
            <w:r w:rsidR="002B1FD6">
              <w:rPr>
                <w:webHidden/>
              </w:rPr>
              <w:t>19</w:t>
            </w:r>
            <w:r w:rsidR="005D444E">
              <w:rPr>
                <w:webHidden/>
              </w:rPr>
              <w:fldChar w:fldCharType="end"/>
            </w:r>
          </w:hyperlink>
        </w:p>
        <w:p w:rsidR="005D444E" w:rsidRDefault="003E501A" w14:paraId="257E5D48" w14:textId="76B541BB">
          <w:pPr>
            <w:pStyle w:val="TOC2"/>
            <w:rPr>
              <w:rFonts w:eastAsiaTheme="minorEastAsia" w:cstheme="minorBidi"/>
              <w:spacing w:val="0"/>
              <w:kern w:val="0"/>
              <w:sz w:val="22"/>
              <w:szCs w:val="22"/>
              <w14:ligatures w14:val="none"/>
            </w:rPr>
          </w:pPr>
          <w:hyperlink w:history="1" w:anchor="_Toc91071075">
            <w:r w:rsidRPr="00E87061" w:rsidR="005D444E">
              <w:rPr>
                <w:rStyle w:val="Hyperlink"/>
              </w:rPr>
              <w:t>Legislative Update</w:t>
            </w:r>
            <w:r w:rsidR="005D444E">
              <w:rPr>
                <w:webHidden/>
              </w:rPr>
              <w:tab/>
            </w:r>
            <w:r w:rsidR="005D444E">
              <w:rPr>
                <w:webHidden/>
              </w:rPr>
              <w:fldChar w:fldCharType="begin"/>
            </w:r>
            <w:r w:rsidR="005D444E">
              <w:rPr>
                <w:webHidden/>
              </w:rPr>
              <w:instrText xml:space="preserve"> PAGEREF _Toc91071075 \h </w:instrText>
            </w:r>
            <w:r w:rsidR="005D444E">
              <w:rPr>
                <w:webHidden/>
              </w:rPr>
            </w:r>
            <w:r w:rsidR="005D444E">
              <w:rPr>
                <w:webHidden/>
              </w:rPr>
              <w:fldChar w:fldCharType="separate"/>
            </w:r>
            <w:r w:rsidR="002B1FD6">
              <w:rPr>
                <w:webHidden/>
              </w:rPr>
              <w:t>19</w:t>
            </w:r>
            <w:r w:rsidR="005D444E">
              <w:rPr>
                <w:webHidden/>
              </w:rPr>
              <w:fldChar w:fldCharType="end"/>
            </w:r>
          </w:hyperlink>
        </w:p>
        <w:p w:rsidR="005D444E" w:rsidRDefault="003E501A" w14:paraId="7BCD4774" w14:textId="13FC4989">
          <w:pPr>
            <w:pStyle w:val="TOC3"/>
            <w:rPr>
              <w:rFonts w:eastAsiaTheme="minorEastAsia" w:cstheme="minorBidi"/>
              <w:spacing w:val="0"/>
              <w:kern w:val="0"/>
              <w:sz w:val="22"/>
              <w:szCs w:val="22"/>
              <w14:ligatures w14:val="none"/>
            </w:rPr>
          </w:pPr>
          <w:hyperlink w:history="1" w:anchor="_Toc91071076">
            <w:r w:rsidRPr="00E87061" w:rsidR="005D444E">
              <w:rPr>
                <w:rStyle w:val="Hyperlink"/>
              </w:rPr>
              <w:t>Should the Commission recommend that the Legislature revisit the Public Water System Investment and Consolidation Act of 1997 and clarify the legislative intent?</w:t>
            </w:r>
            <w:r w:rsidR="005D444E">
              <w:rPr>
                <w:webHidden/>
              </w:rPr>
              <w:tab/>
            </w:r>
            <w:r w:rsidR="005D444E">
              <w:rPr>
                <w:webHidden/>
              </w:rPr>
              <w:fldChar w:fldCharType="begin"/>
            </w:r>
            <w:r w:rsidR="005D444E">
              <w:rPr>
                <w:webHidden/>
              </w:rPr>
              <w:instrText xml:space="preserve"> PAGEREF _Toc91071076 \h </w:instrText>
            </w:r>
            <w:r w:rsidR="005D444E">
              <w:rPr>
                <w:webHidden/>
              </w:rPr>
            </w:r>
            <w:r w:rsidR="005D444E">
              <w:rPr>
                <w:webHidden/>
              </w:rPr>
              <w:fldChar w:fldCharType="separate"/>
            </w:r>
            <w:r w:rsidR="002B1FD6">
              <w:rPr>
                <w:webHidden/>
              </w:rPr>
              <w:t>19</w:t>
            </w:r>
            <w:r w:rsidR="005D444E">
              <w:rPr>
                <w:webHidden/>
              </w:rPr>
              <w:fldChar w:fldCharType="end"/>
            </w:r>
          </w:hyperlink>
        </w:p>
        <w:p w:rsidR="005D444E" w:rsidRDefault="003E501A" w14:paraId="0D3B251B" w14:textId="4E4129EE">
          <w:pPr>
            <w:pStyle w:val="TOC1"/>
            <w:rPr>
              <w:rFonts w:asciiTheme="minorHAnsi" w:hAnsiTheme="minorHAnsi" w:eastAsiaTheme="minorEastAsia" w:cstheme="minorBidi"/>
              <w:caps w:val="0"/>
              <w:color w:val="auto"/>
              <w:spacing w:val="0"/>
              <w:kern w:val="0"/>
              <w:sz w:val="22"/>
              <w:szCs w:val="22"/>
              <w14:ligatures w14:val="none"/>
            </w:rPr>
          </w:pPr>
          <w:hyperlink w:history="1" w:anchor="_Toc91071077">
            <w:r w:rsidRPr="00E87061" w:rsidR="005D444E">
              <w:rPr>
                <w:rStyle w:val="Hyperlink"/>
              </w:rPr>
              <w:t>Conclusion</w:t>
            </w:r>
            <w:r w:rsidR="005D444E">
              <w:rPr>
                <w:webHidden/>
              </w:rPr>
              <w:tab/>
            </w:r>
            <w:r w:rsidR="005D444E">
              <w:rPr>
                <w:webHidden/>
              </w:rPr>
              <w:fldChar w:fldCharType="begin"/>
            </w:r>
            <w:r w:rsidR="005D444E">
              <w:rPr>
                <w:webHidden/>
              </w:rPr>
              <w:instrText xml:space="preserve"> PAGEREF _Toc91071077 \h </w:instrText>
            </w:r>
            <w:r w:rsidR="005D444E">
              <w:rPr>
                <w:webHidden/>
              </w:rPr>
            </w:r>
            <w:r w:rsidR="005D444E">
              <w:rPr>
                <w:webHidden/>
              </w:rPr>
              <w:fldChar w:fldCharType="separate"/>
            </w:r>
            <w:r w:rsidR="002B1FD6">
              <w:rPr>
                <w:webHidden/>
              </w:rPr>
              <w:t>20</w:t>
            </w:r>
            <w:r w:rsidR="005D444E">
              <w:rPr>
                <w:webHidden/>
              </w:rPr>
              <w:fldChar w:fldCharType="end"/>
            </w:r>
          </w:hyperlink>
        </w:p>
        <w:p w:rsidR="005D444E" w:rsidRDefault="003E501A" w14:paraId="310B28F1" w14:textId="53625946">
          <w:pPr>
            <w:pStyle w:val="TOC1"/>
            <w:rPr>
              <w:rFonts w:asciiTheme="minorHAnsi" w:hAnsiTheme="minorHAnsi" w:eastAsiaTheme="minorEastAsia" w:cstheme="minorBidi"/>
              <w:caps w:val="0"/>
              <w:color w:val="auto"/>
              <w:spacing w:val="0"/>
              <w:kern w:val="0"/>
              <w:sz w:val="22"/>
              <w:szCs w:val="22"/>
              <w14:ligatures w14:val="none"/>
            </w:rPr>
          </w:pPr>
          <w:hyperlink w:history="1" w:anchor="_Toc91071078">
            <w:r w:rsidRPr="00E87061" w:rsidR="005D444E">
              <w:rPr>
                <w:rStyle w:val="Hyperlink"/>
              </w:rPr>
              <w:t>Appendices</w:t>
            </w:r>
            <w:r w:rsidR="005D444E">
              <w:rPr>
                <w:webHidden/>
              </w:rPr>
              <w:tab/>
            </w:r>
            <w:r w:rsidR="005D444E">
              <w:rPr>
                <w:webHidden/>
              </w:rPr>
              <w:fldChar w:fldCharType="begin"/>
            </w:r>
            <w:r w:rsidR="005D444E">
              <w:rPr>
                <w:webHidden/>
              </w:rPr>
              <w:instrText xml:space="preserve"> PAGEREF _Toc91071078 \h </w:instrText>
            </w:r>
            <w:r w:rsidR="005D444E">
              <w:rPr>
                <w:webHidden/>
              </w:rPr>
            </w:r>
            <w:r w:rsidR="005D444E">
              <w:rPr>
                <w:webHidden/>
              </w:rPr>
              <w:fldChar w:fldCharType="separate"/>
            </w:r>
            <w:r w:rsidR="002B1FD6">
              <w:rPr>
                <w:webHidden/>
              </w:rPr>
              <w:t>21</w:t>
            </w:r>
            <w:r w:rsidR="005D444E">
              <w:rPr>
                <w:webHidden/>
              </w:rPr>
              <w:fldChar w:fldCharType="end"/>
            </w:r>
          </w:hyperlink>
        </w:p>
        <w:p w:rsidR="005D444E" w:rsidRDefault="003E501A" w14:paraId="142E7EDE" w14:textId="63A24DA9">
          <w:pPr>
            <w:pStyle w:val="TOC2"/>
            <w:rPr>
              <w:rFonts w:eastAsiaTheme="minorEastAsia" w:cstheme="minorBidi"/>
              <w:spacing w:val="0"/>
              <w:kern w:val="0"/>
              <w:sz w:val="22"/>
              <w:szCs w:val="22"/>
              <w14:ligatures w14:val="none"/>
            </w:rPr>
          </w:pPr>
          <w:hyperlink w:history="1" w:anchor="_Toc91071079">
            <w:r w:rsidRPr="00E87061" w:rsidR="005D444E">
              <w:rPr>
                <w:rStyle w:val="Hyperlink"/>
              </w:rPr>
              <w:t>Appendix A – D.99-10-064, Settlement Agreement</w:t>
            </w:r>
            <w:r w:rsidR="005D444E">
              <w:rPr>
                <w:webHidden/>
              </w:rPr>
              <w:tab/>
            </w:r>
            <w:r w:rsidR="005D444E">
              <w:rPr>
                <w:webHidden/>
              </w:rPr>
              <w:fldChar w:fldCharType="begin"/>
            </w:r>
            <w:r w:rsidR="005D444E">
              <w:rPr>
                <w:webHidden/>
              </w:rPr>
              <w:instrText xml:space="preserve"> PAGEREF _Toc91071079 \h </w:instrText>
            </w:r>
            <w:r w:rsidR="005D444E">
              <w:rPr>
                <w:webHidden/>
              </w:rPr>
            </w:r>
            <w:r w:rsidR="005D444E">
              <w:rPr>
                <w:webHidden/>
              </w:rPr>
              <w:fldChar w:fldCharType="separate"/>
            </w:r>
            <w:r w:rsidR="002B1FD6">
              <w:rPr>
                <w:webHidden/>
              </w:rPr>
              <w:t>21</w:t>
            </w:r>
            <w:r w:rsidR="005D444E">
              <w:rPr>
                <w:webHidden/>
              </w:rPr>
              <w:fldChar w:fldCharType="end"/>
            </w:r>
          </w:hyperlink>
        </w:p>
        <w:p w:rsidR="005D444E" w:rsidRDefault="003E501A" w14:paraId="56C5D1E7" w14:textId="2539C2D4">
          <w:pPr>
            <w:pStyle w:val="TOC2"/>
            <w:rPr>
              <w:rFonts w:eastAsiaTheme="minorEastAsia" w:cstheme="minorBidi"/>
              <w:spacing w:val="0"/>
              <w:kern w:val="0"/>
              <w:sz w:val="22"/>
              <w:szCs w:val="22"/>
              <w14:ligatures w14:val="none"/>
            </w:rPr>
          </w:pPr>
          <w:hyperlink w:history="1" w:anchor="_Toc91071080">
            <w:r w:rsidRPr="00E87061" w:rsidR="005D444E">
              <w:rPr>
                <w:rStyle w:val="Hyperlink"/>
              </w:rPr>
              <w:t>Appendix B – Referenced Statutes and Code Sections</w:t>
            </w:r>
            <w:r w:rsidR="005D444E">
              <w:rPr>
                <w:webHidden/>
              </w:rPr>
              <w:tab/>
            </w:r>
            <w:r w:rsidR="005D444E">
              <w:rPr>
                <w:webHidden/>
              </w:rPr>
              <w:fldChar w:fldCharType="begin"/>
            </w:r>
            <w:r w:rsidR="005D444E">
              <w:rPr>
                <w:webHidden/>
              </w:rPr>
              <w:instrText xml:space="preserve"> PAGEREF _Toc91071080 \h </w:instrText>
            </w:r>
            <w:r w:rsidR="005D444E">
              <w:rPr>
                <w:webHidden/>
              </w:rPr>
            </w:r>
            <w:r w:rsidR="005D444E">
              <w:rPr>
                <w:webHidden/>
              </w:rPr>
              <w:fldChar w:fldCharType="separate"/>
            </w:r>
            <w:r w:rsidR="002B1FD6">
              <w:rPr>
                <w:webHidden/>
              </w:rPr>
              <w:t>41</w:t>
            </w:r>
            <w:r w:rsidR="005D444E">
              <w:rPr>
                <w:webHidden/>
              </w:rPr>
              <w:fldChar w:fldCharType="end"/>
            </w:r>
          </w:hyperlink>
        </w:p>
        <w:p w:rsidR="005D444E" w:rsidRDefault="003E501A" w14:paraId="7E128127" w14:textId="359B648B">
          <w:pPr>
            <w:pStyle w:val="TOC2"/>
            <w:rPr>
              <w:rFonts w:eastAsiaTheme="minorEastAsia" w:cstheme="minorBidi"/>
              <w:spacing w:val="0"/>
              <w:kern w:val="0"/>
              <w:sz w:val="22"/>
              <w:szCs w:val="22"/>
              <w14:ligatures w14:val="none"/>
            </w:rPr>
          </w:pPr>
          <w:hyperlink w:history="1" w:anchor="_Toc91071081">
            <w:r w:rsidRPr="00E87061" w:rsidR="005D444E">
              <w:rPr>
                <w:rStyle w:val="Hyperlink"/>
              </w:rPr>
              <w:t>Appendix C – Commission-Regulated Systems on the Human Right to Water List</w:t>
            </w:r>
            <w:r w:rsidR="005D444E">
              <w:rPr>
                <w:webHidden/>
              </w:rPr>
              <w:tab/>
            </w:r>
            <w:r w:rsidR="005D444E">
              <w:rPr>
                <w:webHidden/>
              </w:rPr>
              <w:fldChar w:fldCharType="begin"/>
            </w:r>
            <w:r w:rsidR="005D444E">
              <w:rPr>
                <w:webHidden/>
              </w:rPr>
              <w:instrText xml:space="preserve"> PAGEREF _Toc91071081 \h </w:instrText>
            </w:r>
            <w:r w:rsidR="005D444E">
              <w:rPr>
                <w:webHidden/>
              </w:rPr>
            </w:r>
            <w:r w:rsidR="005D444E">
              <w:rPr>
                <w:webHidden/>
              </w:rPr>
              <w:fldChar w:fldCharType="separate"/>
            </w:r>
            <w:r w:rsidR="002B1FD6">
              <w:rPr>
                <w:webHidden/>
              </w:rPr>
              <w:t>52</w:t>
            </w:r>
            <w:r w:rsidR="005D444E">
              <w:rPr>
                <w:webHidden/>
              </w:rPr>
              <w:fldChar w:fldCharType="end"/>
            </w:r>
          </w:hyperlink>
        </w:p>
        <w:p w:rsidR="005D444E" w:rsidRDefault="003E501A" w14:paraId="26F1A723" w14:textId="60674147">
          <w:pPr>
            <w:pStyle w:val="TOC2"/>
            <w:rPr>
              <w:rFonts w:eastAsiaTheme="minorEastAsia" w:cstheme="minorBidi"/>
              <w:spacing w:val="0"/>
              <w:kern w:val="0"/>
              <w:sz w:val="22"/>
              <w:szCs w:val="22"/>
              <w14:ligatures w14:val="none"/>
            </w:rPr>
          </w:pPr>
          <w:hyperlink w:history="1" w:anchor="_Toc91071082">
            <w:r w:rsidRPr="00E87061" w:rsidR="005D444E">
              <w:rPr>
                <w:rStyle w:val="Hyperlink"/>
              </w:rPr>
              <w:t>Appendix D – List of Acquisitions involving Commission-Regulated Systems between 2007 and 2021</w:t>
            </w:r>
            <w:r w:rsidR="005D444E">
              <w:rPr>
                <w:webHidden/>
              </w:rPr>
              <w:tab/>
            </w:r>
            <w:r w:rsidR="005D444E">
              <w:rPr>
                <w:webHidden/>
              </w:rPr>
              <w:fldChar w:fldCharType="begin"/>
            </w:r>
            <w:r w:rsidR="005D444E">
              <w:rPr>
                <w:webHidden/>
              </w:rPr>
              <w:instrText xml:space="preserve"> PAGEREF _Toc91071082 \h </w:instrText>
            </w:r>
            <w:r w:rsidR="005D444E">
              <w:rPr>
                <w:webHidden/>
              </w:rPr>
            </w:r>
            <w:r w:rsidR="005D444E">
              <w:rPr>
                <w:webHidden/>
              </w:rPr>
              <w:fldChar w:fldCharType="separate"/>
            </w:r>
            <w:r w:rsidR="002B1FD6">
              <w:rPr>
                <w:webHidden/>
              </w:rPr>
              <w:t>53</w:t>
            </w:r>
            <w:r w:rsidR="005D444E">
              <w:rPr>
                <w:webHidden/>
              </w:rPr>
              <w:fldChar w:fldCharType="end"/>
            </w:r>
          </w:hyperlink>
        </w:p>
        <w:p w:rsidRPr="001B6FA9" w:rsidR="00BD1965" w:rsidP="001B6FA9" w:rsidRDefault="00BD1965" w14:paraId="44DA9170" w14:textId="0B324505">
          <w:pPr>
            <w:pStyle w:val="TOC1"/>
            <w:rPr>
              <w:rFonts w:asciiTheme="minorHAnsi" w:hAnsiTheme="minorHAnsi" w:eastAsiaTheme="minorEastAsia" w:cstheme="minorBidi"/>
              <w:caps w:val="0"/>
              <w:color w:val="auto"/>
              <w:spacing w:val="0"/>
              <w:kern w:val="0"/>
              <w:sz w:val="22"/>
              <w:szCs w:val="22"/>
              <w14:ligatures w14:val="none"/>
            </w:rPr>
          </w:pPr>
          <w:r>
            <w:rPr>
              <w:b/>
              <w:bCs/>
            </w:rPr>
            <w:fldChar w:fldCharType="end"/>
          </w:r>
        </w:p>
      </w:sdtContent>
    </w:sdt>
    <w:p w:rsidR="00BD1965" w:rsidP="00BD1965" w:rsidRDefault="00BD1965" w14:paraId="100A4471" w14:textId="77777777">
      <w:pPr>
        <w:pStyle w:val="Title"/>
      </w:pPr>
    </w:p>
    <w:p w:rsidR="00BD1965" w:rsidP="00674E72" w:rsidRDefault="00DF1D35" w14:paraId="74F052DA" w14:textId="2DBC41BC">
      <w:pPr>
        <w:pStyle w:val="TOCHeading"/>
      </w:pPr>
      <w:r>
        <w:lastRenderedPageBreak/>
        <w:t>Figures and Tables</w:t>
      </w:r>
    </w:p>
    <w:p w:rsidR="00956D66" w:rsidRDefault="00446E62" w14:paraId="71390557" w14:textId="5ACEA2F9">
      <w:pPr>
        <w:pStyle w:val="TableofFigures"/>
        <w:rPr>
          <w:rFonts w:eastAsiaTheme="minorEastAsia" w:cstheme="minorBidi"/>
          <w:noProof/>
          <w:spacing w:val="0"/>
          <w:kern w:val="0"/>
          <w:sz w:val="22"/>
          <w:szCs w:val="22"/>
          <w14:ligatures w14:val="none"/>
        </w:rPr>
      </w:pPr>
      <w:r>
        <w:fldChar w:fldCharType="begin"/>
      </w:r>
      <w:r>
        <w:instrText xml:space="preserve"> </w:instrText>
      </w:r>
      <w:r>
        <w:rPr>
          <w:rFonts w:hint="eastAsia"/>
        </w:rPr>
        <w:instrText>TOC \h \z \c "Figure"</w:instrText>
      </w:r>
      <w:r>
        <w:instrText xml:space="preserve"> </w:instrText>
      </w:r>
      <w:r>
        <w:fldChar w:fldCharType="separate"/>
      </w:r>
      <w:hyperlink w:history="1" w:anchor="_Toc90911211">
        <w:r w:rsidRPr="00601540" w:rsidR="00956D66">
          <w:rPr>
            <w:rStyle w:val="Hyperlink"/>
            <w:noProof/>
          </w:rPr>
          <w:t>Figure 1: Average Purchase Price per Connection of Acquisitions, 2007-2021</w:t>
        </w:r>
        <w:r w:rsidR="00956D66">
          <w:rPr>
            <w:noProof/>
            <w:webHidden/>
          </w:rPr>
          <w:tab/>
        </w:r>
        <w:r w:rsidR="00956D66">
          <w:rPr>
            <w:noProof/>
            <w:webHidden/>
          </w:rPr>
          <w:fldChar w:fldCharType="begin"/>
        </w:r>
        <w:r w:rsidR="00956D66">
          <w:rPr>
            <w:noProof/>
            <w:webHidden/>
          </w:rPr>
          <w:instrText xml:space="preserve"> PAGEREF _Toc90911211 \h </w:instrText>
        </w:r>
        <w:r w:rsidR="00956D66">
          <w:rPr>
            <w:noProof/>
            <w:webHidden/>
          </w:rPr>
        </w:r>
        <w:r w:rsidR="00956D66">
          <w:rPr>
            <w:noProof/>
            <w:webHidden/>
          </w:rPr>
          <w:fldChar w:fldCharType="separate"/>
        </w:r>
        <w:r w:rsidR="002B1FD6">
          <w:rPr>
            <w:noProof/>
            <w:webHidden/>
          </w:rPr>
          <w:t>14</w:t>
        </w:r>
        <w:r w:rsidR="00956D66">
          <w:rPr>
            <w:noProof/>
            <w:webHidden/>
          </w:rPr>
          <w:fldChar w:fldCharType="end"/>
        </w:r>
      </w:hyperlink>
    </w:p>
    <w:p w:rsidR="00956D66" w:rsidRDefault="003E501A" w14:paraId="338ED258" w14:textId="2647EA94">
      <w:pPr>
        <w:pStyle w:val="TableofFigures"/>
        <w:rPr>
          <w:rFonts w:eastAsiaTheme="minorEastAsia" w:cstheme="minorBidi"/>
          <w:noProof/>
          <w:spacing w:val="0"/>
          <w:kern w:val="0"/>
          <w:sz w:val="22"/>
          <w:szCs w:val="22"/>
          <w14:ligatures w14:val="none"/>
        </w:rPr>
      </w:pPr>
      <w:hyperlink w:history="1" w:anchor="_Toc90911212">
        <w:r w:rsidRPr="00601540" w:rsidR="00956D66">
          <w:rPr>
            <w:rStyle w:val="Hyperlink"/>
            <w:noProof/>
          </w:rPr>
          <w:t>Figure 2: Standards Applied in Decisions on Acquisitions, 2007-2021</w:t>
        </w:r>
        <w:r w:rsidR="00956D66">
          <w:rPr>
            <w:noProof/>
            <w:webHidden/>
          </w:rPr>
          <w:tab/>
        </w:r>
        <w:r w:rsidR="00956D66">
          <w:rPr>
            <w:noProof/>
            <w:webHidden/>
          </w:rPr>
          <w:fldChar w:fldCharType="begin"/>
        </w:r>
        <w:r w:rsidR="00956D66">
          <w:rPr>
            <w:noProof/>
            <w:webHidden/>
          </w:rPr>
          <w:instrText xml:space="preserve"> PAGEREF _Toc90911212 \h </w:instrText>
        </w:r>
        <w:r w:rsidR="00956D66">
          <w:rPr>
            <w:noProof/>
            <w:webHidden/>
          </w:rPr>
        </w:r>
        <w:r w:rsidR="00956D66">
          <w:rPr>
            <w:noProof/>
            <w:webHidden/>
          </w:rPr>
          <w:fldChar w:fldCharType="separate"/>
        </w:r>
        <w:r w:rsidR="002B1FD6">
          <w:rPr>
            <w:noProof/>
            <w:webHidden/>
          </w:rPr>
          <w:t>2</w:t>
        </w:r>
        <w:r w:rsidR="00956D66">
          <w:rPr>
            <w:noProof/>
            <w:webHidden/>
          </w:rPr>
          <w:fldChar w:fldCharType="end"/>
        </w:r>
      </w:hyperlink>
    </w:p>
    <w:p w:rsidR="00956D66" w:rsidRDefault="003E501A" w14:paraId="092837A3" w14:textId="60BC8F0E">
      <w:pPr>
        <w:pStyle w:val="TableofFigures"/>
        <w:rPr>
          <w:rFonts w:eastAsiaTheme="minorEastAsia" w:cstheme="minorBidi"/>
          <w:noProof/>
          <w:spacing w:val="0"/>
          <w:kern w:val="0"/>
          <w:sz w:val="22"/>
          <w:szCs w:val="22"/>
          <w14:ligatures w14:val="none"/>
        </w:rPr>
      </w:pPr>
      <w:hyperlink w:history="1" w:anchor="_Toc90911213">
        <w:r w:rsidRPr="00601540" w:rsidR="00956D66">
          <w:rPr>
            <w:rStyle w:val="Hyperlink"/>
            <w:noProof/>
          </w:rPr>
          <w:t>Figure 3: Deferred Rate Increases</w:t>
        </w:r>
        <w:r w:rsidR="00956D66">
          <w:rPr>
            <w:noProof/>
            <w:webHidden/>
          </w:rPr>
          <w:tab/>
        </w:r>
        <w:r w:rsidR="00956D66">
          <w:rPr>
            <w:noProof/>
            <w:webHidden/>
          </w:rPr>
          <w:fldChar w:fldCharType="begin"/>
        </w:r>
        <w:r w:rsidR="00956D66">
          <w:rPr>
            <w:noProof/>
            <w:webHidden/>
          </w:rPr>
          <w:instrText xml:space="preserve"> PAGEREF _Toc90911213 \h </w:instrText>
        </w:r>
        <w:r w:rsidR="00956D66">
          <w:rPr>
            <w:noProof/>
            <w:webHidden/>
          </w:rPr>
        </w:r>
        <w:r w:rsidR="00956D66">
          <w:rPr>
            <w:noProof/>
            <w:webHidden/>
          </w:rPr>
          <w:fldChar w:fldCharType="separate"/>
        </w:r>
        <w:r w:rsidR="002B1FD6">
          <w:rPr>
            <w:noProof/>
            <w:webHidden/>
          </w:rPr>
          <w:t>6</w:t>
        </w:r>
        <w:r w:rsidR="00956D66">
          <w:rPr>
            <w:noProof/>
            <w:webHidden/>
          </w:rPr>
          <w:fldChar w:fldCharType="end"/>
        </w:r>
      </w:hyperlink>
    </w:p>
    <w:p w:rsidR="00956D66" w:rsidRDefault="003E501A" w14:paraId="66EB2E7F" w14:textId="0554224E">
      <w:pPr>
        <w:pStyle w:val="TableofFigures"/>
        <w:rPr>
          <w:rFonts w:eastAsiaTheme="minorEastAsia" w:cstheme="minorBidi"/>
          <w:noProof/>
          <w:spacing w:val="0"/>
          <w:kern w:val="0"/>
          <w:sz w:val="22"/>
          <w:szCs w:val="22"/>
          <w14:ligatures w14:val="none"/>
        </w:rPr>
      </w:pPr>
      <w:hyperlink w:history="1" w:anchor="_Toc90911214">
        <w:r w:rsidRPr="00601540" w:rsidR="00956D66">
          <w:rPr>
            <w:rStyle w:val="Hyperlink"/>
            <w:noProof/>
          </w:rPr>
          <w:t>Figure 4: Roadmap of the Existing Framework</w:t>
        </w:r>
        <w:r w:rsidR="00956D66">
          <w:rPr>
            <w:noProof/>
            <w:webHidden/>
          </w:rPr>
          <w:tab/>
        </w:r>
        <w:r w:rsidR="00956D66">
          <w:rPr>
            <w:noProof/>
            <w:webHidden/>
          </w:rPr>
          <w:fldChar w:fldCharType="begin"/>
        </w:r>
        <w:r w:rsidR="00956D66">
          <w:rPr>
            <w:noProof/>
            <w:webHidden/>
          </w:rPr>
          <w:instrText xml:space="preserve"> PAGEREF _Toc90911214 \h </w:instrText>
        </w:r>
        <w:r w:rsidR="00956D66">
          <w:rPr>
            <w:noProof/>
            <w:webHidden/>
          </w:rPr>
        </w:r>
        <w:r w:rsidR="00956D66">
          <w:rPr>
            <w:noProof/>
            <w:webHidden/>
          </w:rPr>
          <w:fldChar w:fldCharType="separate"/>
        </w:r>
        <w:r w:rsidR="002B1FD6">
          <w:rPr>
            <w:noProof/>
            <w:webHidden/>
          </w:rPr>
          <w:t>13</w:t>
        </w:r>
        <w:r w:rsidR="00956D66">
          <w:rPr>
            <w:noProof/>
            <w:webHidden/>
          </w:rPr>
          <w:fldChar w:fldCharType="end"/>
        </w:r>
      </w:hyperlink>
    </w:p>
    <w:p w:rsidR="00956D66" w:rsidRDefault="003E501A" w14:paraId="6763A682" w14:textId="3A223A69">
      <w:pPr>
        <w:pStyle w:val="TableofFigures"/>
        <w:rPr>
          <w:rFonts w:eastAsiaTheme="minorEastAsia" w:cstheme="minorBidi"/>
          <w:noProof/>
          <w:spacing w:val="0"/>
          <w:kern w:val="0"/>
          <w:sz w:val="22"/>
          <w:szCs w:val="22"/>
          <w14:ligatures w14:val="none"/>
        </w:rPr>
      </w:pPr>
      <w:hyperlink w:history="1" w:anchor="_Toc90911215">
        <w:r w:rsidRPr="00601540" w:rsidR="00956D66">
          <w:rPr>
            <w:rStyle w:val="Hyperlink"/>
            <w:noProof/>
          </w:rPr>
          <w:t>Figure 5: Example Roadmap for Acquisitions</w:t>
        </w:r>
        <w:r w:rsidR="00956D66">
          <w:rPr>
            <w:noProof/>
            <w:webHidden/>
          </w:rPr>
          <w:tab/>
        </w:r>
        <w:r w:rsidR="00956D66">
          <w:rPr>
            <w:noProof/>
            <w:webHidden/>
          </w:rPr>
          <w:fldChar w:fldCharType="begin"/>
        </w:r>
        <w:r w:rsidR="00956D66">
          <w:rPr>
            <w:noProof/>
            <w:webHidden/>
          </w:rPr>
          <w:instrText xml:space="preserve"> PAGEREF _Toc90911215 \h </w:instrText>
        </w:r>
        <w:r w:rsidR="00956D66">
          <w:rPr>
            <w:noProof/>
            <w:webHidden/>
          </w:rPr>
        </w:r>
        <w:r w:rsidR="00956D66">
          <w:rPr>
            <w:noProof/>
            <w:webHidden/>
          </w:rPr>
          <w:fldChar w:fldCharType="separate"/>
        </w:r>
        <w:r w:rsidR="002B1FD6">
          <w:rPr>
            <w:noProof/>
            <w:webHidden/>
          </w:rPr>
          <w:t>18</w:t>
        </w:r>
        <w:r w:rsidR="00956D66">
          <w:rPr>
            <w:noProof/>
            <w:webHidden/>
          </w:rPr>
          <w:fldChar w:fldCharType="end"/>
        </w:r>
      </w:hyperlink>
    </w:p>
    <w:p w:rsidR="00446E62" w:rsidP="00446E62" w:rsidRDefault="00446E62" w14:paraId="2A3284CB" w14:textId="74F7CA66">
      <w:r>
        <w:fldChar w:fldCharType="end"/>
      </w:r>
    </w:p>
    <w:p w:rsidR="00AE4099" w:rsidRDefault="00446E62" w14:paraId="244FDEF2" w14:textId="60EE9108">
      <w:pPr>
        <w:pStyle w:val="TableofFigures"/>
        <w:rPr>
          <w:rFonts w:eastAsiaTheme="minorEastAsia" w:cstheme="minorBidi"/>
          <w:noProof/>
          <w:spacing w:val="0"/>
          <w:kern w:val="0"/>
          <w:sz w:val="22"/>
          <w:szCs w:val="22"/>
          <w14:ligatures w14:val="none"/>
        </w:rPr>
      </w:pPr>
      <w:r>
        <w:fldChar w:fldCharType="begin"/>
      </w:r>
      <w:r>
        <w:instrText xml:space="preserve"> </w:instrText>
      </w:r>
      <w:r>
        <w:rPr>
          <w:rFonts w:hint="eastAsia"/>
        </w:rPr>
        <w:instrText>TOC \h \z \c "Table"</w:instrText>
      </w:r>
      <w:r>
        <w:instrText xml:space="preserve"> </w:instrText>
      </w:r>
      <w:r>
        <w:fldChar w:fldCharType="separate"/>
      </w:r>
      <w:hyperlink w:history="1" w:anchor="_Toc90623358">
        <w:r w:rsidRPr="005C219F" w:rsidR="00AE4099">
          <w:rPr>
            <w:rStyle w:val="Hyperlink"/>
            <w:noProof/>
          </w:rPr>
          <w:t xml:space="preserve">Table </w:t>
        </w:r>
        <w:r w:rsidR="00956D66">
          <w:rPr>
            <w:rStyle w:val="Hyperlink"/>
            <w:noProof/>
          </w:rPr>
          <w:t>1</w:t>
        </w:r>
        <w:r w:rsidRPr="005C219F" w:rsidR="00AE4099">
          <w:rPr>
            <w:rStyle w:val="Hyperlink"/>
            <w:noProof/>
          </w:rPr>
          <w:t>: Proposals received by the City of Bellflower</w:t>
        </w:r>
        <w:r w:rsidR="00AE4099">
          <w:rPr>
            <w:noProof/>
            <w:webHidden/>
          </w:rPr>
          <w:tab/>
        </w:r>
        <w:r w:rsidR="00AE4099">
          <w:rPr>
            <w:noProof/>
            <w:webHidden/>
          </w:rPr>
          <w:fldChar w:fldCharType="begin"/>
        </w:r>
        <w:r w:rsidR="00AE4099">
          <w:rPr>
            <w:noProof/>
            <w:webHidden/>
          </w:rPr>
          <w:instrText xml:space="preserve"> PAGEREF _Toc90623358 \h </w:instrText>
        </w:r>
        <w:r w:rsidR="00AE4099">
          <w:rPr>
            <w:noProof/>
            <w:webHidden/>
          </w:rPr>
        </w:r>
        <w:r w:rsidR="00AE4099">
          <w:rPr>
            <w:noProof/>
            <w:webHidden/>
          </w:rPr>
          <w:fldChar w:fldCharType="separate"/>
        </w:r>
        <w:r w:rsidR="002B1FD6">
          <w:rPr>
            <w:noProof/>
            <w:webHidden/>
          </w:rPr>
          <w:t>15</w:t>
        </w:r>
        <w:r w:rsidR="00AE4099">
          <w:rPr>
            <w:noProof/>
            <w:webHidden/>
          </w:rPr>
          <w:fldChar w:fldCharType="end"/>
        </w:r>
      </w:hyperlink>
    </w:p>
    <w:p w:rsidR="00AE4099" w:rsidRDefault="003E501A" w14:paraId="2728A5DC" w14:textId="7023A929">
      <w:pPr>
        <w:pStyle w:val="TableofFigures"/>
        <w:rPr>
          <w:rFonts w:eastAsiaTheme="minorEastAsia" w:cstheme="minorBidi"/>
          <w:noProof/>
          <w:spacing w:val="0"/>
          <w:kern w:val="0"/>
          <w:sz w:val="22"/>
          <w:szCs w:val="22"/>
          <w14:ligatures w14:val="none"/>
        </w:rPr>
      </w:pPr>
      <w:hyperlink w:history="1" w:anchor="_Toc90623359">
        <w:r w:rsidRPr="005C219F" w:rsidR="00AE4099">
          <w:rPr>
            <w:rStyle w:val="Hyperlink"/>
            <w:noProof/>
          </w:rPr>
          <w:t xml:space="preserve">Table </w:t>
        </w:r>
        <w:r w:rsidR="00956D66">
          <w:rPr>
            <w:rStyle w:val="Hyperlink"/>
            <w:noProof/>
          </w:rPr>
          <w:t>2</w:t>
        </w:r>
        <w:r w:rsidRPr="005C219F" w:rsidR="00AE4099">
          <w:rPr>
            <w:rStyle w:val="Hyperlink"/>
            <w:noProof/>
          </w:rPr>
          <w:t>: List of Potential Benefits from Acquisitions</w:t>
        </w:r>
        <w:r w:rsidR="00AE4099">
          <w:rPr>
            <w:noProof/>
            <w:webHidden/>
          </w:rPr>
          <w:tab/>
        </w:r>
        <w:r w:rsidR="00AE4099">
          <w:rPr>
            <w:noProof/>
            <w:webHidden/>
          </w:rPr>
          <w:fldChar w:fldCharType="begin"/>
        </w:r>
        <w:r w:rsidR="00AE4099">
          <w:rPr>
            <w:noProof/>
            <w:webHidden/>
          </w:rPr>
          <w:instrText xml:space="preserve"> PAGEREF _Toc90623359 \h </w:instrText>
        </w:r>
        <w:r w:rsidR="00AE4099">
          <w:rPr>
            <w:noProof/>
            <w:webHidden/>
          </w:rPr>
        </w:r>
        <w:r w:rsidR="00AE4099">
          <w:rPr>
            <w:noProof/>
            <w:webHidden/>
          </w:rPr>
          <w:fldChar w:fldCharType="separate"/>
        </w:r>
        <w:r w:rsidR="002B1FD6">
          <w:rPr>
            <w:noProof/>
            <w:webHidden/>
          </w:rPr>
          <w:t>5</w:t>
        </w:r>
        <w:r w:rsidR="00AE4099">
          <w:rPr>
            <w:noProof/>
            <w:webHidden/>
          </w:rPr>
          <w:fldChar w:fldCharType="end"/>
        </w:r>
      </w:hyperlink>
    </w:p>
    <w:p w:rsidRPr="00446E62" w:rsidR="00446E62" w:rsidP="00446E62" w:rsidRDefault="00446E62" w14:paraId="681E80EA" w14:textId="00AC234E">
      <w:r>
        <w:fldChar w:fldCharType="end"/>
      </w:r>
    </w:p>
    <w:p w:rsidR="005B2529" w:rsidP="001D2F5C" w:rsidRDefault="008F2A20" w14:paraId="69411927" w14:textId="7135D081">
      <w:pPr>
        <w:pStyle w:val="Heading1"/>
      </w:pPr>
      <w:bookmarkStart w:name="_Toc91071031" w:id="1"/>
      <w:r>
        <w:lastRenderedPageBreak/>
        <w:t>Executive Summary</w:t>
      </w:r>
      <w:bookmarkEnd w:id="1"/>
    </w:p>
    <w:sdt>
      <w:sdtPr>
        <w:alias w:val="insert text"/>
        <w:tag w:val="insert text"/>
        <w:id w:val="498161999"/>
        <w:placeholder>
          <w:docPart w:val="811D3DFD88B1406E846EDAC8F8C11DE7"/>
        </w:placeholder>
      </w:sdtPr>
      <w:sdtEndPr/>
      <w:sdtContent>
        <w:p w:rsidR="005079A5" w:rsidP="0031208C" w:rsidRDefault="005079A5" w14:paraId="0200E83C" w14:textId="299CD716">
          <w:r>
            <w:t xml:space="preserve">The California Public Utilities Commission (Commission) </w:t>
          </w:r>
          <w:r w:rsidR="009B0257">
            <w:t xml:space="preserve">is dedicated to ensuring </w:t>
          </w:r>
          <w:r w:rsidR="008F199C">
            <w:t>clean, safe, and reliable water service at reasonable rates</w:t>
          </w:r>
          <w:r w:rsidR="00F34C34">
            <w:t xml:space="preserve">.  The Commission </w:t>
          </w:r>
          <w:r w:rsidR="00786F7B">
            <w:t>currently regulates 91 investor-owned water utilities (Water IOUs)</w:t>
          </w:r>
          <w:r w:rsidR="002421DA">
            <w:t xml:space="preserve"> which serve roughly 15% of California</w:t>
          </w:r>
          <w:r w:rsidR="001472F6">
            <w:t>’s population</w:t>
          </w:r>
          <w:r w:rsidR="00852478">
            <w:t>.</w:t>
          </w:r>
        </w:p>
        <w:p w:rsidR="0031208C" w:rsidP="0031208C" w:rsidRDefault="007613BC" w14:paraId="64511167" w14:textId="5F01D240">
          <w:r>
            <w:t xml:space="preserve">For </w:t>
          </w:r>
          <w:r w:rsidR="0031208C">
            <w:t>the past two decades, the Commission’s guiding framework</w:t>
          </w:r>
          <w:r w:rsidR="00AA49D3">
            <w:rPr>
              <w:rStyle w:val="FootnoteReference"/>
            </w:rPr>
            <w:footnoteReference w:id="2"/>
          </w:r>
          <w:r w:rsidR="0031208C">
            <w:t xml:space="preserve"> regarding water utility acquisitions has primarily </w:t>
          </w:r>
          <w:r w:rsidR="00C36541">
            <w:t xml:space="preserve">sought </w:t>
          </w:r>
          <w:r w:rsidR="0031208C">
            <w:t xml:space="preserve">to achieve economies of scale by incentivizing the acquisition of smaller water systems by larger investor-owned utilities. This remains an important goal, and the Commission </w:t>
          </w:r>
          <w:r w:rsidR="00533C4F">
            <w:t xml:space="preserve">has </w:t>
          </w:r>
          <w:r w:rsidR="0031208C">
            <w:t xml:space="preserve">approved dozens of acquisitions under this framework. However, there are many questions that the existing framework leaves unanswered, and many acquisition proceedings remain contentious, especially on the issues of </w:t>
          </w:r>
          <w:r w:rsidR="00533C4F">
            <w:t xml:space="preserve">the </w:t>
          </w:r>
          <w:r w:rsidR="0031208C">
            <w:t>valuation of water systems and the effects of acquisitions on ratepayers</w:t>
          </w:r>
          <w:r w:rsidR="005F1B8B">
            <w:t>—</w:t>
          </w:r>
          <w:r w:rsidR="00AF32AA">
            <w:t>customers of both the acquiring system and the system being acquired</w:t>
          </w:r>
          <w:r w:rsidR="0031208C">
            <w:t xml:space="preserve">. </w:t>
          </w:r>
          <w:r w:rsidR="00D353F4">
            <w:t>Due in part to unanswered questions with the existing framework, some</w:t>
          </w:r>
          <w:r w:rsidR="0031208C">
            <w:t xml:space="preserve"> acquisition proceedings hav</w:t>
          </w:r>
          <w:r w:rsidR="00D353F4">
            <w:t>e</w:t>
          </w:r>
          <w:r w:rsidR="001A0752">
            <w:t xml:space="preserve"> </w:t>
          </w:r>
          <w:r w:rsidR="0031208C">
            <w:t>exceeded the timeline prescribed by the existing framework</w:t>
          </w:r>
          <w:r w:rsidR="005865BA">
            <w:t xml:space="preserve"> to arrive at a conclusion</w:t>
          </w:r>
          <w:r w:rsidR="0031208C">
            <w:t xml:space="preserve"> and </w:t>
          </w:r>
          <w:r w:rsidR="00533C4F">
            <w:t>have</w:t>
          </w:r>
          <w:r w:rsidR="0031208C">
            <w:t xml:space="preserve"> often put the Commission’s policy goals of affordability and ensuring safe, clean, and reliable water service at odds</w:t>
          </w:r>
          <w:r w:rsidR="00983604">
            <w:t xml:space="preserve"> as described in this paper</w:t>
          </w:r>
          <w:r w:rsidR="0031208C">
            <w:t xml:space="preserve">. </w:t>
          </w:r>
        </w:p>
        <w:p w:rsidR="0031208C" w:rsidP="0031208C" w:rsidRDefault="0031208C" w14:paraId="15159A3A" w14:textId="1C3722F2">
          <w:r>
            <w:t>Furthermore, developments since</w:t>
          </w:r>
          <w:r w:rsidR="00901819">
            <w:t xml:space="preserve"> the Legislature acted in</w:t>
          </w:r>
          <w:r>
            <w:t xml:space="preserve"> 199</w:t>
          </w:r>
          <w:r w:rsidR="00F40E19">
            <w:t>7</w:t>
          </w:r>
          <w:r w:rsidR="006F212A">
            <w:rPr>
              <w:rStyle w:val="FootnoteReference"/>
            </w:rPr>
            <w:footnoteReference w:id="3"/>
          </w:r>
          <w:r w:rsidR="009F3291">
            <w:t xml:space="preserve"> to incentivize </w:t>
          </w:r>
          <w:r w:rsidR="00266BA1">
            <w:t>acquisitions</w:t>
          </w:r>
          <w:r>
            <w:t xml:space="preserve"> have the potential to influence Commission policy regarding acquisitions in the </w:t>
          </w:r>
          <w:r w:rsidR="00D132B0">
            <w:t xml:space="preserve">near term and in the </w:t>
          </w:r>
          <w:r>
            <w:t>future</w:t>
          </w:r>
          <w:r w:rsidR="006B15F5">
            <w:t xml:space="preserve">.  In </w:t>
          </w:r>
          <w:r w:rsidR="00917DB3">
            <w:t xml:space="preserve">September of </w:t>
          </w:r>
          <w:r w:rsidR="007578F1">
            <w:t>2012</w:t>
          </w:r>
          <w:r w:rsidR="006B15F5">
            <w:t xml:space="preserve">, California established </w:t>
          </w:r>
          <w:r w:rsidR="007578F1">
            <w:t>the</w:t>
          </w:r>
          <w:r w:rsidR="006B15F5">
            <w:t xml:space="preserve"> </w:t>
          </w:r>
          <w:r>
            <w:t>Human Right to Water</w:t>
          </w:r>
          <w:r w:rsidR="006B15F5">
            <w:t>.</w:t>
          </w:r>
          <w:r w:rsidR="005D6E93">
            <w:rPr>
              <w:rStyle w:val="FootnoteReference"/>
            </w:rPr>
            <w:footnoteReference w:id="4"/>
          </w:r>
          <w:r>
            <w:t xml:space="preserve"> </w:t>
          </w:r>
          <w:r w:rsidR="00BB44F7">
            <w:t xml:space="preserve">In </w:t>
          </w:r>
          <w:r w:rsidR="00917DB3">
            <w:t>February of 2019</w:t>
          </w:r>
          <w:r w:rsidR="00BB44F7">
            <w:t>, the</w:t>
          </w:r>
          <w:r>
            <w:t xml:space="preserve"> C</w:t>
          </w:r>
          <w:r w:rsidR="00B945B7">
            <w:t xml:space="preserve">ommission </w:t>
          </w:r>
          <w:r w:rsidR="00BB44F7">
            <w:t xml:space="preserve">adopted its first </w:t>
          </w:r>
          <w:r>
            <w:t>Environmental and Social Justice</w:t>
          </w:r>
          <w:r w:rsidR="00BB44F7">
            <w:t xml:space="preserve"> Action Plan, which addresses </w:t>
          </w:r>
          <w:r w:rsidR="003605BB">
            <w:t xml:space="preserve">the </w:t>
          </w:r>
          <w:r w:rsidR="00413729">
            <w:t>rights for</w:t>
          </w:r>
          <w:r w:rsidR="00FB4FE1">
            <w:t xml:space="preserve"> </w:t>
          </w:r>
          <w:r w:rsidR="008768AC">
            <w:t xml:space="preserve">clean, safe, reliable, and affordable </w:t>
          </w:r>
          <w:r w:rsidR="00FB4FE1">
            <w:t xml:space="preserve">access to </w:t>
          </w:r>
          <w:r w:rsidR="00BB44F7">
            <w:t xml:space="preserve">water </w:t>
          </w:r>
          <w:r w:rsidR="00DD358C">
            <w:t>to communities that have been underserved</w:t>
          </w:r>
          <w:r w:rsidR="003E39C8">
            <w:t>.</w:t>
          </w:r>
          <w:r>
            <w:t xml:space="preserve"> </w:t>
          </w:r>
          <w:r w:rsidR="00033D20">
            <w:t>Finally, in</w:t>
          </w:r>
          <w:r w:rsidR="007F5750">
            <w:t xml:space="preserve"> April of 2021</w:t>
          </w:r>
          <w:r w:rsidR="00413729">
            <w:t>,</w:t>
          </w:r>
          <w:r w:rsidR="00033D20">
            <w:t xml:space="preserve"> the State Water Resources Control Board </w:t>
          </w:r>
          <w:r w:rsidR="0050539B">
            <w:t xml:space="preserve">(SWRCB) </w:t>
          </w:r>
          <w:r>
            <w:t>release</w:t>
          </w:r>
          <w:r w:rsidR="00033D20">
            <w:t>d</w:t>
          </w:r>
          <w:r>
            <w:t xml:space="preserve"> </w:t>
          </w:r>
          <w:r w:rsidR="0050539B">
            <w:t xml:space="preserve">its </w:t>
          </w:r>
          <w:r w:rsidR="00DC4AFA">
            <w:t>first</w:t>
          </w:r>
          <w:r>
            <w:t xml:space="preserve"> Human Right to Water Needs Assessment </w:t>
          </w:r>
          <w:r w:rsidR="00B32FD1">
            <w:t>as part of its</w:t>
          </w:r>
          <w:r w:rsidR="002024EA">
            <w:t xml:space="preserve"> </w:t>
          </w:r>
          <w:r>
            <w:t>Safe and Affordable Funding for Equity and Resilience (SAFER) program</w:t>
          </w:r>
          <w:r w:rsidR="00DC4AFA">
            <w:t>,</w:t>
          </w:r>
          <w:r>
            <w:t xml:space="preserve"> </w:t>
          </w:r>
          <w:r w:rsidR="00DC4AFA">
            <w:t>highlighting</w:t>
          </w:r>
          <w:r>
            <w:t xml:space="preserve"> </w:t>
          </w:r>
          <w:r w:rsidR="005D6E93">
            <w:t>a</w:t>
          </w:r>
          <w:r w:rsidRPr="000D5F3F" w:rsidR="005D6E93">
            <w:t xml:space="preserve">pproximately 620 </w:t>
          </w:r>
          <w:r w:rsidR="005D6E93">
            <w:t>a</w:t>
          </w:r>
          <w:r>
            <w:t xml:space="preserve">t-risk or failing water systems across the state. </w:t>
          </w:r>
          <w:r w:rsidR="009E3577">
            <w:t>Some</w:t>
          </w:r>
          <w:r>
            <w:t xml:space="preserve"> of these systems </w:t>
          </w:r>
          <w:r w:rsidR="002F24F0">
            <w:t>may be seen as</w:t>
          </w:r>
          <w:r>
            <w:t xml:space="preserve"> </w:t>
          </w:r>
          <w:r w:rsidR="007E2CC4">
            <w:t xml:space="preserve">opportunities </w:t>
          </w:r>
          <w:r>
            <w:t>for consolidation by C</w:t>
          </w:r>
          <w:r w:rsidR="00B945B7">
            <w:t>ommission</w:t>
          </w:r>
          <w:r>
            <w:t>-regulated utilities, and as more acquisitions come before the Commission, it will need to continue to balance the benefits of acquisitions with the inherent risks.</w:t>
          </w:r>
        </w:p>
        <w:p w:rsidR="0031208C" w:rsidP="0031208C" w:rsidRDefault="0031208C" w14:paraId="78CA5592" w14:textId="1E4F703E">
          <w:r>
            <w:t xml:space="preserve">In light of the </w:t>
          </w:r>
          <w:r w:rsidR="001D2FE2">
            <w:t xml:space="preserve">complexities </w:t>
          </w:r>
          <w:r>
            <w:t xml:space="preserve">faced in recent acquisition proceedings, as well as the development of the state’s policy goals, </w:t>
          </w:r>
          <w:r w:rsidRPr="00102D66">
            <w:t xml:space="preserve">Water Division recommends the Commission </w:t>
          </w:r>
          <w:r w:rsidRPr="00102D66" w:rsidR="00503EC8">
            <w:t xml:space="preserve">open </w:t>
          </w:r>
          <w:r w:rsidRPr="00102D66">
            <w:t xml:space="preserve">an Order Instituting Rulemaking (OIR) to create a </w:t>
          </w:r>
          <w:r w:rsidR="008C1375">
            <w:t>revised</w:t>
          </w:r>
          <w:r w:rsidRPr="00102D66">
            <w:t xml:space="preserve"> framework for water utility acquisitions. This rulemaking </w:t>
          </w:r>
          <w:r w:rsidRPr="00607146" w:rsidR="005204A4">
            <w:t>could</w:t>
          </w:r>
          <w:r w:rsidRPr="00607146">
            <w:t xml:space="preserve"> explore the Commission’s acquisitions policy broadly</w:t>
          </w:r>
          <w:r w:rsidR="00EF1FBD">
            <w:t>,</w:t>
          </w:r>
          <w:r w:rsidRPr="00384128">
            <w:t xml:space="preserve"> as well as specifically address</w:t>
          </w:r>
          <w:r w:rsidRPr="00DC5176">
            <w:t>:</w:t>
          </w:r>
          <w:r>
            <w:t xml:space="preserve"> </w:t>
          </w:r>
        </w:p>
        <w:p w:rsidR="0031208C" w:rsidP="0031208C" w:rsidRDefault="0031208C" w14:paraId="0541AC37" w14:textId="17393488">
          <w:pPr>
            <w:pStyle w:val="ListBullet"/>
          </w:pPr>
          <w:r>
            <w:t xml:space="preserve">available options for </w:t>
          </w:r>
          <w:r w:rsidR="001A0752">
            <w:t xml:space="preserve">the </w:t>
          </w:r>
          <w:r>
            <w:t xml:space="preserve">valuation of water systems; </w:t>
          </w:r>
        </w:p>
        <w:p w:rsidR="0031208C" w:rsidP="0031208C" w:rsidRDefault="0031208C" w14:paraId="43787C4B" w14:textId="08A0F8D0">
          <w:pPr>
            <w:pStyle w:val="ListBullet"/>
          </w:pPr>
          <w:r>
            <w:t>how to evaluate an acquisition’s impact on ratepayers, including the ratemaking method used to allocate costs to the acquiring utility’s customers</w:t>
          </w:r>
          <w:r w:rsidR="001A0752">
            <w:t>;</w:t>
          </w:r>
        </w:p>
        <w:p w:rsidR="0031208C" w:rsidP="0031208C" w:rsidRDefault="0031208C" w14:paraId="00451993" w14:textId="68A177F4">
          <w:pPr>
            <w:pStyle w:val="ListBullet"/>
          </w:pPr>
          <w:r>
            <w:lastRenderedPageBreak/>
            <w:t>how to best coordinate acquisition polic</w:t>
          </w:r>
          <w:r w:rsidR="00503EC8">
            <w:t>ies</w:t>
          </w:r>
          <w:r>
            <w:t xml:space="preserve"> with the State Water Resources Control Board; </w:t>
          </w:r>
        </w:p>
        <w:p w:rsidR="00190D03" w:rsidP="0031208C" w:rsidRDefault="0031208C" w14:paraId="63F2C25B" w14:textId="77777777">
          <w:pPr>
            <w:pStyle w:val="ListBullet"/>
          </w:pPr>
          <w:r>
            <w:t xml:space="preserve">the role of grant funding in acquisitions; </w:t>
          </w:r>
        </w:p>
        <w:p w:rsidR="0031208C" w:rsidP="0031208C" w:rsidRDefault="0031208C" w14:paraId="75F2C516" w14:textId="79C30B12">
          <w:pPr>
            <w:pStyle w:val="ListBullet"/>
          </w:pPr>
          <w:r>
            <w:t>the procedural timeline</w:t>
          </w:r>
          <w:r w:rsidR="00190D03">
            <w:t xml:space="preserve"> for processing acquisitions</w:t>
          </w:r>
          <w:r>
            <w:t xml:space="preserve">;  </w:t>
          </w:r>
        </w:p>
        <w:p w:rsidR="0031208C" w:rsidP="0031208C" w:rsidRDefault="0031208C" w14:paraId="7D7FCF08" w14:textId="5A9B4F73">
          <w:pPr>
            <w:pStyle w:val="ListBullet"/>
          </w:pPr>
          <w:r>
            <w:t xml:space="preserve">the appropriate standard for </w:t>
          </w:r>
          <w:r w:rsidR="000548EE">
            <w:t xml:space="preserve">reviewing </w:t>
          </w:r>
          <w:r>
            <w:t>acquisition proceedings</w:t>
          </w:r>
          <w:r w:rsidR="00190D03">
            <w:t>; and</w:t>
          </w:r>
          <w:r>
            <w:t xml:space="preserve"> </w:t>
          </w:r>
        </w:p>
        <w:p w:rsidR="0031208C" w:rsidP="0031208C" w:rsidRDefault="00167FA8" w14:paraId="2B365FAB" w14:textId="2275E7E8">
          <w:pPr>
            <w:pStyle w:val="ListBullet"/>
          </w:pPr>
          <w:r>
            <w:t>h</w:t>
          </w:r>
          <w:r w:rsidR="0031208C">
            <w:t>ow to address gains on sale</w:t>
          </w:r>
          <w:r w:rsidR="00190D03">
            <w:t xml:space="preserve"> or potential cost sharing between ratepayers and shareholders</w:t>
          </w:r>
          <w:r w:rsidR="001A0752">
            <w:t>.</w:t>
          </w:r>
        </w:p>
        <w:p w:rsidR="0031208C" w:rsidP="0031208C" w:rsidRDefault="0031208C" w14:paraId="6000DD0A" w14:textId="77777777"/>
        <w:p w:rsidR="00241EFC" w:rsidP="0031208C" w:rsidRDefault="00BC7723" w14:paraId="57EF9311" w14:textId="55A73210">
          <w:r>
            <w:t xml:space="preserve">This </w:t>
          </w:r>
          <w:r w:rsidR="007C4C98">
            <w:t xml:space="preserve">white </w:t>
          </w:r>
          <w:r>
            <w:t xml:space="preserve">paper begins by summarizing the historical and regulatory framework that governs water system acquisitions at the Commission. </w:t>
          </w:r>
          <w:r w:rsidR="00E74B6E">
            <w:t xml:space="preserve">It then explores each of the above issues in more detail in the context of the existing framework’s problems and </w:t>
          </w:r>
          <w:r w:rsidR="00C86822">
            <w:t xml:space="preserve">in specific case studies. Finally, the </w:t>
          </w:r>
          <w:r w:rsidR="007C4C98">
            <w:t xml:space="preserve">white </w:t>
          </w:r>
          <w:r w:rsidR="00C86822">
            <w:t xml:space="preserve">paper </w:t>
          </w:r>
          <w:r w:rsidR="00DF2899">
            <w:t xml:space="preserve">poses questions </w:t>
          </w:r>
          <w:r w:rsidR="007C4C98">
            <w:t>that the Commission may consider</w:t>
          </w:r>
          <w:r w:rsidR="00726C06">
            <w:t xml:space="preserve"> with the </w:t>
          </w:r>
          <w:r w:rsidR="00C37D83">
            <w:t>opening</w:t>
          </w:r>
          <w:r w:rsidR="00726C06">
            <w:t xml:space="preserve"> of</w:t>
          </w:r>
          <w:r w:rsidR="00C37D83">
            <w:t xml:space="preserve"> a new</w:t>
          </w:r>
          <w:r w:rsidR="0031208C">
            <w:t xml:space="preserve"> Rulemaking.</w:t>
          </w:r>
        </w:p>
      </w:sdtContent>
    </w:sdt>
    <w:p w:rsidR="003B320C" w:rsidP="001D2F5C" w:rsidRDefault="002935D0" w14:paraId="31B28589" w14:textId="1010997E">
      <w:pPr>
        <w:pStyle w:val="Heading1"/>
      </w:pPr>
      <w:bookmarkStart w:name="_Toc91071032" w:id="2"/>
      <w:r w:rsidRPr="001D2F5C">
        <w:lastRenderedPageBreak/>
        <w:t>Summary</w:t>
      </w:r>
      <w:r>
        <w:t xml:space="preserve"> of the Existing Framework</w:t>
      </w:r>
      <w:bookmarkEnd w:id="2"/>
    </w:p>
    <w:p w:rsidR="003B320C" w:rsidP="003B320C" w:rsidRDefault="0031208C" w14:paraId="62AEBBBE" w14:textId="37D3DCD8">
      <w:pPr>
        <w:pStyle w:val="Heading2"/>
      </w:pPr>
      <w:bookmarkStart w:name="_Toc91071033" w:id="3"/>
      <w:r>
        <w:t>Governing Statutes</w:t>
      </w:r>
      <w:bookmarkEnd w:id="3"/>
    </w:p>
    <w:sdt>
      <w:sdtPr>
        <w:alias w:val="insert text"/>
        <w:tag w:val="insert text"/>
        <w:id w:val="1781609754"/>
        <w:placeholder>
          <w:docPart w:val="9CA3B460AFC1544E94D72471B3366EBC"/>
        </w:placeholder>
      </w:sdtPr>
      <w:sdtEndPr/>
      <w:sdtContent>
        <w:p w:rsidRPr="00142830" w:rsidR="0031208C" w:rsidP="0031208C" w:rsidRDefault="0031208C" w14:paraId="438276B7" w14:textId="13D39A9A">
          <w:pPr>
            <w:rPr>
              <w:rStyle w:val="normaltextrun"/>
              <w:b/>
              <w:bCs/>
            </w:rPr>
          </w:pPr>
          <w:r w:rsidRPr="00142830">
            <w:rPr>
              <w:rStyle w:val="normaltextrun"/>
            </w:rPr>
            <w:t>The Public Water System Investment and Consolidation Act of 1997</w:t>
          </w:r>
          <w:r>
            <w:rPr>
              <w:rStyle w:val="normaltextrun"/>
            </w:rPr>
            <w:t xml:space="preserve"> (Act)</w:t>
          </w:r>
          <w:r w:rsidRPr="00142830">
            <w:rPr>
              <w:rStyle w:val="normaltextrun"/>
            </w:rPr>
            <w:t xml:space="preserve"> sought to achieve economies of scale in public water systems, given the increasing amounts of capital required to finance necessary investments.</w:t>
          </w:r>
          <w:r w:rsidRPr="00142830">
            <w:rPr>
              <w:rStyle w:val="FootnoteReference"/>
            </w:rPr>
            <w:footnoteReference w:id="5"/>
          </w:r>
          <w:r w:rsidRPr="00142830">
            <w:rPr>
              <w:rStyle w:val="normaltextrun"/>
            </w:rPr>
            <w:t xml:space="preserve"> Specifically, the Act established Sections 2718 through 2720 of the Public Utilities Code (PU Code)</w:t>
          </w:r>
          <w:r w:rsidR="005251F3">
            <w:rPr>
              <w:rStyle w:val="FootnoteReference"/>
            </w:rPr>
            <w:footnoteReference w:id="6"/>
          </w:r>
          <w:r w:rsidRPr="00142830">
            <w:rPr>
              <w:rStyle w:val="normaltextrun"/>
            </w:rPr>
            <w:t>.</w:t>
          </w:r>
          <w:r w:rsidRPr="00142830">
            <w:rPr>
              <w:rStyle w:val="normaltextrun"/>
              <w:b/>
              <w:bCs/>
            </w:rPr>
            <w:t xml:space="preserve"> </w:t>
          </w:r>
        </w:p>
        <w:p w:rsidR="0031208C" w:rsidP="0031208C" w:rsidRDefault="001A0752" w14:paraId="7F111927" w14:textId="7667C7C4">
          <w:pPr>
            <w:rPr>
              <w:rStyle w:val="eop"/>
            </w:rPr>
          </w:pPr>
          <w:r>
            <w:rPr>
              <w:rStyle w:val="normaltextrun"/>
              <w:rFonts w:cs="Calibri"/>
            </w:rPr>
            <w:t xml:space="preserve">PU Code </w:t>
          </w:r>
          <w:r w:rsidR="009E53D3">
            <w:rPr>
              <w:rStyle w:val="normaltextrun"/>
              <w:rFonts w:cs="Calibri"/>
            </w:rPr>
            <w:t>Section</w:t>
          </w:r>
          <w:r>
            <w:rPr>
              <w:rStyle w:val="normaltextrun"/>
              <w:rFonts w:cs="Calibri"/>
            </w:rPr>
            <w:t xml:space="preserve"> </w:t>
          </w:r>
          <w:r w:rsidRPr="00142830" w:rsidR="0031208C">
            <w:rPr>
              <w:rStyle w:val="normaltextrun"/>
              <w:rFonts w:cs="Calibri"/>
            </w:rPr>
            <w:t xml:space="preserve">2720(a) </w:t>
          </w:r>
          <w:r w:rsidRPr="00142830" w:rsidR="0031208C">
            <w:rPr>
              <w:rStyle w:val="normaltextrun"/>
            </w:rPr>
            <w:t>incentivizes water corporations to acquire other water systems by setting the fair market value of the acquired system as the standard when establishing rate base.</w:t>
          </w:r>
          <w:r w:rsidRPr="00142830" w:rsidR="0031208C">
            <w:rPr>
              <w:rStyle w:val="FootnoteReference"/>
            </w:rPr>
            <w:footnoteReference w:id="7"/>
          </w:r>
          <w:r w:rsidRPr="00142830" w:rsidR="0031208C">
            <w:rPr>
              <w:rStyle w:val="normaltextrun"/>
            </w:rPr>
            <w:t xml:space="preserve"> </w:t>
          </w:r>
          <w:r w:rsidR="006D038E">
            <w:rPr>
              <w:rStyle w:val="normaltextrun"/>
              <w:rFonts w:cs="Calibri"/>
            </w:rPr>
            <w:t xml:space="preserve">Subsection </w:t>
          </w:r>
          <w:r w:rsidRPr="00142830" w:rsidR="0031208C">
            <w:rPr>
              <w:rStyle w:val="normaltextrun"/>
              <w:rFonts w:cs="Calibri"/>
            </w:rPr>
            <w:t>2720(b) allows for the inclusion in rate base of an acquisition premium—the difference between the fair market value and the reproduction cost</w:t>
          </w:r>
          <w:r w:rsidR="0031208C">
            <w:rPr>
              <w:rStyle w:val="FootnoteReference"/>
              <w:rFonts w:cs="Calibri"/>
            </w:rPr>
            <w:footnoteReference w:id="8"/>
          </w:r>
          <w:r w:rsidRPr="00142830" w:rsidR="0031208C">
            <w:rPr>
              <w:rStyle w:val="normaltextrun"/>
              <w:rFonts w:cs="Calibri"/>
            </w:rPr>
            <w:t xml:space="preserve"> of the acquired system—if certain conditions are met.</w:t>
          </w:r>
          <w:r w:rsidRPr="006661C4" w:rsidR="0031208C">
            <w:rPr>
              <w:rStyle w:val="normaltextrun"/>
            </w:rPr>
            <w:t xml:space="preserve"> </w:t>
          </w:r>
          <w:r w:rsidR="00C268B2">
            <w:rPr>
              <w:rStyle w:val="normaltextrun"/>
            </w:rPr>
            <w:t xml:space="preserve"> </w:t>
          </w:r>
          <w:r w:rsidRPr="00B97F90" w:rsidR="00C268B2">
            <w:t>The conditions to be considered are: 1</w:t>
          </w:r>
          <w:r w:rsidR="00B64DCF">
            <w:t>)</w:t>
          </w:r>
          <w:r w:rsidRPr="00B97F90" w:rsidR="00C268B2">
            <w:t xml:space="preserve"> whether the acquisition of the public water system will improve water system </w:t>
          </w:r>
          <w:r w:rsidRPr="005D14CA" w:rsidR="00C268B2">
            <w:t>reliability; 2</w:t>
          </w:r>
          <w:r w:rsidR="00B64DCF">
            <w:t>)</w:t>
          </w:r>
          <w:r w:rsidRPr="005D14CA" w:rsidR="00C268B2">
            <w:t xml:space="preserve"> whether the ability of the water system to comply with health and safety regulations is improved; 3</w:t>
          </w:r>
          <w:r w:rsidR="00B64DCF">
            <w:t>)</w:t>
          </w:r>
          <w:r w:rsidRPr="005D14CA" w:rsidR="00C268B2">
            <w:t xml:space="preserve"> whether the water corporation by acquiring the public water system can achieve efficiencies and economies of scale that would not otherwise be available; and 4</w:t>
          </w:r>
          <w:r w:rsidR="00B64DCF">
            <w:t>)</w:t>
          </w:r>
          <w:r w:rsidRPr="005D14CA" w:rsidR="00C268B2">
            <w:t xml:space="preserve"> whether the effect on existing customers of the water corporation and the acquired public water system is fair and reasonable.</w:t>
          </w:r>
          <w:r w:rsidR="00C268B2">
            <w:t xml:space="preserve"> </w:t>
          </w:r>
          <w:r w:rsidR="0031208C">
            <w:rPr>
              <w:rStyle w:val="normaltextrun"/>
            </w:rPr>
            <w:t>Therefore, i</w:t>
          </w:r>
          <w:r w:rsidRPr="00142830" w:rsidR="0031208C">
            <w:rPr>
              <w:rStyle w:val="normaltextrun"/>
            </w:rPr>
            <w:t>n evaluating those conditions for each acquisition, the Commission has the authority and responsibility to determine if the acquisition is ultimately in the public interest.</w:t>
          </w:r>
          <w:r w:rsidRPr="00142830" w:rsidR="0031208C">
            <w:rPr>
              <w:rStyle w:val="eop"/>
            </w:rPr>
            <w:t> </w:t>
          </w:r>
        </w:p>
        <w:p w:rsidRPr="00142830" w:rsidR="0031208C" w:rsidP="0031208C" w:rsidRDefault="005030BF" w14:paraId="4DFEE2BB" w14:textId="6FBF1A8C">
          <w:pPr>
            <w:rPr>
              <w:rStyle w:val="normaltextrun"/>
            </w:rPr>
          </w:pPr>
          <w:r>
            <w:rPr>
              <w:rStyle w:val="normaltextrun"/>
              <w:rFonts w:cs="Calibri"/>
            </w:rPr>
            <w:t>Section</w:t>
          </w:r>
          <w:r w:rsidR="001A0752">
            <w:rPr>
              <w:rStyle w:val="normaltextrun"/>
              <w:rFonts w:cs="Calibri"/>
            </w:rPr>
            <w:t xml:space="preserve"> </w:t>
          </w:r>
          <w:r w:rsidRPr="00142830" w:rsidR="0031208C">
            <w:rPr>
              <w:rStyle w:val="normaltextrun"/>
              <w:rFonts w:cs="Calibri"/>
            </w:rPr>
            <w:t>1263.320</w:t>
          </w:r>
          <w:r w:rsidRPr="00142830" w:rsidR="0031208C">
            <w:rPr>
              <w:rStyle w:val="normaltextrun"/>
              <w:b/>
              <w:bCs/>
            </w:rPr>
            <w:t xml:space="preserve"> </w:t>
          </w:r>
          <w:r w:rsidRPr="00142830" w:rsidR="0031208C">
            <w:rPr>
              <w:rStyle w:val="normaltextrun"/>
            </w:rPr>
            <w:t>of the Code of Civil Procedure (CCP) provides two possible pathways for</w:t>
          </w:r>
          <w:r w:rsidR="0031208C">
            <w:rPr>
              <w:rStyle w:val="normaltextrun"/>
            </w:rPr>
            <w:t xml:space="preserve"> the</w:t>
          </w:r>
          <w:r w:rsidRPr="00142830" w:rsidR="0031208C">
            <w:rPr>
              <w:rStyle w:val="normaltextrun"/>
            </w:rPr>
            <w:t xml:space="preserve"> determination of fair market value</w:t>
          </w:r>
          <w:r w:rsidR="0031208C">
            <w:rPr>
              <w:rStyle w:val="normaltextrun"/>
            </w:rPr>
            <w:t xml:space="preserve"> in acquisitions</w:t>
          </w:r>
          <w:r w:rsidRPr="00142830" w:rsidR="0031208C">
            <w:rPr>
              <w:rStyle w:val="normaltextrun"/>
            </w:rPr>
            <w:t xml:space="preserve">. The first defines fair market value as the highest price agreed upon by a willing buyer and willing seller. The second, applying in special circumstances like utilities, provides for a “just and equitable” valuation in cases where no relevant, comparable market exists. </w:t>
          </w:r>
        </w:p>
        <w:p w:rsidRPr="008209C3" w:rsidR="0031208C" w:rsidP="0031208C" w:rsidRDefault="0031208C" w14:paraId="464CF99F" w14:textId="5744DFFF">
          <w:pPr>
            <w:rPr>
              <w:rStyle w:val="normaltextrun"/>
              <w:rFonts w:cs="Calibri"/>
            </w:rPr>
          </w:pPr>
          <w:r w:rsidRPr="00142830">
            <w:t xml:space="preserve">Acquisitions are also governed by </w:t>
          </w:r>
          <w:r w:rsidR="00C30496">
            <w:t>S</w:t>
          </w:r>
          <w:r w:rsidRPr="00142830">
            <w:t xml:space="preserve">ections 851 through 854 of the PU Code. </w:t>
          </w:r>
          <w:r>
            <w:rPr>
              <w:rStyle w:val="normaltextrun"/>
              <w:rFonts w:cs="Calibri"/>
            </w:rPr>
            <w:t>These sections establish the Commission’s authority to determine whether a proposed acquisition is in the public interest and Section 854 specifically lists criteria that can aid the Commission in doing so.</w:t>
          </w:r>
          <w:r>
            <w:rPr>
              <w:rStyle w:val="FootnoteReference"/>
              <w:rFonts w:cs="Calibri"/>
            </w:rPr>
            <w:footnoteReference w:id="9"/>
          </w:r>
          <w:r>
            <w:rPr>
              <w:rStyle w:val="normaltextrun"/>
              <w:rFonts w:cs="Calibri"/>
            </w:rPr>
            <w:t xml:space="preserve"> These sections of the </w:t>
          </w:r>
          <w:r w:rsidR="00067AAA">
            <w:rPr>
              <w:rStyle w:val="normaltextrun"/>
              <w:rFonts w:cs="Calibri"/>
            </w:rPr>
            <w:t>PU</w:t>
          </w:r>
          <w:r>
            <w:rPr>
              <w:rStyle w:val="normaltextrun"/>
              <w:rFonts w:cs="Calibri"/>
            </w:rPr>
            <w:t xml:space="preserve"> Code establish more specific administrative guidelines </w:t>
          </w:r>
          <w:r w:rsidR="002030E8">
            <w:rPr>
              <w:rStyle w:val="normaltextrun"/>
              <w:rFonts w:cs="Calibri"/>
            </w:rPr>
            <w:t>for</w:t>
          </w:r>
          <w:r>
            <w:rPr>
              <w:rStyle w:val="normaltextrun"/>
              <w:rFonts w:cs="Calibri"/>
            </w:rPr>
            <w:t xml:space="preserve"> processing of acquisitions, such as establishing that </w:t>
          </w:r>
          <w:r>
            <w:rPr>
              <w:rStyle w:val="normaltextrun"/>
              <w:rFonts w:cs="Calibri"/>
            </w:rPr>
            <w:lastRenderedPageBreak/>
            <w:t>transactions valued above $5 million require an application, while lesser-valued transfers may be processed via advice letters.</w:t>
          </w:r>
        </w:p>
        <w:p w:rsidR="0031208C" w:rsidP="0031208C" w:rsidRDefault="0031208C" w14:paraId="4F7F7079" w14:textId="5406DF1C">
          <w:r>
            <w:rPr>
              <w:rStyle w:val="normaltextrun"/>
              <w:rFonts w:cs="Calibri"/>
            </w:rPr>
            <w:t xml:space="preserve">Also relevant to acquisitions of water systems is PU Code Section 10061, governing the sale or transfer of municipal systems. Section 10061 permits a city or county to sell the portions of its water system outside municipal boundaries by a resolution of its legislative body, while the water system located within city limits may only be sold by a majority of voters in a special election. Additional notice requirements are also required for a municipal sale and are described in this code section. Other statutes governing municipal water systems </w:t>
          </w:r>
          <w:r w:rsidR="00C42BA7">
            <w:rPr>
              <w:rStyle w:val="normaltextrun"/>
              <w:rFonts w:cs="Calibri"/>
            </w:rPr>
            <w:t>may add additional layers to</w:t>
          </w:r>
          <w:r>
            <w:rPr>
              <w:rStyle w:val="normaltextrun"/>
              <w:rFonts w:cs="Calibri"/>
            </w:rPr>
            <w:t xml:space="preserve"> the Commission’s decision-making process. In particular, Government Code Section 37420.5 created specific provisions for the cities of El Monte, Montebello, and Willows to sell their water systems without being subject to the PU Code Section 10061 requirements regarding a public vote.</w:t>
          </w:r>
        </w:p>
      </w:sdtContent>
    </w:sdt>
    <w:p w:rsidR="00070313" w:rsidP="0031208C" w:rsidRDefault="00070313" w14:paraId="4BA5A62F" w14:textId="77777777">
      <w:pPr>
        <w:pStyle w:val="Heading2"/>
      </w:pPr>
    </w:p>
    <w:p w:rsidR="0031208C" w:rsidP="0031208C" w:rsidRDefault="0031208C" w14:paraId="5F670F55" w14:textId="2F04179F">
      <w:pPr>
        <w:pStyle w:val="Heading2"/>
      </w:pPr>
      <w:bookmarkStart w:name="_Toc91071034" w:id="4"/>
      <w:r>
        <w:t>Background</w:t>
      </w:r>
      <w:bookmarkEnd w:id="4"/>
    </w:p>
    <w:p w:rsidR="0031208C" w:rsidP="0031208C" w:rsidRDefault="00240991" w14:paraId="5101AAB5" w14:textId="3F0A5A02">
      <w:pPr>
        <w:rPr>
          <w:rStyle w:val="normaltextrun"/>
        </w:rPr>
      </w:pPr>
      <w:r>
        <w:rPr>
          <w:rStyle w:val="normaltextrun"/>
        </w:rPr>
        <w:t>T</w:t>
      </w:r>
      <w:r w:rsidR="0031208C">
        <w:rPr>
          <w:rStyle w:val="normaltextrun"/>
        </w:rPr>
        <w:t>he Commission opened Rulemaking (R.) 97-10-048 to address the need for changes in regulations surrounding the acquisition or merger of utility water systems</w:t>
      </w:r>
      <w:r w:rsidR="009F0CA6">
        <w:rPr>
          <w:rStyle w:val="normaltextrun"/>
        </w:rPr>
        <w:t>, in relation to two significant events affecting the water industry at the time</w:t>
      </w:r>
      <w:r w:rsidR="0031208C">
        <w:rPr>
          <w:rStyle w:val="normaltextrun"/>
        </w:rPr>
        <w:t xml:space="preserve">. Shortly after this proceeding was opened, the Legislature enacted Senate Bill 1268 to add Sections 2718-2720 to the PU Code, also known as the Public Water System Investment and Consolidation Act of 1997 (Act).  With this </w:t>
      </w:r>
      <w:r w:rsidR="0074458C">
        <w:rPr>
          <w:rStyle w:val="normaltextrun"/>
        </w:rPr>
        <w:t>A</w:t>
      </w:r>
      <w:r w:rsidR="0031208C">
        <w:rPr>
          <w:rStyle w:val="normaltextrun"/>
        </w:rPr>
        <w:t>ct</w:t>
      </w:r>
      <w:r w:rsidRPr="00241CAA" w:rsidR="0031208C">
        <w:rPr>
          <w:rStyle w:val="normaltextrun"/>
        </w:rPr>
        <w:t>, the Legislature declare</w:t>
      </w:r>
      <w:r w:rsidR="0031208C">
        <w:rPr>
          <w:rStyle w:val="normaltextrun"/>
        </w:rPr>
        <w:t>d</w:t>
      </w:r>
      <w:r w:rsidRPr="00241CAA" w:rsidR="0031208C">
        <w:rPr>
          <w:rStyle w:val="normaltextrun"/>
        </w:rPr>
        <w:t xml:space="preserve"> that</w:t>
      </w:r>
      <w:r w:rsidR="0031208C">
        <w:rPr>
          <w:rStyle w:val="normaltextrun"/>
        </w:rPr>
        <w:t xml:space="preserve"> </w:t>
      </w:r>
      <w:r w:rsidRPr="00241CAA" w:rsidR="0031208C">
        <w:rPr>
          <w:rStyle w:val="normaltextrun"/>
        </w:rPr>
        <w:t xml:space="preserve">public water systems were </w:t>
      </w:r>
      <w:r w:rsidR="00797222">
        <w:rPr>
          <w:rStyle w:val="normaltextrun"/>
        </w:rPr>
        <w:t>“</w:t>
      </w:r>
      <w:r w:rsidRPr="00241CAA" w:rsidR="0031208C">
        <w:rPr>
          <w:rStyle w:val="normaltextrun"/>
        </w:rPr>
        <w:t>faced with a need to improve their infrastructure to meet increasingly stringent state and federal safe drinking water laws</w:t>
      </w:r>
      <w:r w:rsidR="0031208C">
        <w:rPr>
          <w:rStyle w:val="normaltextrun"/>
        </w:rPr>
        <w:t>.</w:t>
      </w:r>
      <w:r w:rsidR="005267F7">
        <w:rPr>
          <w:rStyle w:val="normaltextrun"/>
        </w:rPr>
        <w:t>”</w:t>
      </w:r>
      <w:r w:rsidR="005267F7">
        <w:rPr>
          <w:rStyle w:val="FootnoteReference"/>
        </w:rPr>
        <w:footnoteReference w:id="10"/>
      </w:r>
      <w:r w:rsidRPr="00241CAA" w:rsidR="0031208C">
        <w:rPr>
          <w:rStyle w:val="normaltextrun"/>
        </w:rPr>
        <w:t xml:space="preserve"> Thus, more</w:t>
      </w:r>
      <w:r w:rsidR="0031208C">
        <w:rPr>
          <w:rStyle w:val="normaltextrun"/>
        </w:rPr>
        <w:t xml:space="preserve"> </w:t>
      </w:r>
      <w:r w:rsidRPr="00241CAA" w:rsidR="0031208C">
        <w:rPr>
          <w:rStyle w:val="normaltextrun"/>
        </w:rPr>
        <w:t>capital to finance necessary investment in water systems would be needed</w:t>
      </w:r>
      <w:r w:rsidR="0031208C">
        <w:rPr>
          <w:rStyle w:val="normaltextrun"/>
        </w:rPr>
        <w:t>.</w:t>
      </w:r>
      <w:r w:rsidRPr="00241CAA" w:rsidR="0031208C">
        <w:rPr>
          <w:rStyle w:val="normaltextrun"/>
        </w:rPr>
        <w:t xml:space="preserve"> The</w:t>
      </w:r>
      <w:r w:rsidR="0031208C">
        <w:rPr>
          <w:rStyle w:val="normaltextrun"/>
        </w:rPr>
        <w:t xml:space="preserve"> </w:t>
      </w:r>
      <w:r w:rsidRPr="00241CAA" w:rsidR="0031208C">
        <w:rPr>
          <w:rStyle w:val="normaltextrun"/>
        </w:rPr>
        <w:t xml:space="preserve">Legislature </w:t>
      </w:r>
      <w:r w:rsidR="00653A90">
        <w:rPr>
          <w:rStyle w:val="normaltextrun"/>
        </w:rPr>
        <w:t>declared</w:t>
      </w:r>
      <w:r w:rsidRPr="00241CAA" w:rsidR="0031208C">
        <w:rPr>
          <w:rStyle w:val="normaltextrun"/>
        </w:rPr>
        <w:t xml:space="preserve"> that economies of scale were achievable in the operation of</w:t>
      </w:r>
      <w:r w:rsidR="0031208C">
        <w:rPr>
          <w:rStyle w:val="normaltextrun"/>
        </w:rPr>
        <w:t xml:space="preserve"> </w:t>
      </w:r>
      <w:r w:rsidRPr="00241CAA" w:rsidR="0031208C">
        <w:rPr>
          <w:rStyle w:val="normaltextrun"/>
        </w:rPr>
        <w:t>public water systems and desired to provide incentives for water corporations to</w:t>
      </w:r>
      <w:r w:rsidR="0031208C">
        <w:rPr>
          <w:rStyle w:val="normaltextrun"/>
        </w:rPr>
        <w:t xml:space="preserve"> </w:t>
      </w:r>
      <w:r w:rsidRPr="00241CAA" w:rsidR="0031208C">
        <w:rPr>
          <w:rStyle w:val="normaltextrun"/>
        </w:rPr>
        <w:t xml:space="preserve">seek these </w:t>
      </w:r>
      <w:r w:rsidRPr="00241CAA" w:rsidR="0031208C">
        <w:rPr>
          <w:rStyle w:val="normaltextrun"/>
          <w:rFonts w:eastAsia="Times New Roman"/>
        </w:rPr>
        <w:t>economies</w:t>
      </w:r>
      <w:r w:rsidR="00212C6D">
        <w:rPr>
          <w:rStyle w:val="normaltextrun"/>
          <w:rFonts w:eastAsia="Times New Roman"/>
        </w:rPr>
        <w:t xml:space="preserve">, </w:t>
      </w:r>
      <w:r w:rsidRPr="00241CAA" w:rsidR="0031208C">
        <w:rPr>
          <w:rStyle w:val="normaltextrun"/>
        </w:rPr>
        <w:t xml:space="preserve">which </w:t>
      </w:r>
      <w:r w:rsidR="00434C78">
        <w:rPr>
          <w:rStyle w:val="normaltextrun"/>
        </w:rPr>
        <w:t xml:space="preserve">in turn </w:t>
      </w:r>
      <w:r w:rsidRPr="00241CAA" w:rsidR="0031208C">
        <w:rPr>
          <w:rStyle w:val="normaltextrun"/>
        </w:rPr>
        <w:t>would benefit ratepayers.</w:t>
      </w:r>
      <w:r w:rsidR="00653A90">
        <w:rPr>
          <w:rStyle w:val="FootnoteReference"/>
        </w:rPr>
        <w:footnoteReference w:id="11"/>
      </w:r>
      <w:r w:rsidRPr="00241CAA" w:rsidR="0031208C">
        <w:rPr>
          <w:rStyle w:val="normaltextrun"/>
        </w:rPr>
        <w:t xml:space="preserve"> The incentive provide</w:t>
      </w:r>
      <w:r w:rsidR="0031208C">
        <w:rPr>
          <w:rStyle w:val="normaltextrun"/>
        </w:rPr>
        <w:t xml:space="preserve">d </w:t>
      </w:r>
      <w:r w:rsidRPr="00241CAA" w:rsidR="0031208C">
        <w:rPr>
          <w:rStyle w:val="normaltextrun"/>
        </w:rPr>
        <w:t>by SB 1268 was to allow</w:t>
      </w:r>
      <w:r w:rsidR="0074458C">
        <w:rPr>
          <w:rStyle w:val="normaltextrun"/>
        </w:rPr>
        <w:t xml:space="preserve"> the</w:t>
      </w:r>
      <w:r w:rsidRPr="00241CAA" w:rsidR="0031208C">
        <w:rPr>
          <w:rStyle w:val="normaltextrun"/>
        </w:rPr>
        <w:t xml:space="preserve"> fair market value as the standard </w:t>
      </w:r>
      <w:r w:rsidR="00B96505">
        <w:rPr>
          <w:rStyle w:val="normaltextrun"/>
        </w:rPr>
        <w:t>for rate</w:t>
      </w:r>
      <w:r w:rsidR="00401DFC">
        <w:rPr>
          <w:rStyle w:val="normaltextrun"/>
        </w:rPr>
        <w:t>making</w:t>
      </w:r>
      <w:r w:rsidR="00B96505">
        <w:rPr>
          <w:rStyle w:val="normaltextrun"/>
        </w:rPr>
        <w:t xml:space="preserve"> purposes</w:t>
      </w:r>
      <w:r w:rsidR="0031208C">
        <w:rPr>
          <w:rStyle w:val="normaltextrun"/>
        </w:rPr>
        <w:t xml:space="preserve"> </w:t>
      </w:r>
      <w:r w:rsidRPr="00241CAA" w:rsidR="0031208C">
        <w:rPr>
          <w:rStyle w:val="normaltextrun"/>
        </w:rPr>
        <w:t>whe</w:t>
      </w:r>
      <w:r w:rsidR="00BF0BC0">
        <w:rPr>
          <w:rStyle w:val="normaltextrun"/>
        </w:rPr>
        <w:t>n</w:t>
      </w:r>
      <w:r w:rsidRPr="00241CAA" w:rsidR="0031208C">
        <w:rPr>
          <w:rStyle w:val="normaltextrun"/>
        </w:rPr>
        <w:t xml:space="preserve"> a </w:t>
      </w:r>
      <w:r w:rsidR="00BF0BC0">
        <w:rPr>
          <w:rStyle w:val="normaltextrun"/>
        </w:rPr>
        <w:t>water</w:t>
      </w:r>
      <w:r w:rsidRPr="00241CAA" w:rsidR="0031208C">
        <w:rPr>
          <w:rStyle w:val="normaltextrun"/>
        </w:rPr>
        <w:t xml:space="preserve"> system is acquired. </w:t>
      </w:r>
      <w:r w:rsidR="003343FB">
        <w:rPr>
          <w:rStyle w:val="normaltextrun"/>
        </w:rPr>
        <w:t xml:space="preserve">Through this ratemaking practice, the </w:t>
      </w:r>
      <w:r w:rsidR="00256384">
        <w:rPr>
          <w:rStyle w:val="normaltextrun"/>
        </w:rPr>
        <w:t xml:space="preserve">acquiring </w:t>
      </w:r>
      <w:r w:rsidR="002D5F66">
        <w:rPr>
          <w:rStyle w:val="normaltextrun"/>
        </w:rPr>
        <w:t xml:space="preserve">utility </w:t>
      </w:r>
      <w:r w:rsidR="00C843C8">
        <w:rPr>
          <w:rStyle w:val="normaltextrun"/>
        </w:rPr>
        <w:t xml:space="preserve">would add the fair market value of the acquired system </w:t>
      </w:r>
      <w:r w:rsidR="009A2234">
        <w:rPr>
          <w:rStyle w:val="normaltextrun"/>
        </w:rPr>
        <w:t xml:space="preserve">to its existing </w:t>
      </w:r>
      <w:r w:rsidR="00062EDE">
        <w:rPr>
          <w:rStyle w:val="normaltextrun"/>
        </w:rPr>
        <w:t>rate base</w:t>
      </w:r>
      <w:r w:rsidR="00D01483">
        <w:rPr>
          <w:rStyle w:val="normaltextrun"/>
        </w:rPr>
        <w:t xml:space="preserve">, similar to a capital addition </w:t>
      </w:r>
      <w:r w:rsidR="007E0F62">
        <w:rPr>
          <w:rStyle w:val="normaltextrun"/>
        </w:rPr>
        <w:t xml:space="preserve">that increases </w:t>
      </w:r>
      <w:r w:rsidR="000F5990">
        <w:rPr>
          <w:rStyle w:val="normaltextrun"/>
        </w:rPr>
        <w:t xml:space="preserve">the overall value </w:t>
      </w:r>
      <w:r w:rsidR="00421A94">
        <w:rPr>
          <w:rStyle w:val="normaltextrun"/>
        </w:rPr>
        <w:t xml:space="preserve">of the utility and allows the utility to earn a return on its investment. </w:t>
      </w:r>
      <w:r w:rsidRPr="00F51D42" w:rsidR="0031208C">
        <w:rPr>
          <w:rStyle w:val="normaltextrun"/>
        </w:rPr>
        <w:t xml:space="preserve">In addition, if </w:t>
      </w:r>
      <w:r w:rsidR="0074458C">
        <w:rPr>
          <w:rStyle w:val="normaltextrun"/>
        </w:rPr>
        <w:t xml:space="preserve">the </w:t>
      </w:r>
      <w:r w:rsidRPr="00F51D42" w:rsidR="0031208C">
        <w:rPr>
          <w:rStyle w:val="normaltextrun"/>
        </w:rPr>
        <w:t>fair market value</w:t>
      </w:r>
      <w:r w:rsidR="0031208C">
        <w:rPr>
          <w:rStyle w:val="normaltextrun"/>
        </w:rPr>
        <w:t xml:space="preserve"> </w:t>
      </w:r>
      <w:r w:rsidRPr="00F51D42" w:rsidR="0031208C">
        <w:rPr>
          <w:rStyle w:val="normaltextrun"/>
        </w:rPr>
        <w:t xml:space="preserve">exceeds </w:t>
      </w:r>
      <w:r w:rsidR="0074458C">
        <w:rPr>
          <w:rStyle w:val="normaltextrun"/>
        </w:rPr>
        <w:t xml:space="preserve">the </w:t>
      </w:r>
      <w:r w:rsidRPr="00F51D42" w:rsidR="0031208C">
        <w:rPr>
          <w:rStyle w:val="normaltextrun"/>
        </w:rPr>
        <w:t xml:space="preserve">reproduction cost, the difference may be included in the </w:t>
      </w:r>
      <w:r w:rsidR="0074458C">
        <w:rPr>
          <w:rStyle w:val="normaltextrun"/>
        </w:rPr>
        <w:t xml:space="preserve">acquiring utility’s </w:t>
      </w:r>
      <w:r w:rsidRPr="00F51D42" w:rsidR="0031208C">
        <w:rPr>
          <w:rStyle w:val="normaltextrun"/>
        </w:rPr>
        <w:t>rate base</w:t>
      </w:r>
      <w:r w:rsidR="0031208C">
        <w:rPr>
          <w:rStyle w:val="normaltextrun"/>
        </w:rPr>
        <w:t xml:space="preserve"> </w:t>
      </w:r>
      <w:r w:rsidRPr="00F51D42" w:rsidR="0031208C">
        <w:rPr>
          <w:rStyle w:val="normaltextrun"/>
        </w:rPr>
        <w:t>provided the additional amount is found to be reasonable and will provide</w:t>
      </w:r>
      <w:r w:rsidR="0031208C">
        <w:rPr>
          <w:rStyle w:val="normaltextrun"/>
        </w:rPr>
        <w:t xml:space="preserve"> </w:t>
      </w:r>
      <w:r w:rsidRPr="00F51D42" w:rsidR="0031208C">
        <w:rPr>
          <w:rStyle w:val="normaltextrun"/>
        </w:rPr>
        <w:t>important benefits</w:t>
      </w:r>
      <w:r w:rsidR="0074458C">
        <w:rPr>
          <w:rStyle w:val="normaltextrun"/>
        </w:rPr>
        <w:t>.</w:t>
      </w:r>
      <w:r w:rsidR="0074458C">
        <w:rPr>
          <w:rStyle w:val="FootnoteReference"/>
        </w:rPr>
        <w:footnoteReference w:id="12"/>
      </w:r>
      <w:r w:rsidRPr="00F51D42" w:rsidR="0031208C">
        <w:rPr>
          <w:rStyle w:val="normaltextrun"/>
        </w:rPr>
        <w:t xml:space="preserve"> </w:t>
      </w:r>
    </w:p>
    <w:p w:rsidR="008F60CD" w:rsidP="008F60CD" w:rsidRDefault="0031208C" w14:paraId="16C7AC03" w14:textId="42A32E53">
      <w:pPr>
        <w:rPr>
          <w:rStyle w:val="normaltextrun"/>
        </w:rPr>
      </w:pPr>
      <w:r w:rsidRPr="00241CAA">
        <w:rPr>
          <w:rStyle w:val="normaltextrun"/>
        </w:rPr>
        <w:t xml:space="preserve">The second significant event </w:t>
      </w:r>
      <w:r>
        <w:rPr>
          <w:rStyle w:val="normaltextrun"/>
        </w:rPr>
        <w:t xml:space="preserve">at the time </w:t>
      </w:r>
      <w:r w:rsidRPr="00241CAA">
        <w:rPr>
          <w:rStyle w:val="normaltextrun"/>
        </w:rPr>
        <w:t xml:space="preserve">was the approval in the 1996 </w:t>
      </w:r>
      <w:r>
        <w:rPr>
          <w:rStyle w:val="normaltextrun"/>
        </w:rPr>
        <w:t xml:space="preserve">California </w:t>
      </w:r>
      <w:r w:rsidRPr="00241CAA">
        <w:rPr>
          <w:rStyle w:val="normaltextrun"/>
        </w:rPr>
        <w:t>general election</w:t>
      </w:r>
      <w:r>
        <w:rPr>
          <w:rStyle w:val="normaltextrun"/>
        </w:rPr>
        <w:t xml:space="preserve"> </w:t>
      </w:r>
      <w:r w:rsidRPr="00241CAA">
        <w:rPr>
          <w:rStyle w:val="normaltextrun"/>
        </w:rPr>
        <w:t>of Proposition 218, which require</w:t>
      </w:r>
      <w:r>
        <w:rPr>
          <w:rStyle w:val="normaltextrun"/>
        </w:rPr>
        <w:t>s</w:t>
      </w:r>
      <w:r w:rsidRPr="00241CAA">
        <w:rPr>
          <w:rStyle w:val="normaltextrun"/>
        </w:rPr>
        <w:t xml:space="preserve"> an affirmative vote by the public before a</w:t>
      </w:r>
      <w:r>
        <w:rPr>
          <w:rStyle w:val="normaltextrun"/>
        </w:rPr>
        <w:t xml:space="preserve"> </w:t>
      </w:r>
      <w:r w:rsidRPr="00241CAA">
        <w:rPr>
          <w:rStyle w:val="normaltextrun"/>
        </w:rPr>
        <w:t xml:space="preserve">public agency water system </w:t>
      </w:r>
      <w:r w:rsidR="001236F0">
        <w:rPr>
          <w:rStyle w:val="normaltextrun"/>
        </w:rPr>
        <w:t>is a</w:t>
      </w:r>
      <w:r w:rsidR="008705C0">
        <w:rPr>
          <w:rStyle w:val="normaltextrun"/>
        </w:rPr>
        <w:t>uthorized to</w:t>
      </w:r>
      <w:r w:rsidRPr="00241CAA" w:rsidR="001236F0">
        <w:rPr>
          <w:rStyle w:val="normaltextrun"/>
        </w:rPr>
        <w:t xml:space="preserve"> </w:t>
      </w:r>
      <w:r w:rsidRPr="00241CAA">
        <w:rPr>
          <w:rStyle w:val="normaltextrun"/>
          <w:rFonts w:eastAsia="Times New Roman"/>
        </w:rPr>
        <w:t>raise</w:t>
      </w:r>
      <w:r>
        <w:rPr>
          <w:rStyle w:val="normaltextrun"/>
        </w:rPr>
        <w:t xml:space="preserve"> </w:t>
      </w:r>
      <w:r w:rsidRPr="00241CAA">
        <w:rPr>
          <w:rStyle w:val="normaltextrun"/>
          <w:rFonts w:eastAsia="Times New Roman"/>
        </w:rPr>
        <w:t>prop</w:t>
      </w:r>
      <w:r>
        <w:rPr>
          <w:rStyle w:val="normaltextrun"/>
        </w:rPr>
        <w:t>e</w:t>
      </w:r>
      <w:r w:rsidRPr="00241CAA">
        <w:rPr>
          <w:rStyle w:val="normaltextrun"/>
          <w:rFonts w:eastAsia="Times New Roman"/>
        </w:rPr>
        <w:t>rty</w:t>
      </w:r>
      <w:r w:rsidRPr="00241CAA">
        <w:rPr>
          <w:rStyle w:val="normaltextrun"/>
        </w:rPr>
        <w:t>-related fees or taxes and</w:t>
      </w:r>
      <w:r>
        <w:rPr>
          <w:rStyle w:val="normaltextrun"/>
        </w:rPr>
        <w:t xml:space="preserve"> by extension,</w:t>
      </w:r>
      <w:r w:rsidRPr="00241CAA">
        <w:rPr>
          <w:rStyle w:val="normaltextrun"/>
        </w:rPr>
        <w:t xml:space="preserve"> water rates. </w:t>
      </w:r>
      <w:r w:rsidR="00893E2E">
        <w:rPr>
          <w:rStyle w:val="normaltextrun"/>
        </w:rPr>
        <w:t xml:space="preserve">By allowing the public to </w:t>
      </w:r>
      <w:r w:rsidR="00445C6B">
        <w:rPr>
          <w:rStyle w:val="normaltextrun"/>
        </w:rPr>
        <w:t xml:space="preserve">vote </w:t>
      </w:r>
      <w:r w:rsidR="006C397B">
        <w:rPr>
          <w:rStyle w:val="normaltextrun"/>
        </w:rPr>
        <w:t xml:space="preserve">on </w:t>
      </w:r>
      <w:r w:rsidR="00BF46AF">
        <w:rPr>
          <w:rStyle w:val="normaltextrun"/>
        </w:rPr>
        <w:t xml:space="preserve">proposed </w:t>
      </w:r>
      <w:r w:rsidR="0055689A">
        <w:rPr>
          <w:rStyle w:val="normaltextrun"/>
        </w:rPr>
        <w:t>water rate increases</w:t>
      </w:r>
      <w:r w:rsidR="00407EC8">
        <w:rPr>
          <w:rStyle w:val="normaltextrun"/>
        </w:rPr>
        <w:t xml:space="preserve">, this proposition fulfilled its </w:t>
      </w:r>
      <w:r w:rsidR="00DB0014">
        <w:rPr>
          <w:rStyle w:val="normaltextrun"/>
        </w:rPr>
        <w:t>purpose</w:t>
      </w:r>
      <w:r w:rsidR="00407EC8">
        <w:rPr>
          <w:rStyle w:val="normaltextrun"/>
        </w:rPr>
        <w:t xml:space="preserve"> </w:t>
      </w:r>
      <w:r w:rsidR="006F656F">
        <w:rPr>
          <w:rStyle w:val="normaltextrun"/>
        </w:rPr>
        <w:t xml:space="preserve">in giving the public an opportunity to have a say </w:t>
      </w:r>
      <w:r w:rsidR="009758C5">
        <w:rPr>
          <w:rStyle w:val="normaltextrun"/>
        </w:rPr>
        <w:t>in rate increases</w:t>
      </w:r>
      <w:r w:rsidR="005E5CF4">
        <w:rPr>
          <w:rStyle w:val="normaltextrun"/>
        </w:rPr>
        <w:t>; however, t</w:t>
      </w:r>
      <w:r w:rsidRPr="00241CAA">
        <w:rPr>
          <w:rStyle w:val="normaltextrun"/>
        </w:rPr>
        <w:t xml:space="preserve">his </w:t>
      </w:r>
      <w:r w:rsidR="00F50B57">
        <w:rPr>
          <w:rStyle w:val="normaltextrun"/>
        </w:rPr>
        <w:t>voting process may have led to</w:t>
      </w:r>
      <w:r>
        <w:rPr>
          <w:rStyle w:val="normaltextrun"/>
        </w:rPr>
        <w:t xml:space="preserve"> some unintended consequences</w:t>
      </w:r>
      <w:r w:rsidR="00F50B57">
        <w:rPr>
          <w:rStyle w:val="normaltextrun"/>
        </w:rPr>
        <w:t xml:space="preserve">.  Voters may </w:t>
      </w:r>
      <w:r w:rsidR="0082783A">
        <w:rPr>
          <w:rStyle w:val="normaltextrun"/>
        </w:rPr>
        <w:t xml:space="preserve">elect to not raise rates </w:t>
      </w:r>
      <w:r w:rsidR="00B84F72">
        <w:rPr>
          <w:rStyle w:val="normaltextrun"/>
        </w:rPr>
        <w:t>or their own utility bills</w:t>
      </w:r>
      <w:r w:rsidR="00EF1A1B">
        <w:rPr>
          <w:rStyle w:val="normaltextrun"/>
        </w:rPr>
        <w:t xml:space="preserve">, but this </w:t>
      </w:r>
      <w:r w:rsidR="00284AFF">
        <w:rPr>
          <w:rStyle w:val="normaltextrun"/>
        </w:rPr>
        <w:t xml:space="preserve">ultimately </w:t>
      </w:r>
      <w:r w:rsidR="00DB0014">
        <w:rPr>
          <w:rStyle w:val="normaltextrun"/>
        </w:rPr>
        <w:t xml:space="preserve">results </w:t>
      </w:r>
      <w:r w:rsidR="00B81B7E">
        <w:rPr>
          <w:rStyle w:val="normaltextrun"/>
        </w:rPr>
        <w:t xml:space="preserve">in </w:t>
      </w:r>
      <w:r w:rsidR="00B81B7E">
        <w:rPr>
          <w:rStyle w:val="normaltextrun"/>
        </w:rPr>
        <w:lastRenderedPageBreak/>
        <w:t xml:space="preserve">deferred maintenance </w:t>
      </w:r>
      <w:r w:rsidR="008C737D">
        <w:rPr>
          <w:rStyle w:val="normaltextrun"/>
        </w:rPr>
        <w:t xml:space="preserve">and water system degradation </w:t>
      </w:r>
      <w:r w:rsidR="00DB0014">
        <w:rPr>
          <w:rStyle w:val="normaltextrun"/>
        </w:rPr>
        <w:t xml:space="preserve">from the absence of </w:t>
      </w:r>
      <w:r w:rsidR="00284AFF">
        <w:rPr>
          <w:rStyle w:val="normaltextrun"/>
        </w:rPr>
        <w:t>increased revenues needed</w:t>
      </w:r>
      <w:r w:rsidR="00DB0014">
        <w:rPr>
          <w:rStyle w:val="normaltextrun"/>
        </w:rPr>
        <w:t xml:space="preserve"> to address</w:t>
      </w:r>
      <w:r w:rsidR="00F24013">
        <w:rPr>
          <w:rStyle w:val="normaltextrun"/>
        </w:rPr>
        <w:t xml:space="preserve"> </w:t>
      </w:r>
      <w:r w:rsidR="00284AFF">
        <w:rPr>
          <w:rStyle w:val="normaltextrun"/>
        </w:rPr>
        <w:t>water</w:t>
      </w:r>
      <w:r w:rsidR="004E4A56">
        <w:rPr>
          <w:rStyle w:val="normaltextrun"/>
        </w:rPr>
        <w:t xml:space="preserve"> supply and </w:t>
      </w:r>
      <w:r w:rsidR="00F24013">
        <w:rPr>
          <w:rStyle w:val="normaltextrun"/>
        </w:rPr>
        <w:t>capital improvements</w:t>
      </w:r>
      <w:r>
        <w:rPr>
          <w:rStyle w:val="normaltextrun"/>
        </w:rPr>
        <w:t>.</w:t>
      </w:r>
      <w:r w:rsidRPr="00614B7F">
        <w:rPr>
          <w:rStyle w:val="normaltextrun"/>
        </w:rPr>
        <w:t xml:space="preserve"> </w:t>
      </w:r>
      <w:r w:rsidR="00F40522">
        <w:t>For example, Paso Robles voters rejected a rate increase in 2009 to fund the Nacimiento Water Project constructing a pipeline that would provide an additional source of supply to the city.</w:t>
      </w:r>
      <w:r w:rsidR="008F60CD">
        <w:rPr>
          <w:rStyle w:val="FootnoteReference"/>
        </w:rPr>
        <w:footnoteReference w:id="13"/>
      </w:r>
      <w:r>
        <w:rPr>
          <w:rStyle w:val="normaltextrun"/>
        </w:rPr>
        <w:t xml:space="preserve"> </w:t>
      </w:r>
    </w:p>
    <w:p w:rsidR="0031208C" w:rsidP="0031208C" w:rsidRDefault="001339CB" w14:paraId="14862FD7" w14:textId="5FE7572F">
      <w:pPr>
        <w:rPr>
          <w:rStyle w:val="normaltextrun"/>
        </w:rPr>
      </w:pPr>
      <w:r>
        <w:rPr>
          <w:rStyle w:val="normaltextrun"/>
        </w:rPr>
        <w:t xml:space="preserve">Faced with </w:t>
      </w:r>
      <w:r w:rsidR="00F601D3">
        <w:rPr>
          <w:rStyle w:val="normaltextrun"/>
        </w:rPr>
        <w:t xml:space="preserve">the </w:t>
      </w:r>
      <w:r>
        <w:rPr>
          <w:rStyle w:val="normaltextrun"/>
        </w:rPr>
        <w:t xml:space="preserve">rising costs of water system </w:t>
      </w:r>
      <w:r w:rsidR="00F601D3">
        <w:rPr>
          <w:rStyle w:val="normaltextrun"/>
        </w:rPr>
        <w:t xml:space="preserve">maintenance and </w:t>
      </w:r>
      <w:r>
        <w:rPr>
          <w:rStyle w:val="normaltextrun"/>
        </w:rPr>
        <w:t xml:space="preserve">operation </w:t>
      </w:r>
      <w:r w:rsidR="00397EFC">
        <w:rPr>
          <w:rStyle w:val="normaltextrun"/>
        </w:rPr>
        <w:t>in addition to</w:t>
      </w:r>
      <w:r w:rsidR="0031208C">
        <w:rPr>
          <w:rStyle w:val="normaltextrun"/>
        </w:rPr>
        <w:t xml:space="preserve"> </w:t>
      </w:r>
      <w:r w:rsidR="00AD1CDE">
        <w:rPr>
          <w:rStyle w:val="normaltextrun"/>
        </w:rPr>
        <w:t>the inability to raise sufficient revenue to cover those costs</w:t>
      </w:r>
      <w:r w:rsidR="0031208C">
        <w:rPr>
          <w:rStyle w:val="normaltextrun"/>
        </w:rPr>
        <w:t xml:space="preserve">, </w:t>
      </w:r>
      <w:r w:rsidRPr="00241CAA" w:rsidR="0031208C">
        <w:rPr>
          <w:rStyle w:val="normaltextrun"/>
        </w:rPr>
        <w:t>municipally ow</w:t>
      </w:r>
      <w:r w:rsidR="0031208C">
        <w:rPr>
          <w:rStyle w:val="normaltextrun"/>
        </w:rPr>
        <w:t>n</w:t>
      </w:r>
      <w:r w:rsidRPr="00241CAA" w:rsidR="0031208C">
        <w:rPr>
          <w:rStyle w:val="normaltextrun"/>
        </w:rPr>
        <w:t>ed water</w:t>
      </w:r>
      <w:r w:rsidR="0031208C">
        <w:rPr>
          <w:rStyle w:val="normaltextrun"/>
        </w:rPr>
        <w:t xml:space="preserve"> </w:t>
      </w:r>
      <w:r w:rsidRPr="00241CAA" w:rsidR="0031208C">
        <w:rPr>
          <w:rStyle w:val="normaltextrun"/>
        </w:rPr>
        <w:t xml:space="preserve">systems </w:t>
      </w:r>
      <w:r w:rsidR="0031208C">
        <w:rPr>
          <w:rStyle w:val="normaltextrun"/>
        </w:rPr>
        <w:t xml:space="preserve">may choose </w:t>
      </w:r>
      <w:r w:rsidRPr="00241CAA" w:rsidR="0031208C">
        <w:rPr>
          <w:rStyle w:val="normaltextrun"/>
        </w:rPr>
        <w:t xml:space="preserve">to sell or </w:t>
      </w:r>
      <w:r w:rsidR="007B3FB6">
        <w:rPr>
          <w:rStyle w:val="normaltextrun"/>
        </w:rPr>
        <w:t xml:space="preserve">contract </w:t>
      </w:r>
      <w:r w:rsidR="0031208C">
        <w:rPr>
          <w:rStyle w:val="normaltextrun"/>
        </w:rPr>
        <w:t>their systems</w:t>
      </w:r>
      <w:r w:rsidRPr="00241CAA" w:rsidR="0031208C">
        <w:rPr>
          <w:rStyle w:val="normaltextrun"/>
        </w:rPr>
        <w:t xml:space="preserve"> to other municipal water systems, water districts or</w:t>
      </w:r>
      <w:r w:rsidR="0031208C">
        <w:rPr>
          <w:rStyle w:val="normaltextrun"/>
        </w:rPr>
        <w:t xml:space="preserve"> </w:t>
      </w:r>
      <w:r w:rsidRPr="00241CAA" w:rsidR="0031208C">
        <w:rPr>
          <w:rStyle w:val="normaltextrun"/>
        </w:rPr>
        <w:t xml:space="preserve">investor-owned water utilities. </w:t>
      </w:r>
      <w:r>
        <w:rPr>
          <w:rStyle w:val="normaltextrun"/>
        </w:rPr>
        <w:t>F</w:t>
      </w:r>
      <w:r w:rsidR="00721A57">
        <w:rPr>
          <w:rStyle w:val="normaltextrun"/>
        </w:rPr>
        <w:t>or example, the City of Monteb</w:t>
      </w:r>
      <w:r w:rsidR="001F4451">
        <w:rPr>
          <w:rStyle w:val="normaltextrun"/>
        </w:rPr>
        <w:t xml:space="preserve">ello’s water system “has been operating at a significant deficit since at least </w:t>
      </w:r>
      <w:r>
        <w:rPr>
          <w:rStyle w:val="normaltextrun"/>
        </w:rPr>
        <w:t>2007</w:t>
      </w:r>
      <w:r w:rsidR="00CF2464">
        <w:rPr>
          <w:rStyle w:val="normaltextrun"/>
        </w:rPr>
        <w:t>,</w:t>
      </w:r>
      <w:r w:rsidR="00A07C4F">
        <w:rPr>
          <w:rStyle w:val="normaltextrun"/>
        </w:rPr>
        <w:t xml:space="preserve"> due in large part to increased costs of imported water, operations, maintenance, and necessary capital improvements</w:t>
      </w:r>
      <w:r w:rsidR="00CF2464">
        <w:rPr>
          <w:rStyle w:val="normaltextrun"/>
        </w:rPr>
        <w:t xml:space="preserve">” and has been operated by San Gabriel Valley Water Company since </w:t>
      </w:r>
      <w:r w:rsidR="00C44131">
        <w:rPr>
          <w:rStyle w:val="normaltextrun"/>
        </w:rPr>
        <w:t>2013</w:t>
      </w:r>
      <w:r w:rsidRPr="00241CAA" w:rsidR="0031208C">
        <w:rPr>
          <w:rStyle w:val="normaltextrun"/>
        </w:rPr>
        <w:t>.</w:t>
      </w:r>
      <w:r w:rsidR="00DF2E35">
        <w:rPr>
          <w:rStyle w:val="FootnoteReference"/>
        </w:rPr>
        <w:footnoteReference w:id="14"/>
      </w:r>
      <w:r w:rsidRPr="00241CAA" w:rsidR="0031208C">
        <w:rPr>
          <w:rStyle w:val="normaltextrun"/>
        </w:rPr>
        <w:t xml:space="preserve"> Thus, many more </w:t>
      </w:r>
      <w:r w:rsidR="0058259E">
        <w:rPr>
          <w:rStyle w:val="normaltextrun"/>
        </w:rPr>
        <w:t xml:space="preserve">such </w:t>
      </w:r>
      <w:r w:rsidRPr="00241CAA" w:rsidR="0031208C">
        <w:rPr>
          <w:rStyle w:val="normaltextrun"/>
        </w:rPr>
        <w:t>systems may present</w:t>
      </w:r>
      <w:r w:rsidR="0031208C">
        <w:rPr>
          <w:rStyle w:val="normaltextrun"/>
        </w:rPr>
        <w:t xml:space="preserve"> </w:t>
      </w:r>
      <w:r w:rsidRPr="00241CAA" w:rsidR="0031208C">
        <w:rPr>
          <w:rStyle w:val="normaltextrun"/>
        </w:rPr>
        <w:t>opportunities to achieve economies of scale and financial and operational</w:t>
      </w:r>
      <w:r w:rsidR="0031208C">
        <w:rPr>
          <w:rStyle w:val="normaltextrun"/>
        </w:rPr>
        <w:t xml:space="preserve"> </w:t>
      </w:r>
      <w:r w:rsidRPr="00241CAA" w:rsidR="0031208C">
        <w:rPr>
          <w:rStyle w:val="normaltextrun"/>
        </w:rPr>
        <w:t xml:space="preserve">efficiencies, </w:t>
      </w:r>
      <w:r w:rsidR="00CF21D2">
        <w:rPr>
          <w:rStyle w:val="normaltextrun"/>
        </w:rPr>
        <w:t>increasing</w:t>
      </w:r>
      <w:r w:rsidRPr="00241CAA" w:rsidR="0031208C">
        <w:rPr>
          <w:rStyle w:val="normaltextrun"/>
        </w:rPr>
        <w:t xml:space="preserve"> the likelihood of acquisitions an</w:t>
      </w:r>
      <w:r w:rsidR="0031208C">
        <w:rPr>
          <w:rStyle w:val="normaltextrun"/>
        </w:rPr>
        <w:t>d</w:t>
      </w:r>
      <w:r w:rsidRPr="00241CAA" w:rsidR="0031208C">
        <w:rPr>
          <w:rStyle w:val="normaltextrun"/>
        </w:rPr>
        <w:t xml:space="preserve"> mergers </w:t>
      </w:r>
      <w:r w:rsidR="0058259E">
        <w:rPr>
          <w:rStyle w:val="normaltextrun"/>
        </w:rPr>
        <w:t>with public water systems</w:t>
      </w:r>
      <w:r w:rsidRPr="00241CAA" w:rsidR="0031208C">
        <w:rPr>
          <w:rStyle w:val="normaltextrun"/>
        </w:rPr>
        <w:t>.</w:t>
      </w:r>
    </w:p>
    <w:p w:rsidR="00070313" w:rsidP="0031208C" w:rsidRDefault="00070313" w14:paraId="703DE869" w14:textId="77777777">
      <w:pPr>
        <w:rPr>
          <w:rStyle w:val="normaltextrun"/>
        </w:rPr>
      </w:pPr>
    </w:p>
    <w:p w:rsidRPr="006B50A9" w:rsidR="006B50A9" w:rsidP="006B50A9" w:rsidRDefault="009532A3" w14:paraId="1FCE3D29" w14:textId="591E20DB">
      <w:pPr>
        <w:pStyle w:val="Heading3"/>
        <w:rPr>
          <w:rStyle w:val="normaltextrun"/>
        </w:rPr>
      </w:pPr>
      <w:bookmarkStart w:name="_Toc91071035" w:id="5"/>
      <w:r>
        <w:rPr>
          <w:rStyle w:val="normaltextrun"/>
        </w:rPr>
        <w:t xml:space="preserve">The </w:t>
      </w:r>
      <w:r w:rsidRPr="006B50A9" w:rsidR="006B50A9">
        <w:rPr>
          <w:rStyle w:val="normaltextrun"/>
        </w:rPr>
        <w:t>Framework</w:t>
      </w:r>
      <w:r>
        <w:rPr>
          <w:rStyle w:val="normaltextrun"/>
        </w:rPr>
        <w:t xml:space="preserve"> Decision</w:t>
      </w:r>
      <w:bookmarkEnd w:id="5"/>
    </w:p>
    <w:p w:rsidRPr="00142830" w:rsidR="0031208C" w:rsidP="0031208C" w:rsidRDefault="00EB4A91" w14:paraId="7AE5FEE1" w14:textId="318014F9">
      <w:r>
        <w:rPr>
          <w:rStyle w:val="normaltextrun"/>
        </w:rPr>
        <w:t>R.</w:t>
      </w:r>
      <w:r w:rsidR="0031208C">
        <w:rPr>
          <w:rStyle w:val="normaltextrun"/>
        </w:rPr>
        <w:t xml:space="preserve">97-10-048 resulted in </w:t>
      </w:r>
      <w:r w:rsidRPr="00142830" w:rsidR="0031208C">
        <w:rPr>
          <w:rStyle w:val="normaltextrun"/>
        </w:rPr>
        <w:t xml:space="preserve">Decision (D.) </w:t>
      </w:r>
      <w:bookmarkStart w:name="_Hlk76734734" w:id="6"/>
      <w:r w:rsidRPr="00142830" w:rsidR="0031208C">
        <w:rPr>
          <w:rStyle w:val="normaltextrun"/>
        </w:rPr>
        <w:t>99-10-064</w:t>
      </w:r>
      <w:bookmarkEnd w:id="6"/>
      <w:r w:rsidRPr="00142830" w:rsidR="0031208C">
        <w:rPr>
          <w:rStyle w:val="normaltextrun"/>
        </w:rPr>
        <w:t xml:space="preserve"> (“the</w:t>
      </w:r>
      <w:r w:rsidR="00DA62DA">
        <w:rPr>
          <w:rStyle w:val="normaltextrun"/>
        </w:rPr>
        <w:t xml:space="preserve"> Framework</w:t>
      </w:r>
      <w:r w:rsidRPr="00142830" w:rsidR="0031208C">
        <w:rPr>
          <w:rStyle w:val="normaltextrun"/>
        </w:rPr>
        <w:t xml:space="preserve"> Decision”) </w:t>
      </w:r>
      <w:r w:rsidR="00FA1108">
        <w:rPr>
          <w:rStyle w:val="normaltextrun"/>
        </w:rPr>
        <w:t xml:space="preserve">which </w:t>
      </w:r>
      <w:r w:rsidRPr="00142830" w:rsidR="0031208C">
        <w:rPr>
          <w:rStyle w:val="normaltextrun"/>
        </w:rPr>
        <w:t>govern</w:t>
      </w:r>
      <w:r w:rsidR="0071447F">
        <w:rPr>
          <w:rStyle w:val="normaltextrun"/>
        </w:rPr>
        <w:t>s</w:t>
      </w:r>
      <w:r w:rsidRPr="00142830" w:rsidR="0031208C">
        <w:rPr>
          <w:rStyle w:val="normaltextrun"/>
        </w:rPr>
        <w:t xml:space="preserve"> the Commission’s practice regarding acquisitions in the wake of both Proposition 218 and the Public Water System Investment and Consolidation Act of 1997. The </w:t>
      </w:r>
      <w:r w:rsidR="00CF21D2">
        <w:rPr>
          <w:rStyle w:val="normaltextrun"/>
        </w:rPr>
        <w:t>Framework D</w:t>
      </w:r>
      <w:r w:rsidRPr="00142830" w:rsidR="0031208C">
        <w:rPr>
          <w:rStyle w:val="normaltextrun"/>
        </w:rPr>
        <w:t>ecision adopted a Settlement Agreement</w:t>
      </w:r>
      <w:r w:rsidR="00504D22">
        <w:rPr>
          <w:rStyle w:val="FootnoteReference"/>
        </w:rPr>
        <w:footnoteReference w:id="15"/>
      </w:r>
      <w:r w:rsidRPr="00142830" w:rsidR="0031208C">
        <w:rPr>
          <w:rStyle w:val="normaltextrun"/>
        </w:rPr>
        <w:t xml:space="preserve"> that set forth schedules and other operating procedures for acquisition proceedings in accordance with PU Code </w:t>
      </w:r>
      <w:r w:rsidR="004A4100">
        <w:rPr>
          <w:rStyle w:val="normaltextrun"/>
          <w:rFonts w:cs="Calibri"/>
        </w:rPr>
        <w:t xml:space="preserve">Section </w:t>
      </w:r>
      <w:r w:rsidRPr="00142830" w:rsidR="0031208C">
        <w:rPr>
          <w:rStyle w:val="normaltextrun"/>
        </w:rPr>
        <w:t xml:space="preserve">2718-2020. </w:t>
      </w:r>
      <w:r w:rsidRPr="00142830" w:rsidR="0031208C">
        <w:rPr>
          <w:rStyle w:val="eop"/>
        </w:rPr>
        <w:t> </w:t>
      </w:r>
    </w:p>
    <w:p w:rsidRPr="00142830" w:rsidR="0031208C" w:rsidP="0031208C" w:rsidRDefault="0031208C" w14:paraId="646FEB48" w14:textId="71DAED8D">
      <w:r w:rsidRPr="00142830">
        <w:rPr>
          <w:rStyle w:val="normaltextrun"/>
        </w:rPr>
        <w:t xml:space="preserve">Regarding PU Code </w:t>
      </w:r>
      <w:r w:rsidR="00300369">
        <w:rPr>
          <w:rStyle w:val="normaltextrun"/>
          <w:rFonts w:cs="Calibri"/>
        </w:rPr>
        <w:t>Section</w:t>
      </w:r>
      <w:r w:rsidRPr="00142830">
        <w:rPr>
          <w:rStyle w:val="normaltextrun"/>
        </w:rPr>
        <w:t xml:space="preserve"> 2720(a), the </w:t>
      </w:r>
      <w:r w:rsidR="00DA62DA">
        <w:rPr>
          <w:rStyle w:val="normaltextrun"/>
        </w:rPr>
        <w:t xml:space="preserve">Framework </w:t>
      </w:r>
      <w:r w:rsidRPr="00142830">
        <w:rPr>
          <w:rStyle w:val="normaltextrun"/>
        </w:rPr>
        <w:t>Decision affirms that</w:t>
      </w:r>
      <w:r>
        <w:rPr>
          <w:rStyle w:val="normaltextrun"/>
        </w:rPr>
        <w:t xml:space="preserve"> the</w:t>
      </w:r>
      <w:r w:rsidRPr="00142830">
        <w:rPr>
          <w:rStyle w:val="normaltextrun"/>
        </w:rPr>
        <w:t xml:space="preserve"> purchase price is, in general, the indicator of fair market value (as specified in </w:t>
      </w:r>
      <w:r w:rsidR="002F5056">
        <w:rPr>
          <w:rStyle w:val="normaltextrun"/>
          <w:rFonts w:cs="Calibri"/>
        </w:rPr>
        <w:t xml:space="preserve">Section </w:t>
      </w:r>
      <w:r w:rsidRPr="00142830">
        <w:rPr>
          <w:rStyle w:val="normaltextrun"/>
          <w:rFonts w:cs="Calibri"/>
        </w:rPr>
        <w:t>1263.320</w:t>
      </w:r>
      <w:r w:rsidRPr="00142830">
        <w:rPr>
          <w:rStyle w:val="normaltextrun"/>
        </w:rPr>
        <w:t xml:space="preserve"> of the Code of Civil Procedure) and that </w:t>
      </w:r>
      <w:r w:rsidR="001F138F">
        <w:rPr>
          <w:rStyle w:val="normaltextrun"/>
        </w:rPr>
        <w:t xml:space="preserve">the </w:t>
      </w:r>
      <w:r w:rsidRPr="00142830">
        <w:rPr>
          <w:rStyle w:val="normaltextrun"/>
        </w:rPr>
        <w:t xml:space="preserve">fair market value serves as the standard for establishing </w:t>
      </w:r>
      <w:r>
        <w:rPr>
          <w:rStyle w:val="normaltextrun"/>
        </w:rPr>
        <w:t xml:space="preserve">the </w:t>
      </w:r>
      <w:r w:rsidRPr="00142830">
        <w:rPr>
          <w:rStyle w:val="normaltextrun"/>
        </w:rPr>
        <w:t>rate base</w:t>
      </w:r>
      <w:r>
        <w:rPr>
          <w:rStyle w:val="normaltextrun"/>
        </w:rPr>
        <w:t xml:space="preserve"> of the acquired system</w:t>
      </w:r>
      <w:r w:rsidRPr="00142830">
        <w:rPr>
          <w:rStyle w:val="normaltextrun"/>
        </w:rPr>
        <w:t xml:space="preserve">. </w:t>
      </w:r>
      <w:r w:rsidR="00E93735">
        <w:rPr>
          <w:rStyle w:val="normaltextrun"/>
        </w:rPr>
        <w:t>A</w:t>
      </w:r>
      <w:r w:rsidRPr="00142830">
        <w:rPr>
          <w:rStyle w:val="normaltextrun"/>
        </w:rPr>
        <w:t>ction by the Commission is required for an acquisition or consolidation to take place</w:t>
      </w:r>
      <w:r w:rsidR="00F15DF2">
        <w:rPr>
          <w:rStyle w:val="normaltextrun"/>
        </w:rPr>
        <w:t xml:space="preserve">; </w:t>
      </w:r>
      <w:r w:rsidRPr="00142830">
        <w:rPr>
          <w:rStyle w:val="normaltextrun"/>
        </w:rPr>
        <w:t xml:space="preserve">the Commission must find rates to be just and reasonable before they are implemented in the newly acquired system. </w:t>
      </w:r>
      <w:r w:rsidR="00F15DF2">
        <w:rPr>
          <w:rStyle w:val="normaltextrun"/>
        </w:rPr>
        <w:t>E</w:t>
      </w:r>
      <w:r w:rsidRPr="00142830">
        <w:rPr>
          <w:rStyle w:val="normaltextrun"/>
        </w:rPr>
        <w:t>ach application is required to include certain elements to assist in the Commission’s review</w:t>
      </w:r>
      <w:r w:rsidR="00F15DF2">
        <w:rPr>
          <w:rStyle w:val="normaltextrun"/>
        </w:rPr>
        <w:t xml:space="preserve">: </w:t>
      </w:r>
      <w:r w:rsidRPr="00142830">
        <w:rPr>
          <w:rStyle w:val="normaltextrun"/>
        </w:rPr>
        <w:t>an appraisal of the acquired system; the proposed rates;</w:t>
      </w:r>
      <w:r w:rsidR="00311865">
        <w:rPr>
          <w:rStyle w:val="FootnoteReference"/>
        </w:rPr>
        <w:footnoteReference w:id="16"/>
      </w:r>
      <w:r w:rsidRPr="00142830">
        <w:rPr>
          <w:rStyle w:val="normaltextrun"/>
        </w:rPr>
        <w:t xml:space="preserve"> the purchase agreement; notice to customers; the service list, including expected interested parties; and, in the cases of mutual and governmental acquisitions, a service area map.</w:t>
      </w:r>
      <w:r w:rsidRPr="00142830">
        <w:rPr>
          <w:rStyle w:val="eop"/>
        </w:rPr>
        <w:t> </w:t>
      </w:r>
    </w:p>
    <w:p w:rsidRPr="00142830" w:rsidR="0031208C" w:rsidP="0031208C" w:rsidRDefault="0031208C" w14:paraId="34A21893" w14:textId="20B11972">
      <w:r w:rsidRPr="00142830">
        <w:rPr>
          <w:rStyle w:val="normaltextrun"/>
        </w:rPr>
        <w:t xml:space="preserve">Beyond the basic incentives explicitly described in PU Code </w:t>
      </w:r>
      <w:r w:rsidR="007D6E53">
        <w:rPr>
          <w:rStyle w:val="normaltextrun"/>
          <w:rFonts w:cs="Calibri"/>
        </w:rPr>
        <w:t xml:space="preserve">Section </w:t>
      </w:r>
      <w:r w:rsidRPr="00142830">
        <w:rPr>
          <w:rStyle w:val="normaltextrun"/>
        </w:rPr>
        <w:t xml:space="preserve">2720, </w:t>
      </w:r>
      <w:r w:rsidR="009B5227">
        <w:rPr>
          <w:rStyle w:val="normaltextrun"/>
        </w:rPr>
        <w:t>t</w:t>
      </w:r>
      <w:r w:rsidRPr="00142830">
        <w:rPr>
          <w:rStyle w:val="normaltextrun"/>
        </w:rPr>
        <w:t>he</w:t>
      </w:r>
      <w:r w:rsidR="00DA62DA">
        <w:rPr>
          <w:rStyle w:val="normaltextrun"/>
        </w:rPr>
        <w:t xml:space="preserve"> </w:t>
      </w:r>
      <w:r w:rsidR="00CF21D2">
        <w:rPr>
          <w:rStyle w:val="normaltextrun"/>
        </w:rPr>
        <w:t>Framework D</w:t>
      </w:r>
      <w:r w:rsidRPr="00142830">
        <w:rPr>
          <w:rStyle w:val="normaltextrun"/>
        </w:rPr>
        <w:t>ecision provides additional incentives for the acquisition of inadequately operated and maintained small water utilities.</w:t>
      </w:r>
      <w:r w:rsidRPr="00142830">
        <w:rPr>
          <w:rStyle w:val="FootnoteReference"/>
        </w:rPr>
        <w:footnoteReference w:id="17"/>
      </w:r>
      <w:r w:rsidRPr="00142830">
        <w:rPr>
          <w:rStyle w:val="normaltextrun"/>
        </w:rPr>
        <w:t xml:space="preserve"> Acquisitions of inadequately operated and maintained small utilities may be </w:t>
      </w:r>
      <w:r w:rsidR="00793D90">
        <w:rPr>
          <w:rStyle w:val="normaltextrun"/>
        </w:rPr>
        <w:t>addressed</w:t>
      </w:r>
      <w:r w:rsidRPr="00142830" w:rsidR="00793D90">
        <w:rPr>
          <w:rStyle w:val="normaltextrun"/>
        </w:rPr>
        <w:t xml:space="preserve"> </w:t>
      </w:r>
      <w:r w:rsidRPr="00142830">
        <w:rPr>
          <w:rStyle w:val="normaltextrun"/>
        </w:rPr>
        <w:t xml:space="preserve">via advice </w:t>
      </w:r>
      <w:r w:rsidRPr="00142830">
        <w:rPr>
          <w:rStyle w:val="normaltextrun"/>
        </w:rPr>
        <w:lastRenderedPageBreak/>
        <w:t>letter rather than application</w:t>
      </w:r>
      <w:r>
        <w:rPr>
          <w:rStyle w:val="normaltextrun"/>
        </w:rPr>
        <w:t>.</w:t>
      </w:r>
      <w:r w:rsidR="00F31930">
        <w:rPr>
          <w:rStyle w:val="FootnoteReference"/>
        </w:rPr>
        <w:footnoteReference w:id="18"/>
      </w:r>
      <w:r w:rsidRPr="00142830">
        <w:rPr>
          <w:rStyle w:val="normaltextrun"/>
        </w:rPr>
        <w:t xml:space="preserve"> </w:t>
      </w:r>
      <w:r>
        <w:rPr>
          <w:rStyle w:val="normaltextrun"/>
        </w:rPr>
        <w:t>T</w:t>
      </w:r>
      <w:r w:rsidRPr="00142830">
        <w:rPr>
          <w:rStyle w:val="normaltextrun"/>
        </w:rPr>
        <w:t xml:space="preserve">he acquiring utility </w:t>
      </w:r>
      <w:r w:rsidR="00464191">
        <w:rPr>
          <w:rStyle w:val="normaltextrun"/>
        </w:rPr>
        <w:t xml:space="preserve">of an inadequately </w:t>
      </w:r>
      <w:r w:rsidR="009747A3">
        <w:rPr>
          <w:rStyle w:val="normaltextrun"/>
        </w:rPr>
        <w:t xml:space="preserve">operated and maintained small utility </w:t>
      </w:r>
      <w:r w:rsidRPr="00142830">
        <w:rPr>
          <w:rStyle w:val="normaltextrun"/>
        </w:rPr>
        <w:t xml:space="preserve">may: a) establish a memorandum account for expenses associated with unanticipated repairs; b) design rates to recover up to 100% of fixed costs in the service charge; </w:t>
      </w:r>
      <w:r w:rsidR="00BF49AA">
        <w:rPr>
          <w:rStyle w:val="normaltextrun"/>
        </w:rPr>
        <w:t xml:space="preserve">c) </w:t>
      </w:r>
      <w:r w:rsidRPr="00142830">
        <w:rPr>
          <w:rStyle w:val="normaltextrun"/>
        </w:rPr>
        <w:t>file for an increase in rates based on the most recent increase in the Consumer Price Index for All Urban Consumers; and d) set rates based on rate of return for a Class C or D utility. In these types of acquisitions, the acquiring utility may also earn an acquisition premium: a return on the price paid plus 50 percent of the difference between book value and the price paid, in addition to any costs incurred to complete the acquisition.</w:t>
      </w:r>
      <w:r w:rsidRPr="00142830">
        <w:rPr>
          <w:rStyle w:val="FootnoteReference"/>
        </w:rPr>
        <w:footnoteReference w:id="19"/>
      </w:r>
      <w:r w:rsidRPr="00142830">
        <w:rPr>
          <w:rStyle w:val="normaltextrun"/>
        </w:rPr>
        <w:t xml:space="preserve"> </w:t>
      </w:r>
    </w:p>
    <w:p w:rsidRPr="0078061F" w:rsidR="006B50A9" w:rsidP="0031208C" w:rsidRDefault="0031208C" w14:paraId="22257798" w14:textId="6C8C1EC7">
      <w:pPr>
        <w:rPr>
          <w:rStyle w:val="normaltextrun"/>
          <w:rFonts w:cs="Calibri"/>
        </w:rPr>
      </w:pPr>
      <w:r w:rsidRPr="00142830">
        <w:rPr>
          <w:rStyle w:val="normaltextrun"/>
        </w:rPr>
        <w:t xml:space="preserve">The </w:t>
      </w:r>
      <w:r w:rsidR="005842F8">
        <w:rPr>
          <w:rStyle w:val="normaltextrun"/>
        </w:rPr>
        <w:t xml:space="preserve">Framework </w:t>
      </w:r>
      <w:r w:rsidR="002855BE">
        <w:rPr>
          <w:rStyle w:val="normaltextrun"/>
        </w:rPr>
        <w:t>D</w:t>
      </w:r>
      <w:r w:rsidRPr="00142830">
        <w:rPr>
          <w:rStyle w:val="normaltextrun"/>
        </w:rPr>
        <w:t>ecision sets forth three different schedules for acquisition proceedings, depending on whether the acquisition can be handled by application or advice letter; and in the case of an application, whether the acquired utility is Class A or B, or Class C or D</w:t>
      </w:r>
      <w:r w:rsidR="008C1E12">
        <w:rPr>
          <w:rStyle w:val="normaltextrun"/>
        </w:rPr>
        <w:t xml:space="preserve"> utility</w:t>
      </w:r>
      <w:r w:rsidRPr="00142830">
        <w:rPr>
          <w:rStyle w:val="normaltextrun"/>
        </w:rPr>
        <w:t>.</w:t>
      </w:r>
      <w:r>
        <w:rPr>
          <w:rStyle w:val="FootnoteReference"/>
        </w:rPr>
        <w:footnoteReference w:id="20"/>
      </w:r>
      <w:r w:rsidRPr="00142830">
        <w:rPr>
          <w:rStyle w:val="normaltextrun"/>
        </w:rPr>
        <w:t xml:space="preserve"> The schedules for consolidation applications </w:t>
      </w:r>
      <w:r w:rsidR="00A61A42">
        <w:rPr>
          <w:rStyle w:val="normaltextrun"/>
        </w:rPr>
        <w:t>should</w:t>
      </w:r>
      <w:r w:rsidR="001E7C4A">
        <w:rPr>
          <w:rStyle w:val="normaltextrun"/>
        </w:rPr>
        <w:t xml:space="preserve"> nominally</w:t>
      </w:r>
      <w:r w:rsidRPr="00142830" w:rsidR="00A61A42">
        <w:rPr>
          <w:rStyle w:val="normaltextrun"/>
        </w:rPr>
        <w:t xml:space="preserve"> </w:t>
      </w:r>
      <w:r w:rsidRPr="00142830">
        <w:rPr>
          <w:rStyle w:val="normaltextrun"/>
        </w:rPr>
        <w:t>conform to a 245-day timeline, though the schedule for larger utilities</w:t>
      </w:r>
      <w:r w:rsidR="00F53008">
        <w:rPr>
          <w:rStyle w:val="normaltextrun"/>
        </w:rPr>
        <w:t>’ consolidations</w:t>
      </w:r>
      <w:r w:rsidRPr="00142830">
        <w:rPr>
          <w:rStyle w:val="normaltextrun"/>
        </w:rPr>
        <w:t xml:space="preserve"> provides for a longer timeline in the event of an independent appraisal.</w:t>
      </w:r>
      <w:r w:rsidR="00097B97">
        <w:rPr>
          <w:rStyle w:val="FootnoteReference"/>
        </w:rPr>
        <w:footnoteReference w:id="21"/>
      </w:r>
      <w:r w:rsidRPr="00142830">
        <w:rPr>
          <w:rStyle w:val="normaltextrun"/>
        </w:rPr>
        <w:t xml:space="preserve"> Proposed acquisitions of a Class A or B utility are also preceded by a Notice of Intention, outlining how the consolidation would affect reliability, health and safety regulations, economies of scale, and customers. Acquisitions or consolidations that can be done by advice letter—such as those of inadequately operated and maintained small water utilities, or as specified in PU Code </w:t>
      </w:r>
      <w:r w:rsidR="0078061F">
        <w:rPr>
          <w:rStyle w:val="normaltextrun"/>
          <w:rFonts w:cs="Calibri"/>
        </w:rPr>
        <w:t xml:space="preserve">Section </w:t>
      </w:r>
      <w:r w:rsidRPr="00142830">
        <w:rPr>
          <w:rStyle w:val="normaltextrun"/>
        </w:rPr>
        <w:t>851—</w:t>
      </w:r>
      <w:r w:rsidR="001D4761">
        <w:rPr>
          <w:rStyle w:val="normaltextrun"/>
        </w:rPr>
        <w:t>should</w:t>
      </w:r>
      <w:r w:rsidR="00727B0A">
        <w:rPr>
          <w:rStyle w:val="normaltextrun"/>
        </w:rPr>
        <w:t xml:space="preserve"> </w:t>
      </w:r>
      <w:r w:rsidRPr="00142830">
        <w:rPr>
          <w:rStyle w:val="normaltextrun"/>
        </w:rPr>
        <w:t>conform to a 100-day review timeline.</w:t>
      </w:r>
    </w:p>
    <w:p w:rsidR="002935D0" w:rsidP="0031208C" w:rsidRDefault="002935D0" w14:paraId="2215411A" w14:textId="09B5E52C">
      <w:pPr>
        <w:rPr>
          <w:sz w:val="20"/>
        </w:rPr>
      </w:pPr>
      <w:r>
        <w:br w:type="page"/>
      </w:r>
    </w:p>
    <w:p w:rsidR="00CE23F0" w:rsidP="002935D0" w:rsidRDefault="002935D0" w14:paraId="2BAD5F49" w14:textId="47242C82">
      <w:pPr>
        <w:pStyle w:val="Heading1"/>
      </w:pPr>
      <w:bookmarkStart w:name="_Toc91071036" w:id="7"/>
      <w:r>
        <w:lastRenderedPageBreak/>
        <w:t>Issues with the Existing Framework</w:t>
      </w:r>
      <w:bookmarkEnd w:id="7"/>
    </w:p>
    <w:p w:rsidRPr="002935D0" w:rsidR="002935D0" w:rsidP="002935D0" w:rsidRDefault="002935D0" w14:paraId="51CC6119" w14:textId="0181CA3C">
      <w:pPr>
        <w:pStyle w:val="Heading2"/>
      </w:pPr>
      <w:bookmarkStart w:name="_Toc91071037" w:id="8"/>
      <w:r>
        <w:t>Price and Valuation</w:t>
      </w:r>
      <w:bookmarkEnd w:id="8"/>
    </w:p>
    <w:p w:rsidR="009702C3" w:rsidP="009702C3" w:rsidRDefault="009702C3" w14:paraId="4028741D" w14:textId="009B5F56">
      <w:r w:rsidRPr="00142830">
        <w:t xml:space="preserve">One of the most </w:t>
      </w:r>
      <w:r w:rsidR="00C5269C">
        <w:t>litigious</w:t>
      </w:r>
      <w:r w:rsidRPr="00142830" w:rsidR="00C5269C">
        <w:t xml:space="preserve"> </w:t>
      </w:r>
      <w:r w:rsidRPr="00142830">
        <w:t xml:space="preserve">issues in acquisition proceedings at the Commission is in determining the value of an acquired system. </w:t>
      </w:r>
      <w:r w:rsidR="00C5269C">
        <w:t>Pursuant to</w:t>
      </w:r>
      <w:r w:rsidRPr="00142830">
        <w:t xml:space="preserve"> </w:t>
      </w:r>
      <w:r w:rsidRPr="009F58B6">
        <w:t xml:space="preserve">PU Code </w:t>
      </w:r>
      <w:r w:rsidR="00CE3D22">
        <w:rPr>
          <w:rStyle w:val="normaltextrun"/>
          <w:rFonts w:cs="Calibri"/>
          <w:szCs w:val="24"/>
        </w:rPr>
        <w:t xml:space="preserve">Section </w:t>
      </w:r>
      <w:r w:rsidRPr="009F58B6">
        <w:t xml:space="preserve">2720 and CCP </w:t>
      </w:r>
      <w:r w:rsidR="00CE3D22">
        <w:rPr>
          <w:rStyle w:val="normaltextrun"/>
          <w:rFonts w:cs="Calibri"/>
          <w:szCs w:val="24"/>
        </w:rPr>
        <w:t xml:space="preserve">Section </w:t>
      </w:r>
      <w:r w:rsidRPr="009F58B6">
        <w:rPr>
          <w:rStyle w:val="normaltextrun"/>
          <w:rFonts w:cs="Calibri"/>
          <w:szCs w:val="24"/>
        </w:rPr>
        <w:t>1263.320</w:t>
      </w:r>
      <w:r w:rsidRPr="009F58B6">
        <w:t xml:space="preserve">, </w:t>
      </w:r>
      <w:r w:rsidRPr="00290CE3">
        <w:t xml:space="preserve">the Commission has </w:t>
      </w:r>
      <w:r w:rsidR="00130CC2">
        <w:t>interpreted those code sections</w:t>
      </w:r>
      <w:r w:rsidRPr="00290CE3" w:rsidR="00130CC2">
        <w:t xml:space="preserve"> </w:t>
      </w:r>
      <w:r w:rsidRPr="00290CE3">
        <w:t>to find that the</w:t>
      </w:r>
      <w:r w:rsidRPr="00056ACD">
        <w:t xml:space="preserve"> fair market value of an acquired system—the amount to be added to rate base—is equal to the price paid by the acquiring utility</w:t>
      </w:r>
      <w:r w:rsidRPr="009F58B6">
        <w:t>.</w:t>
      </w:r>
      <w:r w:rsidRPr="009F58B6">
        <w:rPr>
          <w:rStyle w:val="FootnoteReference"/>
        </w:rPr>
        <w:footnoteReference w:id="22"/>
      </w:r>
      <w:r w:rsidRPr="009F58B6">
        <w:t xml:space="preserve"> </w:t>
      </w:r>
      <w:r w:rsidRPr="00142830">
        <w:t>PU Code</w:t>
      </w:r>
      <w:r w:rsidR="00926894">
        <w:t xml:space="preserve"> Section </w:t>
      </w:r>
      <w:r w:rsidRPr="00142830">
        <w:t xml:space="preserve">2720(b) explicitly instructs the Commission to compare the </w:t>
      </w:r>
      <w:r>
        <w:t>fair market value</w:t>
      </w:r>
      <w:r w:rsidRPr="00142830">
        <w:t xml:space="preserve"> to the system’s reproduction cost less depreciation, before permitting the acquiring utility to add the acquisition premium—the amount of the purchase price above the system’s </w:t>
      </w:r>
      <w:r>
        <w:t>assessed</w:t>
      </w:r>
      <w:r w:rsidRPr="00142830">
        <w:t xml:space="preserve"> value—to rate base.</w:t>
      </w:r>
      <w:r w:rsidRPr="00A46359" w:rsidR="00A46359">
        <w:t xml:space="preserve"> </w:t>
      </w:r>
      <w:r w:rsidRPr="009F58B6" w:rsidR="00A46359">
        <w:t>However, CCP</w:t>
      </w:r>
      <w:r w:rsidR="00A46359">
        <w:t xml:space="preserve"> </w:t>
      </w:r>
      <w:r w:rsidR="00926894">
        <w:rPr>
          <w:rStyle w:val="normaltextrun"/>
          <w:rFonts w:cs="Calibri"/>
          <w:szCs w:val="24"/>
        </w:rPr>
        <w:t xml:space="preserve">Section </w:t>
      </w:r>
      <w:r w:rsidR="00A46359">
        <w:rPr>
          <w:rStyle w:val="normaltextrun"/>
          <w:rFonts w:cs="Calibri"/>
          <w:szCs w:val="24"/>
        </w:rPr>
        <w:t xml:space="preserve">1263.320 </w:t>
      </w:r>
      <w:r w:rsidRPr="009F58B6" w:rsidR="00A46359">
        <w:t>also maintains that “where no relevant, comparable market</w:t>
      </w:r>
      <w:r w:rsidRPr="00142830" w:rsidR="00A46359">
        <w:t xml:space="preserve"> exists</w:t>
      </w:r>
      <w:r w:rsidR="00A46359">
        <w:t>,</w:t>
      </w:r>
      <w:r w:rsidRPr="00142830" w:rsidR="00A46359">
        <w:t xml:space="preserve">” the fair market value can be determined by any “fair and reasonable method”. The legislative history of this code section explicitly notes </w:t>
      </w:r>
      <w:r w:rsidR="006B734F">
        <w:t xml:space="preserve">acquisitions of </w:t>
      </w:r>
      <w:r w:rsidRPr="00142830" w:rsidR="00A46359">
        <w:t>utilities as an example of where this statute might apply, as utilities by nature have other factors that complicate the determination of fair market value.</w:t>
      </w:r>
    </w:p>
    <w:p w:rsidR="007E297E" w:rsidP="007E297E" w:rsidRDefault="007E297E" w14:paraId="6893D5E8" w14:textId="7D5E51B9">
      <w:r>
        <w:t>In particular, utilit</w:t>
      </w:r>
      <w:r w:rsidR="007027C2">
        <w:t xml:space="preserve">y acquisitions </w:t>
      </w:r>
      <w:r>
        <w:t>are unique in that</w:t>
      </w:r>
      <w:r w:rsidR="007027C2">
        <w:t xml:space="preserve"> </w:t>
      </w:r>
      <w:r w:rsidRPr="00142830">
        <w:t>the motivations of both buyer and seller</w:t>
      </w:r>
      <w:r w:rsidR="0052618C">
        <w:t xml:space="preserve"> are aligned</w:t>
      </w:r>
      <w:r w:rsidRPr="00142830">
        <w:t xml:space="preserve"> to achieve the highest price possible. The motivations of the seller to achieve the highest price possible for their water system </w:t>
      </w:r>
      <w:r>
        <w:t>are clear</w:t>
      </w:r>
      <w:r w:rsidRPr="00142830">
        <w:t xml:space="preserve">, but the regulatory framework presents an unusual phenomenon on the buyer side. In a normal market-based transaction, the seller’s desire for the highest possible price competes with the buyer’s desire to pay the lowest price possible, such that a fair market value will be determined somewhere in the middle. </w:t>
      </w:r>
      <w:r>
        <w:t>However, a</w:t>
      </w:r>
      <w:r w:rsidRPr="00142830">
        <w:t xml:space="preserve">s discussed, PU Code </w:t>
      </w:r>
      <w:r w:rsidR="00926894">
        <w:rPr>
          <w:rStyle w:val="normaltextrun"/>
          <w:rFonts w:cs="Calibri"/>
          <w:szCs w:val="24"/>
        </w:rPr>
        <w:t>Section</w:t>
      </w:r>
      <w:r>
        <w:rPr>
          <w:rStyle w:val="normaltextrun"/>
          <w:rFonts w:cs="Calibri"/>
          <w:szCs w:val="24"/>
        </w:rPr>
        <w:t xml:space="preserve"> </w:t>
      </w:r>
      <w:r w:rsidRPr="00142830">
        <w:t>2720 establishes that the fair market value (and its proxy, purchase price) are added to the acquiring utility’s rate base. As a result, in utility acquisitions</w:t>
      </w:r>
      <w:r>
        <w:t>,</w:t>
      </w:r>
      <w:r w:rsidRPr="00142830">
        <w:t xml:space="preserve"> the buyer </w:t>
      </w:r>
      <w:r w:rsidR="00432358">
        <w:t>may</w:t>
      </w:r>
      <w:r w:rsidRPr="00142830">
        <w:t xml:space="preserve"> </w:t>
      </w:r>
      <w:r w:rsidRPr="00142830">
        <w:rPr>
          <w:i/>
          <w:iCs/>
        </w:rPr>
        <w:t>also</w:t>
      </w:r>
      <w:r w:rsidRPr="00142830">
        <w:t xml:space="preserve"> </w:t>
      </w:r>
      <w:r w:rsidR="00432358">
        <w:t xml:space="preserve">be </w:t>
      </w:r>
      <w:r w:rsidRPr="00142830">
        <w:t>incentivized to seek a higher price, acting contrary to the usual market forces.</w:t>
      </w:r>
    </w:p>
    <w:p w:rsidRPr="00142830" w:rsidR="009702C3" w:rsidP="009702C3" w:rsidRDefault="009702C3" w14:paraId="6AFB4836" w14:textId="75986B5F">
      <w:r>
        <w:t xml:space="preserve">According to the existing framework, </w:t>
      </w:r>
      <w:r w:rsidRPr="00DA4E89">
        <w:t xml:space="preserve">acquisitions </w:t>
      </w:r>
      <w:r>
        <w:t xml:space="preserve">that </w:t>
      </w:r>
      <w:r w:rsidRPr="00DA4E89">
        <w:t>come before the Commission through the formal application process</w:t>
      </w:r>
      <w:r>
        <w:t xml:space="preserve"> should include </w:t>
      </w:r>
      <w:r w:rsidRPr="00DA4E89">
        <w:t>an appraisal</w:t>
      </w:r>
      <w:r w:rsidRPr="00142830">
        <w:t xml:space="preserve"> based on rep</w:t>
      </w:r>
      <w:r>
        <w:t>lacement</w:t>
      </w:r>
      <w:r w:rsidRPr="00142830">
        <w:t xml:space="preserve"> cost </w:t>
      </w:r>
      <w:r>
        <w:t xml:space="preserve">net </w:t>
      </w:r>
      <w:r w:rsidRPr="00142830">
        <w:t>less depreciation</w:t>
      </w:r>
      <w:r>
        <w:t xml:space="preserve"> (RCNLD).</w:t>
      </w:r>
      <w:r>
        <w:rPr>
          <w:rStyle w:val="FootnoteReference"/>
        </w:rPr>
        <w:footnoteReference w:id="23"/>
      </w:r>
      <w:r>
        <w:t xml:space="preserve"> Beyond comparison of the RCNLD to the purchase price to determine the acquisition premium, the existing framework offers no additional guidance for how the appraisal is to be used. </w:t>
      </w:r>
      <w:r w:rsidRPr="00142830">
        <w:t>Of particular note</w:t>
      </w:r>
      <w:r w:rsidR="00E9097C">
        <w:t>,</w:t>
      </w:r>
      <w:r w:rsidRPr="00142830">
        <w:t xml:space="preserve"> </w:t>
      </w:r>
      <w:r w:rsidR="00953EAA">
        <w:t xml:space="preserve">an important part of </w:t>
      </w:r>
      <w:r w:rsidRPr="00142830">
        <w:t xml:space="preserve">the discussion </w:t>
      </w:r>
      <w:r>
        <w:t xml:space="preserve">for acquisitions </w:t>
      </w:r>
      <w:r w:rsidRPr="00142830">
        <w:t>of water systems is the question of liabilities, such as debt</w:t>
      </w:r>
      <w:r>
        <w:t>,</w:t>
      </w:r>
      <w:r w:rsidRPr="00142830">
        <w:t xml:space="preserve"> deferred maintenance</w:t>
      </w:r>
      <w:r>
        <w:t>, and income taxes</w:t>
      </w:r>
      <w:r w:rsidRPr="00142830">
        <w:t xml:space="preserve">. The </w:t>
      </w:r>
      <w:r>
        <w:t xml:space="preserve">RCNLD </w:t>
      </w:r>
      <w:r w:rsidRPr="00142830">
        <w:t xml:space="preserve">appraisals submitted with each acquisition application are required to include all of the acquired system’s assets but makes no mention of liabilities. The </w:t>
      </w:r>
      <w:r>
        <w:t>existing</w:t>
      </w:r>
      <w:r w:rsidRPr="00142830">
        <w:t xml:space="preserve"> framework is silent on the question of how liabilities affect the fair market value of a system, particularly in the form of deferred maintenance costs. Any additional necessary plant </w:t>
      </w:r>
      <w:r>
        <w:t xml:space="preserve">improvements </w:t>
      </w:r>
      <w:r w:rsidRPr="00142830">
        <w:t>that the Commission does not consider in its review of the acquisition represents an additional cost to ratepayers later in time.</w:t>
      </w:r>
    </w:p>
    <w:p w:rsidR="00380EAC" w:rsidRDefault="00380EAC" w14:paraId="6F3FC192" w14:textId="7E7A9E47">
      <w:pPr>
        <w:spacing w:after="200" w:line="276" w:lineRule="auto"/>
      </w:pPr>
    </w:p>
    <w:p w:rsidR="00153BF1" w:rsidP="00564AC5" w:rsidRDefault="00153BF1" w14:paraId="7005028E" w14:textId="686F827C">
      <w:pPr>
        <w:pStyle w:val="Caption"/>
        <w:jc w:val="center"/>
      </w:pPr>
    </w:p>
    <w:p w:rsidRPr="00833E63" w:rsidR="00833E63" w:rsidP="00833E63" w:rsidRDefault="00404F14" w14:paraId="343515CC" w14:textId="09D2DE43">
      <w:pPr>
        <w:spacing w:after="0" w:line="240" w:lineRule="auto"/>
        <w:jc w:val="center"/>
      </w:pPr>
      <w:r>
        <w:rPr>
          <w:noProof/>
        </w:rPr>
        <w:drawing>
          <wp:inline distT="0" distB="0" distL="0" distR="0" wp14:anchorId="79A55E31" wp14:editId="13CF579F">
            <wp:extent cx="4572000" cy="2171700"/>
            <wp:effectExtent l="0" t="0" r="0" b="0"/>
            <wp:docPr id="7" name="Chart 7">
              <a:extLst xmlns:a="http://schemas.openxmlformats.org/drawingml/2006/main">
                <a:ext uri="{FF2B5EF4-FFF2-40B4-BE49-F238E27FC236}">
                  <a16:creationId xmlns:a16="http://schemas.microsoft.com/office/drawing/2014/main" id="{A91DDF86-AE01-42BE-8878-4272F99D2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4AC5" w:rsidP="00595545" w:rsidRDefault="00564AC5" w14:paraId="533293DC" w14:textId="2D0266F8">
      <w:pPr>
        <w:keepNext/>
      </w:pPr>
    </w:p>
    <w:p w:rsidRPr="00070313" w:rsidR="00BE4E0F" w:rsidP="00BE4E0F" w:rsidRDefault="00564AC5" w14:paraId="0DB004B7" w14:textId="49F703AF">
      <w:pPr>
        <w:pStyle w:val="Caption"/>
        <w:jc w:val="center"/>
      </w:pPr>
      <w:bookmarkStart w:name="_Ref82154905" w:id="9"/>
      <w:bookmarkStart w:name="_Toc82154349" w:id="10"/>
      <w:bookmarkStart w:name="_Toc90911211" w:id="11"/>
      <w:r>
        <w:t xml:space="preserve">Figure </w:t>
      </w:r>
      <w:r>
        <w:fldChar w:fldCharType="begin"/>
      </w:r>
      <w:r>
        <w:instrText xml:space="preserve"> SEQ Figure \* ARABIC </w:instrText>
      </w:r>
      <w:r>
        <w:fldChar w:fldCharType="separate"/>
      </w:r>
      <w:r w:rsidR="002B1FD6">
        <w:t>1</w:t>
      </w:r>
      <w:r>
        <w:fldChar w:fldCharType="end"/>
      </w:r>
      <w:bookmarkEnd w:id="9"/>
      <w:r>
        <w:t xml:space="preserve">: </w:t>
      </w:r>
      <w:r w:rsidRPr="00CC303B">
        <w:t>Average Purchase Price per Connection of Acquisitions</w:t>
      </w:r>
      <w:r w:rsidR="009E3E81">
        <w:t>,</w:t>
      </w:r>
      <w:r w:rsidRPr="00CC303B" w:rsidDel="009E3E81">
        <w:t xml:space="preserve"> </w:t>
      </w:r>
      <w:r w:rsidRPr="00CC303B">
        <w:t>2007</w:t>
      </w:r>
      <w:r w:rsidR="009E3E81">
        <w:t>-2021</w:t>
      </w:r>
      <w:r w:rsidR="00554577">
        <w:rPr>
          <w:rStyle w:val="FootnoteReference"/>
        </w:rPr>
        <w:footnoteReference w:id="24"/>
      </w:r>
      <w:bookmarkEnd w:id="10"/>
      <w:bookmarkEnd w:id="11"/>
    </w:p>
    <w:p w:rsidR="00D31610" w:rsidP="00BE4E0F" w:rsidRDefault="00303F43" w14:paraId="26494750" w14:textId="240807E7">
      <w:r>
        <w:t xml:space="preserve">While the </w:t>
      </w:r>
      <w:r w:rsidR="00F06B6B">
        <w:t xml:space="preserve">Commission </w:t>
      </w:r>
      <w:r>
        <w:t xml:space="preserve">could </w:t>
      </w:r>
      <w:r w:rsidR="00A40538">
        <w:t xml:space="preserve">consider other aspects of valuation in </w:t>
      </w:r>
      <w:r w:rsidR="00BA5731">
        <w:t>addition</w:t>
      </w:r>
      <w:r w:rsidR="00A40538">
        <w:t xml:space="preserve"> to the purchase price, t</w:t>
      </w:r>
      <w:r w:rsidR="00F06B6B">
        <w:t xml:space="preserve">he Commission </w:t>
      </w:r>
      <w:r w:rsidR="00A40538">
        <w:t>often</w:t>
      </w:r>
      <w:r w:rsidR="00F06B6B">
        <w:t xml:space="preserve"> </w:t>
      </w:r>
      <w:r w:rsidR="00EE3B07">
        <w:t xml:space="preserve">lacks the necessary data to provide </w:t>
      </w:r>
      <w:r w:rsidR="00A82920">
        <w:t>in depth analysis</w:t>
      </w:r>
      <w:r w:rsidR="00EE3CF4">
        <w:t xml:space="preserve">. </w:t>
      </w:r>
      <w:r w:rsidR="0076671C">
        <w:t xml:space="preserve">For example, purchase price per connection </w:t>
      </w:r>
      <w:r w:rsidR="00366DFC">
        <w:t>may be</w:t>
      </w:r>
      <w:r w:rsidR="0076671C">
        <w:t xml:space="preserve"> used as an indicator of the</w:t>
      </w:r>
      <w:r w:rsidR="00FB51FB">
        <w:t xml:space="preserve"> </w:t>
      </w:r>
      <w:r w:rsidR="00366DFC">
        <w:t xml:space="preserve">overall </w:t>
      </w:r>
      <w:r w:rsidR="00FB51FB">
        <w:t>reasonableness of a</w:t>
      </w:r>
      <w:r w:rsidR="006965F2">
        <w:t xml:space="preserve"> system’s valuation. </w:t>
      </w:r>
      <w:r w:rsidR="00A4040C">
        <w:fldChar w:fldCharType="begin"/>
      </w:r>
      <w:r w:rsidR="00A4040C">
        <w:instrText xml:space="preserve"> REF _Ref82154905 \h </w:instrText>
      </w:r>
      <w:r w:rsidR="00A4040C">
        <w:fldChar w:fldCharType="separate"/>
      </w:r>
      <w:r w:rsidR="002B1FD6">
        <w:t xml:space="preserve">Figure </w:t>
      </w:r>
      <w:r w:rsidR="002B1FD6">
        <w:rPr>
          <w:noProof/>
        </w:rPr>
        <w:t>1</w:t>
      </w:r>
      <w:r w:rsidR="00A4040C">
        <w:fldChar w:fldCharType="end"/>
      </w:r>
      <w:r w:rsidR="00A4040C">
        <w:t xml:space="preserve"> above </w:t>
      </w:r>
      <w:r w:rsidR="00180E29">
        <w:t xml:space="preserve">shows </w:t>
      </w:r>
      <w:r w:rsidR="00DF7016">
        <w:t>a relatively steady increase in price per connection since 2012</w:t>
      </w:r>
      <w:r w:rsidR="00ED0690">
        <w:t xml:space="preserve"> and an exponential increase in 2021</w:t>
      </w:r>
      <w:r w:rsidR="00DF7016">
        <w:t xml:space="preserve">, </w:t>
      </w:r>
      <w:r w:rsidR="00C460BF">
        <w:t>but the Commission has limited insight into what factors might be driving the increase. Revising the framework</w:t>
      </w:r>
      <w:r w:rsidR="00DC6D66">
        <w:t xml:space="preserve"> offers the opportunity to enhance </w:t>
      </w:r>
      <w:r w:rsidR="004C0B4E">
        <w:t>the</w:t>
      </w:r>
      <w:r w:rsidR="00DC6D66">
        <w:t xml:space="preserve"> reporting requirements </w:t>
      </w:r>
      <w:r w:rsidR="00FB4BD0">
        <w:t xml:space="preserve">involved in utility acquisitions </w:t>
      </w:r>
      <w:r w:rsidR="00DC6D66">
        <w:t>so that the Commission can more holistically determine the true value of a system.</w:t>
      </w:r>
    </w:p>
    <w:p w:rsidR="006B50A9" w:rsidP="006B50A9" w:rsidRDefault="006B50A9" w14:paraId="1DF1C51F" w14:textId="39321916">
      <w:pPr>
        <w:pStyle w:val="Heading3"/>
      </w:pPr>
      <w:bookmarkStart w:name="_Toc91071038" w:id="12"/>
      <w:r>
        <w:t>Case Study: City of Bellflower Water System</w:t>
      </w:r>
      <w:bookmarkEnd w:id="12"/>
    </w:p>
    <w:p w:rsidR="00070313" w:rsidP="0094129B" w:rsidRDefault="009702C3" w14:paraId="39CABFA0" w14:textId="1706DF07">
      <w:r w:rsidRPr="00142830">
        <w:t xml:space="preserve">All of </w:t>
      </w:r>
      <w:r w:rsidRPr="00142830" w:rsidR="00EE43D6">
        <w:t>the</w:t>
      </w:r>
      <w:r w:rsidR="00EE43D6">
        <w:t xml:space="preserve"> abovementioned </w:t>
      </w:r>
      <w:r w:rsidRPr="00142830">
        <w:t xml:space="preserve">issues regarding </w:t>
      </w:r>
      <w:r>
        <w:t>valuation</w:t>
      </w:r>
      <w:r w:rsidRPr="00142830">
        <w:t xml:space="preserve"> of an acquired system have played out in the </w:t>
      </w:r>
      <w:r w:rsidR="009F6E4B">
        <w:t xml:space="preserve">proposed </w:t>
      </w:r>
      <w:r w:rsidRPr="00142830">
        <w:t xml:space="preserve">acquisition of the Bellflower </w:t>
      </w:r>
      <w:r w:rsidR="007276F6">
        <w:t>M</w:t>
      </w:r>
      <w:r w:rsidRPr="00142830">
        <w:t xml:space="preserve">unicipal </w:t>
      </w:r>
      <w:r w:rsidR="007276F6">
        <w:t>W</w:t>
      </w:r>
      <w:r w:rsidRPr="00142830">
        <w:t xml:space="preserve">ater </w:t>
      </w:r>
      <w:r w:rsidR="007276F6">
        <w:t>S</w:t>
      </w:r>
      <w:r w:rsidRPr="00142830">
        <w:t>ystem by California-American Water</w:t>
      </w:r>
      <w:r w:rsidR="00AA76D5">
        <w:t xml:space="preserve"> Company (Cal-Am)</w:t>
      </w:r>
      <w:r w:rsidR="00EE43D6">
        <w:rPr>
          <w:rStyle w:val="FootnoteReference"/>
        </w:rPr>
        <w:footnoteReference w:id="25"/>
      </w:r>
      <w:r w:rsidRPr="00142830">
        <w:t xml:space="preserve">. </w:t>
      </w:r>
      <w:r w:rsidR="00EE6B66">
        <w:t>Bellflower received</w:t>
      </w:r>
      <w:r w:rsidR="00953880">
        <w:t xml:space="preserve"> four proposals </w:t>
      </w:r>
      <w:r w:rsidR="0059349D">
        <w:t>with different valuatio</w:t>
      </w:r>
      <w:r w:rsidR="00FA4048">
        <w:t xml:space="preserve">ns </w:t>
      </w:r>
      <w:r w:rsidR="00B82CC4">
        <w:t xml:space="preserve">to acquire the system, all from </w:t>
      </w:r>
      <w:r w:rsidR="002D72B8">
        <w:t>C</w:t>
      </w:r>
      <w:r w:rsidR="00E2170D">
        <w:t>ommission</w:t>
      </w:r>
      <w:r w:rsidR="002D72B8">
        <w:t xml:space="preserve">-regulated Class A water utilities. </w:t>
      </w:r>
      <w:r w:rsidR="0094129B">
        <w:t xml:space="preserve">As seen in </w:t>
      </w:r>
      <w:r w:rsidR="0094129B">
        <w:fldChar w:fldCharType="begin"/>
      </w:r>
      <w:r w:rsidR="0094129B">
        <w:instrText xml:space="preserve"> REF _Ref82154002 \h </w:instrText>
      </w:r>
      <w:r w:rsidR="0094129B">
        <w:fldChar w:fldCharType="separate"/>
      </w:r>
      <w:r w:rsidR="002B1FD6">
        <w:t xml:space="preserve">Table </w:t>
      </w:r>
      <w:r w:rsidR="002B1FD6">
        <w:rPr>
          <w:noProof/>
        </w:rPr>
        <w:t>1</w:t>
      </w:r>
      <w:r w:rsidR="0094129B">
        <w:fldChar w:fldCharType="end"/>
      </w:r>
      <w:r w:rsidR="0094129B">
        <w:t>, the proposals ranged from $3 million to $17 million with Bellflower ultimately selecting Cal-Am, the highest bidder.</w:t>
      </w:r>
    </w:p>
    <w:p w:rsidR="00070313" w:rsidRDefault="00070313" w14:paraId="59CF3CF0" w14:textId="77777777">
      <w:pPr>
        <w:spacing w:after="200" w:line="276" w:lineRule="auto"/>
      </w:pPr>
      <w:r>
        <w:br w:type="page"/>
      </w:r>
    </w:p>
    <w:tbl>
      <w:tblPr>
        <w:tblStyle w:val="ListTable3-Accent6"/>
        <w:tblW w:w="0" w:type="auto"/>
        <w:jc w:val="center"/>
        <w:tblLook w:val="04A0" w:firstRow="1" w:lastRow="0" w:firstColumn="1" w:lastColumn="0" w:noHBand="0" w:noVBand="1"/>
      </w:tblPr>
      <w:tblGrid>
        <w:gridCol w:w="4410"/>
        <w:gridCol w:w="1795"/>
      </w:tblGrid>
      <w:tr w:rsidR="006144BB" w:rsidTr="00E31EB9" w14:paraId="03BD2381"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410" w:type="dxa"/>
            <w:tcBorders>
              <w:right w:val="single" w:color="auto" w:sz="4" w:space="0"/>
            </w:tcBorders>
            <w:vAlign w:val="center"/>
          </w:tcPr>
          <w:p w:rsidRPr="007008D0" w:rsidR="006144BB" w:rsidP="00E31EB9" w:rsidRDefault="006144BB" w14:paraId="4B5F8737" w14:textId="77777777">
            <w:pPr>
              <w:spacing w:before="120" w:after="120" w:line="240" w:lineRule="auto"/>
              <w:jc w:val="center"/>
              <w:rPr>
                <w:color w:val="FFFFFF" w:themeColor="background1"/>
              </w:rPr>
            </w:pPr>
            <w:r w:rsidRPr="007008D0">
              <w:rPr>
                <w:color w:val="FFFFFF" w:themeColor="background1"/>
              </w:rPr>
              <w:lastRenderedPageBreak/>
              <w:t>Water Utility</w:t>
            </w:r>
          </w:p>
        </w:tc>
        <w:tc>
          <w:tcPr>
            <w:tcW w:w="1795" w:type="dxa"/>
            <w:tcBorders>
              <w:top w:val="single" w:color="5578A0" w:themeColor="accent6" w:sz="4" w:space="0"/>
              <w:left w:val="single" w:color="auto" w:sz="4" w:space="0"/>
              <w:bottom w:val="single" w:color="5578A0" w:themeColor="accent6" w:sz="4" w:space="0"/>
            </w:tcBorders>
            <w:vAlign w:val="center"/>
          </w:tcPr>
          <w:p w:rsidRPr="007008D0" w:rsidR="006144BB" w:rsidP="00E31EB9" w:rsidRDefault="006144BB" w14:paraId="2AD335A1" w14:textId="77777777">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008D0">
              <w:rPr>
                <w:color w:val="FFFFFF" w:themeColor="background1"/>
              </w:rPr>
              <w:t>Proposal</w:t>
            </w:r>
          </w:p>
        </w:tc>
      </w:tr>
      <w:tr w:rsidR="006144BB" w:rsidTr="00E31EB9" w14:paraId="7CA963C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0" w:type="dxa"/>
            <w:tcBorders>
              <w:right w:val="single" w:color="auto" w:sz="4" w:space="0"/>
            </w:tcBorders>
            <w:vAlign w:val="center"/>
          </w:tcPr>
          <w:p w:rsidRPr="007008D0" w:rsidR="006144BB" w:rsidP="00E31EB9" w:rsidRDefault="006144BB" w14:paraId="0A07C051" w14:textId="77777777">
            <w:pPr>
              <w:spacing w:before="120" w:after="120" w:line="240" w:lineRule="auto"/>
              <w:rPr>
                <w:b w:val="0"/>
                <w:bCs w:val="0"/>
              </w:rPr>
            </w:pPr>
            <w:r w:rsidRPr="007008D0">
              <w:rPr>
                <w:b w:val="0"/>
                <w:bCs w:val="0"/>
              </w:rPr>
              <w:t>California Water Service</w:t>
            </w:r>
            <w:r>
              <w:rPr>
                <w:b w:val="0"/>
                <w:bCs w:val="0"/>
              </w:rPr>
              <w:t xml:space="preserve"> Company</w:t>
            </w:r>
          </w:p>
        </w:tc>
        <w:tc>
          <w:tcPr>
            <w:tcW w:w="1795" w:type="dxa"/>
            <w:tcBorders>
              <w:left w:val="single" w:color="auto" w:sz="4" w:space="0"/>
            </w:tcBorders>
            <w:vAlign w:val="center"/>
          </w:tcPr>
          <w:p w:rsidRPr="007008D0" w:rsidR="006144BB" w:rsidP="00E31EB9" w:rsidRDefault="006144BB" w14:paraId="66699C98" w14:textId="7777777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pPr>
            <w:r>
              <w:t>$3 million</w:t>
            </w:r>
          </w:p>
        </w:tc>
      </w:tr>
      <w:tr w:rsidR="006144BB" w:rsidTr="00E31EB9" w14:paraId="28624234" w14:textId="77777777">
        <w:trPr>
          <w:jc w:val="center"/>
        </w:trPr>
        <w:tc>
          <w:tcPr>
            <w:cnfStyle w:val="001000000000" w:firstRow="0" w:lastRow="0" w:firstColumn="1" w:lastColumn="0" w:oddVBand="0" w:evenVBand="0" w:oddHBand="0" w:evenHBand="0" w:firstRowFirstColumn="0" w:firstRowLastColumn="0" w:lastRowFirstColumn="0" w:lastRowLastColumn="0"/>
            <w:tcW w:w="4410" w:type="dxa"/>
            <w:tcBorders>
              <w:right w:val="single" w:color="auto" w:sz="4" w:space="0"/>
            </w:tcBorders>
            <w:vAlign w:val="center"/>
          </w:tcPr>
          <w:p w:rsidRPr="007008D0" w:rsidR="006144BB" w:rsidP="00E31EB9" w:rsidRDefault="006144BB" w14:paraId="096502F0" w14:textId="77777777">
            <w:pPr>
              <w:spacing w:before="120" w:after="120" w:line="240" w:lineRule="auto"/>
              <w:rPr>
                <w:b w:val="0"/>
                <w:bCs w:val="0"/>
              </w:rPr>
            </w:pPr>
            <w:r>
              <w:rPr>
                <w:b w:val="0"/>
                <w:bCs w:val="0"/>
              </w:rPr>
              <w:t>Park Water Company (Liberty Utilities)</w:t>
            </w:r>
          </w:p>
        </w:tc>
        <w:tc>
          <w:tcPr>
            <w:tcW w:w="1795" w:type="dxa"/>
            <w:tcBorders>
              <w:top w:val="single" w:color="5578A0" w:themeColor="accent6" w:sz="4" w:space="0"/>
              <w:left w:val="single" w:color="auto" w:sz="4" w:space="0"/>
              <w:bottom w:val="single" w:color="5578A0" w:themeColor="accent6" w:sz="4" w:space="0"/>
            </w:tcBorders>
            <w:vAlign w:val="center"/>
          </w:tcPr>
          <w:p w:rsidRPr="007008D0" w:rsidR="006144BB" w:rsidP="00E31EB9" w:rsidRDefault="006144BB" w14:paraId="032E759A" w14:textId="77777777">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t>$14.2 million</w:t>
            </w:r>
          </w:p>
        </w:tc>
      </w:tr>
      <w:tr w:rsidR="006144BB" w:rsidTr="00E31EB9" w14:paraId="1B657D2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0" w:type="dxa"/>
            <w:tcBorders>
              <w:right w:val="single" w:color="auto" w:sz="4" w:space="0"/>
            </w:tcBorders>
            <w:vAlign w:val="center"/>
          </w:tcPr>
          <w:p w:rsidRPr="007008D0" w:rsidR="006144BB" w:rsidP="00E31EB9" w:rsidRDefault="006144BB" w14:paraId="5C9293A4" w14:textId="77777777">
            <w:pPr>
              <w:spacing w:before="120" w:after="120" w:line="240" w:lineRule="auto"/>
              <w:rPr>
                <w:b w:val="0"/>
                <w:bCs w:val="0"/>
              </w:rPr>
            </w:pPr>
            <w:r>
              <w:rPr>
                <w:b w:val="0"/>
                <w:bCs w:val="0"/>
              </w:rPr>
              <w:t>Golden State Water Company</w:t>
            </w:r>
          </w:p>
        </w:tc>
        <w:tc>
          <w:tcPr>
            <w:tcW w:w="1795" w:type="dxa"/>
            <w:tcBorders>
              <w:left w:val="single" w:color="auto" w:sz="4" w:space="0"/>
            </w:tcBorders>
            <w:vAlign w:val="center"/>
          </w:tcPr>
          <w:p w:rsidRPr="007008D0" w:rsidR="006144BB" w:rsidP="00E31EB9" w:rsidRDefault="006144BB" w14:paraId="7E36E7BF" w14:textId="77777777">
            <w:pPr>
              <w:spacing w:before="120" w:after="120" w:line="240" w:lineRule="auto"/>
              <w:jc w:val="right"/>
              <w:cnfStyle w:val="000000100000" w:firstRow="0" w:lastRow="0" w:firstColumn="0" w:lastColumn="0" w:oddVBand="0" w:evenVBand="0" w:oddHBand="1" w:evenHBand="0" w:firstRowFirstColumn="0" w:firstRowLastColumn="0" w:lastRowFirstColumn="0" w:lastRowLastColumn="0"/>
            </w:pPr>
            <w:r>
              <w:t>$14.5 million</w:t>
            </w:r>
          </w:p>
        </w:tc>
      </w:tr>
      <w:tr w:rsidR="006144BB" w:rsidTr="00E31EB9" w14:paraId="3387D441" w14:textId="77777777">
        <w:trPr>
          <w:jc w:val="center"/>
        </w:trPr>
        <w:tc>
          <w:tcPr>
            <w:cnfStyle w:val="001000000000" w:firstRow="0" w:lastRow="0" w:firstColumn="1" w:lastColumn="0" w:oddVBand="0" w:evenVBand="0" w:oddHBand="0" w:evenHBand="0" w:firstRowFirstColumn="0" w:firstRowLastColumn="0" w:lastRowFirstColumn="0" w:lastRowLastColumn="0"/>
            <w:tcW w:w="4410" w:type="dxa"/>
            <w:tcBorders>
              <w:right w:val="single" w:color="auto" w:sz="4" w:space="0"/>
            </w:tcBorders>
            <w:vAlign w:val="center"/>
          </w:tcPr>
          <w:p w:rsidRPr="007008D0" w:rsidR="006144BB" w:rsidP="00E31EB9" w:rsidRDefault="006144BB" w14:paraId="1F800BAE" w14:textId="77777777">
            <w:pPr>
              <w:spacing w:before="120" w:after="120" w:line="240" w:lineRule="auto"/>
              <w:rPr>
                <w:b w:val="0"/>
                <w:bCs w:val="0"/>
              </w:rPr>
            </w:pPr>
            <w:r>
              <w:rPr>
                <w:b w:val="0"/>
                <w:bCs w:val="0"/>
              </w:rPr>
              <w:t>California-American Water Company</w:t>
            </w:r>
          </w:p>
        </w:tc>
        <w:tc>
          <w:tcPr>
            <w:tcW w:w="1795" w:type="dxa"/>
            <w:tcBorders>
              <w:top w:val="single" w:color="5578A0" w:themeColor="accent6" w:sz="4" w:space="0"/>
              <w:left w:val="single" w:color="auto" w:sz="4" w:space="0"/>
              <w:bottom w:val="single" w:color="5578A0" w:themeColor="accent6" w:sz="4" w:space="0"/>
            </w:tcBorders>
            <w:vAlign w:val="center"/>
          </w:tcPr>
          <w:p w:rsidRPr="007008D0" w:rsidR="006144BB" w:rsidP="00554577" w:rsidRDefault="006144BB" w14:paraId="0E4CCE02" w14:textId="77777777">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t>$17 million</w:t>
            </w:r>
          </w:p>
        </w:tc>
      </w:tr>
    </w:tbl>
    <w:p w:rsidR="006144BB" w:rsidP="00554577" w:rsidRDefault="00554577" w14:paraId="7A4C7624" w14:textId="729105FA">
      <w:pPr>
        <w:pStyle w:val="Caption"/>
        <w:jc w:val="center"/>
      </w:pPr>
      <w:bookmarkStart w:name="_Ref82154002" w:id="13"/>
      <w:bookmarkStart w:name="_Toc82154455" w:id="14"/>
      <w:bookmarkStart w:name="_Toc90623358" w:id="15"/>
      <w:r>
        <w:t xml:space="preserve">Table </w:t>
      </w:r>
      <w:r>
        <w:fldChar w:fldCharType="begin"/>
      </w:r>
      <w:r>
        <w:instrText xml:space="preserve"> SEQ Table \* ARABIC </w:instrText>
      </w:r>
      <w:r>
        <w:fldChar w:fldCharType="separate"/>
      </w:r>
      <w:r w:rsidR="002B1FD6">
        <w:t>1</w:t>
      </w:r>
      <w:r>
        <w:fldChar w:fldCharType="end"/>
      </w:r>
      <w:bookmarkEnd w:id="13"/>
      <w:r>
        <w:t xml:space="preserve">: </w:t>
      </w:r>
      <w:r w:rsidRPr="00191F4B">
        <w:t>Proposals received by the City of Bellflower</w:t>
      </w:r>
      <w:r>
        <w:rPr>
          <w:rStyle w:val="FootnoteReference"/>
        </w:rPr>
        <w:footnoteReference w:id="26"/>
      </w:r>
      <w:bookmarkEnd w:id="14"/>
      <w:bookmarkEnd w:id="15"/>
    </w:p>
    <w:p w:rsidR="00616F5D" w:rsidP="009702C3" w:rsidRDefault="009702C3" w14:paraId="67F20894" w14:textId="17DC9BA8">
      <w:r w:rsidRPr="00142830">
        <w:t xml:space="preserve">Cal-Am submitted an appraisal as required by the </w:t>
      </w:r>
      <w:r>
        <w:t>existing</w:t>
      </w:r>
      <w:r w:rsidRPr="00142830">
        <w:t xml:space="preserve"> framework in support of its proposed $17 million purchase price. A competing valuation, brought into the record</w:t>
      </w:r>
      <w:r w:rsidR="002510AA">
        <w:t xml:space="preserve"> of the proceeding</w:t>
      </w:r>
      <w:r w:rsidRPr="00142830">
        <w:t xml:space="preserve"> for historical purposes, offered a similar valuation for the system</w:t>
      </w:r>
      <w:r>
        <w:t>,</w:t>
      </w:r>
      <w:r w:rsidRPr="00142830">
        <w:t xml:space="preserve"> but also described more than $25 million of necessary improvements over the next 20 years. </w:t>
      </w:r>
      <w:r>
        <w:t>The</w:t>
      </w:r>
      <w:r w:rsidR="006711EB">
        <w:t xml:space="preserve"> Commission has not traditionally considered the physical condition of </w:t>
      </w:r>
      <w:r w:rsidR="00DA46D7">
        <w:t>a system in determining its value, but</w:t>
      </w:r>
      <w:r>
        <w:t xml:space="preserve"> </w:t>
      </w:r>
      <w:r w:rsidR="00320DC4">
        <w:t xml:space="preserve">the </w:t>
      </w:r>
      <w:r>
        <w:t>Administrative Law Judge</w:t>
      </w:r>
      <w:r w:rsidR="00637A79">
        <w:t xml:space="preserve"> (ALJ)</w:t>
      </w:r>
      <w:r>
        <w:t xml:space="preserve"> in the Bellflower proceeding issued a proposed decision </w:t>
      </w:r>
      <w:r w:rsidR="001345E6">
        <w:t xml:space="preserve">on March 30, 2020, </w:t>
      </w:r>
      <w:r>
        <w:t xml:space="preserve">rejecting the acquisition on the grounds that the necessary improvements to the system should be considered as liabilities that offset the value of Bellflower’s tangible assets and water rights. </w:t>
      </w:r>
    </w:p>
    <w:p w:rsidR="00070313" w:rsidRDefault="00B1146E" w14:paraId="4580540D" w14:textId="4BBAAA49">
      <w:pPr>
        <w:spacing w:after="200" w:line="276" w:lineRule="auto"/>
      </w:pPr>
      <w:r>
        <w:t>However</w:t>
      </w:r>
      <w:r w:rsidR="00DA46D7">
        <w:t>, the Proposed Decision was not adopted</w:t>
      </w:r>
      <w:r>
        <w:t xml:space="preserve"> by the Commission</w:t>
      </w:r>
      <w:r w:rsidR="00DA46D7">
        <w:t xml:space="preserve"> due to </w:t>
      </w:r>
      <w:r w:rsidR="00DB2318">
        <w:t xml:space="preserve">concerns with the </w:t>
      </w:r>
      <w:r w:rsidR="00802864">
        <w:t>original valuation</w:t>
      </w:r>
      <w:r w:rsidR="00314E1F">
        <w:t>, and parties</w:t>
      </w:r>
      <w:r w:rsidR="007C5EB9">
        <w:t xml:space="preserve"> </w:t>
      </w:r>
      <w:r w:rsidR="00D358E3">
        <w:t xml:space="preserve">were “sent back to the drawing board” to </w:t>
      </w:r>
      <w:r w:rsidR="00D43AE3">
        <w:t>consider a new valuation.</w:t>
      </w:r>
      <w:r w:rsidR="00DA46D7">
        <w:t xml:space="preserve"> </w:t>
      </w:r>
      <w:r w:rsidR="00D43AE3">
        <w:t>Consequently</w:t>
      </w:r>
      <w:r w:rsidR="00DA46D7">
        <w:t xml:space="preserve">, </w:t>
      </w:r>
      <w:r w:rsidR="00906E70">
        <w:t xml:space="preserve">Cal-Am performed a new assessment of the </w:t>
      </w:r>
      <w:r w:rsidR="00443938">
        <w:t>Bellflower system’s physical condition</w:t>
      </w:r>
      <w:r w:rsidR="00906E70">
        <w:t xml:space="preserve">, </w:t>
      </w:r>
      <w:r w:rsidR="00443938">
        <w:t>acknowledgin</w:t>
      </w:r>
      <w:r w:rsidR="00802864">
        <w:t xml:space="preserve">g that necessary improvements to a system </w:t>
      </w:r>
      <w:r w:rsidR="007414C8">
        <w:t>could affect the value of a system beyond the purchase price</w:t>
      </w:r>
      <w:r w:rsidR="00443938">
        <w:t>. A settlement agreement</w:t>
      </w:r>
      <w:r w:rsidR="001A6CE6">
        <w:t xml:space="preserve"> was filed </w:t>
      </w:r>
      <w:r w:rsidR="00F41052">
        <w:t xml:space="preserve">on November 23, 2021, which would approve the acquisition with the stipulation that the City make available $5 million to Cal-Am for infrastructure improvements. The settlement agreement is still pending </w:t>
      </w:r>
      <w:r w:rsidR="00CF2C1A">
        <w:t xml:space="preserve">Commission action </w:t>
      </w:r>
      <w:r w:rsidR="00F41052">
        <w:t xml:space="preserve">at </w:t>
      </w:r>
      <w:r w:rsidR="00302136">
        <w:t>the time of issuance for this white paper</w:t>
      </w:r>
      <w:r w:rsidR="00F41052">
        <w:t>.</w:t>
      </w:r>
      <w:r w:rsidR="001A6CE6">
        <w:t xml:space="preserve"> </w:t>
      </w:r>
      <w:r w:rsidR="00070313">
        <w:br w:type="page"/>
      </w:r>
    </w:p>
    <w:p w:rsidRPr="00F128A3" w:rsidR="0010664F" w:rsidP="0010664F" w:rsidRDefault="0010664F" w14:paraId="23B18678" w14:textId="05B0DBD3">
      <w:pPr>
        <w:pStyle w:val="Heading2"/>
      </w:pPr>
      <w:bookmarkStart w:name="_Toc91071039" w:id="16"/>
      <w:r>
        <w:lastRenderedPageBreak/>
        <w:t>Water Rights</w:t>
      </w:r>
      <w:bookmarkEnd w:id="16"/>
    </w:p>
    <w:p w:rsidR="0082007C" w:rsidP="0082007C" w:rsidRDefault="0010664F" w14:paraId="49146454" w14:textId="3CB2E0F1">
      <w:pPr>
        <w:rPr>
          <w:rFonts w:asciiTheme="minorHAnsi" w:hAnsiTheme="minorHAnsi" w:cstheme="minorBidi"/>
          <w:sz w:val="22"/>
        </w:rPr>
      </w:pPr>
      <w:r w:rsidRPr="00241CAA">
        <w:t xml:space="preserve">Another area where the existing framework gives no guidance </w:t>
      </w:r>
      <w:r w:rsidR="00775708">
        <w:t xml:space="preserve">on </w:t>
      </w:r>
      <w:r w:rsidRPr="00241CAA">
        <w:t xml:space="preserve">is the issue of water rights. </w:t>
      </w:r>
      <w:r w:rsidR="00D225D8">
        <w:t xml:space="preserve">The ultimate authority for water rights is </w:t>
      </w:r>
      <w:r w:rsidR="001E274B">
        <w:t>held</w:t>
      </w:r>
      <w:r w:rsidR="00D225D8">
        <w:t xml:space="preserve"> </w:t>
      </w:r>
      <w:r w:rsidR="001E274B">
        <w:t>by</w:t>
      </w:r>
      <w:r>
        <w:t xml:space="preserve"> the State Water Resources Control Board</w:t>
      </w:r>
      <w:r w:rsidR="001E274B">
        <w:t xml:space="preserve"> (SWRCB)</w:t>
      </w:r>
      <w:r w:rsidRPr="00241CAA">
        <w:t>.</w:t>
      </w:r>
      <w:r w:rsidR="002B2313">
        <w:rPr>
          <w:rStyle w:val="FootnoteReference"/>
        </w:rPr>
        <w:footnoteReference w:id="27"/>
      </w:r>
      <w:r w:rsidR="001E274B">
        <w:t xml:space="preserve"> </w:t>
      </w:r>
      <w:r w:rsidR="002B2313">
        <w:t xml:space="preserve">However, </w:t>
      </w:r>
      <w:r w:rsidR="0082007C">
        <w:t>in areas where groundwater rights are contested, courts can adjudicate the groundwater supply, deciding who owns water rights, how much water they can extract, and how the water can be used.</w:t>
      </w:r>
      <w:r w:rsidR="003A5DE2">
        <w:rPr>
          <w:rStyle w:val="FootnoteReference"/>
        </w:rPr>
        <w:footnoteReference w:id="28"/>
      </w:r>
      <w:r w:rsidR="0082007C">
        <w:t xml:space="preserve"> Often, administration of an adjudicated basin is placed under the authority of a watermaster who can charge assessments and fees for </w:t>
      </w:r>
      <w:r w:rsidR="00A46938">
        <w:t>over pumping</w:t>
      </w:r>
      <w:r w:rsidR="0082007C">
        <w:t>. The finite quantity of water rights in a contested area means that water rights within adjudicated basins are particularly valuable; consequently, localized water markets to sell and trade water rights within the basin have emerged.</w:t>
      </w:r>
    </w:p>
    <w:p w:rsidR="00901DC2" w:rsidP="0010664F" w:rsidRDefault="001C6617" w14:paraId="588291AD" w14:textId="56CA1A70">
      <w:r>
        <w:t>W</w:t>
      </w:r>
      <w:r w:rsidRPr="00241CAA" w:rsidR="0010664F">
        <w:t xml:space="preserve">ater rights </w:t>
      </w:r>
      <w:r w:rsidR="0090252E">
        <w:t xml:space="preserve">granted to a utility </w:t>
      </w:r>
      <w:r w:rsidR="00C912C0">
        <w:t xml:space="preserve">by </w:t>
      </w:r>
      <w:r w:rsidR="001E274B">
        <w:t>SWRCB, an adjudication, or another court order</w:t>
      </w:r>
      <w:r w:rsidRPr="00241CAA" w:rsidR="0010664F">
        <w:t xml:space="preserve"> do not usually make up a portion of the utility’s rate base and the utility does not earn a return on them.</w:t>
      </w:r>
      <w:r w:rsidR="0010664F">
        <w:rPr>
          <w:rStyle w:val="FootnoteReference"/>
        </w:rPr>
        <w:footnoteReference w:id="29"/>
      </w:r>
      <w:r w:rsidRPr="00241CAA" w:rsidR="0010664F">
        <w:t xml:space="preserve"> </w:t>
      </w:r>
      <w:r w:rsidR="003A5DE2">
        <w:t>Because</w:t>
      </w:r>
      <w:r w:rsidR="00D877FA">
        <w:t xml:space="preserve"> water rights </w:t>
      </w:r>
      <w:r w:rsidR="003A5DE2">
        <w:t>are fundamentally a permit to use water, they were h</w:t>
      </w:r>
      <w:r w:rsidR="00D877FA">
        <w:t>istorically</w:t>
      </w:r>
      <w:r w:rsidR="008B5F34">
        <w:t xml:space="preserve"> transferred along with the other assets of the system and</w:t>
      </w:r>
      <w:r w:rsidR="00D877FA">
        <w:t xml:space="preserve"> not valued separately.</w:t>
      </w:r>
      <w:r w:rsidRPr="008B5F34" w:rsidR="008B5F34">
        <w:t xml:space="preserve"> </w:t>
      </w:r>
      <w:r w:rsidR="003A5DE2">
        <w:t>However, the increased competition</w:t>
      </w:r>
      <w:r w:rsidR="00E27C01">
        <w:t xml:space="preserve"> for water rights</w:t>
      </w:r>
      <w:r w:rsidR="003A5DE2">
        <w:t xml:space="preserve"> within adjudicated basins ha</w:t>
      </w:r>
      <w:r w:rsidR="00E27C01">
        <w:t>s changed how they are treated in acquisition proceedings</w:t>
      </w:r>
      <w:r w:rsidR="00145677">
        <w:t>.</w:t>
      </w:r>
      <w:r w:rsidR="00E27C01">
        <w:t xml:space="preserve"> </w:t>
      </w:r>
      <w:r w:rsidR="008B5F34">
        <w:t>Starting with Cal-Am’s acquisition of Adams Ranch Mutual Water Company in 2016</w:t>
      </w:r>
      <w:r w:rsidR="008B5F34">
        <w:rPr>
          <w:rStyle w:val="FootnoteReference"/>
        </w:rPr>
        <w:footnoteReference w:id="30"/>
      </w:r>
      <w:r w:rsidR="008B5F34">
        <w:t xml:space="preserve">, when a utility acquired a system with existing water rights, the water rights </w:t>
      </w:r>
      <w:r w:rsidR="00837BA0">
        <w:rPr>
          <w:rStyle w:val="normaltextrun"/>
        </w:rPr>
        <w:t xml:space="preserve">began to be valued as an asset on their own terms, separate from the purchase price. </w:t>
      </w:r>
      <w:r w:rsidR="00B92AF0">
        <w:rPr>
          <w:rStyle w:val="normaltextrun"/>
        </w:rPr>
        <w:t xml:space="preserve">This inconsistency </w:t>
      </w:r>
      <w:r w:rsidR="00F22674">
        <w:rPr>
          <w:rStyle w:val="normaltextrun"/>
        </w:rPr>
        <w:t>stems in part from the existing framework, which does not require separate review of water right issues except as part of the overall reasonableness of the acquisition.</w:t>
      </w:r>
    </w:p>
    <w:p w:rsidR="0010664F" w:rsidP="0010664F" w:rsidRDefault="008557D0" w14:paraId="6C8067C8" w14:textId="08186DE9">
      <w:r>
        <w:t xml:space="preserve">With </w:t>
      </w:r>
      <w:r w:rsidR="00E544A3">
        <w:t>a lack of</w:t>
      </w:r>
      <w:r>
        <w:t xml:space="preserve"> guidance from the existing framework, the Commission has had to </w:t>
      </w:r>
      <w:r w:rsidR="00215AE3">
        <w:t xml:space="preserve">review the </w:t>
      </w:r>
      <w:r w:rsidR="006A1B97">
        <w:t xml:space="preserve">separate </w:t>
      </w:r>
      <w:r w:rsidR="00571234">
        <w:t xml:space="preserve">valuation </w:t>
      </w:r>
      <w:r w:rsidR="00215AE3">
        <w:t xml:space="preserve">of </w:t>
      </w:r>
      <w:r w:rsidR="00F62A99">
        <w:t>w</w:t>
      </w:r>
      <w:r w:rsidR="00215AE3">
        <w:t xml:space="preserve">ater </w:t>
      </w:r>
      <w:r w:rsidR="00F62A99">
        <w:t>r</w:t>
      </w:r>
      <w:r w:rsidR="00215AE3">
        <w:t>ights on a case-by-case basis with mixed results</w:t>
      </w:r>
      <w:r w:rsidR="000E50C2">
        <w:t>.</w:t>
      </w:r>
      <w:r w:rsidR="00C447F9">
        <w:rPr>
          <w:rStyle w:val="FootnoteReference"/>
        </w:rPr>
        <w:footnoteReference w:id="31"/>
      </w:r>
      <w:r w:rsidR="004A442A">
        <w:t xml:space="preserve"> </w:t>
      </w:r>
      <w:r w:rsidRPr="00241CAA" w:rsidR="0010664F">
        <w:t>PU Code</w:t>
      </w:r>
      <w:r w:rsidR="0057694F">
        <w:t xml:space="preserve"> Section </w:t>
      </w:r>
      <w:r w:rsidRPr="00241CAA" w:rsidR="0010664F">
        <w:t>2720 requires the fair market value (usually measured by purchase price) be the standard for</w:t>
      </w:r>
      <w:r w:rsidR="00DB3EA5">
        <w:t xml:space="preserve"> the acquiring utility to establish the </w:t>
      </w:r>
      <w:r w:rsidR="00D4527B">
        <w:t>new rate base for</w:t>
      </w:r>
      <w:r w:rsidRPr="00241CAA" w:rsidR="0010664F">
        <w:t xml:space="preserve"> </w:t>
      </w:r>
      <w:r w:rsidRPr="00241CAA" w:rsidR="00571234">
        <w:t>rate</w:t>
      </w:r>
      <w:r w:rsidR="00571234">
        <w:t xml:space="preserve">making </w:t>
      </w:r>
      <w:r w:rsidR="009D2B73">
        <w:t>purposes</w:t>
      </w:r>
      <w:r w:rsidR="00D4527B">
        <w:t>.</w:t>
      </w:r>
      <w:r w:rsidR="000C5EB5">
        <w:t xml:space="preserve"> </w:t>
      </w:r>
      <w:r w:rsidR="0062160A">
        <w:t>In prior Commission proceedings</w:t>
      </w:r>
      <w:r w:rsidR="00B81938">
        <w:t>, t</w:t>
      </w:r>
      <w:r w:rsidR="000C5EB5">
        <w:t xml:space="preserve">he acquiring utility </w:t>
      </w:r>
      <w:r w:rsidR="00E443CC">
        <w:t xml:space="preserve">includes in its purchase price </w:t>
      </w:r>
      <w:r w:rsidRPr="00241CAA" w:rsidR="0010664F">
        <w:t>both the physical plant</w:t>
      </w:r>
      <w:r w:rsidR="00D75024">
        <w:t xml:space="preserve"> to be acquired</w:t>
      </w:r>
      <w:r w:rsidRPr="00241CAA" w:rsidR="0010664F">
        <w:t xml:space="preserve"> and the water rights in </w:t>
      </w:r>
      <w:r w:rsidR="00AF14AF">
        <w:t xml:space="preserve">determining the new value to add </w:t>
      </w:r>
      <w:r w:rsidR="00E460D5">
        <w:t>to its overall rate base as a result of the acquisition</w:t>
      </w:r>
      <w:r w:rsidRPr="00241CAA" w:rsidR="0010664F">
        <w:t>.</w:t>
      </w:r>
      <w:r w:rsidR="001F3C26">
        <w:t xml:space="preserve"> As a result</w:t>
      </w:r>
      <w:r w:rsidRPr="00241CAA" w:rsidR="0010664F">
        <w:t>, the value of a system</w:t>
      </w:r>
      <w:r w:rsidR="001F3C26">
        <w:t>, the</w:t>
      </w:r>
      <w:r w:rsidRPr="00241CAA" w:rsidR="0010664F">
        <w:t xml:space="preserve"> </w:t>
      </w:r>
      <w:r w:rsidR="001F3C26">
        <w:t>corresponding</w:t>
      </w:r>
      <w:r w:rsidRPr="00241CAA" w:rsidR="0010664F">
        <w:t xml:space="preserve"> rate base, and the customer rates</w:t>
      </w:r>
      <w:r w:rsidR="00801E87">
        <w:t xml:space="preserve"> that follow </w:t>
      </w:r>
      <w:r w:rsidRPr="00241CAA" w:rsidR="0010664F">
        <w:t xml:space="preserve">can be dramatically altered just by a change of ownership. Further complicating the consideration of water rights is that </w:t>
      </w:r>
      <w:r w:rsidR="009D2B73">
        <w:t>water rights</w:t>
      </w:r>
      <w:r w:rsidRPr="00241CAA" w:rsidR="009D2B73">
        <w:t xml:space="preserve"> </w:t>
      </w:r>
      <w:r w:rsidRPr="00241CAA" w:rsidR="0010664F">
        <w:t>are an intangible asset that do</w:t>
      </w:r>
      <w:r w:rsidR="001F1B7F">
        <w:t>es</w:t>
      </w:r>
      <w:r w:rsidRPr="00241CAA" w:rsidR="0010664F">
        <w:t xml:space="preserve"> not depreciate</w:t>
      </w:r>
      <w:r w:rsidR="00576FD8">
        <w:rPr>
          <w:rStyle w:val="FootnoteReference"/>
        </w:rPr>
        <w:footnoteReference w:id="32"/>
      </w:r>
      <w:r w:rsidRPr="00241CAA" w:rsidR="0010664F">
        <w:t xml:space="preserve">. That is, </w:t>
      </w:r>
      <w:r w:rsidR="009F2924">
        <w:t>when</w:t>
      </w:r>
      <w:r w:rsidRPr="00241CAA" w:rsidR="0010664F">
        <w:t xml:space="preserve"> their value </w:t>
      </w:r>
      <w:r w:rsidR="009F2924">
        <w:t xml:space="preserve">is </w:t>
      </w:r>
      <w:r w:rsidRPr="00241CAA" w:rsidR="0010664F">
        <w:t>added to rate base</w:t>
      </w:r>
      <w:r w:rsidR="00644D7E">
        <w:t xml:space="preserve"> through a utility acquisition</w:t>
      </w:r>
      <w:r w:rsidR="009F2924">
        <w:t xml:space="preserve">, it </w:t>
      </w:r>
      <w:r w:rsidRPr="00241CAA" w:rsidR="0010664F">
        <w:t xml:space="preserve">remains </w:t>
      </w:r>
      <w:r w:rsidR="00112AB9">
        <w:t>there</w:t>
      </w:r>
      <w:r w:rsidRPr="00241CAA" w:rsidR="0010664F">
        <w:t xml:space="preserve"> indefinitely</w:t>
      </w:r>
      <w:r w:rsidR="00112AB9">
        <w:t xml:space="preserve">. This is in direct contrast to </w:t>
      </w:r>
      <w:r w:rsidRPr="00241CAA" w:rsidR="0010664F">
        <w:t>physical assets</w:t>
      </w:r>
      <w:r w:rsidR="00112AB9">
        <w:t xml:space="preserve">, </w:t>
      </w:r>
      <w:r w:rsidR="00104F62">
        <w:t>like wells and pipes, which</w:t>
      </w:r>
      <w:r w:rsidR="009D2B73">
        <w:t xml:space="preserve"> depreciate </w:t>
      </w:r>
      <w:r w:rsidRPr="00241CAA" w:rsidR="0010664F">
        <w:t xml:space="preserve">as they age and are </w:t>
      </w:r>
      <w:r w:rsidR="009D2B73">
        <w:t xml:space="preserve">ultimately </w:t>
      </w:r>
      <w:r w:rsidRPr="00241CAA" w:rsidR="0010664F">
        <w:t>replaced</w:t>
      </w:r>
      <w:r w:rsidR="009D2B73">
        <w:t xml:space="preserve"> </w:t>
      </w:r>
      <w:r w:rsidR="00104F62">
        <w:t>and removed from rate base</w:t>
      </w:r>
      <w:r w:rsidR="009D2B73">
        <w:t xml:space="preserve"> </w:t>
      </w:r>
      <w:r w:rsidR="00BE7114">
        <w:t xml:space="preserve">at the end of </w:t>
      </w:r>
      <w:r w:rsidR="001F1B7F">
        <w:t>their</w:t>
      </w:r>
      <w:r w:rsidR="00BE7114">
        <w:t xml:space="preserve"> useful life</w:t>
      </w:r>
      <w:r w:rsidRPr="00241CAA" w:rsidR="0010664F">
        <w:t xml:space="preserve">. </w:t>
      </w:r>
    </w:p>
    <w:p w:rsidRPr="00241CAA" w:rsidR="0010664F" w:rsidP="0010664F" w:rsidRDefault="0010664F" w14:paraId="151A5AB8" w14:textId="77777777">
      <w:pPr>
        <w:pStyle w:val="Heading3"/>
      </w:pPr>
      <w:bookmarkStart w:name="_Toc91071040" w:id="17"/>
      <w:r>
        <w:lastRenderedPageBreak/>
        <w:t>Case Study: East Pasadena Water Company</w:t>
      </w:r>
      <w:bookmarkEnd w:id="17"/>
    </w:p>
    <w:p w:rsidR="0010664F" w:rsidP="0010664F" w:rsidRDefault="0010664F" w14:paraId="2F171073" w14:textId="2E869050">
      <w:r w:rsidRPr="00241CAA">
        <w:t>The issue of water rights has come to the fore in the recent acquisition of East Pasadena Water Company by Cal-Am. In Cal-Am’s testimony</w:t>
      </w:r>
      <w:r w:rsidR="0078314E">
        <w:t xml:space="preserve"> from this proceeding</w:t>
      </w:r>
      <w:r w:rsidRPr="00241CAA">
        <w:t>, East Pasadena’s estimated 2021 rate base, in the absence of the acquisition</w:t>
      </w:r>
      <w:r w:rsidR="005A4017">
        <w:t>,</w:t>
      </w:r>
      <w:r w:rsidRPr="00241CAA">
        <w:t xml:space="preserve"> was approximately $4.1 million. However, when the system came before the Commission in </w:t>
      </w:r>
      <w:r w:rsidR="0078314E">
        <w:t xml:space="preserve">the proposed acquisition by Cal-Am with </w:t>
      </w:r>
      <w:r w:rsidRPr="00241CAA">
        <w:t xml:space="preserve">A.20-04-003, the system was valued by the applicants and Public Advocates </w:t>
      </w:r>
      <w:r w:rsidR="004710BC">
        <w:t xml:space="preserve">Office </w:t>
      </w:r>
      <w:r w:rsidRPr="00241CAA">
        <w:t>at approximately $42 million</w:t>
      </w:r>
      <w:r w:rsidRPr="00241CAA">
        <w:rPr>
          <w:rStyle w:val="FootnoteReference"/>
        </w:rPr>
        <w:footnoteReference w:id="33"/>
      </w:r>
      <w:r w:rsidRPr="00241CAA">
        <w:t xml:space="preserve"> and $36 million</w:t>
      </w:r>
      <w:r w:rsidR="0078314E">
        <w:t>,</w:t>
      </w:r>
      <w:r w:rsidRPr="00241CAA">
        <w:rPr>
          <w:rStyle w:val="FootnoteReference"/>
        </w:rPr>
        <w:footnoteReference w:id="34"/>
      </w:r>
      <w:r w:rsidRPr="00241CAA">
        <w:t xml:space="preserve"> respectively. The water rights specifically made up 61.8%</w:t>
      </w:r>
      <w:r w:rsidRPr="00241CAA">
        <w:rPr>
          <w:rStyle w:val="FootnoteReference"/>
        </w:rPr>
        <w:footnoteReference w:id="35"/>
      </w:r>
      <w:r w:rsidRPr="00241CAA">
        <w:t xml:space="preserve"> of the value in Cal-Am’s appraisal and 80.3%</w:t>
      </w:r>
      <w:r w:rsidRPr="00241CAA">
        <w:rPr>
          <w:rStyle w:val="FootnoteReference"/>
        </w:rPr>
        <w:footnoteReference w:id="36"/>
      </w:r>
      <w:r w:rsidRPr="00241CAA">
        <w:t xml:space="preserve"> of the value in Public Advocates</w:t>
      </w:r>
      <w:r w:rsidR="004710BC">
        <w:t xml:space="preserve"> Office</w:t>
      </w:r>
      <w:r w:rsidRPr="00241CAA">
        <w:t>’</w:t>
      </w:r>
      <w:r w:rsidR="005D392B">
        <w:t>s</w:t>
      </w:r>
      <w:r w:rsidR="00B27EE2">
        <w:t xml:space="preserve"> appraisal</w:t>
      </w:r>
      <w:r w:rsidRPr="00241CAA">
        <w:t xml:space="preserve">. Ultimately, the purchase price of $34 million, </w:t>
      </w:r>
      <w:r w:rsidR="00452D5D">
        <w:t xml:space="preserve">which </w:t>
      </w:r>
      <w:r w:rsidR="001973D8">
        <w:t>was</w:t>
      </w:r>
      <w:r w:rsidRPr="00241CAA" w:rsidR="001973D8">
        <w:t xml:space="preserve"> lower</w:t>
      </w:r>
      <w:r w:rsidRPr="00241CAA">
        <w:t xml:space="preserve"> than both appraisals, was presumed reasonable in the Proposed Decision.</w:t>
      </w:r>
      <w:r>
        <w:t xml:space="preserve"> </w:t>
      </w:r>
      <w:r w:rsidR="001B3308">
        <w:t xml:space="preserve">The </w:t>
      </w:r>
      <w:r>
        <w:t xml:space="preserve">Public Advocates </w:t>
      </w:r>
      <w:r w:rsidR="001B3308">
        <w:t xml:space="preserve">Office </w:t>
      </w:r>
      <w:r>
        <w:t>contended that because of the variance between the ultimate purchase price and East Pasadena’s original rate base, the difference should be treated as a gain on sale and returned to ratepayers. While the Commission did not ultimately adopt that</w:t>
      </w:r>
      <w:r w:rsidR="00AE6C3B">
        <w:t xml:space="preserve"> gain on sale</w:t>
      </w:r>
      <w:r>
        <w:t xml:space="preserve"> reasoning</w:t>
      </w:r>
      <w:r w:rsidR="00A920E8">
        <w:t xml:space="preserve"> in the approved Decision</w:t>
      </w:r>
      <w:r>
        <w:t>, the point remains that acquisitions can create discrepancies in the value of a system when</w:t>
      </w:r>
      <w:r w:rsidR="00A920E8">
        <w:t xml:space="preserve"> the ratemaking</w:t>
      </w:r>
      <w:r>
        <w:t xml:space="preserve"> treatment of water rights is left undefined</w:t>
      </w:r>
      <w:r w:rsidR="001417DC">
        <w:t xml:space="preserve"> or</w:t>
      </w:r>
      <w:r>
        <w:t xml:space="preserve"> are able to be freely transferred as assets. </w:t>
      </w:r>
    </w:p>
    <w:p w:rsidR="0094129B" w:rsidP="0010664F" w:rsidRDefault="0010664F" w14:paraId="22DEC9D2" w14:textId="6D978073">
      <w:r>
        <w:t xml:space="preserve">Investor-owned utilities can acquire systems not just for their physical plant but also secure lower-cost sources of supply for all customers in the form of water rights, and the Commission should facilitate acquisitions that do so </w:t>
      </w:r>
      <w:r w:rsidR="0004320B">
        <w:t>equitably</w:t>
      </w:r>
      <w:r>
        <w:t>. However,</w:t>
      </w:r>
      <w:r w:rsidR="004862A7">
        <w:t xml:space="preserve"> </w:t>
      </w:r>
      <w:r w:rsidR="00892381">
        <w:t>in the East Pasadena case</w:t>
      </w:r>
      <w:r w:rsidR="002574CD">
        <w:t>,</w:t>
      </w:r>
      <w:r w:rsidR="00892381">
        <w:t xml:space="preserve"> </w:t>
      </w:r>
      <w:r w:rsidR="004862A7">
        <w:t>the change in ownership allowed the water rights to be converted from an intangible asset not in rate bas</w:t>
      </w:r>
      <w:r w:rsidR="00892381">
        <w:t xml:space="preserve">e to an asset that will never be removed from rate base. </w:t>
      </w:r>
      <w:r w:rsidR="00B3465F">
        <w:t xml:space="preserve">While water rights certainly have value, </w:t>
      </w:r>
      <w:r w:rsidR="000E5BC0">
        <w:t xml:space="preserve">that water rights can be treated differently before and after </w:t>
      </w:r>
      <w:r w:rsidR="00362CB1">
        <w:t xml:space="preserve">a simple change in ownership is inconsistent and </w:t>
      </w:r>
      <w:r>
        <w:t>points to an oversight in the existing framework. Indeed, D.</w:t>
      </w:r>
      <w:r w:rsidRPr="00AE6E0B">
        <w:t>99-10-064</w:t>
      </w:r>
      <w:r>
        <w:t xml:space="preserve"> is silent regarding water rights and other intangible assets, and the development of a new acquisition framework offers the opportunity to define how water rights should be treated in a way that is fair to both utilities and customers</w:t>
      </w:r>
      <w:r w:rsidR="009A4F7C">
        <w:t xml:space="preserve"> of acquired and acquiring utilities</w:t>
      </w:r>
      <w:r>
        <w:t>.</w:t>
      </w:r>
    </w:p>
    <w:p w:rsidR="0094129B" w:rsidRDefault="0094129B" w14:paraId="01DA05AB" w14:textId="77777777">
      <w:pPr>
        <w:spacing w:after="200" w:line="276" w:lineRule="auto"/>
      </w:pPr>
      <w:r>
        <w:br w:type="page"/>
      </w:r>
    </w:p>
    <w:p w:rsidR="009702C3" w:rsidP="009702C3" w:rsidRDefault="009702C3" w14:paraId="7909CFC0" w14:textId="7E97E711">
      <w:pPr>
        <w:pStyle w:val="Heading2"/>
      </w:pPr>
      <w:bookmarkStart w:name="_Toc91071041" w:id="18"/>
      <w:r>
        <w:lastRenderedPageBreak/>
        <w:t>Acquisitions Involving Mutual or Publicly Owned Water Systems</w:t>
      </w:r>
      <w:bookmarkEnd w:id="18"/>
    </w:p>
    <w:p w:rsidR="00C402A8" w:rsidP="009702C3" w:rsidRDefault="009702C3" w14:paraId="561541EB" w14:textId="26E0D13A">
      <w:pPr>
        <w:rPr>
          <w:rStyle w:val="normaltextrun"/>
        </w:rPr>
      </w:pPr>
      <w:r>
        <w:rPr>
          <w:rStyle w:val="normaltextrun"/>
        </w:rPr>
        <w:t>The</w:t>
      </w:r>
      <w:r w:rsidRPr="00142830">
        <w:rPr>
          <w:rStyle w:val="normaltextrun"/>
        </w:rPr>
        <w:t xml:space="preserve"> </w:t>
      </w:r>
      <w:r w:rsidR="004840C3">
        <w:rPr>
          <w:rStyle w:val="normaltextrun"/>
        </w:rPr>
        <w:t>existing framework</w:t>
      </w:r>
      <w:r w:rsidRPr="00142830" w:rsidR="004840C3">
        <w:rPr>
          <w:rStyle w:val="normaltextrun"/>
        </w:rPr>
        <w:t xml:space="preserve"> </w:t>
      </w:r>
      <w:r w:rsidRPr="00142830">
        <w:rPr>
          <w:rStyle w:val="normaltextrun"/>
        </w:rPr>
        <w:t>provides limited guidance on the acquisition of mutual</w:t>
      </w:r>
      <w:r w:rsidR="008C25C4">
        <w:rPr>
          <w:rStyle w:val="FootnoteReference"/>
        </w:rPr>
        <w:footnoteReference w:id="37"/>
      </w:r>
      <w:r w:rsidRPr="00142830">
        <w:rPr>
          <w:rStyle w:val="normaltextrun"/>
        </w:rPr>
        <w:t xml:space="preserve"> and publicly-owned water systems. Sections 852 and 854 of the </w:t>
      </w:r>
      <w:r w:rsidR="00AE5839">
        <w:rPr>
          <w:rStyle w:val="normaltextrun"/>
        </w:rPr>
        <w:t>PU</w:t>
      </w:r>
      <w:r w:rsidRPr="00142830">
        <w:rPr>
          <w:rStyle w:val="normaltextrun"/>
        </w:rPr>
        <w:t xml:space="preserve"> Code </w:t>
      </w:r>
      <w:r w:rsidR="00555CEF">
        <w:rPr>
          <w:rStyle w:val="normaltextrun"/>
        </w:rPr>
        <w:t xml:space="preserve">apply specifically to </w:t>
      </w:r>
      <w:r w:rsidR="00A54884">
        <w:rPr>
          <w:rStyle w:val="normaltextrun"/>
        </w:rPr>
        <w:t>Water IOUs</w:t>
      </w:r>
      <w:r w:rsidR="00747DCF">
        <w:rPr>
          <w:rStyle w:val="normaltextrun"/>
        </w:rPr>
        <w:t xml:space="preserve"> </w:t>
      </w:r>
      <w:r w:rsidR="003A5178">
        <w:rPr>
          <w:rStyle w:val="normaltextrun"/>
        </w:rPr>
        <w:t>but do not provide</w:t>
      </w:r>
      <w:r w:rsidR="00345FC6">
        <w:rPr>
          <w:rStyle w:val="normaltextrun"/>
        </w:rPr>
        <w:t xml:space="preserve"> language regarding </w:t>
      </w:r>
      <w:r w:rsidRPr="00142830">
        <w:rPr>
          <w:rStyle w:val="normaltextrun"/>
        </w:rPr>
        <w:t>acquiring a publicly-owned utility.</w:t>
      </w:r>
      <w:r w:rsidR="00ED022B">
        <w:rPr>
          <w:rStyle w:val="normaltextrun"/>
        </w:rPr>
        <w:t xml:space="preserve"> </w:t>
      </w:r>
      <w:r w:rsidR="00FF76E7">
        <w:rPr>
          <w:rStyle w:val="normaltextrun"/>
        </w:rPr>
        <w:t xml:space="preserve">Furthermore, </w:t>
      </w:r>
      <w:r w:rsidR="00ED022B">
        <w:rPr>
          <w:rStyle w:val="normaltextrun"/>
        </w:rPr>
        <w:t xml:space="preserve">Section 2705 </w:t>
      </w:r>
      <w:r w:rsidR="00831D00">
        <w:rPr>
          <w:rStyle w:val="normaltextrun"/>
        </w:rPr>
        <w:t>states</w:t>
      </w:r>
      <w:r w:rsidR="009E6AC6">
        <w:rPr>
          <w:rStyle w:val="normaltextrun"/>
        </w:rPr>
        <w:t xml:space="preserve"> that mutual water companies </w:t>
      </w:r>
      <w:r w:rsidR="00D16573">
        <w:rPr>
          <w:rStyle w:val="normaltextrun"/>
        </w:rPr>
        <w:t xml:space="preserve">are not public utilities and are “not subject to the jurisdiction, control or regulation of the Commission.” </w:t>
      </w:r>
      <w:r w:rsidR="006A7C1A">
        <w:rPr>
          <w:rStyle w:val="normaltextrun"/>
        </w:rPr>
        <w:t>The Commission has not determined, to date, whether the</w:t>
      </w:r>
      <w:r w:rsidR="00660755">
        <w:rPr>
          <w:rStyle w:val="normaltextrun"/>
        </w:rPr>
        <w:t xml:space="preserve"> statute </w:t>
      </w:r>
      <w:r w:rsidR="006A7C1A">
        <w:rPr>
          <w:rStyle w:val="normaltextrun"/>
        </w:rPr>
        <w:t xml:space="preserve">requires Commission authorization </w:t>
      </w:r>
      <w:r w:rsidR="00DE622D">
        <w:rPr>
          <w:rStyle w:val="normaltextrun"/>
        </w:rPr>
        <w:t>for</w:t>
      </w:r>
      <w:r w:rsidR="006A7C1A">
        <w:rPr>
          <w:rStyle w:val="normaltextrun"/>
        </w:rPr>
        <w:t xml:space="preserve"> </w:t>
      </w:r>
      <w:r w:rsidR="003C0E57">
        <w:rPr>
          <w:rStyle w:val="normaltextrun"/>
        </w:rPr>
        <w:t xml:space="preserve">an acquisition </w:t>
      </w:r>
      <w:r w:rsidR="00DE622D">
        <w:rPr>
          <w:rStyle w:val="normaltextrun"/>
        </w:rPr>
        <w:t xml:space="preserve">by a Commission-regulated </w:t>
      </w:r>
      <w:r w:rsidR="00747DCF">
        <w:rPr>
          <w:rStyle w:val="normaltextrun"/>
        </w:rPr>
        <w:t>Water IOU</w:t>
      </w:r>
      <w:r w:rsidR="003C0E57">
        <w:rPr>
          <w:rStyle w:val="normaltextrun"/>
        </w:rPr>
        <w:t xml:space="preserve"> </w:t>
      </w:r>
      <w:r w:rsidR="00DE622D">
        <w:rPr>
          <w:rStyle w:val="normaltextrun"/>
        </w:rPr>
        <w:t xml:space="preserve">of </w:t>
      </w:r>
      <w:r w:rsidR="003C0E57">
        <w:rPr>
          <w:rStyle w:val="normaltextrun"/>
        </w:rPr>
        <w:t>a publicly-owned or mutual utility</w:t>
      </w:r>
      <w:r w:rsidR="00586211">
        <w:rPr>
          <w:rStyle w:val="normaltextrun"/>
        </w:rPr>
        <w:t xml:space="preserve">.  </w:t>
      </w:r>
    </w:p>
    <w:p w:rsidR="009702C3" w:rsidP="009702C3" w:rsidRDefault="00747DCF" w14:paraId="50280509" w14:textId="630317C5">
      <w:pPr>
        <w:rPr>
          <w:rStyle w:val="normaltextrun"/>
        </w:rPr>
      </w:pPr>
      <w:r>
        <w:rPr>
          <w:rStyle w:val="normaltextrun"/>
        </w:rPr>
        <w:t>Water IOUs</w:t>
      </w:r>
      <w:r w:rsidRPr="00142830" w:rsidR="009702C3">
        <w:rPr>
          <w:rStyle w:val="normaltextrun"/>
        </w:rPr>
        <w:t xml:space="preserve"> are, however, required to file an application for long-term financing of a particular acquisition</w:t>
      </w:r>
      <w:r w:rsidR="00B45502">
        <w:rPr>
          <w:rStyle w:val="normaltextrun"/>
        </w:rPr>
        <w:t xml:space="preserve"> according to the existing framework</w:t>
      </w:r>
      <w:r w:rsidRPr="00142830" w:rsidR="009702C3">
        <w:rPr>
          <w:rStyle w:val="normaltextrun"/>
        </w:rPr>
        <w:t>, or may rely on previous Commission authorization for long-term financing where applicable.</w:t>
      </w:r>
      <w:r w:rsidRPr="00142830" w:rsidR="009702C3">
        <w:rPr>
          <w:rStyle w:val="FootnoteReference"/>
        </w:rPr>
        <w:footnoteReference w:id="38"/>
      </w:r>
      <w:r w:rsidRPr="00142830" w:rsidR="009702C3">
        <w:rPr>
          <w:rStyle w:val="normaltextrun"/>
        </w:rPr>
        <w:t xml:space="preserve"> Furthermore, the </w:t>
      </w:r>
      <w:r w:rsidR="00D44B92">
        <w:rPr>
          <w:rStyle w:val="normaltextrun"/>
        </w:rPr>
        <w:t>existing framework</w:t>
      </w:r>
      <w:r w:rsidRPr="00142830" w:rsidR="00D44B92">
        <w:rPr>
          <w:rStyle w:val="normaltextrun"/>
        </w:rPr>
        <w:t xml:space="preserve"> </w:t>
      </w:r>
      <w:r w:rsidRPr="00142830" w:rsidR="009702C3">
        <w:rPr>
          <w:rStyle w:val="normaltextrun"/>
        </w:rPr>
        <w:t>instructs that the implementation of rates in newly acquired public or mutual systems be done through the Commission’s advice letter process, and the new rates must be the acquiring utility’s existing rates, the acquired system’s existing rates, or rates that are lower than either.</w:t>
      </w:r>
      <w:r w:rsidRPr="00142830" w:rsidR="009702C3">
        <w:rPr>
          <w:rStyle w:val="superscript"/>
          <w:sz w:val="19"/>
          <w:szCs w:val="19"/>
        </w:rPr>
        <w:t xml:space="preserve"> </w:t>
      </w:r>
      <w:r w:rsidRPr="00142830" w:rsidR="009702C3">
        <w:rPr>
          <w:rStyle w:val="normaltextrun"/>
        </w:rPr>
        <w:t xml:space="preserve">The </w:t>
      </w:r>
      <w:r w:rsidR="00C46030">
        <w:rPr>
          <w:rStyle w:val="normaltextrun"/>
        </w:rPr>
        <w:t>existing framework</w:t>
      </w:r>
      <w:r w:rsidRPr="00142830" w:rsidR="00C46030">
        <w:rPr>
          <w:rStyle w:val="normaltextrun"/>
        </w:rPr>
        <w:t xml:space="preserve"> </w:t>
      </w:r>
      <w:r w:rsidRPr="00142830" w:rsidR="009702C3">
        <w:rPr>
          <w:rStyle w:val="normaltextrun"/>
        </w:rPr>
        <w:t>makes explicit that the Commission may approve or reject rates implemented via advice letter, depending on the reasonableness of the proposed rates.</w:t>
      </w:r>
      <w:r w:rsidR="009702C3">
        <w:rPr>
          <w:rStyle w:val="FootnoteReference"/>
        </w:rPr>
        <w:footnoteReference w:id="39"/>
      </w:r>
      <w:r w:rsidR="009702C3">
        <w:rPr>
          <w:rStyle w:val="normaltextrun"/>
        </w:rPr>
        <w:t xml:space="preserve"> </w:t>
      </w:r>
    </w:p>
    <w:p w:rsidRPr="00FD4457" w:rsidR="006B50A9" w:rsidP="006B50A9" w:rsidRDefault="006B50A9" w14:paraId="4B77DAA0" w14:textId="0472B6EA">
      <w:pPr>
        <w:pStyle w:val="Heading3"/>
        <w:rPr>
          <w:rStyle w:val="normaltextrun"/>
        </w:rPr>
      </w:pPr>
      <w:bookmarkStart w:name="_Toc91071042" w:id="19"/>
      <w:r>
        <w:rPr>
          <w:rStyle w:val="normaltextrun"/>
        </w:rPr>
        <w:t>Case Study: City of Montebello Water System</w:t>
      </w:r>
      <w:bookmarkEnd w:id="19"/>
    </w:p>
    <w:p w:rsidR="00C20134" w:rsidP="006B50A9" w:rsidRDefault="009702C3" w14:paraId="5D37EF75" w14:textId="4FC20E68">
      <w:pPr>
        <w:rPr>
          <w:rStyle w:val="normaltextrun"/>
          <w:rFonts w:cs="Calibri"/>
        </w:rPr>
      </w:pPr>
      <w:r>
        <w:rPr>
          <w:rStyle w:val="normaltextrun"/>
        </w:rPr>
        <w:t>The lack of guidance around municipal acquisitions has complicated the acquisition of the City of Montebello System by</w:t>
      </w:r>
      <w:r w:rsidRPr="003B7DBA">
        <w:rPr>
          <w:rStyle w:val="normaltextrun"/>
          <w:rFonts w:cs="Calibri"/>
        </w:rPr>
        <w:t xml:space="preserve"> </w:t>
      </w:r>
      <w:r>
        <w:rPr>
          <w:rStyle w:val="normaltextrun"/>
          <w:rFonts w:cs="Calibri"/>
        </w:rPr>
        <w:t>San Gabriel Valley Water Company</w:t>
      </w:r>
      <w:r w:rsidR="001F55C5">
        <w:rPr>
          <w:rStyle w:val="FootnoteReference"/>
          <w:rFonts w:cs="Calibri"/>
        </w:rPr>
        <w:footnoteReference w:id="40"/>
      </w:r>
      <w:r>
        <w:rPr>
          <w:rStyle w:val="normaltextrun"/>
          <w:rFonts w:cs="Calibri"/>
        </w:rPr>
        <w:t xml:space="preserve">. San Gabriel recently came before the Commission seeking to acquire the Montebello system in accordance with Government </w:t>
      </w:r>
      <w:r w:rsidR="00B6534C">
        <w:rPr>
          <w:rStyle w:val="normaltextrun"/>
          <w:rFonts w:cs="Calibri"/>
        </w:rPr>
        <w:t xml:space="preserve">(Gov.) </w:t>
      </w:r>
      <w:r>
        <w:rPr>
          <w:rStyle w:val="normaltextrun"/>
          <w:rFonts w:cs="Calibri"/>
        </w:rPr>
        <w:t xml:space="preserve">Code </w:t>
      </w:r>
      <w:r w:rsidR="00FE1491">
        <w:rPr>
          <w:szCs w:val="24"/>
        </w:rPr>
        <w:t>Section</w:t>
      </w:r>
      <w:r w:rsidR="00C00F82">
        <w:rPr>
          <w:szCs w:val="24"/>
        </w:rPr>
        <w:t xml:space="preserve"> </w:t>
      </w:r>
      <w:r>
        <w:rPr>
          <w:rStyle w:val="normaltextrun"/>
          <w:rFonts w:cs="Calibri"/>
        </w:rPr>
        <w:t xml:space="preserve">37420.5, which allowed the City to sell its water system without the </w:t>
      </w:r>
      <w:r w:rsidR="004B43E1">
        <w:rPr>
          <w:rStyle w:val="normaltextrun"/>
          <w:rFonts w:cs="Calibri"/>
        </w:rPr>
        <w:t xml:space="preserve">statutory </w:t>
      </w:r>
      <w:r>
        <w:rPr>
          <w:rStyle w:val="normaltextrun"/>
          <w:rFonts w:cs="Calibri"/>
        </w:rPr>
        <w:t>requirement of a public vote</w:t>
      </w:r>
      <w:r w:rsidR="004B43E1">
        <w:rPr>
          <w:rStyle w:val="normaltextrun"/>
          <w:rFonts w:cs="Calibri"/>
        </w:rPr>
        <w:t xml:space="preserve"> </w:t>
      </w:r>
      <w:r w:rsidR="00F14AC9">
        <w:rPr>
          <w:rStyle w:val="normaltextrun"/>
          <w:rFonts w:cs="Calibri"/>
        </w:rPr>
        <w:t>as required by PU Code Section 10061</w:t>
      </w:r>
      <w:r>
        <w:rPr>
          <w:rStyle w:val="normaltextrun"/>
          <w:rFonts w:cs="Calibri"/>
        </w:rPr>
        <w:t xml:space="preserve">. The Public Advocates Office protested the acquisition in part because Gov. Code </w:t>
      </w:r>
      <w:r w:rsidR="00EB62CF">
        <w:rPr>
          <w:rStyle w:val="normaltextrun"/>
          <w:rFonts w:cs="Calibri"/>
        </w:rPr>
        <w:t xml:space="preserve">Section </w:t>
      </w:r>
      <w:r>
        <w:rPr>
          <w:rStyle w:val="normaltextrun"/>
          <w:rFonts w:cs="Calibri"/>
        </w:rPr>
        <w:t xml:space="preserve">37420.5 required the entirety of the city’s system to be located within city limits, while the Montebello system contained portions in the neighboring cities of Rosemead and Commerce. San Gabriel contested first that the Commission did not need to rule on whether or not the City had complied with the statutes, since the City is not under the Commission’s jurisdiction. San Gabriel also contended that the City could sell those portions of the system inside the City according to </w:t>
      </w:r>
      <w:r w:rsidR="00B6534C">
        <w:rPr>
          <w:rStyle w:val="normaltextrun"/>
          <w:rFonts w:cs="Calibri"/>
        </w:rPr>
        <w:t xml:space="preserve">Gov. </w:t>
      </w:r>
      <w:r>
        <w:rPr>
          <w:rStyle w:val="normaltextrun"/>
          <w:rFonts w:cs="Calibri"/>
        </w:rPr>
        <w:t xml:space="preserve">Code </w:t>
      </w:r>
      <w:r w:rsidR="00636885">
        <w:rPr>
          <w:rStyle w:val="normaltextrun"/>
          <w:rFonts w:cs="Calibri"/>
        </w:rPr>
        <w:t xml:space="preserve">Section </w:t>
      </w:r>
      <w:r>
        <w:rPr>
          <w:rStyle w:val="normaltextrun"/>
          <w:rFonts w:cs="Calibri"/>
        </w:rPr>
        <w:t xml:space="preserve">37420.5, and the portions of the system outside the city according to PU Code </w:t>
      </w:r>
      <w:r w:rsidR="00EB62CF">
        <w:rPr>
          <w:rStyle w:val="normaltextrun"/>
          <w:rFonts w:cs="Calibri"/>
        </w:rPr>
        <w:t>Section</w:t>
      </w:r>
      <w:r w:rsidR="007066AB">
        <w:rPr>
          <w:rStyle w:val="normaltextrun"/>
          <w:rFonts w:cs="Calibri"/>
        </w:rPr>
        <w:t xml:space="preserve"> </w:t>
      </w:r>
      <w:r>
        <w:rPr>
          <w:rStyle w:val="normaltextrun"/>
          <w:rFonts w:cs="Calibri"/>
        </w:rPr>
        <w:t>10061. The Commission’s Proposed Decision</w:t>
      </w:r>
      <w:r w:rsidR="00F5511C">
        <w:rPr>
          <w:rStyle w:val="normaltextrun"/>
          <w:rFonts w:cs="Calibri"/>
        </w:rPr>
        <w:t xml:space="preserve"> (PD)</w:t>
      </w:r>
      <w:r>
        <w:rPr>
          <w:rStyle w:val="normaltextrun"/>
          <w:rFonts w:cs="Calibri"/>
        </w:rPr>
        <w:t xml:space="preserve"> issued </w:t>
      </w:r>
      <w:r w:rsidR="008A7957">
        <w:rPr>
          <w:rStyle w:val="normaltextrun"/>
          <w:rFonts w:cs="Calibri"/>
        </w:rPr>
        <w:t xml:space="preserve">on </w:t>
      </w:r>
      <w:r>
        <w:rPr>
          <w:rStyle w:val="normaltextrun"/>
          <w:rFonts w:cs="Calibri"/>
        </w:rPr>
        <w:t>July 2, 2021 agreed with Public Advocates</w:t>
      </w:r>
      <w:r w:rsidR="003403D7">
        <w:rPr>
          <w:rStyle w:val="normaltextrun"/>
          <w:rFonts w:cs="Calibri"/>
        </w:rPr>
        <w:t xml:space="preserve"> Office</w:t>
      </w:r>
      <w:r>
        <w:rPr>
          <w:rStyle w:val="normaltextrun"/>
          <w:rFonts w:cs="Calibri"/>
        </w:rPr>
        <w:t xml:space="preserve"> that the Commission </w:t>
      </w:r>
      <w:r w:rsidR="008A7957">
        <w:rPr>
          <w:rStyle w:val="normaltextrun"/>
          <w:rFonts w:cs="Calibri"/>
        </w:rPr>
        <w:t>has</w:t>
      </w:r>
      <w:r>
        <w:rPr>
          <w:rStyle w:val="normaltextrun"/>
          <w:rFonts w:cs="Calibri"/>
        </w:rPr>
        <w:t xml:space="preserve"> a responsibility to ensure compliance with the governing statutes</w:t>
      </w:r>
      <w:r w:rsidR="008A7957">
        <w:rPr>
          <w:rStyle w:val="normaltextrun"/>
          <w:rFonts w:cs="Calibri"/>
        </w:rPr>
        <w:t>. T</w:t>
      </w:r>
      <w:r>
        <w:rPr>
          <w:rStyle w:val="normaltextrun"/>
          <w:rFonts w:cs="Calibri"/>
        </w:rPr>
        <w:t xml:space="preserve">he PD also determined that the acquisition did not properly comply </w:t>
      </w:r>
      <w:r w:rsidR="005C5A8F">
        <w:rPr>
          <w:rStyle w:val="normaltextrun"/>
          <w:rFonts w:cs="Calibri"/>
        </w:rPr>
        <w:t xml:space="preserve">with the statute </w:t>
      </w:r>
      <w:r>
        <w:rPr>
          <w:rStyle w:val="normaltextrun"/>
          <w:rFonts w:cs="Calibri"/>
        </w:rPr>
        <w:t xml:space="preserve">and rejected </w:t>
      </w:r>
      <w:r w:rsidR="005C5A8F">
        <w:rPr>
          <w:rStyle w:val="normaltextrun"/>
          <w:rFonts w:cs="Calibri"/>
        </w:rPr>
        <w:t>the application</w:t>
      </w:r>
      <w:r>
        <w:rPr>
          <w:rStyle w:val="normaltextrun"/>
          <w:rFonts w:cs="Calibri"/>
        </w:rPr>
        <w:t xml:space="preserve"> without prejudice. </w:t>
      </w:r>
    </w:p>
    <w:p w:rsidR="009702C3" w:rsidP="006B50A9" w:rsidRDefault="001D2F09" w14:paraId="2A56132C" w14:textId="056715ED">
      <w:pPr>
        <w:rPr>
          <w:rStyle w:val="normaltextrun"/>
          <w:rFonts w:cs="Calibri"/>
        </w:rPr>
      </w:pPr>
      <w:r>
        <w:rPr>
          <w:rStyle w:val="normaltextrun"/>
          <w:rFonts w:cs="Calibri"/>
        </w:rPr>
        <w:lastRenderedPageBreak/>
        <w:t xml:space="preserve">On October </w:t>
      </w:r>
      <w:r w:rsidR="00C20134">
        <w:rPr>
          <w:rStyle w:val="normaltextrun"/>
          <w:rFonts w:cs="Calibri"/>
        </w:rPr>
        <w:t>8, 2021, Governor Newsom</w:t>
      </w:r>
      <w:r w:rsidR="00B13D04">
        <w:rPr>
          <w:rStyle w:val="normaltextrun"/>
          <w:rFonts w:cs="Calibri"/>
        </w:rPr>
        <w:t xml:space="preserve"> approved AB 850</w:t>
      </w:r>
      <w:r w:rsidR="00D44579">
        <w:rPr>
          <w:rStyle w:val="normaltextrun"/>
          <w:rFonts w:cs="Calibri"/>
        </w:rPr>
        <w:t>, an act</w:t>
      </w:r>
      <w:r w:rsidR="00C20134">
        <w:rPr>
          <w:rStyle w:val="normaltextrun"/>
          <w:rFonts w:cs="Calibri"/>
        </w:rPr>
        <w:t xml:space="preserve"> amending Gov</w:t>
      </w:r>
      <w:r w:rsidR="00B262FF">
        <w:rPr>
          <w:rStyle w:val="normaltextrun"/>
          <w:rFonts w:cs="Calibri"/>
        </w:rPr>
        <w:t>.</w:t>
      </w:r>
      <w:r w:rsidR="00C20134">
        <w:rPr>
          <w:rStyle w:val="normaltextrun"/>
          <w:rFonts w:cs="Calibri"/>
        </w:rPr>
        <w:t xml:space="preserve"> Code </w:t>
      </w:r>
      <w:r w:rsidR="00A06E1F">
        <w:rPr>
          <w:szCs w:val="24"/>
        </w:rPr>
        <w:t xml:space="preserve">Section </w:t>
      </w:r>
      <w:r w:rsidR="00C20134">
        <w:rPr>
          <w:rStyle w:val="normaltextrun"/>
          <w:rFonts w:cs="Calibri"/>
        </w:rPr>
        <w:t xml:space="preserve">37420.5 to remove the requirement that Montebello’s assets be fully contained within the boundaries of the </w:t>
      </w:r>
      <w:r w:rsidR="00970B68">
        <w:rPr>
          <w:rStyle w:val="normaltextrun"/>
          <w:rFonts w:cs="Calibri"/>
        </w:rPr>
        <w:t>city. Four days later, t</w:t>
      </w:r>
      <w:r w:rsidR="009F6355">
        <w:rPr>
          <w:rStyle w:val="normaltextrun"/>
          <w:rFonts w:cs="Calibri"/>
        </w:rPr>
        <w:t>he ALJ in A.20-10-004 issued a ruling withdrawing the PD and</w:t>
      </w:r>
      <w:r w:rsidR="00970B68">
        <w:rPr>
          <w:rStyle w:val="normaltextrun"/>
          <w:rFonts w:cs="Calibri"/>
        </w:rPr>
        <w:t xml:space="preserve"> allowing the case to proceed on its merits. </w:t>
      </w:r>
      <w:r w:rsidR="009702C3">
        <w:rPr>
          <w:rStyle w:val="normaltextrun"/>
          <w:rFonts w:cs="Calibri"/>
        </w:rPr>
        <w:t>While the facts and the governing statutes of the Montebello acquisition are unique, the proceeding has highlighted th</w:t>
      </w:r>
      <w:r w:rsidR="009F6355">
        <w:rPr>
          <w:rStyle w:val="normaltextrun"/>
          <w:rFonts w:cs="Calibri"/>
        </w:rPr>
        <w:t xml:space="preserve">at the additional regulations surrounding municipal </w:t>
      </w:r>
      <w:r w:rsidR="00A313E1">
        <w:rPr>
          <w:rStyle w:val="normaltextrun"/>
          <w:rFonts w:cs="Calibri"/>
        </w:rPr>
        <w:t xml:space="preserve">systems can complicate otherwise straightforward acquisitions. A revised framework offers the opportunity to </w:t>
      </w:r>
      <w:r w:rsidR="00017554">
        <w:rPr>
          <w:rStyle w:val="normaltextrun"/>
          <w:rFonts w:cs="Calibri"/>
        </w:rPr>
        <w:t xml:space="preserve">clarify the Commission’s role and </w:t>
      </w:r>
      <w:r w:rsidR="000A2903">
        <w:rPr>
          <w:rStyle w:val="normaltextrun"/>
          <w:rFonts w:cs="Calibri"/>
        </w:rPr>
        <w:t xml:space="preserve">to </w:t>
      </w:r>
      <w:r w:rsidR="00C56ECC">
        <w:rPr>
          <w:rStyle w:val="normaltextrun"/>
          <w:rFonts w:cs="Calibri"/>
        </w:rPr>
        <w:t>provide</w:t>
      </w:r>
      <w:r w:rsidR="009702C3">
        <w:rPr>
          <w:rStyle w:val="normaltextrun"/>
          <w:rFonts w:cs="Calibri"/>
        </w:rPr>
        <w:t xml:space="preserve"> guidance </w:t>
      </w:r>
      <w:r w:rsidR="000A2903">
        <w:rPr>
          <w:rStyle w:val="normaltextrun"/>
          <w:rFonts w:cs="Calibri"/>
        </w:rPr>
        <w:t>to</w:t>
      </w:r>
      <w:r w:rsidR="009702C3">
        <w:rPr>
          <w:rStyle w:val="normaltextrun"/>
          <w:rFonts w:cs="Calibri"/>
        </w:rPr>
        <w:t xml:space="preserve"> the Commission on how the acquisition of municipal systems should proceed.</w:t>
      </w:r>
    </w:p>
    <w:p w:rsidR="009D5B06" w:rsidP="006B50A9" w:rsidRDefault="009D5B06" w14:paraId="1C101A4D" w14:textId="77777777">
      <w:pPr>
        <w:rPr>
          <w:rStyle w:val="normaltextrun"/>
          <w:rFonts w:cs="Calibri"/>
        </w:rPr>
      </w:pPr>
    </w:p>
    <w:p w:rsidR="003708E9" w:rsidP="006B50A9" w:rsidRDefault="003708E9" w14:paraId="521D51B8" w14:textId="77777777">
      <w:pPr>
        <w:pStyle w:val="Heading2"/>
        <w:sectPr w:rsidR="003708E9" w:rsidSect="003C18FA">
          <w:footerReference w:type="default" r:id="rId13"/>
          <w:headerReference w:type="first" r:id="rId14"/>
          <w:pgSz w:w="12240" w:h="15840"/>
          <w:pgMar w:top="1080" w:right="1080" w:bottom="1642" w:left="1080" w:header="720" w:footer="720" w:gutter="0"/>
          <w:pgNumType w:start="1"/>
          <w:cols w:space="720"/>
          <w:titlePg/>
          <w:docGrid w:linePitch="360"/>
        </w:sectPr>
      </w:pPr>
      <w:bookmarkStart w:name="_Toc91071043" w:id="20"/>
    </w:p>
    <w:p w:rsidR="006B50A9" w:rsidP="006B50A9" w:rsidRDefault="006B50A9" w14:paraId="7C4F80A0" w14:textId="6CF37F69">
      <w:pPr>
        <w:pStyle w:val="Heading2"/>
      </w:pPr>
      <w:r>
        <w:lastRenderedPageBreak/>
        <w:t xml:space="preserve">Different Standards for </w:t>
      </w:r>
      <w:r w:rsidR="00AB5783">
        <w:t xml:space="preserve">Evaluating </w:t>
      </w:r>
      <w:r w:rsidR="00203AB1">
        <w:t>Acquisitions</w:t>
      </w:r>
      <w:bookmarkEnd w:id="20"/>
    </w:p>
    <w:p w:rsidRPr="00241CAA" w:rsidR="006B50A9" w:rsidP="006B50A9" w:rsidRDefault="006B50A9" w14:paraId="2C66CF1A" w14:textId="030F0210">
      <w:r w:rsidRPr="00241CAA">
        <w:t>As discussed in</w:t>
      </w:r>
      <w:r w:rsidR="008D7222">
        <w:t xml:space="preserve"> the Existing Framework Section</w:t>
      </w:r>
      <w:r w:rsidRPr="00241CAA">
        <w:t xml:space="preserve">, the Commission’s authority under PU Code </w:t>
      </w:r>
      <w:r w:rsidR="008249FB">
        <w:t xml:space="preserve">Section </w:t>
      </w:r>
      <w:r w:rsidRPr="00241CAA">
        <w:t xml:space="preserve">851-854 requires it to determine </w:t>
      </w:r>
      <w:r>
        <w:t xml:space="preserve">if </w:t>
      </w:r>
      <w:r w:rsidRPr="00241CAA">
        <w:t xml:space="preserve">a transaction is in the public interest before an acquisition can proceed. Furthermore, an acquisition premium can only be included in the acquiring company’s rate base under PU Code </w:t>
      </w:r>
      <w:r w:rsidR="004D3A76">
        <w:rPr>
          <w:szCs w:val="24"/>
        </w:rPr>
        <w:t>Section</w:t>
      </w:r>
      <w:r w:rsidR="00B43A0E">
        <w:rPr>
          <w:szCs w:val="24"/>
        </w:rPr>
        <w:t xml:space="preserve"> </w:t>
      </w:r>
      <w:r w:rsidRPr="00241CAA">
        <w:t xml:space="preserve">2720(b) if the Commission finds the premium to be “fair and reasonable.”   </w:t>
      </w:r>
    </w:p>
    <w:p w:rsidRPr="00241CAA" w:rsidR="006B50A9" w:rsidP="006B50A9" w:rsidRDefault="006B50A9" w14:paraId="7F23E8FD" w14:textId="53490890">
      <w:r w:rsidRPr="00241CAA">
        <w:t xml:space="preserve">Thus, while the legislation is clear about the Commission’s responsibility to evaluate if an acquisition is in the public interest, the </w:t>
      </w:r>
      <w:r>
        <w:t>existing</w:t>
      </w:r>
      <w:r w:rsidRPr="00241CAA">
        <w:t xml:space="preserve"> framework does not provide specific </w:t>
      </w:r>
      <w:r w:rsidR="0060717B">
        <w:t xml:space="preserve">statutory </w:t>
      </w:r>
      <w:r w:rsidRPr="00241CAA">
        <w:t xml:space="preserve">guidance </w:t>
      </w:r>
      <w:r w:rsidR="00CC5169">
        <w:t>on how to conduct this public interest evaluation</w:t>
      </w:r>
      <w:r w:rsidRPr="00241CAA">
        <w:t>. The Commission has traditionally applied two different</w:t>
      </w:r>
      <w:r w:rsidR="009C0C7B">
        <w:t xml:space="preserve"> standards</w:t>
      </w:r>
      <w:r w:rsidR="00791BF5">
        <w:t xml:space="preserve"> to </w:t>
      </w:r>
      <w:r w:rsidRPr="00241CAA" w:rsidR="00791BF5">
        <w:t>determin</w:t>
      </w:r>
      <w:r w:rsidR="00791BF5">
        <w:t xml:space="preserve">e </w:t>
      </w:r>
      <w:r w:rsidRPr="00241CAA">
        <w:t>if an acquisition is in the public interest</w:t>
      </w:r>
      <w:r w:rsidR="00455C1D">
        <w:rPr>
          <w:rStyle w:val="FootnoteReference"/>
        </w:rPr>
        <w:footnoteReference w:id="41"/>
      </w:r>
      <w:r w:rsidRPr="00241CAA">
        <w:t xml:space="preserve">. The </w:t>
      </w:r>
      <w:r w:rsidR="00454B2C">
        <w:t xml:space="preserve">first </w:t>
      </w:r>
      <w:r w:rsidRPr="00241CAA">
        <w:t xml:space="preserve">is the Ratepayer Indifference Test, under which the </w:t>
      </w:r>
      <w:r w:rsidR="00791BF5">
        <w:t>Commission require</w:t>
      </w:r>
      <w:r w:rsidR="00F310A9">
        <w:t>s</w:t>
      </w:r>
      <w:r w:rsidR="00791BF5">
        <w:t xml:space="preserve"> </w:t>
      </w:r>
      <w:r w:rsidR="00F310A9">
        <w:t xml:space="preserve">that </w:t>
      </w:r>
      <w:r w:rsidR="00791BF5">
        <w:t>the</w:t>
      </w:r>
      <w:r w:rsidRPr="00241CAA">
        <w:t xml:space="preserve"> sale of a utility should not have any net consequences that cause a ratepayer to prefer the seller to the buyer. </w:t>
      </w:r>
      <w:r w:rsidR="00D51292">
        <w:t>Ratepayers</w:t>
      </w:r>
      <w:r w:rsidR="00A117DF">
        <w:t xml:space="preserve"> should be unaffected with the quality and continuity of service.  </w:t>
      </w:r>
    </w:p>
    <w:p w:rsidRPr="00241CAA" w:rsidR="006B50A9" w:rsidP="006B50A9" w:rsidRDefault="00107D8A" w14:paraId="1FAE3C3B" w14:textId="570F72A8">
      <w:r>
        <w:t xml:space="preserve">The second </w:t>
      </w:r>
      <w:r w:rsidR="00577AAF">
        <w:t>standard</w:t>
      </w:r>
      <w:r w:rsidR="00145C7B">
        <w:t xml:space="preserve"> is the Tangible Ratepayer Benefit</w:t>
      </w:r>
      <w:r w:rsidR="00DA39A6">
        <w:t xml:space="preserve"> which</w:t>
      </w:r>
      <w:r w:rsidR="00F310A9">
        <w:t xml:space="preserve"> requires</w:t>
      </w:r>
      <w:r w:rsidR="00AF4E30">
        <w:t xml:space="preserve"> that</w:t>
      </w:r>
      <w:r w:rsidRPr="00241CAA" w:rsidR="006B50A9">
        <w:t xml:space="preserve"> an acquisition must </w:t>
      </w:r>
      <w:r w:rsidR="00A04FC7">
        <w:t>deliver</w:t>
      </w:r>
      <w:r w:rsidRPr="00241CAA" w:rsidR="00A04FC7">
        <w:t xml:space="preserve"> </w:t>
      </w:r>
      <w:r w:rsidR="00296A25">
        <w:t>a net</w:t>
      </w:r>
      <w:r w:rsidRPr="00241CAA" w:rsidR="006B50A9">
        <w:t xml:space="preserve"> benefit to the ratepayer. D.01-09-057, authorizing the sale of Citizens Utilities Company to Cal-Am, found that “a transaction subject to Section 2720 should offer to ratepayers some equitable share of the benefits the transaction will generate.”</w:t>
      </w:r>
      <w:r w:rsidR="006E1A17">
        <w:rPr>
          <w:rStyle w:val="FootnoteReference"/>
        </w:rPr>
        <w:footnoteReference w:id="42"/>
      </w:r>
      <w:r w:rsidRPr="00241CAA" w:rsidR="006B50A9">
        <w:t xml:space="preserve"> Th</w:t>
      </w:r>
      <w:r w:rsidR="006B50A9">
        <w:t>is</w:t>
      </w:r>
      <w:r w:rsidRPr="00241CAA" w:rsidR="006B50A9">
        <w:t xml:space="preserve"> Decision recognized that the benefits in question may be some combination of quantifiable, such as economies of scale, and non-quantifiable or non-monetary, such as enhanced management and operational expertise. However, it also recognized that Section 2720 places the explicit cost of an acquisition premium on ratepayers, and that there are inherent risks to ratepayers in the form of overestimated benefits or possible service degradation. Ultimately, </w:t>
      </w:r>
      <w:r w:rsidR="00796E88">
        <w:t>in determining whether to approve the acquisition</w:t>
      </w:r>
      <w:r w:rsidRPr="00241CAA" w:rsidR="006B50A9">
        <w:t>, th</w:t>
      </w:r>
      <w:r w:rsidR="0039073C">
        <w:t>is</w:t>
      </w:r>
      <w:r w:rsidRPr="00241CAA" w:rsidR="006B50A9">
        <w:t xml:space="preserve"> Decision asks, is the “equitable share of the benefits” that ratepayers receive commensurate with the costs and risks that they incur? </w:t>
      </w:r>
    </w:p>
    <w:p w:rsidR="003E50A9" w:rsidP="006B50A9" w:rsidRDefault="006B50A9" w14:paraId="256CCB9C" w14:textId="61016A70">
      <w:r w:rsidRPr="00241CAA">
        <w:t xml:space="preserve">Therein lies the complication between the two standards—the Commission has never firmly established the degree to which the benefits of an acquisition must match or outweigh the costs. </w:t>
      </w:r>
      <w:r w:rsidR="00110351">
        <w:t xml:space="preserve">As a result, </w:t>
      </w:r>
      <w:r w:rsidR="005D56B9">
        <w:t>the Commission has</w:t>
      </w:r>
      <w:r w:rsidR="00032A9A">
        <w:t xml:space="preserve"> </w:t>
      </w:r>
      <w:r w:rsidR="00110351">
        <w:t>used a mixture</w:t>
      </w:r>
      <w:r w:rsidR="00796E88">
        <w:t xml:space="preserve">, applying both </w:t>
      </w:r>
      <w:r w:rsidR="00844484">
        <w:t>standards</w:t>
      </w:r>
      <w:r w:rsidR="00796E88">
        <w:t xml:space="preserve"> in different situations</w:t>
      </w:r>
      <w:r w:rsidR="00032A9A">
        <w:t xml:space="preserve">.  </w:t>
      </w:r>
    </w:p>
    <w:p w:rsidR="00A83112" w:rsidP="006B50A9" w:rsidRDefault="00A83112" w14:paraId="54C37AF7" w14:textId="403FB594"/>
    <w:p w:rsidR="00A83112" w:rsidP="006B50A9" w:rsidRDefault="00A83112" w14:paraId="6725CE72" w14:textId="0E54EB61"/>
    <w:p w:rsidR="00A83112" w:rsidP="006B50A9" w:rsidRDefault="00A83112" w14:paraId="6AD6945E" w14:textId="26994171"/>
    <w:p w:rsidR="00A83112" w:rsidP="006B50A9" w:rsidRDefault="00A83112" w14:paraId="60705E9F" w14:textId="7ED02B28">
      <w:r>
        <w:rPr>
          <w:noProof/>
        </w:rPr>
        <w:lastRenderedPageBreak/>
        <w:drawing>
          <wp:anchor distT="0" distB="0" distL="114300" distR="114300" simplePos="0" relativeHeight="251658241" behindDoc="0" locked="0" layoutInCell="1" allowOverlap="1" wp14:editId="7C2212FE" wp14:anchorId="131491D3">
            <wp:simplePos x="0" y="0"/>
            <wp:positionH relativeFrom="margin">
              <wp:align>center</wp:align>
            </wp:positionH>
            <wp:positionV relativeFrom="paragraph">
              <wp:posOffset>-1905</wp:posOffset>
            </wp:positionV>
            <wp:extent cx="5486400" cy="32004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54577" w:rsidP="00554577" w:rsidRDefault="00554577" w14:paraId="409975E0" w14:textId="76665EE5">
      <w:pPr>
        <w:keepNext/>
        <w:jc w:val="center"/>
      </w:pPr>
    </w:p>
    <w:p w:rsidR="00554577" w:rsidP="00595545" w:rsidRDefault="00554577" w14:paraId="38F24B34" w14:textId="6607473E">
      <w:pPr>
        <w:pStyle w:val="Caption"/>
        <w:jc w:val="center"/>
      </w:pPr>
      <w:bookmarkStart w:name="_Ref82154890" w:id="21"/>
      <w:bookmarkStart w:name="_Toc82154350" w:id="22"/>
      <w:bookmarkStart w:name="_Toc90911212" w:id="23"/>
      <w:r>
        <w:t xml:space="preserve">Figure </w:t>
      </w:r>
      <w:r>
        <w:fldChar w:fldCharType="begin"/>
      </w:r>
      <w:r>
        <w:instrText xml:space="preserve"> SEQ Figure \* ARABIC </w:instrText>
      </w:r>
      <w:r>
        <w:fldChar w:fldCharType="separate"/>
      </w:r>
      <w:r w:rsidR="002B1FD6">
        <w:t>2</w:t>
      </w:r>
      <w:r>
        <w:fldChar w:fldCharType="end"/>
      </w:r>
      <w:bookmarkEnd w:id="21"/>
      <w:r>
        <w:t xml:space="preserve">: </w:t>
      </w:r>
      <w:r w:rsidR="00844484">
        <w:t>Standards</w:t>
      </w:r>
      <w:r w:rsidR="00951A1E">
        <w:t xml:space="preserve"> Applied in Decisions on </w:t>
      </w:r>
      <w:r w:rsidRPr="008B68DA">
        <w:t>Acquisitions</w:t>
      </w:r>
      <w:r w:rsidR="00A674C3">
        <w:t>, 2007-2021</w:t>
      </w:r>
      <w:r>
        <w:rPr>
          <w:rStyle w:val="FootnoteReference"/>
        </w:rPr>
        <w:footnoteReference w:id="43"/>
      </w:r>
      <w:bookmarkEnd w:id="22"/>
      <w:bookmarkEnd w:id="23"/>
    </w:p>
    <w:p w:rsidRPr="00634544" w:rsidR="006B50A9" w:rsidP="006B50A9" w:rsidRDefault="006B50A9" w14:paraId="7A4962E5" w14:textId="3CB9B5A7">
      <w:r w:rsidRPr="00241CAA">
        <w:t xml:space="preserve">D.17-05-003, </w:t>
      </w:r>
      <w:r w:rsidR="00BB76C1">
        <w:t xml:space="preserve">for instance, </w:t>
      </w:r>
      <w:r w:rsidRPr="00241CAA">
        <w:t>authorizing the sale of Benbow Water Company to Del Oro Water Company, s</w:t>
      </w:r>
      <w:r w:rsidR="001D4465">
        <w:t>tated</w:t>
      </w:r>
      <w:r w:rsidRPr="00241CAA">
        <w:t xml:space="preserve"> “The Commission requires a test of ratepayer indifference when evaluating the sale of a public utility, and also requires the buyer to demonstrate that the buyer’s acquisition of the public utility yields a tangible benefit to the ratepayer.” In so doing, </w:t>
      </w:r>
      <w:r>
        <w:t xml:space="preserve">the Commission </w:t>
      </w:r>
      <w:r w:rsidRPr="00241CAA">
        <w:t xml:space="preserve">indicates that the two </w:t>
      </w:r>
      <w:r w:rsidR="000275B1">
        <w:t>standards</w:t>
      </w:r>
      <w:r w:rsidRPr="00241CAA" w:rsidR="004701EC">
        <w:t xml:space="preserve"> </w:t>
      </w:r>
      <w:r w:rsidRPr="00241CAA">
        <w:t xml:space="preserve">are not necessarily in competition, and both the </w:t>
      </w:r>
      <w:r w:rsidR="00AC1B59">
        <w:t>R</w:t>
      </w:r>
      <w:r w:rsidRPr="00241CAA">
        <w:t xml:space="preserve">atepayer </w:t>
      </w:r>
      <w:r w:rsidR="00AC1B59">
        <w:t>I</w:t>
      </w:r>
      <w:r w:rsidRPr="00241CAA">
        <w:t xml:space="preserve">ndifference </w:t>
      </w:r>
      <w:r w:rsidR="00AC1B59">
        <w:t>T</w:t>
      </w:r>
      <w:r w:rsidR="007479A1">
        <w:t>est</w:t>
      </w:r>
      <w:r w:rsidRPr="00241CAA" w:rsidR="007479A1">
        <w:t xml:space="preserve"> </w:t>
      </w:r>
      <w:r w:rsidRPr="00241CAA">
        <w:t xml:space="preserve">and the </w:t>
      </w:r>
      <w:r w:rsidR="00AC1B59">
        <w:t>T</w:t>
      </w:r>
      <w:r w:rsidRPr="00241CAA">
        <w:t xml:space="preserve">angible </w:t>
      </w:r>
      <w:r w:rsidR="00AC1B59">
        <w:t>Ratepayer</w:t>
      </w:r>
      <w:r w:rsidR="00AC105C">
        <w:t xml:space="preserve"> B</w:t>
      </w:r>
      <w:r w:rsidRPr="00241CAA">
        <w:t xml:space="preserve">enefit may together decide if an acquisition is in the public interest. </w:t>
      </w:r>
      <w:r w:rsidR="00994C7D">
        <w:t xml:space="preserve"> </w:t>
      </w:r>
      <w:r w:rsidR="00930606">
        <w:fldChar w:fldCharType="begin"/>
      </w:r>
      <w:r w:rsidR="00930606">
        <w:instrText xml:space="preserve"> REF _Ref82154890 \h </w:instrText>
      </w:r>
      <w:r w:rsidR="00930606">
        <w:fldChar w:fldCharType="separate"/>
      </w:r>
      <w:r w:rsidR="002B1FD6">
        <w:t xml:space="preserve">Figure </w:t>
      </w:r>
      <w:r w:rsidR="002B1FD6">
        <w:rPr>
          <w:noProof/>
        </w:rPr>
        <w:t>2</w:t>
      </w:r>
      <w:r w:rsidR="00930606">
        <w:fldChar w:fldCharType="end"/>
      </w:r>
      <w:r w:rsidR="00930606">
        <w:t xml:space="preserve"> </w:t>
      </w:r>
      <w:r w:rsidR="00BE0A83">
        <w:t xml:space="preserve">shows </w:t>
      </w:r>
      <w:r w:rsidR="006F606D">
        <w:t>that the</w:t>
      </w:r>
      <w:r w:rsidR="00C60A0E">
        <w:t>re is no prevailing standard</w:t>
      </w:r>
      <w:r w:rsidR="00921584">
        <w:t xml:space="preserve"> in</w:t>
      </w:r>
      <w:r w:rsidR="007D1F8D">
        <w:t xml:space="preserve"> evaluating</w:t>
      </w:r>
      <w:r w:rsidR="00921584">
        <w:t xml:space="preserve"> acquisitions; using both </w:t>
      </w:r>
      <w:r w:rsidR="00007494">
        <w:t>standards</w:t>
      </w:r>
      <w:r w:rsidR="00921584">
        <w:t xml:space="preserve"> together is most common, but not used in a majority of acquisitions.</w:t>
      </w:r>
    </w:p>
    <w:p w:rsidR="00B86958" w:rsidP="006B50A9" w:rsidRDefault="00B86958" w14:paraId="7B05D161" w14:textId="113E23E5">
      <w:r>
        <w:t xml:space="preserve">Further complicating matters is that </w:t>
      </w:r>
      <w:r w:rsidR="00E23B7E">
        <w:t xml:space="preserve">prior </w:t>
      </w:r>
      <w:r w:rsidR="00080FD2">
        <w:t xml:space="preserve">acquisitions have shown </w:t>
      </w:r>
      <w:r>
        <w:t xml:space="preserve">the two </w:t>
      </w:r>
      <w:r w:rsidR="00A86996">
        <w:t>standards</w:t>
      </w:r>
      <w:r w:rsidR="007479A1">
        <w:t xml:space="preserve"> </w:t>
      </w:r>
      <w:r w:rsidR="002F0167">
        <w:t>may</w:t>
      </w:r>
      <w:r>
        <w:t xml:space="preserve"> be</w:t>
      </w:r>
      <w:r w:rsidR="00564B63">
        <w:t xml:space="preserve">come </w:t>
      </w:r>
      <w:r w:rsidR="00E75EA2">
        <w:t xml:space="preserve">either </w:t>
      </w:r>
      <w:r w:rsidR="00564B63">
        <w:t>secondary</w:t>
      </w:r>
      <w:r>
        <w:t xml:space="preserve"> </w:t>
      </w:r>
      <w:r w:rsidR="005E6F46">
        <w:t>or</w:t>
      </w:r>
      <w:r w:rsidR="00E75EA2">
        <w:t xml:space="preserve"> overlooked</w:t>
      </w:r>
      <w:r w:rsidR="005E6F46">
        <w:t xml:space="preserve"> </w:t>
      </w:r>
      <w:r w:rsidR="002F0167">
        <w:t>in the Commission’s review of a proposed acquisition</w:t>
      </w:r>
      <w:r w:rsidR="000A3EDB">
        <w:t xml:space="preserve">.  </w:t>
      </w:r>
      <w:r w:rsidR="0021216A">
        <w:t>R</w:t>
      </w:r>
      <w:r w:rsidR="00B16CB6">
        <w:t xml:space="preserve">ecent examples </w:t>
      </w:r>
      <w:r w:rsidR="00EE6DD5">
        <w:t xml:space="preserve">that demonstrate </w:t>
      </w:r>
      <w:r w:rsidR="00194401">
        <w:t xml:space="preserve">these </w:t>
      </w:r>
      <w:r w:rsidR="0021216A">
        <w:t xml:space="preserve">two </w:t>
      </w:r>
      <w:r w:rsidR="00194401">
        <w:t xml:space="preserve">cases </w:t>
      </w:r>
      <w:r w:rsidR="00B16CB6">
        <w:t xml:space="preserve">are </w:t>
      </w:r>
      <w:r w:rsidR="0055011F">
        <w:t xml:space="preserve">the </w:t>
      </w:r>
      <w:r w:rsidR="000C2A0B">
        <w:t>acquisition</w:t>
      </w:r>
      <w:r w:rsidR="004F4259">
        <w:t>s</w:t>
      </w:r>
      <w:r w:rsidR="000C2A0B">
        <w:t xml:space="preserve"> of Mesa</w:t>
      </w:r>
      <w:r w:rsidR="00327A50">
        <w:t>-Crest Water Company</w:t>
      </w:r>
      <w:r w:rsidR="000118B3">
        <w:rPr>
          <w:rStyle w:val="FootnoteReference"/>
        </w:rPr>
        <w:footnoteReference w:id="44"/>
      </w:r>
      <w:r w:rsidR="00316954">
        <w:t xml:space="preserve"> by Park Water Company and Hillview Water Company</w:t>
      </w:r>
      <w:r w:rsidR="002661C7">
        <w:rPr>
          <w:rStyle w:val="FootnoteReference"/>
        </w:rPr>
        <w:footnoteReference w:id="45"/>
      </w:r>
      <w:r w:rsidR="00316954">
        <w:t xml:space="preserve"> by Cal-Am</w:t>
      </w:r>
      <w:r w:rsidR="00F40736">
        <w:t xml:space="preserve">.  </w:t>
      </w:r>
      <w:r w:rsidR="00B16D88">
        <w:t xml:space="preserve">In the sale of Mesa-Crest, </w:t>
      </w:r>
      <w:r w:rsidR="004D6E9E">
        <w:t>the two standards wer</w:t>
      </w:r>
      <w:r w:rsidR="00404522">
        <w:t>e considered</w:t>
      </w:r>
      <w:r w:rsidR="004D6E9E">
        <w:t xml:space="preserve"> during settlement discussion</w:t>
      </w:r>
      <w:r w:rsidR="00517BBB">
        <w:t>s</w:t>
      </w:r>
      <w:r w:rsidR="004D6E9E">
        <w:t xml:space="preserve"> among the parties.</w:t>
      </w:r>
      <w:r w:rsidR="007F0142">
        <w:t xml:space="preserve">  However, when </w:t>
      </w:r>
      <w:r w:rsidR="00B16D88">
        <w:t xml:space="preserve">a settlement agreement was reached </w:t>
      </w:r>
      <w:r w:rsidR="0056449B">
        <w:t>between the parties</w:t>
      </w:r>
      <w:r w:rsidR="00056453">
        <w:t>,</w:t>
      </w:r>
      <w:r w:rsidR="00737E15">
        <w:t xml:space="preserve"> </w:t>
      </w:r>
      <w:r w:rsidR="00056453">
        <w:t xml:space="preserve">the Commission </w:t>
      </w:r>
      <w:r w:rsidR="0056449B">
        <w:t xml:space="preserve">applied a different standard </w:t>
      </w:r>
      <w:r w:rsidR="003A1AD5">
        <w:t>for review of the settlement</w:t>
      </w:r>
      <w:r w:rsidR="0056449B">
        <w:t xml:space="preserve"> with its review of reas</w:t>
      </w:r>
      <w:r w:rsidR="003A1AD5">
        <w:t xml:space="preserve">onableness </w:t>
      </w:r>
      <w:r w:rsidR="00BA50EB">
        <w:t>for</w:t>
      </w:r>
      <w:r w:rsidR="003A1AD5">
        <w:t xml:space="preserve"> settlement agreements</w:t>
      </w:r>
      <w:r w:rsidR="00401014">
        <w:t>.</w:t>
      </w:r>
      <w:r w:rsidR="000D0688">
        <w:rPr>
          <w:rStyle w:val="FootnoteReference"/>
        </w:rPr>
        <w:footnoteReference w:id="46"/>
      </w:r>
      <w:r w:rsidR="00020F35">
        <w:t xml:space="preserve">  </w:t>
      </w:r>
      <w:r w:rsidR="004F24DD">
        <w:t>In</w:t>
      </w:r>
      <w:r w:rsidR="00020F35">
        <w:t xml:space="preserve"> the sale of Hillview,</w:t>
      </w:r>
      <w:r w:rsidR="006956EB">
        <w:t xml:space="preserve"> </w:t>
      </w:r>
      <w:r w:rsidR="00B658D1">
        <w:t>a</w:t>
      </w:r>
      <w:r w:rsidR="006956EB">
        <w:t xml:space="preserve"> </w:t>
      </w:r>
      <w:r w:rsidR="002A070D">
        <w:t xml:space="preserve">relatively </w:t>
      </w:r>
      <w:r w:rsidR="00E65EBB">
        <w:t>large purchase price</w:t>
      </w:r>
      <w:r w:rsidR="00B658D1">
        <w:t xml:space="preserve"> and tax liability </w:t>
      </w:r>
      <w:r w:rsidR="00072318">
        <w:t>lead</w:t>
      </w:r>
      <w:r w:rsidR="0054360B">
        <w:t xml:space="preserve"> the </w:t>
      </w:r>
      <w:r w:rsidR="00907B00">
        <w:t xml:space="preserve">Commission </w:t>
      </w:r>
      <w:r w:rsidR="0054360B">
        <w:t>to</w:t>
      </w:r>
      <w:r w:rsidR="00B8741D">
        <w:t xml:space="preserve"> address the issues of</w:t>
      </w:r>
      <w:r w:rsidR="00BA4373">
        <w:t xml:space="preserve"> rat</w:t>
      </w:r>
      <w:r w:rsidR="008B30F5">
        <w:t>e recover</w:t>
      </w:r>
      <w:r w:rsidR="0085209D">
        <w:t xml:space="preserve">y </w:t>
      </w:r>
      <w:r w:rsidR="00E11F97">
        <w:t xml:space="preserve">causing the two standards to be omitted </w:t>
      </w:r>
      <w:r w:rsidR="00257471">
        <w:t>from discussion</w:t>
      </w:r>
      <w:r w:rsidR="0059567B">
        <w:t xml:space="preserve"> </w:t>
      </w:r>
      <w:r w:rsidR="00FC1D04">
        <w:t xml:space="preserve">in </w:t>
      </w:r>
      <w:r w:rsidR="0053061D">
        <w:t xml:space="preserve">the </w:t>
      </w:r>
      <w:r w:rsidR="00B8741D">
        <w:t>decision</w:t>
      </w:r>
      <w:r w:rsidR="001670F3">
        <w:t xml:space="preserve"> </w:t>
      </w:r>
      <w:r w:rsidR="00FC1D04">
        <w:t>approving the acquisition.</w:t>
      </w:r>
      <w:r w:rsidRPr="00217919" w:rsidR="00217919">
        <w:t xml:space="preserve"> </w:t>
      </w:r>
      <w:r w:rsidR="002705D9">
        <w:t xml:space="preserve">These two examples demonstrate </w:t>
      </w:r>
      <w:r w:rsidR="002705D9">
        <w:lastRenderedPageBreak/>
        <w:t>that a</w:t>
      </w:r>
      <w:r w:rsidR="00EE722E">
        <w:t xml:space="preserve"> re-examination of the Commission’s acquisitions framework </w:t>
      </w:r>
      <w:r w:rsidR="00B8741D">
        <w:t>may</w:t>
      </w:r>
      <w:r w:rsidR="00EE722E">
        <w:t xml:space="preserve"> provide </w:t>
      </w:r>
      <w:r w:rsidR="00FC7A5A">
        <w:t xml:space="preserve">beneficial guidance by </w:t>
      </w:r>
      <w:r w:rsidRPr="00241CAA" w:rsidR="00217919">
        <w:t xml:space="preserve">affirming which </w:t>
      </w:r>
      <w:r w:rsidR="00E020F9">
        <w:t>standard</w:t>
      </w:r>
      <w:r w:rsidRPr="00241CAA" w:rsidR="00217919">
        <w:t>, or a combination thereof, should be used in evaluating acquisitions</w:t>
      </w:r>
      <w:r w:rsidR="00FC7A5A">
        <w:t>, including those in which a settlement drives the final terms</w:t>
      </w:r>
      <w:r w:rsidRPr="00241CAA" w:rsidR="00217919">
        <w:t>.</w:t>
      </w:r>
    </w:p>
    <w:p w:rsidR="00380EAC" w:rsidRDefault="00380EAC" w14:paraId="24335880" w14:textId="77777777">
      <w:pPr>
        <w:spacing w:after="200" w:line="276" w:lineRule="auto"/>
        <w:rPr>
          <w:rFonts w:ascii="Century Gothic" w:hAnsi="Century Gothic"/>
          <w:color w:val="284A70" w:themeColor="accent1" w:themeShade="80"/>
          <w:spacing w:val="20"/>
          <w:sz w:val="28"/>
          <w:szCs w:val="28"/>
        </w:rPr>
      </w:pPr>
      <w:r>
        <w:br w:type="page"/>
      </w:r>
    </w:p>
    <w:p w:rsidR="006B50A9" w:rsidP="006B50A9" w:rsidRDefault="006B50A9" w14:paraId="7371D6DA" w14:textId="0CFB6A8D">
      <w:pPr>
        <w:pStyle w:val="Heading2"/>
      </w:pPr>
      <w:bookmarkStart w:name="_Toc91071044" w:id="24"/>
      <w:r>
        <w:lastRenderedPageBreak/>
        <w:t>Effects on Customers</w:t>
      </w:r>
      <w:bookmarkEnd w:id="24"/>
    </w:p>
    <w:p w:rsidRPr="00241CAA" w:rsidR="00B9618B" w:rsidP="00B9618B" w:rsidRDefault="006B50A9" w14:paraId="6BF3767C" w14:textId="5D680C0A">
      <w:r w:rsidRPr="00241CAA">
        <w:t xml:space="preserve">The existing framework </w:t>
      </w:r>
      <w:r w:rsidR="000E6B3B">
        <w:t>also spotlights</w:t>
      </w:r>
      <w:r w:rsidRPr="00241CAA">
        <w:t xml:space="preserve"> inadequately operated and maintained</w:t>
      </w:r>
      <w:r w:rsidR="00C47DFB">
        <w:t>, or</w:t>
      </w:r>
      <w:r w:rsidRPr="00241CAA">
        <w:t xml:space="preserve"> </w:t>
      </w:r>
      <w:r>
        <w:t>unsustainable</w:t>
      </w:r>
      <w:r w:rsidR="00C47DFB">
        <w:t>,</w:t>
      </w:r>
      <w:r w:rsidRPr="00241CAA">
        <w:t xml:space="preserve"> systems and raise</w:t>
      </w:r>
      <w:r w:rsidR="000E6B3B">
        <w:t>s</w:t>
      </w:r>
      <w:r w:rsidRPr="00241CAA">
        <w:t xml:space="preserve"> the issue o</w:t>
      </w:r>
      <w:r w:rsidR="0004685D">
        <w:t>f</w:t>
      </w:r>
      <w:r w:rsidRPr="00241CAA">
        <w:t xml:space="preserve"> how to improve water service to customers of those systems. The costs to improve the infrastructure of a</w:t>
      </w:r>
      <w:r w:rsidR="00386542">
        <w:t>n</w:t>
      </w:r>
      <w:r w:rsidRPr="00241CAA">
        <w:t xml:space="preserve"> </w:t>
      </w:r>
      <w:r>
        <w:t>unsustainable</w:t>
      </w:r>
      <w:r w:rsidRPr="00241CAA">
        <w:t xml:space="preserve"> system, especially one with a small customer base, </w:t>
      </w:r>
      <w:r w:rsidR="002E4CA0">
        <w:t>may</w:t>
      </w:r>
      <w:r w:rsidRPr="00241CAA">
        <w:t xml:space="preserve"> be significant and </w:t>
      </w:r>
      <w:r w:rsidR="002E4CA0">
        <w:t>may</w:t>
      </w:r>
      <w:r w:rsidRPr="00241CAA">
        <w:t xml:space="preserve"> also result in large rate increases</w:t>
      </w:r>
      <w:r w:rsidR="008D0978">
        <w:t xml:space="preserve"> that a small customer base may not be able to support</w:t>
      </w:r>
      <w:r w:rsidRPr="00241CAA">
        <w:t xml:space="preserve">. </w:t>
      </w:r>
      <w:r w:rsidRPr="00241CAA" w:rsidR="00B9618B">
        <w:t xml:space="preserve">Furthermore, to comply with PU Code </w:t>
      </w:r>
      <w:r w:rsidR="001575A5">
        <w:t>Section</w:t>
      </w:r>
      <w:r w:rsidR="00C06C7B">
        <w:t xml:space="preserve"> </w:t>
      </w:r>
      <w:r w:rsidRPr="00241CAA" w:rsidR="00B9618B">
        <w:t xml:space="preserve">2719(d), the </w:t>
      </w:r>
      <w:r w:rsidR="00AA3AB4">
        <w:t>Commission</w:t>
      </w:r>
      <w:r w:rsidRPr="00241CAA" w:rsidR="00B9618B">
        <w:t xml:space="preserve"> developed </w:t>
      </w:r>
      <w:r w:rsidR="00C06C7B">
        <w:t>four</w:t>
      </w:r>
      <w:r w:rsidRPr="00241CAA" w:rsidR="00B9618B">
        <w:t xml:space="preserve"> incentives to make acquiring </w:t>
      </w:r>
      <w:r w:rsidR="00B9618B">
        <w:t>inadequately operated and maintained</w:t>
      </w:r>
      <w:r w:rsidRPr="00241CAA" w:rsidR="00B9618B">
        <w:t xml:space="preserve"> water systems more attractive to Commission</w:t>
      </w:r>
      <w:r w:rsidR="00CC1F9A">
        <w:t>-</w:t>
      </w:r>
      <w:r w:rsidRPr="00241CAA" w:rsidR="00B9618B">
        <w:t>regulated water utilities:</w:t>
      </w:r>
    </w:p>
    <w:p w:rsidRPr="00241CAA" w:rsidR="00B9618B" w:rsidP="000D2A30" w:rsidRDefault="00B9618B" w14:paraId="76156336" w14:textId="4BD90D7E">
      <w:pPr>
        <w:pStyle w:val="ListParagraph"/>
        <w:numPr>
          <w:ilvl w:val="0"/>
          <w:numId w:val="36"/>
        </w:numPr>
      </w:pPr>
      <w:r w:rsidRPr="00241CAA">
        <w:t>Establish a memorandum account for expenses associated with unanticipated repairs</w:t>
      </w:r>
      <w:r w:rsidR="000F715A">
        <w:t xml:space="preserve">; </w:t>
      </w:r>
    </w:p>
    <w:p w:rsidRPr="00241CAA" w:rsidR="00B9618B" w:rsidP="000D2A30" w:rsidRDefault="00B9618B" w14:paraId="2D8C0BAD" w14:textId="60E76FE4">
      <w:pPr>
        <w:pStyle w:val="ListParagraph"/>
        <w:numPr>
          <w:ilvl w:val="0"/>
          <w:numId w:val="36"/>
        </w:numPr>
      </w:pPr>
      <w:r w:rsidRPr="00241CAA">
        <w:t>Design rates to recover up to 100% of fixed costs in the service charge</w:t>
      </w:r>
      <w:r w:rsidR="000F715A">
        <w:t>;</w:t>
      </w:r>
    </w:p>
    <w:p w:rsidRPr="00241CAA" w:rsidR="00B9618B" w:rsidP="000D2A30" w:rsidRDefault="00B9618B" w14:paraId="70A8A577" w14:textId="5BD1BF3F">
      <w:pPr>
        <w:pStyle w:val="ListParagraph"/>
        <w:numPr>
          <w:ilvl w:val="0"/>
          <w:numId w:val="36"/>
        </w:numPr>
      </w:pPr>
      <w:r w:rsidRPr="00241CAA">
        <w:t>File for an increase in rates based on the most recent increase in the Consumer Price Index for All Urban Consumers</w:t>
      </w:r>
      <w:r w:rsidR="000F715A">
        <w:t>; and</w:t>
      </w:r>
    </w:p>
    <w:p w:rsidRPr="00241CAA" w:rsidR="00B9618B" w:rsidP="000D2A30" w:rsidRDefault="00B9618B" w14:paraId="10E0BA39" w14:textId="61476044">
      <w:pPr>
        <w:pStyle w:val="ListParagraph"/>
        <w:numPr>
          <w:ilvl w:val="0"/>
          <w:numId w:val="36"/>
        </w:numPr>
      </w:pPr>
      <w:r w:rsidRPr="00241CAA">
        <w:t>Set rates on the basis of the applicable rate or return on rate base</w:t>
      </w:r>
      <w:r>
        <w:t xml:space="preserve">, or rate of margin </w:t>
      </w:r>
      <w:r w:rsidRPr="00241CAA">
        <w:t xml:space="preserve">permitted </w:t>
      </w:r>
      <w:r>
        <w:t xml:space="preserve">for </w:t>
      </w:r>
      <w:r w:rsidRPr="00241CAA">
        <w:t>a Class C or Class D water utility</w:t>
      </w:r>
    </w:p>
    <w:p w:rsidRPr="00241CAA" w:rsidR="00B9618B" w:rsidP="00B9618B" w:rsidRDefault="00C47DFB" w14:paraId="1854D714" w14:textId="5DF3F802">
      <w:r>
        <w:t xml:space="preserve">The </w:t>
      </w:r>
      <w:r w:rsidR="007E24E0">
        <w:t>magnitude</w:t>
      </w:r>
      <w:r w:rsidR="001A24D8">
        <w:t xml:space="preserve"> of all </w:t>
      </w:r>
      <w:r w:rsidR="00773283">
        <w:t>four</w:t>
      </w:r>
      <w:r w:rsidRPr="00241CAA" w:rsidR="00B9618B">
        <w:t xml:space="preserve"> of these incentives </w:t>
      </w:r>
      <w:r w:rsidR="000E6B3B">
        <w:t>leads to additional</w:t>
      </w:r>
      <w:r w:rsidRPr="00241CAA" w:rsidR="00B9618B">
        <w:t xml:space="preserve"> rate increases passed on</w:t>
      </w:r>
      <w:r w:rsidR="00CC1F9A">
        <w:t xml:space="preserve"> </w:t>
      </w:r>
      <w:r w:rsidRPr="00241CAA" w:rsidR="00B9618B">
        <w:t>to customers, both from the acquired utility and the acquiring utility.</w:t>
      </w:r>
    </w:p>
    <w:p w:rsidR="0094129B" w:rsidP="0094129B" w:rsidRDefault="006B50A9" w14:paraId="02D80392" w14:textId="60568E5B">
      <w:r w:rsidRPr="00241CAA">
        <w:t xml:space="preserve">One solution to help </w:t>
      </w:r>
      <w:r>
        <w:t>mitigate</w:t>
      </w:r>
      <w:r w:rsidRPr="00241CAA">
        <w:t xml:space="preserve"> large rate increases is to spread the potential costs to a larger customer base. This is </w:t>
      </w:r>
      <w:r w:rsidR="00386A97">
        <w:t>commonly</w:t>
      </w:r>
      <w:r w:rsidRPr="00241CAA">
        <w:t xml:space="preserve"> referred to as </w:t>
      </w:r>
      <w:r w:rsidRPr="337AF81D">
        <w:t>the socialization of costs</w:t>
      </w:r>
      <w:r w:rsidRPr="00241CAA">
        <w:t xml:space="preserve"> and is often used to justify </w:t>
      </w:r>
      <w:r>
        <w:t xml:space="preserve">and support </w:t>
      </w:r>
      <w:r w:rsidRPr="00241CAA">
        <w:t>an acquisition</w:t>
      </w:r>
      <w:r w:rsidR="00407BEF">
        <w:t>.</w:t>
      </w:r>
      <w:r w:rsidR="00BD4A2D">
        <w:rPr>
          <w:rStyle w:val="FootnoteReference"/>
        </w:rPr>
        <w:footnoteReference w:id="47"/>
      </w:r>
      <w:r w:rsidRPr="00241CAA">
        <w:t xml:space="preserve"> From the perspective of a customer of a</w:t>
      </w:r>
      <w:r>
        <w:t>n</w:t>
      </w:r>
      <w:r w:rsidRPr="00241CAA">
        <w:t xml:space="preserve"> </w:t>
      </w:r>
      <w:r>
        <w:t>unsustainable water</w:t>
      </w:r>
      <w:r w:rsidRPr="00241CAA">
        <w:t xml:space="preserve"> system, having the system acquired by a larger utility to generate economies of scale is beneficial as the </w:t>
      </w:r>
      <w:r w:rsidR="00B54CA5">
        <w:t>pre-</w:t>
      </w:r>
      <w:r w:rsidR="00CD0C8F">
        <w:t xml:space="preserve">existing </w:t>
      </w:r>
      <w:r w:rsidRPr="00241CAA">
        <w:t xml:space="preserve">customer </w:t>
      </w:r>
      <w:r>
        <w:t xml:space="preserve">may </w:t>
      </w:r>
      <w:r w:rsidRPr="00241CAA">
        <w:t>end up paying a lower rate than if no acquisition</w:t>
      </w:r>
      <w:r w:rsidR="005C0908">
        <w:t xml:space="preserve"> had</w:t>
      </w:r>
      <w:r w:rsidRPr="00241CAA">
        <w:t xml:space="preserve"> occurred. However, from the perspective of a customer from the larger</w:t>
      </w:r>
      <w:r w:rsidR="00F22E10">
        <w:t xml:space="preserve"> or acquiring</w:t>
      </w:r>
      <w:r w:rsidRPr="00241CAA">
        <w:t xml:space="preserve"> utility, rates would increase as a result of the acquisition to help cover the costs to improve the newly acquired system. If no acquisition took place, there would be no </w:t>
      </w:r>
      <w:r>
        <w:t xml:space="preserve">additional </w:t>
      </w:r>
      <w:r w:rsidRPr="00241CAA">
        <w:t>rate increase for the customer</w:t>
      </w:r>
      <w:r w:rsidRPr="738B509C">
        <w:t>s</w:t>
      </w:r>
      <w:r w:rsidRPr="00241CAA">
        <w:t xml:space="preserve"> of the larger </w:t>
      </w:r>
      <w:r w:rsidR="00F22E10">
        <w:t xml:space="preserve">or acquiring </w:t>
      </w:r>
      <w:r w:rsidRPr="00241CAA">
        <w:t xml:space="preserve">utility.  </w:t>
      </w:r>
    </w:p>
    <w:p w:rsidR="0094129B" w:rsidRDefault="0094129B" w14:paraId="00B28126" w14:textId="77777777">
      <w:pPr>
        <w:spacing w:after="200" w:line="276" w:lineRule="auto"/>
      </w:pPr>
      <w:r>
        <w:br w:type="page"/>
      </w:r>
    </w:p>
    <w:tbl>
      <w:tblPr>
        <w:tblStyle w:val="ListTable3-Accent6"/>
        <w:tblW w:w="0" w:type="auto"/>
        <w:jc w:val="center"/>
        <w:tblLook w:val="04A0" w:firstRow="1" w:lastRow="0" w:firstColumn="1" w:lastColumn="0" w:noHBand="0" w:noVBand="1"/>
      </w:tblPr>
      <w:tblGrid>
        <w:gridCol w:w="3870"/>
        <w:gridCol w:w="3870"/>
      </w:tblGrid>
      <w:tr w:rsidR="00C33B84" w:rsidTr="00C33B84" w14:paraId="2073068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870" w:type="dxa"/>
            <w:tcBorders>
              <w:right w:val="single" w:color="auto" w:sz="4" w:space="0"/>
            </w:tcBorders>
            <w:vAlign w:val="center"/>
          </w:tcPr>
          <w:p w:rsidRPr="007008D0" w:rsidR="00C33B84" w:rsidP="00E31EB9" w:rsidRDefault="00C33B84" w14:paraId="340D9D21" w14:textId="04641D5A">
            <w:pPr>
              <w:spacing w:before="120" w:after="120" w:line="240" w:lineRule="auto"/>
              <w:jc w:val="center"/>
              <w:rPr>
                <w:color w:val="FFFFFF" w:themeColor="background1"/>
              </w:rPr>
            </w:pPr>
            <w:r>
              <w:rPr>
                <w:color w:val="FFFFFF" w:themeColor="background1"/>
              </w:rPr>
              <w:lastRenderedPageBreak/>
              <w:t xml:space="preserve">Newly Acquired </w:t>
            </w:r>
            <w:r w:rsidR="00F96E21">
              <w:rPr>
                <w:color w:val="FFFFFF" w:themeColor="background1"/>
              </w:rPr>
              <w:t>Utilit</w:t>
            </w:r>
            <w:r w:rsidR="00F96E21">
              <w:rPr>
                <w:b w:val="0"/>
                <w:bCs w:val="0"/>
                <w:color w:val="FFFFFF" w:themeColor="background1"/>
              </w:rPr>
              <w:t>y</w:t>
            </w:r>
            <w:r w:rsidR="00F96E21">
              <w:rPr>
                <w:color w:val="FFFFFF" w:themeColor="background1"/>
              </w:rPr>
              <w:t xml:space="preserve"> </w:t>
            </w:r>
            <w:r>
              <w:rPr>
                <w:color w:val="FFFFFF" w:themeColor="background1"/>
              </w:rPr>
              <w:t>Customers</w:t>
            </w:r>
          </w:p>
        </w:tc>
        <w:tc>
          <w:tcPr>
            <w:tcW w:w="3870" w:type="dxa"/>
            <w:tcBorders>
              <w:right w:val="single" w:color="auto" w:sz="4" w:space="0"/>
            </w:tcBorders>
            <w:vAlign w:val="center"/>
          </w:tcPr>
          <w:p w:rsidR="00C33B84" w:rsidP="00E31EB9" w:rsidRDefault="00E66426" w14:paraId="0951D176" w14:textId="3229C473">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Acquiring Utility</w:t>
            </w:r>
            <w:r w:rsidR="00C33B84">
              <w:rPr>
                <w:color w:val="FFFFFF" w:themeColor="background1"/>
              </w:rPr>
              <w:t xml:space="preserve"> Customers</w:t>
            </w:r>
          </w:p>
        </w:tc>
      </w:tr>
      <w:tr w:rsidR="00C33B84" w:rsidTr="0016162C" w14:paraId="43E0662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70" w:type="dxa"/>
            <w:tcBorders>
              <w:right w:val="single" w:color="auto" w:sz="4" w:space="0"/>
            </w:tcBorders>
          </w:tcPr>
          <w:p w:rsidRPr="00EF0B2C" w:rsidR="00C33B84" w:rsidP="00732F56" w:rsidRDefault="00EF0B2C" w14:paraId="7A10A7BF" w14:textId="219E734C">
            <w:pPr>
              <w:pStyle w:val="ListParagraph"/>
              <w:numPr>
                <w:ilvl w:val="0"/>
                <w:numId w:val="36"/>
              </w:numPr>
              <w:spacing w:after="0" w:line="240" w:lineRule="auto"/>
              <w:ind w:left="360"/>
              <w:rPr>
                <w:b w:val="0"/>
                <w:bCs w:val="0"/>
              </w:rPr>
            </w:pPr>
            <w:r w:rsidRPr="00EF0B2C">
              <w:rPr>
                <w:b w:val="0"/>
                <w:bCs w:val="0"/>
              </w:rPr>
              <w:t xml:space="preserve">Improved </w:t>
            </w:r>
            <w:r w:rsidR="001A7E19">
              <w:rPr>
                <w:b w:val="0"/>
                <w:bCs w:val="0"/>
              </w:rPr>
              <w:t>w</w:t>
            </w:r>
            <w:r w:rsidRPr="00EF0B2C">
              <w:rPr>
                <w:b w:val="0"/>
                <w:bCs w:val="0"/>
              </w:rPr>
              <w:t xml:space="preserve">ater </w:t>
            </w:r>
            <w:r w:rsidR="001A7E19">
              <w:rPr>
                <w:b w:val="0"/>
                <w:bCs w:val="0"/>
              </w:rPr>
              <w:t>q</w:t>
            </w:r>
            <w:r w:rsidRPr="00EF0B2C">
              <w:rPr>
                <w:b w:val="0"/>
                <w:bCs w:val="0"/>
              </w:rPr>
              <w:t>uality</w:t>
            </w:r>
          </w:p>
          <w:p w:rsidRPr="001A7E19" w:rsidR="00EF0B2C" w:rsidP="00732F56" w:rsidRDefault="00EF0B2C" w14:paraId="7333AAAA" w14:textId="52F31B16">
            <w:pPr>
              <w:pStyle w:val="ListParagraph"/>
              <w:numPr>
                <w:ilvl w:val="0"/>
                <w:numId w:val="36"/>
              </w:numPr>
              <w:spacing w:after="0" w:line="240" w:lineRule="auto"/>
              <w:ind w:left="360"/>
              <w:rPr>
                <w:b w:val="0"/>
                <w:bCs w:val="0"/>
              </w:rPr>
            </w:pPr>
            <w:r>
              <w:rPr>
                <w:b w:val="0"/>
                <w:bCs w:val="0"/>
              </w:rPr>
              <w:t xml:space="preserve">Improved </w:t>
            </w:r>
            <w:r w:rsidR="001A7E19">
              <w:rPr>
                <w:b w:val="0"/>
                <w:bCs w:val="0"/>
              </w:rPr>
              <w:t>w</w:t>
            </w:r>
            <w:r>
              <w:rPr>
                <w:b w:val="0"/>
                <w:bCs w:val="0"/>
              </w:rPr>
              <w:t xml:space="preserve">ater </w:t>
            </w:r>
            <w:r w:rsidR="001A7E19">
              <w:rPr>
                <w:b w:val="0"/>
                <w:bCs w:val="0"/>
              </w:rPr>
              <w:t>s</w:t>
            </w:r>
            <w:r>
              <w:rPr>
                <w:b w:val="0"/>
                <w:bCs w:val="0"/>
              </w:rPr>
              <w:t>ervice</w:t>
            </w:r>
          </w:p>
          <w:p w:rsidRPr="002B77F9" w:rsidR="001A7E19" w:rsidP="00732F56" w:rsidRDefault="001A7E19" w14:paraId="35896CA5" w14:textId="2CA8683A">
            <w:pPr>
              <w:pStyle w:val="ListParagraph"/>
              <w:numPr>
                <w:ilvl w:val="0"/>
                <w:numId w:val="36"/>
              </w:numPr>
              <w:spacing w:after="0" w:line="240" w:lineRule="auto"/>
              <w:ind w:left="360"/>
              <w:rPr>
                <w:b w:val="0"/>
                <w:bCs w:val="0"/>
              </w:rPr>
            </w:pPr>
            <w:r>
              <w:rPr>
                <w:b w:val="0"/>
                <w:bCs w:val="0"/>
              </w:rPr>
              <w:t>Improved water reliability</w:t>
            </w:r>
          </w:p>
          <w:p w:rsidRPr="00863D8C" w:rsidR="002B77F9" w:rsidP="00732F56" w:rsidRDefault="00B47260" w14:paraId="30C4308B" w14:textId="49D03C96">
            <w:pPr>
              <w:pStyle w:val="ListParagraph"/>
              <w:numPr>
                <w:ilvl w:val="0"/>
                <w:numId w:val="36"/>
              </w:numPr>
              <w:spacing w:after="0" w:line="240" w:lineRule="auto"/>
              <w:ind w:left="360"/>
              <w:rPr>
                <w:b w:val="0"/>
                <w:bCs w:val="0"/>
              </w:rPr>
            </w:pPr>
            <w:r>
              <w:rPr>
                <w:b w:val="0"/>
                <w:bCs w:val="0"/>
              </w:rPr>
              <w:t xml:space="preserve">Cost </w:t>
            </w:r>
            <w:r w:rsidR="001A7E19">
              <w:rPr>
                <w:b w:val="0"/>
                <w:bCs w:val="0"/>
              </w:rPr>
              <w:t>s</w:t>
            </w:r>
            <w:r>
              <w:rPr>
                <w:b w:val="0"/>
                <w:bCs w:val="0"/>
              </w:rPr>
              <w:t xml:space="preserve">avings through </w:t>
            </w:r>
            <w:r w:rsidR="001A7E19">
              <w:rPr>
                <w:b w:val="0"/>
                <w:bCs w:val="0"/>
              </w:rPr>
              <w:t>e</w:t>
            </w:r>
            <w:r>
              <w:rPr>
                <w:b w:val="0"/>
                <w:bCs w:val="0"/>
              </w:rPr>
              <w:t xml:space="preserve">conomies of </w:t>
            </w:r>
            <w:r w:rsidR="001A7E19">
              <w:rPr>
                <w:b w:val="0"/>
                <w:bCs w:val="0"/>
              </w:rPr>
              <w:t>s</w:t>
            </w:r>
            <w:r>
              <w:rPr>
                <w:b w:val="0"/>
                <w:bCs w:val="0"/>
              </w:rPr>
              <w:t>cale</w:t>
            </w:r>
          </w:p>
          <w:p w:rsidRPr="00C625C9" w:rsidR="00863D8C" w:rsidP="00732F56" w:rsidRDefault="00214917" w14:paraId="7C44BCDD" w14:textId="77777777">
            <w:pPr>
              <w:pStyle w:val="ListParagraph"/>
              <w:numPr>
                <w:ilvl w:val="0"/>
                <w:numId w:val="36"/>
              </w:numPr>
              <w:spacing w:after="0" w:line="240" w:lineRule="auto"/>
              <w:ind w:left="360"/>
              <w:rPr>
                <w:b w:val="0"/>
                <w:bCs w:val="0"/>
              </w:rPr>
            </w:pPr>
            <w:r>
              <w:rPr>
                <w:b w:val="0"/>
                <w:bCs w:val="0"/>
              </w:rPr>
              <w:t xml:space="preserve">Spreading of </w:t>
            </w:r>
            <w:r w:rsidR="001A7E19">
              <w:rPr>
                <w:b w:val="0"/>
                <w:bCs w:val="0"/>
              </w:rPr>
              <w:t>c</w:t>
            </w:r>
            <w:r w:rsidR="00A81116">
              <w:rPr>
                <w:b w:val="0"/>
                <w:bCs w:val="0"/>
              </w:rPr>
              <w:t>ost to larg</w:t>
            </w:r>
            <w:r w:rsidR="001A7E19">
              <w:rPr>
                <w:b w:val="0"/>
                <w:bCs w:val="0"/>
              </w:rPr>
              <w:t>er customer base</w:t>
            </w:r>
          </w:p>
          <w:p w:rsidRPr="00150ECF" w:rsidR="00C625C9" w:rsidP="00732F56" w:rsidRDefault="00C625C9" w14:paraId="599D4E17" w14:textId="77777777">
            <w:pPr>
              <w:pStyle w:val="ListParagraph"/>
              <w:numPr>
                <w:ilvl w:val="0"/>
                <w:numId w:val="36"/>
              </w:numPr>
              <w:spacing w:after="0" w:line="240" w:lineRule="auto"/>
              <w:ind w:left="360"/>
              <w:rPr>
                <w:b w:val="0"/>
                <w:bCs w:val="0"/>
              </w:rPr>
            </w:pPr>
            <w:r>
              <w:rPr>
                <w:b w:val="0"/>
                <w:bCs w:val="0"/>
              </w:rPr>
              <w:t>Access to various customer programs including low-income assistance</w:t>
            </w:r>
          </w:p>
          <w:p w:rsidRPr="00EF0B2C" w:rsidR="00150ECF" w:rsidP="00732F56" w:rsidRDefault="00150ECF" w14:paraId="77CEE70C" w14:textId="056218DA">
            <w:pPr>
              <w:pStyle w:val="ListParagraph"/>
              <w:numPr>
                <w:ilvl w:val="0"/>
                <w:numId w:val="36"/>
              </w:numPr>
              <w:spacing w:after="0" w:line="240" w:lineRule="auto"/>
              <w:ind w:left="360"/>
              <w:rPr>
                <w:b w:val="0"/>
                <w:bCs w:val="0"/>
              </w:rPr>
            </w:pPr>
            <w:r>
              <w:rPr>
                <w:b w:val="0"/>
                <w:bCs w:val="0"/>
              </w:rPr>
              <w:t>Access to online resources</w:t>
            </w:r>
          </w:p>
        </w:tc>
        <w:tc>
          <w:tcPr>
            <w:tcW w:w="3870" w:type="dxa"/>
            <w:tcBorders>
              <w:right w:val="single" w:color="auto" w:sz="4" w:space="0"/>
            </w:tcBorders>
          </w:tcPr>
          <w:p w:rsidR="003E2D82" w:rsidP="00732F56" w:rsidRDefault="00CC39CE" w14:paraId="0C3930A2" w14:textId="465878B3">
            <w:pPr>
              <w:pStyle w:val="ListParagraph"/>
              <w:numPr>
                <w:ilvl w:val="0"/>
                <w:numId w:val="36"/>
              </w:numPr>
              <w:spacing w:after="0" w:line="240" w:lineRule="auto"/>
              <w:ind w:left="360"/>
              <w:cnfStyle w:val="000000100000" w:firstRow="0" w:lastRow="0" w:firstColumn="0" w:lastColumn="0" w:oddVBand="0" w:evenVBand="0" w:oddHBand="1" w:evenHBand="0" w:firstRowFirstColumn="0" w:firstRowLastColumn="0" w:lastRowFirstColumn="0" w:lastRowLastColumn="0"/>
            </w:pPr>
            <w:r>
              <w:t>Cost Savings through</w:t>
            </w:r>
            <w:r w:rsidR="00863D8C">
              <w:t xml:space="preserve"> Economies of Scale</w:t>
            </w:r>
          </w:p>
          <w:p w:rsidRPr="00EF0B2C" w:rsidR="00C33B84" w:rsidP="00732F56" w:rsidRDefault="003E2D82" w14:paraId="5782AE6B" w14:textId="4EA65FB3">
            <w:pPr>
              <w:pStyle w:val="ListParagraph"/>
              <w:keepNext/>
              <w:numPr>
                <w:ilvl w:val="0"/>
                <w:numId w:val="36"/>
              </w:numPr>
              <w:spacing w:after="0" w:line="240" w:lineRule="auto"/>
              <w:ind w:left="360"/>
              <w:cnfStyle w:val="000000100000" w:firstRow="0" w:lastRow="0" w:firstColumn="0" w:lastColumn="0" w:oddVBand="0" w:evenVBand="0" w:oddHBand="1" w:evenHBand="0" w:firstRowFirstColumn="0" w:firstRowLastColumn="0" w:lastRowFirstColumn="0" w:lastRowLastColumn="0"/>
            </w:pPr>
            <w:r>
              <w:t>Spreading of cost to larger customer base</w:t>
            </w:r>
          </w:p>
        </w:tc>
      </w:tr>
    </w:tbl>
    <w:p w:rsidR="0094129B" w:rsidP="00595545" w:rsidRDefault="0094129B" w14:paraId="7CB23B7F" w14:textId="5B86C022">
      <w:pPr>
        <w:pStyle w:val="Caption"/>
        <w:jc w:val="center"/>
      </w:pPr>
      <w:bookmarkStart w:name="_Toc82154456" w:id="25"/>
      <w:bookmarkStart w:name="_Toc90623359" w:id="26"/>
      <w:r>
        <w:t xml:space="preserve">Table </w:t>
      </w:r>
      <w:r>
        <w:fldChar w:fldCharType="begin"/>
      </w:r>
      <w:r>
        <w:instrText xml:space="preserve"> SEQ Table \* ARABIC </w:instrText>
      </w:r>
      <w:r>
        <w:fldChar w:fldCharType="separate"/>
      </w:r>
      <w:r w:rsidR="002B1FD6">
        <w:t>2</w:t>
      </w:r>
      <w:r>
        <w:fldChar w:fldCharType="end"/>
      </w:r>
      <w:r>
        <w:t xml:space="preserve">: </w:t>
      </w:r>
      <w:r w:rsidRPr="00552F79">
        <w:t>List of Potential Benefits from Acquisitions</w:t>
      </w:r>
      <w:bookmarkEnd w:id="25"/>
      <w:bookmarkEnd w:id="26"/>
    </w:p>
    <w:p w:rsidR="008C6885" w:rsidP="008C6885" w:rsidRDefault="006B50A9" w14:paraId="44CEB985" w14:textId="77777777">
      <w:pPr>
        <w:rPr>
          <w:noProof/>
        </w:rPr>
      </w:pPr>
      <w:r w:rsidRPr="00241CAA">
        <w:t xml:space="preserve">The effect on existing customers of the acquiring utilities </w:t>
      </w:r>
      <w:r w:rsidR="00EA4849">
        <w:t>is</w:t>
      </w:r>
      <w:r w:rsidRPr="00241CAA" w:rsidR="00EA4849">
        <w:t xml:space="preserve"> </w:t>
      </w:r>
      <w:r w:rsidRPr="00241CAA">
        <w:t>not mentioned in the existing framework</w:t>
      </w:r>
      <w:r w:rsidR="00194275">
        <w:t xml:space="preserve"> as it </w:t>
      </w:r>
      <w:r w:rsidRPr="00241CAA">
        <w:t xml:space="preserve">only discusses rates for customers from the utility being acquired. </w:t>
      </w:r>
      <w:r w:rsidR="00D43073">
        <w:t>T</w:t>
      </w:r>
      <w:r w:rsidR="008C3E1F">
        <w:t>he existing framework</w:t>
      </w:r>
      <w:r w:rsidRPr="00241CAA">
        <w:t xml:space="preserve"> states that utilities are authorized to place “into effect the existing rates of its adjacent or nearby water system, the acquired system’s rates, or rates lower than either.”</w:t>
      </w:r>
      <w:r w:rsidR="00D43073">
        <w:rPr>
          <w:rStyle w:val="FootnoteReference"/>
        </w:rPr>
        <w:footnoteReference w:id="48"/>
      </w:r>
      <w:r w:rsidRPr="00241CAA">
        <w:t xml:space="preserve"> At first glance, this may seem like customers of the acquired system are protected from rate increases. However, the existing </w:t>
      </w:r>
      <w:r w:rsidR="00FE584F">
        <w:t>f</w:t>
      </w:r>
      <w:r w:rsidRPr="00241CAA">
        <w:t xml:space="preserve">ramework did not clarify that </w:t>
      </w:r>
      <w:r w:rsidR="00F957EC">
        <w:t xml:space="preserve">the language </w:t>
      </w:r>
      <w:r w:rsidRPr="00241CAA">
        <w:t>only applies to the initial</w:t>
      </w:r>
      <w:r w:rsidR="00917368">
        <w:t>ly</w:t>
      </w:r>
      <w:r w:rsidRPr="00241CAA">
        <w:t xml:space="preserve"> proposed rates at the time of acquisition and </w:t>
      </w:r>
      <w:proofErr w:type="gramStart"/>
      <w:r w:rsidRPr="00241CAA">
        <w:t>that utilities</w:t>
      </w:r>
      <w:proofErr w:type="gramEnd"/>
      <w:r w:rsidRPr="00241CAA">
        <w:t xml:space="preserve"> are allowed to increase rates</w:t>
      </w:r>
      <w:r w:rsidR="00B7185D">
        <w:t xml:space="preserve"> for the acquired utility or </w:t>
      </w:r>
      <w:r w:rsidR="00B60AB1">
        <w:t>spread this increase across the acquiring utility</w:t>
      </w:r>
      <w:r w:rsidRPr="00241CAA">
        <w:t xml:space="preserve"> in the next G</w:t>
      </w:r>
      <w:r w:rsidR="00D435A4">
        <w:t>eneral Rate Case (GRC)</w:t>
      </w:r>
      <w:r w:rsidRPr="00241CAA">
        <w:t>.</w:t>
      </w:r>
      <w:r w:rsidRPr="008C6885" w:rsidR="008C6885">
        <w:rPr>
          <w:noProof/>
        </w:rPr>
        <w:t xml:space="preserve"> </w:t>
      </w:r>
    </w:p>
    <w:p w:rsidR="00F972DF" w:rsidP="004D7866" w:rsidRDefault="008C6885" w14:paraId="57CF37FA" w14:textId="2589B1A6">
      <w:r>
        <w:rPr>
          <w:noProof/>
        </w:rPr>
        <w:drawing>
          <wp:anchor distT="0" distB="0" distL="114300" distR="114300" simplePos="0" relativeHeight="251658242" behindDoc="1" locked="0" layoutInCell="1" allowOverlap="1" wp14:editId="426C119A" wp14:anchorId="6B994D58">
            <wp:simplePos x="0" y="0"/>
            <wp:positionH relativeFrom="margin">
              <wp:posOffset>457200</wp:posOffset>
            </wp:positionH>
            <wp:positionV relativeFrom="paragraph">
              <wp:posOffset>96520</wp:posOffset>
            </wp:positionV>
            <wp:extent cx="5478780" cy="2705100"/>
            <wp:effectExtent l="0" t="0" r="7620" b="0"/>
            <wp:wrapTight wrapText="bothSides">
              <wp:wrapPolygon edited="0">
                <wp:start x="0" y="0"/>
                <wp:lineTo x="0" y="21448"/>
                <wp:lineTo x="21555" y="21448"/>
                <wp:lineTo x="21555"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rsidR="002E7E3A" w:rsidP="002B1713" w:rsidRDefault="00F972DF" w14:paraId="6FD9BFA9" w14:textId="0C03632F">
      <w:pPr>
        <w:pStyle w:val="Caption"/>
        <w:jc w:val="center"/>
      </w:pPr>
      <w:bookmarkStart w:name="_Toc90911213" w:id="27"/>
      <w:r>
        <w:lastRenderedPageBreak/>
        <w:t xml:space="preserve">Figure </w:t>
      </w:r>
      <w:r>
        <w:fldChar w:fldCharType="begin"/>
      </w:r>
      <w:r>
        <w:instrText xml:space="preserve"> SEQ Figure \* ARABIC </w:instrText>
      </w:r>
      <w:r>
        <w:fldChar w:fldCharType="separate"/>
      </w:r>
      <w:r w:rsidR="002B1FD6">
        <w:t>3</w:t>
      </w:r>
      <w:r>
        <w:fldChar w:fldCharType="end"/>
      </w:r>
      <w:r>
        <w:t>: Deferred Rate Increases</w:t>
      </w:r>
      <w:r w:rsidR="00C55A52">
        <w:rPr>
          <w:rStyle w:val="FootnoteReference"/>
        </w:rPr>
        <w:footnoteReference w:id="49"/>
      </w:r>
      <w:bookmarkEnd w:id="27"/>
    </w:p>
    <w:p w:rsidR="00ED4DB3" w:rsidP="000D5F3F" w:rsidRDefault="008C6885" w14:paraId="6D6D9A20" w14:textId="082B5DE5">
      <w:r>
        <w:t>For</w:t>
      </w:r>
      <w:r w:rsidR="00A143A0">
        <w:t xml:space="preserve"> the thirty-two</w:t>
      </w:r>
      <w:r>
        <w:t xml:space="preserve"> acquisitions involving a Water IOU as the purchaser between 2007 and 2021, </w:t>
      </w:r>
      <w:r w:rsidR="004D2229">
        <w:t xml:space="preserve">Figure 3 shows that </w:t>
      </w:r>
      <w:r w:rsidR="00A567D2">
        <w:t>almost two-thirds</w:t>
      </w:r>
      <w:r>
        <w:t xml:space="preserve"> resulted in the continuation of existing rates of the acquired system at the time of acquisition while postponing the review and implementation of rate increases to a later date. The majority of these deferred rate increases occurred in the following GRC of the respective acquiring utility. Four acquisitions implemented interim rates at the time of approval before increasing rates at a later date while seven acquisitions resulted in an immediate rate increase at the time of approval.  </w:t>
      </w:r>
    </w:p>
    <w:p w:rsidR="00796BFB" w:rsidP="00796BFB" w:rsidRDefault="00B6351E" w14:paraId="5D5A6491" w14:textId="5261F71B">
      <w:r>
        <w:t xml:space="preserve">Deferring rate increases to a later time </w:t>
      </w:r>
      <w:r w:rsidR="00DC7346">
        <w:t>does not allow for the</w:t>
      </w:r>
      <w:r>
        <w:t xml:space="preserve"> proper measure </w:t>
      </w:r>
      <w:r w:rsidR="00DC7346">
        <w:t xml:space="preserve">of </w:t>
      </w:r>
      <w:r>
        <w:t xml:space="preserve">the true rate impact </w:t>
      </w:r>
      <w:r w:rsidR="001C5CCC">
        <w:t>a</w:t>
      </w:r>
      <w:r w:rsidR="00664D6A">
        <w:t xml:space="preserve">t </w:t>
      </w:r>
      <w:r w:rsidR="00847869">
        <w:t xml:space="preserve">the time </w:t>
      </w:r>
      <w:r>
        <w:t>of</w:t>
      </w:r>
      <w:r w:rsidR="00315545">
        <w:t xml:space="preserve"> review for</w:t>
      </w:r>
      <w:r>
        <w:t xml:space="preserve"> </w:t>
      </w:r>
      <w:r w:rsidR="00E42C11">
        <w:t xml:space="preserve">an </w:t>
      </w:r>
      <w:r>
        <w:t>acquisition.</w:t>
      </w:r>
      <w:r w:rsidR="00C21BAE">
        <w:t xml:space="preserve"> </w:t>
      </w:r>
      <w:r w:rsidR="00D230C7">
        <w:t xml:space="preserve">The rate increase </w:t>
      </w:r>
      <w:r w:rsidR="007E07DC">
        <w:t xml:space="preserve">at the time of the acquisition is illustrative </w:t>
      </w:r>
      <w:r w:rsidR="0052124C">
        <w:t xml:space="preserve">and depends greatly on other assumptions—like allocations between </w:t>
      </w:r>
      <w:r w:rsidR="008B58FD">
        <w:t>decentralized</w:t>
      </w:r>
      <w:r w:rsidR="00BA4977">
        <w:t xml:space="preserve"> or non-contiguous</w:t>
      </w:r>
      <w:r w:rsidR="008B58FD">
        <w:t xml:space="preserve"> </w:t>
      </w:r>
      <w:r w:rsidR="0052124C">
        <w:t xml:space="preserve">ratemaking areas and the </w:t>
      </w:r>
      <w:r w:rsidR="008B58FD">
        <w:t xml:space="preserve">centralized </w:t>
      </w:r>
      <w:r w:rsidR="0052124C">
        <w:t>general office</w:t>
      </w:r>
      <w:r w:rsidR="008B58FD">
        <w:t xml:space="preserve"> location</w:t>
      </w:r>
      <w:r w:rsidR="0052124C">
        <w:t>—that do not take place until the rates are implemented.</w:t>
      </w:r>
      <w:r w:rsidR="00C43218">
        <w:rPr>
          <w:rStyle w:val="FootnoteReference"/>
        </w:rPr>
        <w:footnoteReference w:id="50"/>
      </w:r>
      <w:r w:rsidR="0052124C">
        <w:t xml:space="preserve"> </w:t>
      </w:r>
      <w:r w:rsidR="00257DBA">
        <w:t xml:space="preserve">In </w:t>
      </w:r>
      <w:r w:rsidR="0052124C">
        <w:t>addition</w:t>
      </w:r>
      <w:r w:rsidR="00257DBA">
        <w:t xml:space="preserve">, multiple acquisitions can take place </w:t>
      </w:r>
      <w:r w:rsidR="005C3C18">
        <w:t xml:space="preserve">between </w:t>
      </w:r>
      <w:r w:rsidR="00257DBA">
        <w:t>the same GRC cycle</w:t>
      </w:r>
      <w:r w:rsidR="00BA4977">
        <w:t xml:space="preserve"> for an acquiring utility</w:t>
      </w:r>
      <w:r w:rsidR="00A111EB">
        <w:t>,</w:t>
      </w:r>
      <w:r w:rsidR="00257DBA">
        <w:t xml:space="preserve"> </w:t>
      </w:r>
      <w:r w:rsidR="009D069F">
        <w:t>which could result</w:t>
      </w:r>
      <w:r w:rsidR="00987CA6">
        <w:t xml:space="preserve"> </w:t>
      </w:r>
      <w:r w:rsidR="00923DDC">
        <w:t xml:space="preserve">in </w:t>
      </w:r>
      <w:r w:rsidR="00987CA6">
        <w:t xml:space="preserve">their rate impacts </w:t>
      </w:r>
      <w:r w:rsidR="003B720B">
        <w:t>being combined</w:t>
      </w:r>
      <w:r w:rsidR="005C3C18">
        <w:t xml:space="preserve"> and </w:t>
      </w:r>
      <w:r w:rsidR="002A255B">
        <w:t>indistinguishable</w:t>
      </w:r>
      <w:r w:rsidR="005C3C18">
        <w:t xml:space="preserve"> in the next GRC</w:t>
      </w:r>
      <w:r w:rsidR="00987CA6">
        <w:t>.</w:t>
      </w:r>
      <w:r w:rsidR="00C84BA6">
        <w:t xml:space="preserve"> This </w:t>
      </w:r>
      <w:r w:rsidR="005C3C18">
        <w:t xml:space="preserve">practice </w:t>
      </w:r>
      <w:r w:rsidR="00C84BA6">
        <w:t>limits the Commission’s ability to consider the true cost of an acquisition</w:t>
      </w:r>
      <w:r w:rsidR="00584C06">
        <w:t xml:space="preserve"> at the time of approval</w:t>
      </w:r>
      <w:r w:rsidR="00C84BA6">
        <w:t xml:space="preserve"> alongside its benefits.</w:t>
      </w:r>
      <w:r w:rsidR="00987CA6">
        <w:t xml:space="preserve"> A new OIR </w:t>
      </w:r>
      <w:r w:rsidR="008D5547">
        <w:t>could</w:t>
      </w:r>
      <w:r w:rsidR="00987CA6">
        <w:t xml:space="preserve"> develop a systematic way of </w:t>
      </w:r>
      <w:r w:rsidR="005C3C18">
        <w:t xml:space="preserve">forecasting </w:t>
      </w:r>
      <w:r w:rsidR="00C57750">
        <w:t xml:space="preserve">the actual rate increase caused by an </w:t>
      </w:r>
      <w:r w:rsidR="005C3C18">
        <w:t xml:space="preserve">individual </w:t>
      </w:r>
      <w:r w:rsidR="00C57750">
        <w:t>acquisition</w:t>
      </w:r>
      <w:r w:rsidR="00643678">
        <w:t xml:space="preserve">, as well as track the cumulative impact of </w:t>
      </w:r>
      <w:r w:rsidR="005C3C18">
        <w:t xml:space="preserve">the </w:t>
      </w:r>
      <w:r w:rsidR="00643678">
        <w:t>rate increase</w:t>
      </w:r>
      <w:r w:rsidR="005C3C18">
        <w:t xml:space="preserve"> from each acquisition</w:t>
      </w:r>
      <w:r w:rsidR="00643678">
        <w:t xml:space="preserve"> </w:t>
      </w:r>
      <w:r w:rsidR="005C3C18">
        <w:t xml:space="preserve">in addition to </w:t>
      </w:r>
      <w:r w:rsidR="00A53B45">
        <w:t>other</w:t>
      </w:r>
      <w:r w:rsidR="00584C06">
        <w:t xml:space="preserve"> potential</w:t>
      </w:r>
      <w:r w:rsidR="00A53B45">
        <w:t xml:space="preserve"> rate increases during the same time.</w:t>
      </w:r>
      <w:r w:rsidR="0080743D">
        <w:t xml:space="preserve"> This revised practice </w:t>
      </w:r>
      <w:r w:rsidR="00F65309">
        <w:t>may</w:t>
      </w:r>
      <w:r w:rsidR="0080743D">
        <w:t xml:space="preserve"> provide a more </w:t>
      </w:r>
      <w:r w:rsidR="00584C06">
        <w:t>thorough</w:t>
      </w:r>
      <w:r w:rsidR="0080743D">
        <w:t xml:space="preserve"> picture of the </w:t>
      </w:r>
      <w:r w:rsidR="00D3361C">
        <w:t xml:space="preserve">cumulative rate increases involved with each acquisition that occurs between GRC cycles. </w:t>
      </w:r>
    </w:p>
    <w:p w:rsidRPr="00E65F17" w:rsidR="006B50A9" w:rsidP="006B50A9" w:rsidRDefault="006B50A9" w14:paraId="3D601756" w14:textId="1209FCC5">
      <w:pPr>
        <w:pStyle w:val="Heading3"/>
      </w:pPr>
      <w:bookmarkStart w:name="_Toc91071045" w:id="28"/>
      <w:r>
        <w:t>Case Study: East Pasadena</w:t>
      </w:r>
      <w:r w:rsidR="005A4B42">
        <w:t xml:space="preserve"> Water Company</w:t>
      </w:r>
      <w:bookmarkEnd w:id="28"/>
    </w:p>
    <w:p w:rsidR="006B50A9" w:rsidP="006B50A9" w:rsidRDefault="006B50A9" w14:paraId="26B98AA9" w14:textId="329AB6D2">
      <w:r w:rsidRPr="00241CAA">
        <w:t>Th</w:t>
      </w:r>
      <w:r w:rsidR="000D5F3F">
        <w:t xml:space="preserve">e confusion regarding how to consider </w:t>
      </w:r>
      <w:r w:rsidR="00BF21CD">
        <w:t xml:space="preserve">the effects of an acquisition on </w:t>
      </w:r>
      <w:r w:rsidR="000D5F3F">
        <w:t>customer</w:t>
      </w:r>
      <w:r w:rsidR="0081682F">
        <w:t>s</w:t>
      </w:r>
      <w:r w:rsidR="000D5F3F">
        <w:t xml:space="preserve"> </w:t>
      </w:r>
      <w:r w:rsidRPr="00241CAA">
        <w:t>has come into play in the Commission’s recent approval of the acquisition of East Pasadena Water Company by Cal-Am. Cal-Am proposed to allocate the</w:t>
      </w:r>
      <w:r w:rsidR="003B234C">
        <w:t xml:space="preserve"> approved purchase price of $34 million </w:t>
      </w:r>
      <w:r w:rsidR="00D21FE6">
        <w:t>across its entire customer base</w:t>
      </w:r>
      <w:r w:rsidRPr="00241CAA">
        <w:t xml:space="preserve"> to minimize the overall rate increase</w:t>
      </w:r>
      <w:r w:rsidR="003B234C">
        <w:t xml:space="preserve"> on customers</w:t>
      </w:r>
      <w:r w:rsidR="0038690A">
        <w:t>. A</w:t>
      </w:r>
      <w:r w:rsidRPr="00241CAA">
        <w:t xml:space="preserve">s part of this proposal, a portion of the </w:t>
      </w:r>
      <w:r w:rsidR="00257B08">
        <w:t xml:space="preserve">$34 million </w:t>
      </w:r>
      <w:r w:rsidR="00292085">
        <w:t>approved by the acquisition</w:t>
      </w:r>
      <w:r w:rsidRPr="00241CAA">
        <w:t xml:space="preserve"> would be allocated to Cal-Am’s general office, implying a rate increase for </w:t>
      </w:r>
      <w:r w:rsidRPr="00241CAA">
        <w:rPr>
          <w:i/>
          <w:iCs/>
        </w:rPr>
        <w:t>all</w:t>
      </w:r>
      <w:r w:rsidRPr="00241CAA">
        <w:t xml:space="preserve"> </w:t>
      </w:r>
      <w:r w:rsidR="0038690A">
        <w:t xml:space="preserve">of </w:t>
      </w:r>
      <w:r w:rsidRPr="00241CAA">
        <w:t>Cal-Am</w:t>
      </w:r>
      <w:r w:rsidR="0038690A">
        <w:t>’s</w:t>
      </w:r>
      <w:r w:rsidRPr="00241CAA">
        <w:t xml:space="preserve"> ratepayers</w:t>
      </w:r>
      <w:r w:rsidR="0038690A">
        <w:t xml:space="preserve"> and not just thos</w:t>
      </w:r>
      <w:r w:rsidR="007A20E7">
        <w:t>e ratepayers in ratemaking areas near East Pasadena</w:t>
      </w:r>
      <w:r w:rsidRPr="00241CAA">
        <w:t xml:space="preserve">. The Commission found </w:t>
      </w:r>
      <w:r w:rsidR="0007133E">
        <w:t xml:space="preserve">that </w:t>
      </w:r>
      <w:r w:rsidRPr="00241CAA">
        <w:t xml:space="preserve">the acquisition itself </w:t>
      </w:r>
      <w:r w:rsidR="00466DC1">
        <w:t xml:space="preserve">was </w:t>
      </w:r>
      <w:r w:rsidRPr="00241CAA">
        <w:t xml:space="preserve">reasonable but determined that the allocation of </w:t>
      </w:r>
      <w:r w:rsidR="00187BF6">
        <w:t>the $34 million</w:t>
      </w:r>
      <w:r w:rsidRPr="00241CAA">
        <w:t xml:space="preserve"> should be considered </w:t>
      </w:r>
      <w:r w:rsidR="007A20E7">
        <w:t xml:space="preserve">in the next GRC </w:t>
      </w:r>
      <w:r w:rsidRPr="00241CAA">
        <w:t xml:space="preserve">within the larger context of Cal-Am’s operations since all </w:t>
      </w:r>
      <w:r w:rsidR="007976EC">
        <w:t xml:space="preserve">of </w:t>
      </w:r>
      <w:r w:rsidRPr="00241CAA">
        <w:t>Cal-Am</w:t>
      </w:r>
      <w:r w:rsidR="007976EC">
        <w:t>’s</w:t>
      </w:r>
      <w:r w:rsidRPr="00241CAA">
        <w:t xml:space="preserve"> ratepayers </w:t>
      </w:r>
      <w:r w:rsidR="007976EC">
        <w:t>w</w:t>
      </w:r>
      <w:r w:rsidRPr="00241CAA">
        <w:t xml:space="preserve">ould be affected by the allocation. As a result, the </w:t>
      </w:r>
      <w:r w:rsidR="00881A70">
        <w:t xml:space="preserve">full </w:t>
      </w:r>
      <w:r w:rsidRPr="00241CAA">
        <w:t xml:space="preserve">rate impact of the acquisition </w:t>
      </w:r>
      <w:r w:rsidR="00D948BF">
        <w:t xml:space="preserve">on Cal-Am’s ratepayers </w:t>
      </w:r>
      <w:r w:rsidRPr="00241CAA">
        <w:t xml:space="preserve">was </w:t>
      </w:r>
      <w:r w:rsidR="00D948BF">
        <w:t>not</w:t>
      </w:r>
      <w:r w:rsidR="006971A6">
        <w:t xml:space="preserve"> one of the defining factors</w:t>
      </w:r>
      <w:r w:rsidR="00D948BF">
        <w:t xml:space="preserve"> considered </w:t>
      </w:r>
      <w:r w:rsidR="00790EB0">
        <w:t>with approval of the acquisition</w:t>
      </w:r>
      <w:r w:rsidRPr="00241CAA">
        <w:t xml:space="preserve">. While there </w:t>
      </w:r>
      <w:r w:rsidR="00790EB0">
        <w:t>may be</w:t>
      </w:r>
      <w:r w:rsidRPr="00241CAA">
        <w:t xml:space="preserve"> value in considering acquisition rate impacts cumulatively, a </w:t>
      </w:r>
      <w:r w:rsidR="00790EB0">
        <w:t>revised</w:t>
      </w:r>
      <w:r w:rsidRPr="00241CAA">
        <w:t xml:space="preserve"> acquisitions framework </w:t>
      </w:r>
      <w:r w:rsidR="00790EB0">
        <w:t>w</w:t>
      </w:r>
      <w:r w:rsidR="005911D6">
        <w:t>ould</w:t>
      </w:r>
      <w:r w:rsidRPr="00241CAA" w:rsidR="005911D6">
        <w:t xml:space="preserve"> </w:t>
      </w:r>
      <w:r w:rsidRPr="00241CAA">
        <w:t>offer</w:t>
      </w:r>
      <w:r w:rsidR="00790EB0">
        <w:t xml:space="preserve"> greater</w:t>
      </w:r>
      <w:r w:rsidRPr="00241CAA">
        <w:t xml:space="preserve"> </w:t>
      </w:r>
      <w:r w:rsidR="00790EB0">
        <w:t>transparency</w:t>
      </w:r>
      <w:r w:rsidRPr="00241CAA">
        <w:t xml:space="preserve"> on the true impacts of an acquisition, </w:t>
      </w:r>
      <w:r w:rsidR="00790EB0">
        <w:t xml:space="preserve">with options for spreading costs </w:t>
      </w:r>
      <w:r w:rsidRPr="00241CAA">
        <w:t>over a</w:t>
      </w:r>
      <w:r w:rsidR="007A20E7">
        <w:t xml:space="preserve"> larger customer base or</w:t>
      </w:r>
      <w:r w:rsidR="009A5F4A">
        <w:t xml:space="preserve"> a</w:t>
      </w:r>
      <w:r w:rsidRPr="00241CAA">
        <w:t xml:space="preserve"> longer timeframe</w:t>
      </w:r>
      <w:r w:rsidR="00F23653">
        <w:t xml:space="preserve"> for recovery</w:t>
      </w:r>
      <w:r w:rsidRPr="00241CAA">
        <w:t xml:space="preserve">. </w:t>
      </w:r>
    </w:p>
    <w:p w:rsidRPr="00241CAA" w:rsidR="006B50A9" w:rsidP="000D5F3F" w:rsidRDefault="006B50A9" w14:paraId="728F95FE" w14:textId="265336BF"/>
    <w:p w:rsidR="0094129B" w:rsidRDefault="0094129B" w14:paraId="554161E6" w14:textId="77777777">
      <w:pPr>
        <w:spacing w:after="200" w:line="276" w:lineRule="auto"/>
        <w:rPr>
          <w:rFonts w:ascii="Century Gothic" w:hAnsi="Century Gothic"/>
          <w:color w:val="284A70" w:themeColor="accent1" w:themeShade="80"/>
          <w:spacing w:val="20"/>
          <w:sz w:val="28"/>
          <w:szCs w:val="28"/>
        </w:rPr>
      </w:pPr>
      <w:r>
        <w:lastRenderedPageBreak/>
        <w:br w:type="page"/>
      </w:r>
    </w:p>
    <w:p w:rsidRPr="006B50A9" w:rsidR="006B50A9" w:rsidP="000D5F3F" w:rsidRDefault="000D5F3F" w14:paraId="59579FC1" w14:textId="7B35AD2C">
      <w:pPr>
        <w:pStyle w:val="Heading2"/>
      </w:pPr>
      <w:bookmarkStart w:name="_Toc91071046" w:id="29"/>
      <w:r>
        <w:lastRenderedPageBreak/>
        <w:t>Coordination with the State Water Resources Control Board</w:t>
      </w:r>
      <w:bookmarkEnd w:id="29"/>
    </w:p>
    <w:p w:rsidRPr="000D5F3F" w:rsidR="000D5F3F" w:rsidP="000D5F3F" w:rsidRDefault="000D5F3F" w14:paraId="48129358" w14:textId="2BA5A510">
      <w:r w:rsidRPr="000D5F3F">
        <w:t>In 2012, California became the first state to legislatively recognize the Human Right to Water (HR2W) with the signing of Assembly Bill (AB) 685.  Section 106.3 was added to the Water Code stating</w:t>
      </w:r>
      <w:r w:rsidR="00C62532">
        <w:t>,</w:t>
      </w:r>
      <w:r w:rsidRPr="000D5F3F">
        <w:t xml:space="preserve"> “every human being has the right to safe, clean, affordable, and accessible water adequate for human consumption, cooking, and sanitary purposes.”</w:t>
      </w:r>
    </w:p>
    <w:p w:rsidRPr="000D5F3F" w:rsidR="000D5F3F" w:rsidP="000D5F3F" w:rsidRDefault="000D5F3F" w14:paraId="0BAB724F" w14:textId="2090CE97">
      <w:r w:rsidRPr="000D5F3F">
        <w:t xml:space="preserve">One approach to advancing this goal in California is to identify unsustainable water utilities due to inadequate management, </w:t>
      </w:r>
      <w:r w:rsidR="00CE7645">
        <w:t xml:space="preserve">or poor </w:t>
      </w:r>
      <w:r w:rsidRPr="000D5F3F">
        <w:t>operation and maintenance of their water systems</w:t>
      </w:r>
      <w:r w:rsidR="00CE7645">
        <w:t xml:space="preserve">. These systems </w:t>
      </w:r>
      <w:r w:rsidRPr="000D5F3F">
        <w:t>can potentially be acquired or consolidated with other water utilities that have the technical, managerial, and financial (TMF) capabilities for ensuring long-term sustainability and safe and clean drinking water service.  As discussed in previous sections, the existing framework provided incentives for Commission</w:t>
      </w:r>
      <w:r w:rsidR="00E9765E">
        <w:t>-</w:t>
      </w:r>
      <w:r w:rsidRPr="000D5F3F">
        <w:t xml:space="preserve">regulated water utilities to acquire these unsustainable water systems.  The SWRCB, </w:t>
      </w:r>
      <w:r w:rsidRPr="000D5F3F" w:rsidR="006C5A5C">
        <w:t>wh</w:t>
      </w:r>
      <w:r w:rsidR="006C5A5C">
        <w:t>ich</w:t>
      </w:r>
      <w:r w:rsidRPr="000D5F3F" w:rsidR="00C77DF2">
        <w:t xml:space="preserve"> </w:t>
      </w:r>
      <w:r w:rsidR="00B93A44">
        <w:t>regulates</w:t>
      </w:r>
      <w:r w:rsidRPr="000D5F3F" w:rsidR="00B93A44">
        <w:t xml:space="preserve"> </w:t>
      </w:r>
      <w:r w:rsidRPr="000D5F3F">
        <w:t>water quality for all water systems in California, has continued to encourage systems that consistently fail to meet water standards to voluntarily be acquired by other suitable water systems.</w:t>
      </w:r>
    </w:p>
    <w:p w:rsidRPr="000D5F3F" w:rsidR="000D5F3F" w:rsidP="000D5F3F" w:rsidRDefault="000D5F3F" w14:paraId="4B4D0449" w14:textId="0B768F82">
      <w:r w:rsidRPr="000D5F3F">
        <w:t>Since 2015 under Senate Bill (SB) 88, California authorized the SWRCB to order consolidation with a receiving water system where a public water system, or a state small water system</w:t>
      </w:r>
      <w:r w:rsidR="004D6189">
        <w:rPr>
          <w:rStyle w:val="FootnoteReference"/>
        </w:rPr>
        <w:footnoteReference w:id="51"/>
      </w:r>
      <w:r w:rsidRPr="000D5F3F">
        <w:t xml:space="preserve"> within a disadvantaged community, consistently fails to provide an adequate supply of safe drinking water. Since 2016 under AB 2501, California amended Health and Safety Code Section 116355 to a</w:t>
      </w:r>
      <w:r w:rsidRPr="000D5F3F">
        <w:rPr>
          <w:rFonts w:cstheme="minorBidi"/>
        </w:rPr>
        <w:t xml:space="preserve">uthorize the </w:t>
      </w:r>
      <w:r w:rsidRPr="000D5F3F">
        <w:t>SWRCB</w:t>
      </w:r>
      <w:r w:rsidRPr="000D5F3F">
        <w:rPr>
          <w:rFonts w:cstheme="minorBidi"/>
        </w:rPr>
        <w:t>, for the purpose of providing affordable, safe drinking water to disadvantaged communities, to contract with</w:t>
      </w:r>
      <w:r w:rsidR="002907CC">
        <w:rPr>
          <w:rFonts w:cstheme="minorBidi"/>
        </w:rPr>
        <w:t>, or provide a grant to,</w:t>
      </w:r>
      <w:r w:rsidRPr="000D5F3F">
        <w:rPr>
          <w:rFonts w:cstheme="minorBidi"/>
        </w:rPr>
        <w:t xml:space="preserve"> an administrator to provide administrative</w:t>
      </w:r>
      <w:r w:rsidRPr="000D5F3F">
        <w:t>, technical,</w:t>
      </w:r>
      <w:r w:rsidRPr="000D5F3F">
        <w:rPr>
          <w:rFonts w:cstheme="minorBidi"/>
        </w:rPr>
        <w:t xml:space="preserve"> and managerial services to a designated public water system and to order the designated public water system to accept those administrative and managerial services, including full management and control.</w:t>
      </w:r>
      <w:r w:rsidRPr="000D5F3F">
        <w:t xml:space="preserve"> </w:t>
      </w:r>
    </w:p>
    <w:p w:rsidR="000D5F3F" w:rsidP="000D5F3F" w:rsidRDefault="000D5F3F" w14:paraId="64AA3836" w14:textId="5A9B9274">
      <w:r w:rsidRPr="000D5F3F">
        <w:t xml:space="preserve">In 2016, the SWRCB also adopted a resolution that expanded on HR2W and officially recognized HR2W as a top priority and </w:t>
      </w:r>
      <w:r w:rsidR="00CE7645">
        <w:t xml:space="preserve">as </w:t>
      </w:r>
      <w:r w:rsidRPr="000D5F3F">
        <w:t>one of the agency’s core values.  Under th</w:t>
      </w:r>
      <w:r w:rsidR="00CE7645">
        <w:t>is</w:t>
      </w:r>
      <w:r w:rsidRPr="000D5F3F">
        <w:t xml:space="preserve"> resolution, the SWRCB </w:t>
      </w:r>
      <w:r w:rsidR="00CE7645">
        <w:t xml:space="preserve">regularly </w:t>
      </w:r>
      <w:r w:rsidRPr="000D5F3F">
        <w:t xml:space="preserve">engages with communities that lack safe drinking water to evaluate the issues and </w:t>
      </w:r>
      <w:r w:rsidR="004A753F">
        <w:t xml:space="preserve">determine </w:t>
      </w:r>
      <w:r w:rsidRPr="000D5F3F">
        <w:t>possible solutions for the inadequately operated or maintained water systems.</w:t>
      </w:r>
    </w:p>
    <w:p w:rsidR="0094129B" w:rsidP="000D5F3F" w:rsidRDefault="0094129B" w14:paraId="674A2C8B" w14:textId="77777777"/>
    <w:p w:rsidRPr="000D5F3F" w:rsidR="000D5F3F" w:rsidP="000D5F3F" w:rsidRDefault="000D5F3F" w14:paraId="5D3C4FED" w14:textId="1C6873F5">
      <w:pPr>
        <w:pStyle w:val="Heading3"/>
      </w:pPr>
      <w:bookmarkStart w:name="_Toc91071047" w:id="30"/>
      <w:r>
        <w:t>Safe and Affordable Funding for Equity and Resilience (SAFER) Program</w:t>
      </w:r>
      <w:bookmarkEnd w:id="30"/>
    </w:p>
    <w:p w:rsidRPr="000D5F3F" w:rsidR="000D5F3F" w:rsidP="000D5F3F" w:rsidRDefault="000D5F3F" w14:paraId="713B6BB2" w14:textId="59EEA05A">
      <w:r w:rsidRPr="000D5F3F">
        <w:t xml:space="preserve">Furthermore, in 2019, to advance the goals of the HR2W, California passed SB 200 which enabled the </w:t>
      </w:r>
      <w:r w:rsidR="00CE7645">
        <w:t>SWRCB</w:t>
      </w:r>
      <w:r w:rsidRPr="000D5F3F">
        <w:t xml:space="preserve"> to establish the Safe and Affordable Funding for Equity and Resilience (SAFER) Program.  The SAFER Program was set up to help inadequately operated or maintained water systems to </w:t>
      </w:r>
      <w:proofErr w:type="gramStart"/>
      <w:r w:rsidRPr="000D5F3F">
        <w:t>sustainably and affordably provide safe drinking water</w:t>
      </w:r>
      <w:proofErr w:type="gramEnd"/>
      <w:r w:rsidRPr="000D5F3F">
        <w:t xml:space="preserve"> to their customers.  The program aims to provide short-term solutions such as supplying replacement water and long-term solutions including upgrading water systems and building the kind of managerial capability that helps inadequately operated or maintained systems become safe, efficient, and sustainable.  Foremost among the tools created under SB 200 is the Safe and Affordable Drinking Water (SADW) Fund. The SADW Fund provides up to $130 million per year, from 2020 through 2030, to enable the </w:t>
      </w:r>
      <w:r w:rsidR="00A45D00">
        <w:t>SWRCB</w:t>
      </w:r>
      <w:r w:rsidRPr="000D5F3F">
        <w:t xml:space="preserve"> to develop and implement sustainable solutions for </w:t>
      </w:r>
      <w:r w:rsidRPr="000D5F3F">
        <w:lastRenderedPageBreak/>
        <w:t xml:space="preserve">underperforming drinking water systems.  The </w:t>
      </w:r>
      <w:r w:rsidR="00A45D00">
        <w:t>SWRCB</w:t>
      </w:r>
      <w:r w:rsidRPr="000D5F3F">
        <w:t xml:space="preserve"> will identify communities and areas of the state at risk of not having adequate safe drinking water and how investment priorities will be established over a 10-year funding program.</w:t>
      </w:r>
    </w:p>
    <w:p w:rsidR="0038633D" w:rsidP="000D5F3F" w:rsidRDefault="000D5F3F" w14:paraId="38EAFBD8" w14:textId="31320FF1">
      <w:r w:rsidRPr="000D5F3F">
        <w:t>As part of the SADW Fund Expenditure Plan for 2021 and 2022, the SAFER program conduct</w:t>
      </w:r>
      <w:r w:rsidR="00055306">
        <w:t>s</w:t>
      </w:r>
      <w:r w:rsidRPr="000D5F3F">
        <w:t xml:space="preserve"> a Needs Assessment </w:t>
      </w:r>
      <w:r w:rsidR="00055306">
        <w:t xml:space="preserve">annually </w:t>
      </w:r>
      <w:r w:rsidRPr="000D5F3F">
        <w:t>to prioritize allocation of SB 200 funding</w:t>
      </w:r>
      <w:r w:rsidR="006138D7">
        <w:rPr>
          <w:rStyle w:val="FootnoteReference"/>
        </w:rPr>
        <w:footnoteReference w:id="52"/>
      </w:r>
      <w:r w:rsidRPr="000D5F3F">
        <w:t xml:space="preserve">. The purpose of the </w:t>
      </w:r>
      <w:r w:rsidR="00055306">
        <w:t>Needs</w:t>
      </w:r>
      <w:r w:rsidRPr="000D5F3F">
        <w:t xml:space="preserve"> Assessment is to identify public water systems, tribal water systems, and state small water systems and regions where domestic wells are at-risk of failing to sustainably provide a sufficient amount of safe and affordable drinking water.  This Assessment established the definition of “at-risk” systems as those “at risk of failing to meet one or more key Human Right to Water goals: (1) providing safe drinking water; (2) accessible drinking water; (3) affordable drinking water; and/or (4) maintaining a sustainable water system.”</w:t>
      </w:r>
      <w:r w:rsidRPr="000D5F3F">
        <w:rPr>
          <w:vertAlign w:val="superscript"/>
        </w:rPr>
        <w:footnoteReference w:id="53"/>
      </w:r>
      <w:r w:rsidRPr="000D5F3F">
        <w:t xml:space="preserve"> By establishing this definition and associated metrics, the Needs Assessment identified a list of failing water systems, and classified the remaining water systems based on their potential of failure allowing for prioritization of the SADW Fund. </w:t>
      </w:r>
    </w:p>
    <w:p w:rsidRPr="000D5F3F" w:rsidR="000D5F3F" w:rsidP="000D5F3F" w:rsidRDefault="000D5F3F" w14:paraId="0F9F8414" w14:textId="1990A012">
      <w:r w:rsidRPr="000D5F3F">
        <w:t>Approximately 620 public water systems were determined to be at-risk of failing to sustainably provide a sufficient amount of safe and affordable drinking water, and approximately 610 state small water systems and 80,000 domestic wells were assessed via modelling as at high risk of exceeding health-based drinking water standards due to their location in aquifers with high risk of groundwater contaminants. Meanwhile, the list continues to grow as approximately 47 new water systems are added to the HR2W system list each year. A number of Commission-regulated systems, particularly small water utilities, were identified either as failing or at-risk</w:t>
      </w:r>
      <w:r w:rsidR="0038633D">
        <w:t>.</w:t>
      </w:r>
      <w:r w:rsidRPr="000D5F3F">
        <w:t xml:space="preserve"> </w:t>
      </w:r>
      <w:r w:rsidR="0038633D">
        <w:t xml:space="preserve">A revised </w:t>
      </w:r>
      <w:r w:rsidRPr="000D5F3F">
        <w:t xml:space="preserve">framework for acquisitions </w:t>
      </w:r>
      <w:r w:rsidR="006B7BCE">
        <w:t>could</w:t>
      </w:r>
      <w:r w:rsidRPr="000D5F3F">
        <w:t xml:space="preserve"> prioritize these HR2W systems for consolidation as this list continues to grow </w:t>
      </w:r>
      <w:r w:rsidR="00950021">
        <w:t xml:space="preserve">annually, </w:t>
      </w:r>
      <w:r w:rsidRPr="000D5F3F">
        <w:t>and the need to provide safe and affordable drinking water continues to be a priority.</w:t>
      </w:r>
      <w:r w:rsidR="00602371">
        <w:t xml:space="preserve"> </w:t>
      </w:r>
      <w:r w:rsidR="00B87A86">
        <w:t xml:space="preserve">The SAFER program </w:t>
      </w:r>
      <w:r w:rsidR="008C1375">
        <w:t>may</w:t>
      </w:r>
      <w:r w:rsidR="00B87A86">
        <w:t xml:space="preserve"> also provide </w:t>
      </w:r>
      <w:r w:rsidR="00950021">
        <w:t>a pathway</w:t>
      </w:r>
      <w:r w:rsidR="00B87A86">
        <w:t xml:space="preserve"> for </w:t>
      </w:r>
      <w:r w:rsidR="00791C57">
        <w:t>at-risk systems</w:t>
      </w:r>
      <w:r w:rsidR="008C1375">
        <w:t xml:space="preserve"> or their acquirers</w:t>
      </w:r>
      <w:r w:rsidR="00791C57">
        <w:t xml:space="preserve"> to receive funding for necessary capital improvements as well as ongoing operation and maintenance costs.</w:t>
      </w:r>
    </w:p>
    <w:p w:rsidR="000D5F3F" w:rsidP="000D5F3F" w:rsidRDefault="000D5F3F" w14:paraId="759AA2D8" w14:textId="66B45A03">
      <w:r w:rsidRPr="000D5F3F">
        <w:t>The current SWRCB efforts to achieve the HR2W did not exist at the time of the existing framework being adopted</w:t>
      </w:r>
      <w:r w:rsidR="0060464E">
        <w:t>,</w:t>
      </w:r>
      <w:r w:rsidRPr="000D5F3F">
        <w:t xml:space="preserve"> and therefore, there is an opportunity for the Commission to coordinate with the SWRCB and combine resources to improve the acquisition process. The Commission is currently conducting regular meetings with the SWRCB to identify at-risk systems and any </w:t>
      </w:r>
      <w:r w:rsidR="0060464E">
        <w:t>intersections</w:t>
      </w:r>
      <w:r w:rsidRPr="000D5F3F">
        <w:t xml:space="preserve"> with investor-owned utilities to review investment priorities or </w:t>
      </w:r>
      <w:r w:rsidR="0060464E">
        <w:t>assist</w:t>
      </w:r>
      <w:r w:rsidRPr="000D5F3F">
        <w:t xml:space="preserve"> systems that have water quality issues. </w:t>
      </w:r>
    </w:p>
    <w:p w:rsidR="000D5F3F" w:rsidP="000D5F3F" w:rsidRDefault="000D5F3F" w14:paraId="090B951E" w14:textId="1C646429"/>
    <w:p w:rsidRPr="000D5F3F" w:rsidR="000D5F3F" w:rsidP="00C73EEA" w:rsidRDefault="000D5F3F" w14:paraId="52633E94" w14:textId="5A524E76">
      <w:pPr>
        <w:pStyle w:val="Heading3"/>
      </w:pPr>
      <w:bookmarkStart w:name="_Toc91071048" w:id="31"/>
      <w:r>
        <w:t>Grant Funding</w:t>
      </w:r>
      <w:bookmarkEnd w:id="31"/>
      <w:r w:rsidR="00457DA9">
        <w:t xml:space="preserve"> </w:t>
      </w:r>
    </w:p>
    <w:p w:rsidRPr="00241CAA" w:rsidR="000D5F3F" w:rsidP="000D5F3F" w:rsidRDefault="000D5F3F" w14:paraId="0FE9A020" w14:textId="49BBE3A4">
      <w:r w:rsidRPr="00241CAA">
        <w:t>As past acquisitions have shown, purchasing a water system in need of infrastructure improvements come</w:t>
      </w:r>
      <w:r>
        <w:t>s</w:t>
      </w:r>
      <w:r w:rsidRPr="00241CAA">
        <w:t xml:space="preserve"> at a </w:t>
      </w:r>
      <w:r>
        <w:t>significant</w:t>
      </w:r>
      <w:r w:rsidRPr="00241CAA">
        <w:t xml:space="preserve"> cost</w:t>
      </w:r>
      <w:r>
        <w:t>,</w:t>
      </w:r>
      <w:r w:rsidRPr="00241CAA">
        <w:t xml:space="preserve"> </w:t>
      </w:r>
      <w:r>
        <w:t>with</w:t>
      </w:r>
      <w:r w:rsidRPr="00241CAA">
        <w:t xml:space="preserve"> these costs ultimately get</w:t>
      </w:r>
      <w:r>
        <w:t>ting</w:t>
      </w:r>
      <w:r w:rsidRPr="00241CAA">
        <w:t xml:space="preserve"> passed </w:t>
      </w:r>
      <w:r w:rsidR="00846CD5">
        <w:t>on</w:t>
      </w:r>
      <w:r w:rsidRPr="00241CAA">
        <w:t>to the ratepayers</w:t>
      </w:r>
      <w:r>
        <w:t xml:space="preserve"> of both the acquired and acquiring water system</w:t>
      </w:r>
      <w:r w:rsidRPr="00241CAA">
        <w:t xml:space="preserve">. </w:t>
      </w:r>
      <w:r>
        <w:t xml:space="preserve">One </w:t>
      </w:r>
      <w:r w:rsidRPr="00241CAA">
        <w:t xml:space="preserve">possible option </w:t>
      </w:r>
      <w:r>
        <w:t>that water systems</w:t>
      </w:r>
      <w:r w:rsidRPr="00241CAA">
        <w:t xml:space="preserve"> </w:t>
      </w:r>
      <w:r>
        <w:t>may take advantage of to reduce</w:t>
      </w:r>
      <w:r w:rsidRPr="00241CAA">
        <w:t xml:space="preserve"> rates charged to customers is to </w:t>
      </w:r>
      <w:r>
        <w:t xml:space="preserve">apply for </w:t>
      </w:r>
      <w:r w:rsidRPr="00241CAA">
        <w:t>funding or grants to improve the system being acquired.</w:t>
      </w:r>
    </w:p>
    <w:p w:rsidRPr="00241CAA" w:rsidR="000D5F3F" w:rsidP="000D5F3F" w:rsidRDefault="000D5F3F" w14:paraId="10B0ADDD" w14:textId="3C78AB35">
      <w:r w:rsidRPr="00241CAA">
        <w:lastRenderedPageBreak/>
        <w:t>The SWRCB currently runs two programs that provide financial assistance to water systems for improvements in water quality and reliability: the Drinking Water State Revolving Fund (DWRSF) and the S</w:t>
      </w:r>
      <w:r>
        <w:t xml:space="preserve">ADW </w:t>
      </w:r>
      <w:r w:rsidRPr="00241CAA">
        <w:t xml:space="preserve">as mentioned </w:t>
      </w:r>
      <w:r w:rsidR="00753E48">
        <w:t>above</w:t>
      </w:r>
      <w:r w:rsidRPr="00241CAA">
        <w:t>. The DWRSF was established by the federal Safe Drinking Water Act in 1996 and was originally administered by the Department of Public Health until it was transferred to the SWRCB in 2014. While the DWRSF mainly provides low-interest loans to assist in water system improvements for both publicly and privately owned water utilities, principal forgiveness may be available for utilities serving disadvantaged communities.</w:t>
      </w:r>
    </w:p>
    <w:p w:rsidRPr="00241CAA" w:rsidR="000D5F3F" w:rsidP="000D5F3F" w:rsidRDefault="000D5F3F" w14:paraId="688D26BF" w14:textId="503C3A9B">
      <w:r w:rsidRPr="00241CAA">
        <w:t xml:space="preserve">In contrast to water utilities that are municipals or mutuals, Commission-regulated </w:t>
      </w:r>
      <w:r w:rsidR="00BD484E">
        <w:t>Water IOUs</w:t>
      </w:r>
      <w:r w:rsidRPr="00241CAA">
        <w:t xml:space="preserve"> are for-profit companies </w:t>
      </w:r>
      <w:r>
        <w:t>that</w:t>
      </w:r>
      <w:r w:rsidRPr="00241CAA">
        <w:t xml:space="preserve"> earn a return on their capital investments. The </w:t>
      </w:r>
      <w:r w:rsidR="008F48CC">
        <w:t>Water</w:t>
      </w:r>
      <w:r w:rsidRPr="00241CAA">
        <w:t xml:space="preserve"> </w:t>
      </w:r>
      <w:r>
        <w:t xml:space="preserve">IOUs </w:t>
      </w:r>
      <w:r w:rsidRPr="00241CAA">
        <w:t xml:space="preserve">invest in capital </w:t>
      </w:r>
      <w:r>
        <w:t xml:space="preserve">improvement projects that are </w:t>
      </w:r>
      <w:r w:rsidRPr="00241CAA">
        <w:t>rate</w:t>
      </w:r>
      <w:r w:rsidR="00996304">
        <w:t xml:space="preserve"> </w:t>
      </w:r>
      <w:r w:rsidRPr="00241CAA">
        <w:t>base</w:t>
      </w:r>
      <w:r>
        <w:t>d and</w:t>
      </w:r>
      <w:r w:rsidRPr="00241CAA">
        <w:t xml:space="preserve"> </w:t>
      </w:r>
      <w:r>
        <w:t>earn a rate of return on those investments as determined by the Commission. Increasing the rate</w:t>
      </w:r>
      <w:r w:rsidR="00996304">
        <w:t xml:space="preserve"> </w:t>
      </w:r>
      <w:r>
        <w:t xml:space="preserve">base amounts through additional investments would then lead to greater returns for the </w:t>
      </w:r>
      <w:r w:rsidR="008F48CC">
        <w:t>Water</w:t>
      </w:r>
      <w:r>
        <w:t xml:space="preserve"> IOUs.</w:t>
      </w:r>
      <w:r w:rsidRPr="00241CAA">
        <w:t xml:space="preserve"> As a result, this</w:t>
      </w:r>
      <w:r>
        <w:t xml:space="preserve"> may</w:t>
      </w:r>
      <w:r w:rsidRPr="00241CAA">
        <w:t xml:space="preserve"> encourage the </w:t>
      </w:r>
      <w:r w:rsidR="008F48CC">
        <w:t xml:space="preserve">Water </w:t>
      </w:r>
      <w:r w:rsidRPr="00241CAA">
        <w:t>IOUs to continue seeking infrastructure improvements to their water systems</w:t>
      </w:r>
      <w:r>
        <w:t xml:space="preserve"> in addition to the regular maintenance that is conducted to maintain safe and reliable water service</w:t>
      </w:r>
      <w:r w:rsidRPr="00241CAA">
        <w:t>. However, this financial</w:t>
      </w:r>
      <w:r>
        <w:t xml:space="preserve"> ratemaking</w:t>
      </w:r>
      <w:r w:rsidRPr="00241CAA">
        <w:t xml:space="preserve"> structure</w:t>
      </w:r>
      <w:r>
        <w:t xml:space="preserve"> may</w:t>
      </w:r>
      <w:r w:rsidRPr="00241CAA">
        <w:t xml:space="preserve"> also discourage </w:t>
      </w:r>
      <w:r w:rsidR="00C2782E">
        <w:t>Water</w:t>
      </w:r>
      <w:r w:rsidRPr="00241CAA">
        <w:t xml:space="preserve"> IOUs from seeking any assistance such as grants for their improvement projects as </w:t>
      </w:r>
      <w:r>
        <w:t>these grants would not increase</w:t>
      </w:r>
      <w:r w:rsidRPr="00241CAA">
        <w:t xml:space="preserve"> their </w:t>
      </w:r>
      <w:r>
        <w:t xml:space="preserve">existing </w:t>
      </w:r>
      <w:r w:rsidRPr="00241CAA">
        <w:t>rate</w:t>
      </w:r>
      <w:r w:rsidR="00996304">
        <w:t xml:space="preserve"> </w:t>
      </w:r>
      <w:r w:rsidRPr="00241CAA">
        <w:t xml:space="preserve">base </w:t>
      </w:r>
      <w:r>
        <w:t>nor increase</w:t>
      </w:r>
      <w:r w:rsidRPr="00241CAA">
        <w:t xml:space="preserve"> their</w:t>
      </w:r>
      <w:r>
        <w:t xml:space="preserve"> rate of</w:t>
      </w:r>
      <w:r w:rsidRPr="00241CAA">
        <w:t xml:space="preserve"> return</w:t>
      </w:r>
      <w:r>
        <w:t xml:space="preserve"> because plant funded through grants and loans are treated as contributed plant and are excluded from the utilities’ rate</w:t>
      </w:r>
      <w:r w:rsidR="00996304">
        <w:t xml:space="preserve"> </w:t>
      </w:r>
      <w:r>
        <w:t>base</w:t>
      </w:r>
      <w:r w:rsidRPr="00241CAA">
        <w:t>.</w:t>
      </w:r>
    </w:p>
    <w:p w:rsidRPr="00241CAA" w:rsidR="000D5F3F" w:rsidP="000D5F3F" w:rsidRDefault="000D5F3F" w14:paraId="0A145F0E" w14:textId="7A57A37E">
      <w:r w:rsidRPr="00241CAA">
        <w:t xml:space="preserve">The Commission </w:t>
      </w:r>
      <w:r w:rsidR="0060464E">
        <w:t xml:space="preserve">currently </w:t>
      </w:r>
      <w:r w:rsidRPr="00241CAA">
        <w:t>has no rule in place</w:t>
      </w:r>
      <w:r>
        <w:t xml:space="preserve"> with</w:t>
      </w:r>
      <w:r w:rsidR="00E964BF">
        <w:t>in</w:t>
      </w:r>
      <w:r>
        <w:t xml:space="preserve"> the exiting framework</w:t>
      </w:r>
      <w:r w:rsidRPr="00241CAA">
        <w:t xml:space="preserve"> requiring </w:t>
      </w:r>
      <w:r w:rsidR="00B35E51">
        <w:t xml:space="preserve">Water </w:t>
      </w:r>
      <w:r w:rsidRPr="00241CAA">
        <w:t>IOUs to seek</w:t>
      </w:r>
      <w:r w:rsidR="0060464E">
        <w:t xml:space="preserve"> or prioritize</w:t>
      </w:r>
      <w:r w:rsidRPr="00241CAA">
        <w:t xml:space="preserve"> </w:t>
      </w:r>
      <w:r>
        <w:t xml:space="preserve">grant </w:t>
      </w:r>
      <w:r w:rsidRPr="00241CAA">
        <w:t>funding</w:t>
      </w:r>
      <w:r>
        <w:t xml:space="preserve"> that may be</w:t>
      </w:r>
      <w:r w:rsidRPr="00241CAA">
        <w:t xml:space="preserve"> available when acquiring a</w:t>
      </w:r>
      <w:r>
        <w:t>n inadequately operated or maintained</w:t>
      </w:r>
      <w:r w:rsidRPr="00B00069">
        <w:t xml:space="preserve"> </w:t>
      </w:r>
      <w:r w:rsidRPr="00241CAA">
        <w:t xml:space="preserve">water system. Thus, the </w:t>
      </w:r>
      <w:r>
        <w:t>incentive</w:t>
      </w:r>
      <w:r w:rsidRPr="00241CAA">
        <w:t xml:space="preserve"> between </w:t>
      </w:r>
      <w:r>
        <w:t>reducing</w:t>
      </w:r>
      <w:r w:rsidRPr="00241CAA">
        <w:t xml:space="preserve"> rates for </w:t>
      </w:r>
      <w:r>
        <w:t xml:space="preserve">utility </w:t>
      </w:r>
      <w:r w:rsidRPr="00241CAA">
        <w:t xml:space="preserve">customers </w:t>
      </w:r>
      <w:r>
        <w:t>v</w:t>
      </w:r>
      <w:r w:rsidR="00E964BF">
        <w:t>ersus</w:t>
      </w:r>
      <w:r>
        <w:t xml:space="preserve"> </w:t>
      </w:r>
      <w:r w:rsidRPr="00241CAA">
        <w:t>increasing return</w:t>
      </w:r>
      <w:r>
        <w:t>s</w:t>
      </w:r>
      <w:r w:rsidRPr="00241CAA">
        <w:t xml:space="preserve"> for </w:t>
      </w:r>
      <w:r w:rsidR="00B35E51">
        <w:t xml:space="preserve">Water </w:t>
      </w:r>
      <w:r w:rsidRPr="00241CAA">
        <w:t xml:space="preserve">IOUs has </w:t>
      </w:r>
      <w:r>
        <w:t>skewed more</w:t>
      </w:r>
      <w:r w:rsidRPr="00241CAA">
        <w:t xml:space="preserve"> towards the latter.</w:t>
      </w:r>
      <w:r w:rsidRPr="738B509C">
        <w:t xml:space="preserve"> </w:t>
      </w:r>
      <w:r w:rsidR="00AB145F">
        <w:t>Out of the 3</w:t>
      </w:r>
      <w:r w:rsidR="00A601B8">
        <w:t>2</w:t>
      </w:r>
      <w:r w:rsidR="00AB145F">
        <w:t xml:space="preserve"> acquisitions </w:t>
      </w:r>
      <w:r w:rsidR="0085339C">
        <w:t>between 2007 and 2021</w:t>
      </w:r>
      <w:r w:rsidR="00AB145F">
        <w:t xml:space="preserve"> where </w:t>
      </w:r>
      <w:r w:rsidR="00DE335D">
        <w:t>a Water</w:t>
      </w:r>
      <w:r w:rsidR="00AB145F">
        <w:t xml:space="preserve"> IOU is the acquire</w:t>
      </w:r>
      <w:r w:rsidR="00283CBA">
        <w:t xml:space="preserve">r, </w:t>
      </w:r>
      <w:r w:rsidR="00F15D9F">
        <w:t>seven</w:t>
      </w:r>
      <w:r w:rsidR="00A95C47">
        <w:t xml:space="preserve"> sy</w:t>
      </w:r>
      <w:r w:rsidR="00130396">
        <w:t>s</w:t>
      </w:r>
      <w:r w:rsidR="00A95C47">
        <w:t>tems</w:t>
      </w:r>
      <w:r w:rsidR="00F15D9F">
        <w:t xml:space="preserve"> </w:t>
      </w:r>
      <w:r w:rsidR="00DE5209">
        <w:t>had issues maintaining water quality and service</w:t>
      </w:r>
      <w:r w:rsidR="00A95C47">
        <w:t xml:space="preserve"> but o</w:t>
      </w:r>
      <w:r w:rsidR="00283CBA">
        <w:t xml:space="preserve">nly </w:t>
      </w:r>
      <w:r w:rsidR="00A66B6F">
        <w:t xml:space="preserve">two </w:t>
      </w:r>
      <w:r w:rsidR="00B239E2">
        <w:t xml:space="preserve">went through the process of </w:t>
      </w:r>
      <w:r w:rsidR="00A66B6F">
        <w:t>receiving grant funding</w:t>
      </w:r>
      <w:r w:rsidR="009F2284">
        <w:t xml:space="preserve"> from the SWRCB</w:t>
      </w:r>
      <w:r w:rsidR="00EC195B">
        <w:t xml:space="preserve"> for </w:t>
      </w:r>
      <w:r w:rsidR="00130396">
        <w:t>system</w:t>
      </w:r>
      <w:r w:rsidR="00EC195B">
        <w:t xml:space="preserve"> improvements</w:t>
      </w:r>
      <w:r w:rsidR="005324B3">
        <w:t>.</w:t>
      </w:r>
      <w:r w:rsidR="00D05482">
        <w:rPr>
          <w:rStyle w:val="FootnoteReference"/>
        </w:rPr>
        <w:footnoteReference w:id="54"/>
      </w:r>
    </w:p>
    <w:p w:rsidR="008D3CA5" w:rsidP="000D5F3F" w:rsidRDefault="000D5F3F" w14:paraId="1E9364FF" w14:textId="4CC7A667">
      <w:r w:rsidRPr="00241CAA">
        <w:t>Another</w:t>
      </w:r>
      <w:r>
        <w:t xml:space="preserve"> major</w:t>
      </w:r>
      <w:r w:rsidRPr="00241CAA">
        <w:t xml:space="preserve"> issue that discourages </w:t>
      </w:r>
      <w:r w:rsidR="00072122">
        <w:t>Water</w:t>
      </w:r>
      <w:r w:rsidRPr="00241CAA">
        <w:t xml:space="preserve"> IOUs from seeking grant</w:t>
      </w:r>
      <w:r>
        <w:t xml:space="preserve"> funding</w:t>
      </w:r>
      <w:r w:rsidRPr="00241CAA">
        <w:t xml:space="preserve"> is the </w:t>
      </w:r>
      <w:r w:rsidR="00DD69E4">
        <w:t xml:space="preserve">lack of </w:t>
      </w:r>
      <w:r w:rsidR="00251F21">
        <w:t>explicit direction from the Commission</w:t>
      </w:r>
      <w:r w:rsidR="003827F5">
        <w:t xml:space="preserve"> in </w:t>
      </w:r>
      <w:r w:rsidR="00681F8D">
        <w:t>addressing</w:t>
      </w:r>
      <w:r w:rsidR="0075443E">
        <w:t xml:space="preserve"> the </w:t>
      </w:r>
      <w:r w:rsidRPr="00241CAA">
        <w:t>tax implication</w:t>
      </w:r>
      <w:r w:rsidR="00681F8D">
        <w:t>s of accepting grants</w:t>
      </w:r>
      <w:r w:rsidRPr="00241CAA">
        <w:t xml:space="preserve">. </w:t>
      </w:r>
      <w:r>
        <w:t xml:space="preserve">The Tax Cuts and Jobs Act (TCJA) previously signed into law on December 22, 2017 made major changes to the Internal Revenue Code (IRC) including the taxability under IRC Section 118 of government grants for constructing, repairing, expanding, or upgrading infrastructure. </w:t>
      </w:r>
      <w:r w:rsidRPr="00241CAA">
        <w:t>The grant</w:t>
      </w:r>
      <w:r>
        <w:t xml:space="preserve"> funding</w:t>
      </w:r>
      <w:r w:rsidRPr="00241CAA">
        <w:t xml:space="preserve"> offered by the SWRCB</w:t>
      </w:r>
      <w:r>
        <w:t xml:space="preserve"> falls under this tax provision and </w:t>
      </w:r>
      <w:r w:rsidRPr="00241CAA">
        <w:t xml:space="preserve">do not cover the income tax </w:t>
      </w:r>
      <w:r>
        <w:t xml:space="preserve">liabilities that </w:t>
      </w:r>
      <w:r w:rsidR="0075194D">
        <w:t xml:space="preserve">Water </w:t>
      </w:r>
      <w:r>
        <w:t xml:space="preserve">IOUs </w:t>
      </w:r>
      <w:r w:rsidR="00251F21">
        <w:t>incur</w:t>
      </w:r>
      <w:r>
        <w:t xml:space="preserve"> when receiving such grants</w:t>
      </w:r>
      <w:r w:rsidRPr="00241CAA">
        <w:t xml:space="preserve">. </w:t>
      </w:r>
      <w:r>
        <w:t xml:space="preserve">In D.06-03-015, the Commission adopted ratemaking rules regarding the receipt of grant funding that stated while grant-funded portions of utility plant should not result in a “windfall” to utilities, the portions not paid for by the grant funding should be used in the determination of rates or included into rate base with a return. </w:t>
      </w:r>
    </w:p>
    <w:p w:rsidR="000D5F3F" w:rsidP="000D5F3F" w:rsidRDefault="000D5F3F" w14:paraId="7A13D4A4" w14:textId="6DD370BC">
      <w:r>
        <w:t xml:space="preserve">In proceedings since the adoption of the TCJA, the Commission has decided that the additional income tax liability associated with grant funding that is paid for by the utility should be recovered by the utility through its rates. However, the Commission has not expressly determined whether </w:t>
      </w:r>
      <w:r w:rsidR="005552D0">
        <w:t>these liabilities should be addressed</w:t>
      </w:r>
      <w:r>
        <w:t xml:space="preserve"> by capitalizing such costs in rate base or whether they should be recovered as an expense. Each acquisition proceeding that has come before the Commission takes a unique course on this policy </w:t>
      </w:r>
      <w:r w:rsidR="005552D0">
        <w:t>question</w:t>
      </w:r>
      <w:r>
        <w:t xml:space="preserve">. </w:t>
      </w:r>
      <w:r w:rsidR="008D3CA5">
        <w:lastRenderedPageBreak/>
        <w:t xml:space="preserve">Furthermore, the </w:t>
      </w:r>
      <w:r w:rsidR="0097557D">
        <w:t xml:space="preserve">recently adopted </w:t>
      </w:r>
      <w:r w:rsidR="003F215C">
        <w:t>Infrastructure Investment and Jobs Act</w:t>
      </w:r>
      <w:r w:rsidR="005934B9">
        <w:rPr>
          <w:rStyle w:val="FootnoteReference"/>
        </w:rPr>
        <w:footnoteReference w:id="55"/>
      </w:r>
      <w:r w:rsidR="003F215C">
        <w:t xml:space="preserve"> reversed this TCJA provision, </w:t>
      </w:r>
      <w:r w:rsidR="003B78C1">
        <w:t xml:space="preserve">creating a period </w:t>
      </w:r>
      <w:r w:rsidR="00DF5875">
        <w:t xml:space="preserve">during which grants were taxable, though grants acquired before or after this window </w:t>
      </w:r>
      <w:r w:rsidR="008C6939">
        <w:t>do not carry this same tax liability</w:t>
      </w:r>
      <w:r w:rsidR="005934B9">
        <w:t xml:space="preserve">. </w:t>
      </w:r>
      <w:r w:rsidR="00672243">
        <w:t xml:space="preserve">A revised framework </w:t>
      </w:r>
      <w:r w:rsidR="00F9054B">
        <w:t>may</w:t>
      </w:r>
      <w:r w:rsidR="00672243">
        <w:t xml:space="preserve"> </w:t>
      </w:r>
      <w:r w:rsidR="00E60A36">
        <w:t xml:space="preserve">allow the Commission to incentivize </w:t>
      </w:r>
      <w:r w:rsidR="00A97CBF">
        <w:t>IOUs to seek</w:t>
      </w:r>
      <w:r w:rsidR="005F1D1F">
        <w:t xml:space="preserve"> or prioritize</w:t>
      </w:r>
      <w:r w:rsidR="00A97CBF">
        <w:t xml:space="preserve"> grant funding </w:t>
      </w:r>
      <w:r w:rsidR="002F44EE">
        <w:t xml:space="preserve">and </w:t>
      </w:r>
      <w:r w:rsidR="005F1D1F">
        <w:t xml:space="preserve">to </w:t>
      </w:r>
      <w:r w:rsidR="002F44EE">
        <w:t xml:space="preserve">provide </w:t>
      </w:r>
      <w:r w:rsidR="00F9054B">
        <w:t>clarity on the recent</w:t>
      </w:r>
      <w:r w:rsidR="0067370E">
        <w:t xml:space="preserve"> </w:t>
      </w:r>
      <w:r w:rsidR="00E15BD3">
        <w:t xml:space="preserve">changes </w:t>
      </w:r>
      <w:r w:rsidR="00E34D99">
        <w:t>in statute affecting utilities’ tax liabilities</w:t>
      </w:r>
      <w:r w:rsidR="005F1D1F">
        <w:t xml:space="preserve"> regarding grant funding</w:t>
      </w:r>
      <w:r w:rsidR="0067370E">
        <w:t>.</w:t>
      </w:r>
    </w:p>
    <w:p w:rsidR="000D5F3F" w:rsidP="000D5F3F" w:rsidRDefault="000D5F3F" w14:paraId="3CD48887" w14:textId="53845C66"/>
    <w:p w:rsidR="0094129B" w:rsidRDefault="0094129B" w14:paraId="5989169F" w14:textId="77777777">
      <w:pPr>
        <w:spacing w:after="200" w:line="276" w:lineRule="auto"/>
        <w:rPr>
          <w:rFonts w:ascii="Century Gothic" w:hAnsi="Century Gothic"/>
          <w:color w:val="284A70" w:themeColor="accent1" w:themeShade="80"/>
          <w:spacing w:val="20"/>
          <w:sz w:val="28"/>
          <w:szCs w:val="28"/>
        </w:rPr>
      </w:pPr>
      <w:r>
        <w:br w:type="page"/>
      </w:r>
    </w:p>
    <w:p w:rsidRPr="00241CAA" w:rsidR="000D5F3F" w:rsidP="000D5F3F" w:rsidRDefault="000D5F3F" w14:paraId="17D9A586" w14:textId="2C732CC4">
      <w:pPr>
        <w:pStyle w:val="Heading2"/>
      </w:pPr>
      <w:bookmarkStart w:name="_Toc91071049" w:id="32"/>
      <w:r>
        <w:lastRenderedPageBreak/>
        <w:t>Timeline and Procedural Schedule</w:t>
      </w:r>
      <w:bookmarkEnd w:id="32"/>
    </w:p>
    <w:p w:rsidRPr="000D5F3F" w:rsidR="000D5F3F" w:rsidP="000D5F3F" w:rsidRDefault="000D5F3F" w14:paraId="77360526" w14:textId="135EA2A6">
      <w:pPr>
        <w:rPr>
          <w:szCs w:val="24"/>
        </w:rPr>
      </w:pPr>
      <w:r w:rsidRPr="000D5F3F">
        <w:rPr>
          <w:szCs w:val="24"/>
        </w:rPr>
        <w:t xml:space="preserve">The current procedural schedule for acquisitions and consolidations of inadequately operated and maintained water systems was </w:t>
      </w:r>
      <w:r w:rsidR="00CB3262">
        <w:rPr>
          <w:szCs w:val="24"/>
        </w:rPr>
        <w:t xml:space="preserve">previously </w:t>
      </w:r>
      <w:r w:rsidRPr="000D5F3F">
        <w:rPr>
          <w:szCs w:val="24"/>
        </w:rPr>
        <w:t xml:space="preserve">developed and adopted in the existing </w:t>
      </w:r>
      <w:r w:rsidR="00D429B8">
        <w:rPr>
          <w:szCs w:val="24"/>
        </w:rPr>
        <w:t>f</w:t>
      </w:r>
      <w:r w:rsidRPr="000D5F3F">
        <w:rPr>
          <w:szCs w:val="24"/>
        </w:rPr>
        <w:t>ramework. In the settlement agreement</w:t>
      </w:r>
      <w:r w:rsidR="005F063C">
        <w:rPr>
          <w:rStyle w:val="FootnoteReference"/>
          <w:szCs w:val="24"/>
        </w:rPr>
        <w:footnoteReference w:id="56"/>
      </w:r>
      <w:r w:rsidRPr="000D5F3F">
        <w:rPr>
          <w:szCs w:val="24"/>
        </w:rPr>
        <w:t xml:space="preserve"> adopted with the existing framework, the </w:t>
      </w:r>
      <w:proofErr w:type="gramStart"/>
      <w:r w:rsidRPr="000D5F3F">
        <w:rPr>
          <w:szCs w:val="24"/>
        </w:rPr>
        <w:t>timeline</w:t>
      </w:r>
      <w:proofErr w:type="gramEnd"/>
      <w:r w:rsidRPr="000D5F3F">
        <w:rPr>
          <w:szCs w:val="24"/>
        </w:rPr>
        <w:t xml:space="preserve"> and requirements for both the application and advice letter process for acquisitions were laid out. For applications, a decision must be placed on the Commission’s Agenda within 245 days of filing and for advice letter</w:t>
      </w:r>
      <w:r w:rsidR="004F3AFE">
        <w:rPr>
          <w:szCs w:val="24"/>
        </w:rPr>
        <w:t xml:space="preserve"> filings</w:t>
      </w:r>
      <w:r w:rsidRPr="000D5F3F">
        <w:rPr>
          <w:szCs w:val="24"/>
        </w:rPr>
        <w:t xml:space="preserve">, a resolution must be placed </w:t>
      </w:r>
      <w:r w:rsidR="004F3AFE">
        <w:rPr>
          <w:szCs w:val="24"/>
        </w:rPr>
        <w:t xml:space="preserve">on the Commission’s Agenda </w:t>
      </w:r>
      <w:r w:rsidRPr="000D5F3F">
        <w:rPr>
          <w:szCs w:val="24"/>
        </w:rPr>
        <w:t>within 100 days</w:t>
      </w:r>
      <w:r w:rsidR="00FB0BBA">
        <w:rPr>
          <w:szCs w:val="24"/>
        </w:rPr>
        <w:t xml:space="preserve"> of filing</w:t>
      </w:r>
      <w:r w:rsidRPr="000D5F3F">
        <w:rPr>
          <w:szCs w:val="24"/>
        </w:rPr>
        <w:t>.</w:t>
      </w:r>
    </w:p>
    <w:p w:rsidR="000D5F3F" w:rsidP="000D5F3F" w:rsidRDefault="00267557" w14:paraId="6E708088" w14:textId="1F27B2A9">
      <w:pPr>
        <w:rPr>
          <w:szCs w:val="24"/>
        </w:rPr>
      </w:pPr>
      <w:r>
        <w:rPr>
          <w:szCs w:val="24"/>
        </w:rPr>
        <w:t>T</w:t>
      </w:r>
      <w:r w:rsidRPr="000D5F3F" w:rsidR="000D5F3F">
        <w:rPr>
          <w:szCs w:val="24"/>
        </w:rPr>
        <w:t xml:space="preserve">he Commission </w:t>
      </w:r>
      <w:r w:rsidR="00C61D5E">
        <w:rPr>
          <w:szCs w:val="24"/>
        </w:rPr>
        <w:t>currently reviews acquisitions on a case-by-case basis and must</w:t>
      </w:r>
      <w:r w:rsidR="0076784A">
        <w:rPr>
          <w:szCs w:val="24"/>
        </w:rPr>
        <w:t xml:space="preserve"> </w:t>
      </w:r>
      <w:r w:rsidR="00D83C04">
        <w:rPr>
          <w:szCs w:val="24"/>
        </w:rPr>
        <w:t>analyze</w:t>
      </w:r>
      <w:r w:rsidRPr="000D5F3F" w:rsidR="000D5F3F">
        <w:rPr>
          <w:szCs w:val="24"/>
        </w:rPr>
        <w:t xml:space="preserve"> issues unique to each acquired water system. </w:t>
      </w:r>
      <w:r w:rsidR="005D6C11">
        <w:rPr>
          <w:szCs w:val="24"/>
        </w:rPr>
        <w:t>At this time, t</w:t>
      </w:r>
      <w:r w:rsidRPr="000D5F3F" w:rsidR="000D5F3F">
        <w:rPr>
          <w:szCs w:val="24"/>
        </w:rPr>
        <w:t>he Commission</w:t>
      </w:r>
      <w:r w:rsidR="005D6C11">
        <w:rPr>
          <w:szCs w:val="24"/>
        </w:rPr>
        <w:t xml:space="preserve"> </w:t>
      </w:r>
      <w:r w:rsidRPr="000D5F3F" w:rsidR="000D5F3F">
        <w:rPr>
          <w:szCs w:val="24"/>
        </w:rPr>
        <w:t xml:space="preserve">does not have a standard method on differentiating whether an application or an advice letter process </w:t>
      </w:r>
      <w:r w:rsidR="00CA6802">
        <w:rPr>
          <w:szCs w:val="24"/>
        </w:rPr>
        <w:t xml:space="preserve">serves </w:t>
      </w:r>
      <w:r w:rsidRPr="000D5F3F" w:rsidR="000D5F3F">
        <w:rPr>
          <w:szCs w:val="24"/>
        </w:rPr>
        <w:t xml:space="preserve">as most appropriate to resolve a specific acquisition. The existing </w:t>
      </w:r>
      <w:r w:rsidR="00F1411D">
        <w:rPr>
          <w:szCs w:val="24"/>
        </w:rPr>
        <w:t>f</w:t>
      </w:r>
      <w:r w:rsidRPr="000D5F3F" w:rsidR="000D5F3F">
        <w:rPr>
          <w:szCs w:val="24"/>
        </w:rPr>
        <w:t>ramework did not develop guidelines differentiating the two processes, only stating that an advice letter may be filed to “expedite improvements mandated by the Department of Health Services.”</w:t>
      </w:r>
      <w:r w:rsidRPr="00EC42D3" w:rsidR="00CA7574">
        <w:rPr>
          <w:szCs w:val="24"/>
          <w:vertAlign w:val="superscript"/>
        </w:rPr>
        <w:footnoteReference w:id="57"/>
      </w:r>
      <w:r w:rsidRPr="000D5F3F" w:rsidR="000D5F3F">
        <w:rPr>
          <w:szCs w:val="24"/>
        </w:rPr>
        <w:t xml:space="preserve"> The PU Code does not provide definitive language either, with PU Code </w:t>
      </w:r>
      <w:r w:rsidR="00E773A3">
        <w:rPr>
          <w:szCs w:val="24"/>
        </w:rPr>
        <w:t>Section</w:t>
      </w:r>
      <w:r w:rsidR="002B076F">
        <w:rPr>
          <w:szCs w:val="24"/>
        </w:rPr>
        <w:t xml:space="preserve"> </w:t>
      </w:r>
      <w:r w:rsidRPr="000D5F3F" w:rsidR="000D5F3F">
        <w:rPr>
          <w:szCs w:val="24"/>
        </w:rPr>
        <w:t>851</w:t>
      </w:r>
      <w:r w:rsidR="008831C7">
        <w:rPr>
          <w:szCs w:val="24"/>
        </w:rPr>
        <w:t xml:space="preserve"> </w:t>
      </w:r>
      <w:r w:rsidRPr="000D5F3F" w:rsidR="000D5F3F">
        <w:rPr>
          <w:szCs w:val="24"/>
        </w:rPr>
        <w:t>stating that an advice letter process may be utilized for water system acquisitions valued at $5 million or less.</w:t>
      </w:r>
      <w:r w:rsidRPr="008D1EE9" w:rsidR="00F65C3C">
        <w:rPr>
          <w:szCs w:val="24"/>
          <w:vertAlign w:val="superscript"/>
        </w:rPr>
        <w:footnoteReference w:id="58"/>
      </w:r>
      <w:r w:rsidRPr="008D1EE9" w:rsidR="00F65C3C">
        <w:rPr>
          <w:szCs w:val="24"/>
          <w:vertAlign w:val="superscript"/>
        </w:rPr>
        <w:t xml:space="preserve"> </w:t>
      </w:r>
      <w:r w:rsidRPr="000D5F3F" w:rsidR="000D5F3F">
        <w:rPr>
          <w:szCs w:val="24"/>
        </w:rPr>
        <w:t xml:space="preserve">Also, in PU Code </w:t>
      </w:r>
      <w:r w:rsidR="00E773A3">
        <w:rPr>
          <w:szCs w:val="24"/>
        </w:rPr>
        <w:t>Section</w:t>
      </w:r>
      <w:r w:rsidR="008831C7">
        <w:rPr>
          <w:szCs w:val="24"/>
        </w:rPr>
        <w:t xml:space="preserve"> </w:t>
      </w:r>
      <w:r w:rsidRPr="000D5F3F" w:rsidR="000D5F3F">
        <w:rPr>
          <w:szCs w:val="24"/>
        </w:rPr>
        <w:t xml:space="preserve">851, the Commission is required to approve or deny the acquisition within 120 days of filing if the advice letter is not protested. </w:t>
      </w:r>
      <w:r w:rsidR="0094129B">
        <w:rPr>
          <w:szCs w:val="24"/>
        </w:rPr>
        <w:fldChar w:fldCharType="begin"/>
      </w:r>
      <w:r w:rsidR="0094129B">
        <w:rPr>
          <w:szCs w:val="24"/>
        </w:rPr>
        <w:instrText xml:space="preserve"> REF _Ref82154148 \h </w:instrText>
      </w:r>
      <w:r w:rsidR="0094129B">
        <w:rPr>
          <w:szCs w:val="24"/>
        </w:rPr>
      </w:r>
      <w:r w:rsidR="0094129B">
        <w:rPr>
          <w:szCs w:val="24"/>
        </w:rPr>
        <w:fldChar w:fldCharType="separate"/>
      </w:r>
      <w:r w:rsidR="002B1FD6">
        <w:t xml:space="preserve">Figure </w:t>
      </w:r>
      <w:r w:rsidR="002B1FD6">
        <w:rPr>
          <w:noProof/>
        </w:rPr>
        <w:t>4</w:t>
      </w:r>
      <w:r w:rsidR="0094129B">
        <w:rPr>
          <w:szCs w:val="24"/>
        </w:rPr>
        <w:fldChar w:fldCharType="end"/>
      </w:r>
      <w:r w:rsidR="0094129B">
        <w:rPr>
          <w:szCs w:val="24"/>
        </w:rPr>
        <w:t xml:space="preserve"> </w:t>
      </w:r>
      <w:r w:rsidR="00C0361E">
        <w:rPr>
          <w:szCs w:val="24"/>
        </w:rPr>
        <w:t xml:space="preserve">below </w:t>
      </w:r>
      <w:r w:rsidRPr="000D5F3F" w:rsidR="000D5F3F">
        <w:rPr>
          <w:szCs w:val="24"/>
        </w:rPr>
        <w:t>shows the complexities of the existing framework’s proce</w:t>
      </w:r>
      <w:r w:rsidR="00C0361E">
        <w:rPr>
          <w:szCs w:val="24"/>
        </w:rPr>
        <w:t>dural schedule</w:t>
      </w:r>
      <w:r w:rsidRPr="000D5F3F" w:rsidR="000D5F3F">
        <w:rPr>
          <w:szCs w:val="24"/>
        </w:rPr>
        <w:t>.</w:t>
      </w:r>
    </w:p>
    <w:p w:rsidRPr="000D5F3F" w:rsidR="0094129B" w:rsidP="0094129B" w:rsidRDefault="005D084D" w14:paraId="6F393895" w14:textId="0B957ED3">
      <w:pPr>
        <w:rPr>
          <w:szCs w:val="24"/>
        </w:rPr>
      </w:pPr>
      <w:r>
        <w:rPr>
          <w:szCs w:val="24"/>
        </w:rPr>
        <w:t>From</w:t>
      </w:r>
      <w:r w:rsidRPr="000D5F3F" w:rsidR="0094129B">
        <w:rPr>
          <w:szCs w:val="24"/>
        </w:rPr>
        <w:t xml:space="preserve"> 2007</w:t>
      </w:r>
      <w:r>
        <w:rPr>
          <w:szCs w:val="24"/>
        </w:rPr>
        <w:t xml:space="preserve"> to 2021</w:t>
      </w:r>
      <w:r w:rsidRPr="000D5F3F" w:rsidR="0094129B">
        <w:rPr>
          <w:szCs w:val="24"/>
        </w:rPr>
        <w:t>, there have been a total of 5</w:t>
      </w:r>
      <w:r w:rsidR="0053098A">
        <w:rPr>
          <w:szCs w:val="24"/>
        </w:rPr>
        <w:t>8</w:t>
      </w:r>
      <w:r w:rsidRPr="000D5F3F" w:rsidR="0094129B">
        <w:rPr>
          <w:szCs w:val="24"/>
        </w:rPr>
        <w:t xml:space="preserve"> acquisitions involving Commission</w:t>
      </w:r>
      <w:r w:rsidR="0038423E">
        <w:rPr>
          <w:szCs w:val="24"/>
        </w:rPr>
        <w:t>-</w:t>
      </w:r>
      <w:r w:rsidRPr="000D5F3F" w:rsidR="0094129B">
        <w:rPr>
          <w:szCs w:val="24"/>
        </w:rPr>
        <w:t>regulated water utilities</w:t>
      </w:r>
      <w:r w:rsidR="008831C7">
        <w:rPr>
          <w:szCs w:val="24"/>
        </w:rPr>
        <w:t>, resolve</w:t>
      </w:r>
      <w:r w:rsidRPr="000D5F3F" w:rsidR="0094129B">
        <w:rPr>
          <w:szCs w:val="24"/>
        </w:rPr>
        <w:t xml:space="preserve">d </w:t>
      </w:r>
      <w:r w:rsidR="008831C7">
        <w:rPr>
          <w:szCs w:val="24"/>
        </w:rPr>
        <w:t>through</w:t>
      </w:r>
      <w:r w:rsidRPr="000D5F3F" w:rsidR="0094129B">
        <w:rPr>
          <w:szCs w:val="24"/>
        </w:rPr>
        <w:t xml:space="preserve"> 3</w:t>
      </w:r>
      <w:r w:rsidR="00E134B3">
        <w:rPr>
          <w:szCs w:val="24"/>
        </w:rPr>
        <w:t>1</w:t>
      </w:r>
      <w:r w:rsidRPr="000D5F3F" w:rsidR="0094129B">
        <w:rPr>
          <w:szCs w:val="24"/>
        </w:rPr>
        <w:t xml:space="preserve"> decisions and 2</w:t>
      </w:r>
      <w:r w:rsidR="00680834">
        <w:rPr>
          <w:szCs w:val="24"/>
        </w:rPr>
        <w:t>3</w:t>
      </w:r>
      <w:r w:rsidRPr="000D5F3F" w:rsidR="0094129B">
        <w:rPr>
          <w:szCs w:val="24"/>
        </w:rPr>
        <w:t xml:space="preserve"> resolutions.</w:t>
      </w:r>
      <w:r w:rsidRPr="000D2A30" w:rsidR="0094129B">
        <w:rPr>
          <w:szCs w:val="24"/>
          <w:vertAlign w:val="superscript"/>
        </w:rPr>
        <w:footnoteReference w:id="59"/>
      </w:r>
      <w:r w:rsidRPr="000D5F3F" w:rsidR="0094129B">
        <w:rPr>
          <w:szCs w:val="24"/>
        </w:rPr>
        <w:t xml:space="preserve"> The average number of days to complete an acquisition via the </w:t>
      </w:r>
      <w:r w:rsidR="008831C7">
        <w:rPr>
          <w:szCs w:val="24"/>
        </w:rPr>
        <w:t xml:space="preserve">application </w:t>
      </w:r>
      <w:r w:rsidRPr="000D5F3F" w:rsidR="0094129B">
        <w:rPr>
          <w:szCs w:val="24"/>
        </w:rPr>
        <w:t>process is 3</w:t>
      </w:r>
      <w:r w:rsidR="00AF7054">
        <w:rPr>
          <w:szCs w:val="24"/>
        </w:rPr>
        <w:t>71</w:t>
      </w:r>
      <w:r w:rsidRPr="000D5F3F" w:rsidR="0094129B">
        <w:rPr>
          <w:szCs w:val="24"/>
        </w:rPr>
        <w:t xml:space="preserve"> days, well over the 245</w:t>
      </w:r>
      <w:r w:rsidRPr="000D5F3F" w:rsidR="005A568E">
        <w:rPr>
          <w:szCs w:val="24"/>
        </w:rPr>
        <w:t>-</w:t>
      </w:r>
      <w:r w:rsidRPr="000D5F3F" w:rsidR="0094129B">
        <w:rPr>
          <w:szCs w:val="24"/>
        </w:rPr>
        <w:t>day limit</w:t>
      </w:r>
      <w:r w:rsidR="008831C7">
        <w:rPr>
          <w:szCs w:val="24"/>
        </w:rPr>
        <w:t xml:space="preserve"> set by the existing framework</w:t>
      </w:r>
      <w:r w:rsidRPr="000D5F3F" w:rsidR="0094129B">
        <w:rPr>
          <w:szCs w:val="24"/>
        </w:rPr>
        <w:t>. For resolutions, the average number of days for completion is 1</w:t>
      </w:r>
      <w:r w:rsidR="00AF7054">
        <w:rPr>
          <w:szCs w:val="24"/>
        </w:rPr>
        <w:t>64</w:t>
      </w:r>
      <w:r w:rsidRPr="000D5F3F" w:rsidR="0094129B">
        <w:rPr>
          <w:szCs w:val="24"/>
        </w:rPr>
        <w:t xml:space="preserve"> days, which is also over the limit of 100-120 days established in the existing framework</w:t>
      </w:r>
      <w:r w:rsidR="008831C7">
        <w:rPr>
          <w:szCs w:val="24"/>
        </w:rPr>
        <w:t xml:space="preserve"> and </w:t>
      </w:r>
      <w:r w:rsidR="008D4487">
        <w:rPr>
          <w:szCs w:val="24"/>
        </w:rPr>
        <w:t>by statute</w:t>
      </w:r>
      <w:r w:rsidRPr="000D5F3F" w:rsidR="0094129B">
        <w:rPr>
          <w:szCs w:val="24"/>
        </w:rPr>
        <w:t>.</w:t>
      </w:r>
    </w:p>
    <w:p w:rsidRPr="000D5F3F" w:rsidR="0094129B" w:rsidP="0094129B" w:rsidRDefault="00283CAC" w14:paraId="013C945C" w14:textId="78DCE729">
      <w:pPr>
        <w:rPr>
          <w:szCs w:val="24"/>
        </w:rPr>
      </w:pPr>
      <w:r>
        <w:t>O</w:t>
      </w:r>
      <w:r w:rsidRPr="003F5C4C" w:rsidR="00A72647">
        <w:t xml:space="preserve">n October </w:t>
      </w:r>
      <w:r>
        <w:t xml:space="preserve">8, </w:t>
      </w:r>
      <w:r w:rsidRPr="003F5C4C" w:rsidR="00A72647">
        <w:t>2021</w:t>
      </w:r>
      <w:r>
        <w:t xml:space="preserve">, Governor Newsom approved </w:t>
      </w:r>
      <w:r w:rsidRPr="003F5C4C" w:rsidR="003E24B1">
        <w:t>AB 1250</w:t>
      </w:r>
      <w:r w:rsidRPr="003F5C4C" w:rsidR="006B5296">
        <w:t>,</w:t>
      </w:r>
      <w:r w:rsidRPr="003F5C4C" w:rsidR="00497D96">
        <w:t xml:space="preserve"> </w:t>
      </w:r>
      <w:r w:rsidR="00A560A1">
        <w:t>which</w:t>
      </w:r>
      <w:r w:rsidRPr="003F5C4C" w:rsidR="00261C3E">
        <w:t xml:space="preserve"> added</w:t>
      </w:r>
      <w:r w:rsidR="00A560A1">
        <w:t xml:space="preserve"> PU Code Section</w:t>
      </w:r>
      <w:r w:rsidR="00593D68">
        <w:t>s</w:t>
      </w:r>
      <w:r w:rsidR="00A560A1">
        <w:t xml:space="preserve"> 2721</w:t>
      </w:r>
      <w:r w:rsidR="004C715F">
        <w:t>-2722</w:t>
      </w:r>
      <w:r w:rsidRPr="003F5C4C" w:rsidR="00261C3E">
        <w:t xml:space="preserve"> </w:t>
      </w:r>
      <w:r w:rsidRPr="003F5C4C" w:rsidR="00401534">
        <w:t xml:space="preserve">to the </w:t>
      </w:r>
      <w:r w:rsidR="004C715F">
        <w:t xml:space="preserve">existing </w:t>
      </w:r>
      <w:r w:rsidRPr="003F5C4C" w:rsidR="00401534">
        <w:t>PU Code</w:t>
      </w:r>
      <w:r w:rsidR="00835C32">
        <w:t xml:space="preserve"> Sections 2718-</w:t>
      </w:r>
      <w:r w:rsidR="0082241D">
        <w:t>2720</w:t>
      </w:r>
      <w:r w:rsidRPr="003F5C4C" w:rsidR="00401534">
        <w:t xml:space="preserve"> </w:t>
      </w:r>
      <w:r w:rsidRPr="003F5C4C" w:rsidR="0094129B">
        <w:t xml:space="preserve">to provide additional guidance on acquisitions involving </w:t>
      </w:r>
      <w:r w:rsidRPr="003F5C4C" w:rsidR="00465A7D">
        <w:t>small community water systems and state small water systems</w:t>
      </w:r>
      <w:r w:rsidRPr="003F5C4C" w:rsidR="0094129B">
        <w:t xml:space="preserve">. </w:t>
      </w:r>
      <w:r w:rsidRPr="003F5C4C" w:rsidR="004C6962">
        <w:t>Starting January 2022,</w:t>
      </w:r>
      <w:r w:rsidRPr="003F5C4C" w:rsidR="0094129B">
        <w:t xml:space="preserve"> the Commission</w:t>
      </w:r>
      <w:r w:rsidRPr="003F5C4C" w:rsidR="004C6962">
        <w:t xml:space="preserve"> is required</w:t>
      </w:r>
      <w:r w:rsidRPr="003F5C4C" w:rsidR="0094129B">
        <w:t xml:space="preserve"> to approve or deny a</w:t>
      </w:r>
      <w:r w:rsidR="0082241D">
        <w:t xml:space="preserve"> proposed</w:t>
      </w:r>
      <w:r w:rsidRPr="003F5C4C" w:rsidR="0094129B">
        <w:t xml:space="preserve"> application within </w:t>
      </w:r>
      <w:r w:rsidRPr="003F5C4C" w:rsidR="00465A7D">
        <w:t>12</w:t>
      </w:r>
      <w:r w:rsidRPr="003F5C4C" w:rsidR="0094129B">
        <w:t xml:space="preserve"> months (roughly </w:t>
      </w:r>
      <w:r w:rsidRPr="003F5C4C" w:rsidR="00465A7D">
        <w:t>365</w:t>
      </w:r>
      <w:r w:rsidRPr="003F5C4C" w:rsidR="0094129B">
        <w:t xml:space="preserve"> days) if the water system being acquired has consistently failed to provide safe drinking water and </w:t>
      </w:r>
      <w:r w:rsidRPr="003F5C4C" w:rsidR="004843EE">
        <w:t>has been identified as failing or at risk of failing by the SWRCB</w:t>
      </w:r>
      <w:r w:rsidRPr="003F5C4C" w:rsidR="0094129B">
        <w:t xml:space="preserve">. Consistent with PU Code </w:t>
      </w:r>
      <w:r w:rsidRPr="003F5C4C" w:rsidR="00E773A3">
        <w:rPr>
          <w:szCs w:val="24"/>
        </w:rPr>
        <w:t>Section</w:t>
      </w:r>
      <w:r w:rsidRPr="003F5C4C" w:rsidR="003F5C4C">
        <w:rPr>
          <w:szCs w:val="24"/>
        </w:rPr>
        <w:t xml:space="preserve"> </w:t>
      </w:r>
      <w:r w:rsidRPr="003F5C4C" w:rsidR="0094129B">
        <w:t xml:space="preserve">851, an advice letter </w:t>
      </w:r>
      <w:r w:rsidRPr="003F5C4C" w:rsidR="009C6F56">
        <w:t xml:space="preserve">may </w:t>
      </w:r>
      <w:r w:rsidRPr="003F5C4C" w:rsidR="0094129B">
        <w:t xml:space="preserve">be filed </w:t>
      </w:r>
      <w:r w:rsidRPr="003F5C4C" w:rsidR="00993EF0">
        <w:t xml:space="preserve">for approval </w:t>
      </w:r>
      <w:r w:rsidRPr="003F5C4C" w:rsidR="0094129B">
        <w:t>instead if the water system is valued at $5 million or less.</w:t>
      </w:r>
      <w:r w:rsidRPr="003F5C4C" w:rsidR="0073771E">
        <w:t xml:space="preserve"> The Commission is required to approve or deny such an advice letter</w:t>
      </w:r>
      <w:r w:rsidRPr="003F5C4C" w:rsidR="00993EF0">
        <w:t xml:space="preserve"> request</w:t>
      </w:r>
      <w:r w:rsidRPr="003F5C4C" w:rsidR="0073771E">
        <w:t xml:space="preserve"> within 180 days of its filing</w:t>
      </w:r>
      <w:r w:rsidR="00A560A1">
        <w:t xml:space="preserve"> with this new statute</w:t>
      </w:r>
      <w:r w:rsidRPr="003F5C4C" w:rsidR="0073771E">
        <w:t>.</w:t>
      </w:r>
    </w:p>
    <w:p w:rsidR="0094129B" w:rsidP="0094129B" w:rsidRDefault="000D5F3F" w14:paraId="55461A9F" w14:textId="77777777">
      <w:pPr>
        <w:keepNext/>
      </w:pPr>
      <w:r>
        <w:rPr>
          <w:noProof/>
        </w:rPr>
        <w:lastRenderedPageBreak/>
        <w:drawing>
          <wp:inline distT="0" distB="0" distL="0" distR="0" wp14:anchorId="0CC3DAB2" wp14:editId="50A99643">
            <wp:extent cx="5943600" cy="7492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492366"/>
                    </a:xfrm>
                    <a:prstGeom prst="rect">
                      <a:avLst/>
                    </a:prstGeom>
                  </pic:spPr>
                </pic:pic>
              </a:graphicData>
            </a:graphic>
          </wp:inline>
        </w:drawing>
      </w:r>
    </w:p>
    <w:p w:rsidR="000D5F3F" w:rsidP="0094129B" w:rsidRDefault="0094129B" w14:paraId="6CFFD9D0" w14:textId="6C3ACD6C">
      <w:pPr>
        <w:pStyle w:val="Caption"/>
        <w:jc w:val="center"/>
      </w:pPr>
      <w:bookmarkStart w:name="_Ref82154148" w:id="33"/>
      <w:bookmarkStart w:name="_Toc82154352" w:id="34"/>
      <w:bookmarkStart w:name="_Toc90911214" w:id="35"/>
      <w:r>
        <w:t xml:space="preserve">Figure </w:t>
      </w:r>
      <w:r>
        <w:fldChar w:fldCharType="begin"/>
      </w:r>
      <w:r>
        <w:instrText xml:space="preserve"> SEQ Figure \* ARABIC </w:instrText>
      </w:r>
      <w:r>
        <w:fldChar w:fldCharType="separate"/>
      </w:r>
      <w:r w:rsidR="002B1FD6">
        <w:t>4</w:t>
      </w:r>
      <w:r>
        <w:fldChar w:fldCharType="end"/>
      </w:r>
      <w:bookmarkEnd w:id="33"/>
      <w:r>
        <w:t>: Roadmap of the Existing Framework</w:t>
      </w:r>
      <w:bookmarkEnd w:id="34"/>
      <w:bookmarkEnd w:id="35"/>
    </w:p>
    <w:p w:rsidR="002935D0" w:rsidP="002935D0" w:rsidRDefault="002935D0" w14:paraId="5F11FB19" w14:textId="08DBC659">
      <w:pPr>
        <w:pStyle w:val="Heading1"/>
      </w:pPr>
      <w:bookmarkStart w:name="_Toc91071050" w:id="36"/>
      <w:r>
        <w:lastRenderedPageBreak/>
        <w:t>Questions to Consider in a New OIR</w:t>
      </w:r>
      <w:bookmarkEnd w:id="36"/>
    </w:p>
    <w:p w:rsidR="00291369" w:rsidP="008D1EE9" w:rsidRDefault="00291369" w14:paraId="72386391" w14:textId="019C3568">
      <w:r>
        <w:t>W</w:t>
      </w:r>
      <w:r w:rsidR="00D37694">
        <w:t>ith the issues facing the existing framework</w:t>
      </w:r>
      <w:r w:rsidR="00D53838">
        <w:t xml:space="preserve"> and the clear need to </w:t>
      </w:r>
      <w:r w:rsidR="0064215D">
        <w:t>address at-risk of failing or failing water systems</w:t>
      </w:r>
      <w:r w:rsidR="00D53838">
        <w:t xml:space="preserve">, the Water Division </w:t>
      </w:r>
      <w:r w:rsidR="00B01545">
        <w:t>(WD)</w:t>
      </w:r>
      <w:r w:rsidR="00D53838">
        <w:t xml:space="preserve"> recommends the Commission </w:t>
      </w:r>
      <w:r w:rsidR="00555558">
        <w:t xml:space="preserve">open </w:t>
      </w:r>
      <w:r w:rsidR="00D53838">
        <w:t xml:space="preserve">a new OIR that </w:t>
      </w:r>
      <w:r w:rsidR="0018652D">
        <w:t xml:space="preserve">considers </w:t>
      </w:r>
      <w:r w:rsidR="00D53838">
        <w:t xml:space="preserve">the </w:t>
      </w:r>
      <w:r w:rsidR="0064215D">
        <w:t xml:space="preserve">following </w:t>
      </w:r>
      <w:r w:rsidR="0018652D">
        <w:t xml:space="preserve">issues </w:t>
      </w:r>
      <w:r w:rsidR="00C36292">
        <w:t xml:space="preserve">to guide the Commission’s decision-making process for acquisitions and </w:t>
      </w:r>
      <w:r w:rsidR="009E0D6F">
        <w:t>potential consolidations.</w:t>
      </w:r>
    </w:p>
    <w:p w:rsidR="001737D5" w:rsidP="001737D5" w:rsidRDefault="001737D5" w14:paraId="4F460967" w14:textId="669EB952">
      <w:pPr>
        <w:pStyle w:val="Heading2"/>
      </w:pPr>
      <w:bookmarkStart w:name="_Toc91071051" w:id="37"/>
      <w:r>
        <w:t>Price and Valuation</w:t>
      </w:r>
      <w:bookmarkEnd w:id="37"/>
    </w:p>
    <w:p w:rsidR="00A77EFA" w:rsidP="00DF7097" w:rsidRDefault="00DF7097" w14:paraId="174FEDB9" w14:textId="61CE7BA4">
      <w:pPr>
        <w:pStyle w:val="Heading3"/>
      </w:pPr>
      <w:bookmarkStart w:name="_Toc91071052" w:id="38"/>
      <w:r>
        <w:t>How should the value of a system be determined</w:t>
      </w:r>
      <w:r w:rsidR="007D0EB5">
        <w:t xml:space="preserve"> in acquisitions</w:t>
      </w:r>
      <w:r>
        <w:t>?</w:t>
      </w:r>
      <w:bookmarkEnd w:id="38"/>
    </w:p>
    <w:p w:rsidR="00DF7097" w:rsidP="001737D5" w:rsidRDefault="00DF7097" w14:paraId="637650D9" w14:textId="35786477">
      <w:r>
        <w:t>The existing framework prescribes that an acquired system’s fair market value—usually measured by the purchase price—be used as the rate</w:t>
      </w:r>
      <w:r w:rsidR="005361ED">
        <w:t>making</w:t>
      </w:r>
      <w:r>
        <w:t xml:space="preserve"> standard for that system. </w:t>
      </w:r>
      <w:r w:rsidR="00704382">
        <w:t xml:space="preserve">The existing framework also looks at RCNLD in comparison with the purchase price, </w:t>
      </w:r>
      <w:r w:rsidR="00AE4AF6">
        <w:t>so</w:t>
      </w:r>
      <w:r w:rsidR="00704382">
        <w:t xml:space="preserve"> </w:t>
      </w:r>
      <w:r w:rsidR="00AE4AF6">
        <w:t>the new</w:t>
      </w:r>
      <w:r>
        <w:t xml:space="preserve"> OIR </w:t>
      </w:r>
      <w:r w:rsidR="00694529">
        <w:t>could</w:t>
      </w:r>
      <w:r w:rsidR="00DF5875">
        <w:t xml:space="preserve"> </w:t>
      </w:r>
      <w:r w:rsidR="00AE4AF6">
        <w:t xml:space="preserve">review these current practices and examine </w:t>
      </w:r>
      <w:r w:rsidR="00D401C5">
        <w:t xml:space="preserve">if </w:t>
      </w:r>
      <w:r>
        <w:t xml:space="preserve">other just and equitable methods of valuation </w:t>
      </w:r>
      <w:r w:rsidR="00D401C5">
        <w:t>should also be used</w:t>
      </w:r>
      <w:r w:rsidR="00EF384E">
        <w:t xml:space="preserve"> in assessing the value of a system</w:t>
      </w:r>
      <w:r w:rsidR="00983E08">
        <w:t xml:space="preserve">. </w:t>
      </w:r>
    </w:p>
    <w:p w:rsidR="00983E08" w:rsidP="00983E08" w:rsidRDefault="00983E08" w14:paraId="74844AB2" w14:textId="4FA2D491">
      <w:pPr>
        <w:pStyle w:val="Heading3"/>
      </w:pPr>
      <w:bookmarkStart w:name="_Toc91071053" w:id="39"/>
      <w:r>
        <w:t xml:space="preserve">Should </w:t>
      </w:r>
      <w:r w:rsidR="0077124C">
        <w:t xml:space="preserve">Section 1263.320(b) of the Code of Civil Procedure </w:t>
      </w:r>
      <w:r>
        <w:t xml:space="preserve">be applied to </w:t>
      </w:r>
      <w:r w:rsidR="00292080">
        <w:t>proposed acquisitions</w:t>
      </w:r>
      <w:r>
        <w:t>?</w:t>
      </w:r>
      <w:bookmarkEnd w:id="39"/>
    </w:p>
    <w:p w:rsidR="00A95711" w:rsidP="00983E08" w:rsidRDefault="0077124C" w14:paraId="0D14E75E" w14:textId="336AD2E9">
      <w:r>
        <w:t xml:space="preserve">CCP </w:t>
      </w:r>
      <w:r w:rsidR="00A12D3C">
        <w:t>Section</w:t>
      </w:r>
      <w:r w:rsidR="0094546B">
        <w:t xml:space="preserve"> </w:t>
      </w:r>
      <w:r>
        <w:t xml:space="preserve">1263.320 states that any method of valuation that is just and equitable can be used to determine the fair market value of property where no relevant, comparable market exists. Water system acquisitions, where the buyer and seller’s incentives are aligned, could fall under this category. The OIR </w:t>
      </w:r>
      <w:r w:rsidR="00FB52EF">
        <w:t>could</w:t>
      </w:r>
      <w:r w:rsidR="00DF5875">
        <w:t xml:space="preserve"> </w:t>
      </w:r>
      <w:r>
        <w:t xml:space="preserve">determine whether a relevant market exists for water utilities and, if not, what types of valuations could </w:t>
      </w:r>
      <w:r w:rsidR="00BF0882">
        <w:t xml:space="preserve">develop a reasonable </w:t>
      </w:r>
      <w:r>
        <w:t>fair market value.</w:t>
      </w:r>
    </w:p>
    <w:p w:rsidR="0077124C" w:rsidP="0077124C" w:rsidRDefault="0077124C" w14:paraId="0108DDB6" w14:textId="6F87ED4A">
      <w:pPr>
        <w:pStyle w:val="Heading3"/>
      </w:pPr>
      <w:bookmarkStart w:name="_Toc91071054" w:id="40"/>
      <w:r>
        <w:t xml:space="preserve">How </w:t>
      </w:r>
      <w:r w:rsidR="00A95711">
        <w:t>c</w:t>
      </w:r>
      <w:r>
        <w:t xml:space="preserve">ould Cost-Sharing </w:t>
      </w:r>
      <w:r w:rsidR="00A95711">
        <w:t>procedures apply to acquisitions?</w:t>
      </w:r>
      <w:bookmarkEnd w:id="40"/>
      <w:r w:rsidR="00A95711">
        <w:t xml:space="preserve"> </w:t>
      </w:r>
    </w:p>
    <w:p w:rsidRPr="0077124C" w:rsidR="0077124C" w:rsidP="0077124C" w:rsidRDefault="0077124C" w14:paraId="0D90C675" w14:textId="3996386E">
      <w:r>
        <w:t xml:space="preserve">The OIR </w:t>
      </w:r>
      <w:r w:rsidR="00FB52EF">
        <w:t>could</w:t>
      </w:r>
      <w:r w:rsidR="00DF5875">
        <w:t xml:space="preserve"> </w:t>
      </w:r>
      <w:r>
        <w:t>investigate whether some type of cost-sharing similar to the Commission’s existing Gain-on-Sale rules should apply to acquisitions</w:t>
      </w:r>
      <w:r w:rsidR="00462C11">
        <w:t xml:space="preserve"> </w:t>
      </w:r>
      <w:r>
        <w:t xml:space="preserve">or if proceeds from water utility acquisitions </w:t>
      </w:r>
      <w:r w:rsidR="00A10FA8">
        <w:t>may</w:t>
      </w:r>
      <w:r>
        <w:t xml:space="preserve"> be considered as a special type of gain on sale. Po</w:t>
      </w:r>
      <w:r w:rsidR="00691D1E">
        <w:t>tential</w:t>
      </w:r>
      <w:r w:rsidR="0023746F">
        <w:t xml:space="preserve"> mechanisms to be considered</w:t>
      </w:r>
      <w:r>
        <w:t xml:space="preserve"> include applying cost-sharing schemes to all assets, </w:t>
      </w:r>
      <w:r w:rsidR="003F670C">
        <w:t>applying only</w:t>
      </w:r>
      <w:r>
        <w:t xml:space="preserve"> to non-depreciable assets like water rights, or not applying cost-sharing rules at all. </w:t>
      </w:r>
      <w:r w:rsidR="00A95711">
        <w:t xml:space="preserve">The OIR </w:t>
      </w:r>
      <w:r w:rsidR="00FB52EF">
        <w:t>could</w:t>
      </w:r>
      <w:r w:rsidR="00DF5875">
        <w:t xml:space="preserve"> </w:t>
      </w:r>
      <w:r w:rsidR="00A95711">
        <w:t xml:space="preserve">also investigate what an equitable division of proceeds would </w:t>
      </w:r>
      <w:r w:rsidR="00690CFC">
        <w:t xml:space="preserve">look </w:t>
      </w:r>
      <w:proofErr w:type="gramStart"/>
      <w:r w:rsidR="00690CFC">
        <w:t>like</w:t>
      </w:r>
      <w:r w:rsidR="00A95711">
        <w:t>, if</w:t>
      </w:r>
      <w:proofErr w:type="gramEnd"/>
      <w:r w:rsidR="00A95711">
        <w:t xml:space="preserve"> cost-sharing </w:t>
      </w:r>
      <w:r w:rsidR="003F670C">
        <w:t xml:space="preserve">procedures </w:t>
      </w:r>
      <w:r w:rsidR="00A95711">
        <w:t>were to be implemented.</w:t>
      </w:r>
    </w:p>
    <w:p w:rsidR="00F01D49" w:rsidP="00F01D49" w:rsidRDefault="005C282E" w14:paraId="6E043DFB" w14:textId="0BD59F28">
      <w:pPr>
        <w:pStyle w:val="Heading3"/>
      </w:pPr>
      <w:bookmarkStart w:name="_Toc91071055" w:id="41"/>
      <w:r>
        <w:t xml:space="preserve">How should </w:t>
      </w:r>
      <w:r w:rsidR="008C56E0">
        <w:t xml:space="preserve">different assets and </w:t>
      </w:r>
      <w:r>
        <w:t xml:space="preserve">liabilities be treated for </w:t>
      </w:r>
      <w:r w:rsidR="008E087D">
        <w:t xml:space="preserve">ratemaking </w:t>
      </w:r>
      <w:r w:rsidR="00585B14">
        <w:t>purposes</w:t>
      </w:r>
      <w:r w:rsidR="0034328B">
        <w:t xml:space="preserve"> in proposed acquisitions</w:t>
      </w:r>
      <w:r>
        <w:t>?</w:t>
      </w:r>
      <w:bookmarkEnd w:id="41"/>
      <w:r w:rsidR="00F01D49">
        <w:t xml:space="preserve"> </w:t>
      </w:r>
    </w:p>
    <w:p w:rsidR="00A77EFA" w:rsidP="00F01D49" w:rsidRDefault="003978DC" w14:paraId="33EF6A3B" w14:textId="24A7B1BD">
      <w:r>
        <w:t>The purchase price to a</w:t>
      </w:r>
      <w:r w:rsidR="00585B14">
        <w:t>cquir</w:t>
      </w:r>
      <w:r>
        <w:t>e</w:t>
      </w:r>
      <w:r w:rsidR="00585B14">
        <w:t xml:space="preserve"> a system </w:t>
      </w:r>
      <w:r w:rsidR="00731E52">
        <w:t>may not cover all</w:t>
      </w:r>
      <w:r w:rsidR="00BE5559">
        <w:t xml:space="preserve"> </w:t>
      </w:r>
      <w:r w:rsidR="00C649F5">
        <w:t xml:space="preserve">assets </w:t>
      </w:r>
      <w:r w:rsidR="00BE5559">
        <w:t>th</w:t>
      </w:r>
      <w:r w:rsidR="00731E52">
        <w:t xml:space="preserve">at </w:t>
      </w:r>
      <w:r w:rsidR="00C649F5">
        <w:t>are</w:t>
      </w:r>
      <w:r w:rsidR="00BE5559">
        <w:t xml:space="preserve"> transfe</w:t>
      </w:r>
      <w:r w:rsidR="00731E52">
        <w:t>rred.</w:t>
      </w:r>
      <w:r w:rsidR="00BE5559">
        <w:t xml:space="preserve"> </w:t>
      </w:r>
      <w:r w:rsidR="00650FBB">
        <w:t>A</w:t>
      </w:r>
      <w:r w:rsidR="00D93D3D">
        <w:t xml:space="preserve">ssets </w:t>
      </w:r>
      <w:r w:rsidR="00650FBB">
        <w:t xml:space="preserve">other than infrastructure </w:t>
      </w:r>
      <w:r w:rsidR="00D93D3D">
        <w:t xml:space="preserve">such as </w:t>
      </w:r>
      <w:r w:rsidR="00D92513">
        <w:t xml:space="preserve">water rights </w:t>
      </w:r>
      <w:r w:rsidR="00C342FF">
        <w:t>and contributions</w:t>
      </w:r>
      <w:r w:rsidR="000B3134">
        <w:t xml:space="preserve"> </w:t>
      </w:r>
      <w:r w:rsidR="000A20D7">
        <w:t>or</w:t>
      </w:r>
      <w:r w:rsidR="00D92513">
        <w:t xml:space="preserve"> liabilities such as </w:t>
      </w:r>
      <w:r w:rsidR="00E778E2">
        <w:t xml:space="preserve">deferred </w:t>
      </w:r>
      <w:r w:rsidR="00D92513">
        <w:t>income tax</w:t>
      </w:r>
      <w:r w:rsidR="00C342FF">
        <w:t xml:space="preserve"> may require separate </w:t>
      </w:r>
      <w:r w:rsidR="00853A39">
        <w:t xml:space="preserve">valuation </w:t>
      </w:r>
      <w:r w:rsidR="00C342FF">
        <w:t>procedures</w:t>
      </w:r>
      <w:r w:rsidR="00DD315B">
        <w:t xml:space="preserve">.  The OIR </w:t>
      </w:r>
      <w:r w:rsidR="00FB52EF">
        <w:t>could</w:t>
      </w:r>
      <w:r w:rsidR="00DF5875">
        <w:t xml:space="preserve"> </w:t>
      </w:r>
      <w:r w:rsidR="00DD315B">
        <w:t xml:space="preserve">investigate </w:t>
      </w:r>
      <w:r w:rsidR="00853A39">
        <w:t xml:space="preserve">which </w:t>
      </w:r>
      <w:r w:rsidR="00C649F5">
        <w:t xml:space="preserve">of these items </w:t>
      </w:r>
      <w:r w:rsidR="00853A39">
        <w:t xml:space="preserve">should be separated from the overall </w:t>
      </w:r>
      <w:r w:rsidR="008439F2">
        <w:t xml:space="preserve">assessment </w:t>
      </w:r>
      <w:r w:rsidR="00C649F5">
        <w:t xml:space="preserve">and review </w:t>
      </w:r>
      <w:r w:rsidR="008439F2">
        <w:t>of the systems being acquired.</w:t>
      </w:r>
    </w:p>
    <w:p w:rsidR="008D1EE9" w:rsidP="00F01D49" w:rsidRDefault="008D1EE9" w14:paraId="5E5AF598" w14:textId="77777777"/>
    <w:p w:rsidR="008D1EE9" w:rsidP="00F01D49" w:rsidRDefault="008D1EE9" w14:paraId="2C3108EB" w14:textId="77777777"/>
    <w:p w:rsidR="00B13ACE" w:rsidP="00B13ACE" w:rsidRDefault="000A20D7" w14:paraId="1DFD3F1B" w14:textId="65388C70">
      <w:pPr>
        <w:pStyle w:val="Heading3"/>
      </w:pPr>
      <w:bookmarkStart w:name="_Toc91071056" w:id="42"/>
      <w:r>
        <w:lastRenderedPageBreak/>
        <w:t xml:space="preserve">Should there be a study or analysis conducted </w:t>
      </w:r>
      <w:r w:rsidR="00F20FA2">
        <w:t>to examine the</w:t>
      </w:r>
      <w:r w:rsidR="00AC2881">
        <w:t xml:space="preserve"> purchase prices of</w:t>
      </w:r>
      <w:r>
        <w:t xml:space="preserve"> acquisitions</w:t>
      </w:r>
      <w:r w:rsidR="0080065A">
        <w:t>?</w:t>
      </w:r>
      <w:bookmarkEnd w:id="42"/>
    </w:p>
    <w:p w:rsidRPr="0080065A" w:rsidR="0080065A" w:rsidP="000D2A30" w:rsidRDefault="00C53BF6" w14:paraId="684694B6" w14:textId="7356AE34">
      <w:r>
        <w:t xml:space="preserve">Data from </w:t>
      </w:r>
      <w:r w:rsidR="00B921C2">
        <w:t>previously approved</w:t>
      </w:r>
      <w:r w:rsidR="00F00359">
        <w:t xml:space="preserve"> </w:t>
      </w:r>
      <w:r>
        <w:t xml:space="preserve">acquisitions have shown that the </w:t>
      </w:r>
      <w:r w:rsidR="00CC3DE8">
        <w:t>average purchase price</w:t>
      </w:r>
      <w:r w:rsidR="00D03A8C">
        <w:t xml:space="preserve"> per connection</w:t>
      </w:r>
      <w:r w:rsidR="00FD7441">
        <w:t xml:space="preserve"> </w:t>
      </w:r>
      <w:r w:rsidR="00801D39">
        <w:t xml:space="preserve">has been increasing from year to year. </w:t>
      </w:r>
      <w:r w:rsidR="0027140B">
        <w:t xml:space="preserve">The </w:t>
      </w:r>
      <w:r w:rsidR="00FD7441">
        <w:t>Commission</w:t>
      </w:r>
      <w:r w:rsidR="0027140B">
        <w:t xml:space="preserve"> </w:t>
      </w:r>
      <w:r w:rsidR="00861A53">
        <w:t xml:space="preserve">has </w:t>
      </w:r>
      <w:r w:rsidR="00240746">
        <w:t xml:space="preserve">a limited understanding of </w:t>
      </w:r>
      <w:r w:rsidR="00B44033">
        <w:t xml:space="preserve">the </w:t>
      </w:r>
      <w:r w:rsidR="00240746">
        <w:t>factors that might be driving the increase.</w:t>
      </w:r>
      <w:r w:rsidR="00FD7441">
        <w:t xml:space="preserve"> The OIR </w:t>
      </w:r>
      <w:r w:rsidR="00FB52EF">
        <w:t>could</w:t>
      </w:r>
      <w:r w:rsidR="00130F93">
        <w:t xml:space="preserve"> </w:t>
      </w:r>
      <w:r w:rsidR="00E717DD">
        <w:t>provid</w:t>
      </w:r>
      <w:r w:rsidR="009F3D5E">
        <w:t xml:space="preserve">e an opportunity </w:t>
      </w:r>
      <w:r w:rsidR="00A424D7">
        <w:t xml:space="preserve">for </w:t>
      </w:r>
      <w:r w:rsidR="009F3D5E">
        <w:t>a</w:t>
      </w:r>
      <w:r w:rsidR="00D9133E">
        <w:t xml:space="preserve"> detailed study of the factors </w:t>
      </w:r>
      <w:r w:rsidR="004450EF">
        <w:t xml:space="preserve">which may help in the </w:t>
      </w:r>
      <w:r w:rsidR="00BC7252">
        <w:t xml:space="preserve">formation of the </w:t>
      </w:r>
      <w:r w:rsidR="008C1375">
        <w:t>revised</w:t>
      </w:r>
      <w:r w:rsidR="00BC7252">
        <w:t xml:space="preserve"> framework.</w:t>
      </w:r>
    </w:p>
    <w:p w:rsidRPr="001737D5" w:rsidR="00A77EFA" w:rsidP="001737D5" w:rsidRDefault="00A77EFA" w14:paraId="4794E073" w14:textId="77777777"/>
    <w:p w:rsidR="001737D5" w:rsidP="001737D5" w:rsidRDefault="00983E08" w14:paraId="660A0A27" w14:textId="690135FD">
      <w:pPr>
        <w:pStyle w:val="Heading2"/>
      </w:pPr>
      <w:bookmarkStart w:name="_Toc91071057" w:id="43"/>
      <w:r>
        <w:t>Ratepayer Impacts</w:t>
      </w:r>
      <w:bookmarkEnd w:id="43"/>
    </w:p>
    <w:p w:rsidRPr="001737D5" w:rsidR="001737D5" w:rsidP="00983E08" w:rsidRDefault="001737D5" w14:paraId="6F747FD0" w14:textId="11F585A3">
      <w:pPr>
        <w:pStyle w:val="Heading3"/>
      </w:pPr>
      <w:bookmarkStart w:name="_Toc91071058" w:id="44"/>
      <w:r w:rsidRPr="001737D5">
        <w:t>How should the Commission examine ratepayer impacts when reviewing an acquisition?</w:t>
      </w:r>
      <w:bookmarkEnd w:id="44"/>
      <w:r w:rsidRPr="001737D5">
        <w:t xml:space="preserve"> </w:t>
      </w:r>
    </w:p>
    <w:p w:rsidR="001737D5" w:rsidP="001737D5" w:rsidRDefault="001737D5" w14:paraId="63585103" w14:textId="623DDED4">
      <w:r w:rsidRPr="001737D5">
        <w:t xml:space="preserve">The approval of an acquisition by the Commission is currently constrained to </w:t>
      </w:r>
      <w:r w:rsidR="00DF7097">
        <w:t xml:space="preserve">review of the public interest criteria and </w:t>
      </w:r>
      <w:r w:rsidRPr="001737D5">
        <w:t xml:space="preserve">the review of fair market value. The new OIR </w:t>
      </w:r>
      <w:r w:rsidR="00FB52EF">
        <w:t>could</w:t>
      </w:r>
      <w:r w:rsidR="00130F93">
        <w:t xml:space="preserve"> </w:t>
      </w:r>
      <w:r w:rsidRPr="001737D5">
        <w:t>discuss the potential of using ratepayer impacts as another criteria in approving an acquisition.</w:t>
      </w:r>
    </w:p>
    <w:p w:rsidRPr="001737D5" w:rsidR="007B4E98" w:rsidP="007B4E98" w:rsidRDefault="007B4E98" w14:paraId="4BF22EC6" w14:textId="06FA6DD4">
      <w:pPr>
        <w:pStyle w:val="Heading3"/>
      </w:pPr>
      <w:bookmarkStart w:name="_Toc91071059" w:id="45"/>
      <w:r w:rsidRPr="001737D5">
        <w:t xml:space="preserve">What </w:t>
      </w:r>
      <w:r w:rsidR="00E0165D">
        <w:t>standard</w:t>
      </w:r>
      <w:r w:rsidR="00CF7A01">
        <w:t xml:space="preserve"> </w:t>
      </w:r>
      <w:r w:rsidRPr="001737D5">
        <w:t xml:space="preserve">should be </w:t>
      </w:r>
      <w:r w:rsidR="00CF7A01">
        <w:t>used to determine ratepayer impacts</w:t>
      </w:r>
      <w:r w:rsidR="00D974E4">
        <w:t xml:space="preserve"> in acquisitions</w:t>
      </w:r>
      <w:r w:rsidRPr="001737D5">
        <w:t>?</w:t>
      </w:r>
      <w:bookmarkEnd w:id="45"/>
    </w:p>
    <w:p w:rsidR="00DD6922" w:rsidP="007B4E98" w:rsidRDefault="007B4E98" w14:paraId="46B3C03C" w14:textId="49FAF9E4">
      <w:r w:rsidRPr="001737D5">
        <w:t xml:space="preserve">The </w:t>
      </w:r>
      <w:r w:rsidR="005B689E">
        <w:t>revised framework</w:t>
      </w:r>
      <w:r w:rsidRPr="001737D5">
        <w:t xml:space="preserve"> </w:t>
      </w:r>
      <w:r w:rsidR="00C40A49">
        <w:t>could</w:t>
      </w:r>
      <w:r w:rsidRPr="001737D5">
        <w:t xml:space="preserve"> develop a cost-benefit analysis o</w:t>
      </w:r>
      <w:r w:rsidR="009C4004">
        <w:t>f</w:t>
      </w:r>
      <w:r w:rsidRPr="001737D5">
        <w:t xml:space="preserve"> ratepayer impacts to standardize the review of future acquisitions. The analysis should help in determining the </w:t>
      </w:r>
      <w:r w:rsidR="00E42AA2">
        <w:t xml:space="preserve">relative </w:t>
      </w:r>
      <w:r w:rsidRPr="001737D5">
        <w:t xml:space="preserve">level of importance </w:t>
      </w:r>
      <w:r w:rsidR="00E42AA2">
        <w:t xml:space="preserve">to be given </w:t>
      </w:r>
      <w:r w:rsidRPr="001737D5">
        <w:t xml:space="preserve">to the </w:t>
      </w:r>
      <w:r w:rsidR="00775983">
        <w:t>R</w:t>
      </w:r>
      <w:r w:rsidRPr="001737D5">
        <w:t xml:space="preserve">atepayer </w:t>
      </w:r>
      <w:r w:rsidR="00775983">
        <w:t>I</w:t>
      </w:r>
      <w:r w:rsidRPr="001737D5">
        <w:t xml:space="preserve">ndifference </w:t>
      </w:r>
      <w:r w:rsidR="00775983">
        <w:t>T</w:t>
      </w:r>
      <w:r w:rsidRPr="001737D5">
        <w:t xml:space="preserve">est and the </w:t>
      </w:r>
      <w:r w:rsidR="00775983">
        <w:t>T</w:t>
      </w:r>
      <w:r w:rsidRPr="001737D5">
        <w:t>angible</w:t>
      </w:r>
      <w:r w:rsidR="00775983">
        <w:t xml:space="preserve"> Ratepayer</w:t>
      </w:r>
      <w:r w:rsidRPr="001737D5">
        <w:t xml:space="preserve"> </w:t>
      </w:r>
      <w:r w:rsidR="00775983">
        <w:t>B</w:t>
      </w:r>
      <w:r w:rsidRPr="001737D5">
        <w:t>enefit</w:t>
      </w:r>
      <w:r w:rsidR="00943555">
        <w:t xml:space="preserve"> in reviewing acquisitions</w:t>
      </w:r>
      <w:r w:rsidRPr="001737D5">
        <w:t xml:space="preserve">. </w:t>
      </w:r>
    </w:p>
    <w:p w:rsidR="007B4E98" w:rsidP="001737D5" w:rsidRDefault="007B4E98" w14:paraId="3FB98A0F" w14:textId="0C64A615">
      <w:r>
        <w:t xml:space="preserve">The OIR </w:t>
      </w:r>
      <w:r w:rsidR="00C40A49">
        <w:t>could</w:t>
      </w:r>
      <w:r w:rsidR="00130F93">
        <w:t xml:space="preserve"> </w:t>
      </w:r>
      <w:r>
        <w:t xml:space="preserve">also investigate who is </w:t>
      </w:r>
      <w:r w:rsidR="00E75F9C">
        <w:t xml:space="preserve">primarily </w:t>
      </w:r>
      <w:r>
        <w:t xml:space="preserve">affected </w:t>
      </w:r>
      <w:r w:rsidR="00502CC7">
        <w:t xml:space="preserve">in </w:t>
      </w:r>
      <w:r>
        <w:t>the application of each standard</w:t>
      </w:r>
      <w:r w:rsidR="00DD6922">
        <w:t xml:space="preserve">. For example, if </w:t>
      </w:r>
      <w:r w:rsidR="00471D83">
        <w:t>existing</w:t>
      </w:r>
      <w:r w:rsidR="00DD6922">
        <w:t xml:space="preserve"> customers of the acquiring utility shoulder the rate impact of an acquisition for comparatively little benefit, the </w:t>
      </w:r>
      <w:r w:rsidR="00B7511A">
        <w:t>R</w:t>
      </w:r>
      <w:r w:rsidR="00DD6922">
        <w:t xml:space="preserve">atepayer </w:t>
      </w:r>
      <w:r w:rsidR="00B7511A">
        <w:t>I</w:t>
      </w:r>
      <w:r w:rsidR="00DD6922">
        <w:t xml:space="preserve">ndifference </w:t>
      </w:r>
      <w:r w:rsidR="00B7511A">
        <w:t>T</w:t>
      </w:r>
      <w:r w:rsidR="0043363A">
        <w:t xml:space="preserve">est </w:t>
      </w:r>
      <w:r w:rsidR="00DD6922">
        <w:t xml:space="preserve">would </w:t>
      </w:r>
      <w:r w:rsidR="004E6D80">
        <w:t xml:space="preserve">produce </w:t>
      </w:r>
      <w:r w:rsidR="00DD6922">
        <w:t xml:space="preserve">a different conclusion than if </w:t>
      </w:r>
      <w:r w:rsidR="004E6D80">
        <w:t xml:space="preserve">evaluated based on the impacts to </w:t>
      </w:r>
      <w:r w:rsidR="005B689E">
        <w:t>c</w:t>
      </w:r>
      <w:r w:rsidR="00DD6922">
        <w:t>ustomers of the acquired system.</w:t>
      </w:r>
    </w:p>
    <w:p w:rsidRPr="001737D5" w:rsidR="00983E08" w:rsidP="00983E08" w:rsidRDefault="006E03ED" w14:paraId="093D8264" w14:textId="1951DA34">
      <w:pPr>
        <w:pStyle w:val="Heading3"/>
      </w:pPr>
      <w:bookmarkStart w:name="_Toc91071060" w:id="46"/>
      <w:r>
        <w:t>S</w:t>
      </w:r>
      <w:r w:rsidRPr="001737D5" w:rsidR="00983E08">
        <w:t>hould existing customers of the acquiring utility be included in the review of ratepayer impact?</w:t>
      </w:r>
      <w:bookmarkEnd w:id="46"/>
    </w:p>
    <w:p w:rsidR="00983E08" w:rsidP="00853CAE" w:rsidRDefault="00983E08" w14:paraId="11FE691D" w14:textId="59263E11">
      <w:r w:rsidRPr="001737D5">
        <w:t xml:space="preserve">The impact </w:t>
      </w:r>
      <w:r w:rsidR="000C06AE">
        <w:t xml:space="preserve">that </w:t>
      </w:r>
      <w:r w:rsidRPr="001737D5">
        <w:t xml:space="preserve">acquisitions have on ratepayers </w:t>
      </w:r>
      <w:r w:rsidR="00A04728">
        <w:t>of</w:t>
      </w:r>
      <w:r w:rsidRPr="001737D5" w:rsidR="00A04728">
        <w:t xml:space="preserve"> </w:t>
      </w:r>
      <w:r w:rsidRPr="001737D5">
        <w:t xml:space="preserve">both the acquired and acquiring utilities must be examined in the </w:t>
      </w:r>
      <w:r w:rsidR="005B689E">
        <w:t>revised framework</w:t>
      </w:r>
      <w:r w:rsidRPr="001737D5">
        <w:t>. While</w:t>
      </w:r>
      <w:r w:rsidR="0026066C">
        <w:t xml:space="preserve"> traditionally</w:t>
      </w:r>
      <w:r w:rsidRPr="001737D5">
        <w:t xml:space="preserve"> benefits for ratepayers from the acquired utility have been highlighted</w:t>
      </w:r>
      <w:r w:rsidR="0026066C">
        <w:t xml:space="preserve"> in the Commission’s </w:t>
      </w:r>
      <w:r w:rsidR="00A04728">
        <w:t>analyses</w:t>
      </w:r>
      <w:r w:rsidRPr="001737D5">
        <w:t xml:space="preserve">, the effect on </w:t>
      </w:r>
      <w:r w:rsidR="009F2277">
        <w:t xml:space="preserve">existing </w:t>
      </w:r>
      <w:r w:rsidRPr="001737D5">
        <w:t xml:space="preserve">ratepayers </w:t>
      </w:r>
      <w:r w:rsidR="00561220">
        <w:t>of</w:t>
      </w:r>
      <w:r w:rsidRPr="001737D5" w:rsidR="00561220">
        <w:t xml:space="preserve"> </w:t>
      </w:r>
      <w:r w:rsidRPr="001737D5">
        <w:t xml:space="preserve">the acquiring utility </w:t>
      </w:r>
      <w:r w:rsidR="00E75F9C">
        <w:t>should be</w:t>
      </w:r>
      <w:r w:rsidRPr="001737D5">
        <w:t xml:space="preserve"> further review</w:t>
      </w:r>
      <w:r w:rsidR="00E75F9C">
        <w:t>ed</w:t>
      </w:r>
      <w:r w:rsidRPr="001737D5">
        <w:t xml:space="preserve">.  </w:t>
      </w:r>
    </w:p>
    <w:p w:rsidRPr="001737D5" w:rsidR="001737D5" w:rsidP="00983E08" w:rsidRDefault="001737D5" w14:paraId="4D682355" w14:textId="0FB3E61F">
      <w:pPr>
        <w:pStyle w:val="Heading3"/>
      </w:pPr>
      <w:bookmarkStart w:name="_Toc91071061" w:id="47"/>
      <w:r w:rsidRPr="001737D5">
        <w:t>How</w:t>
      </w:r>
      <w:r w:rsidR="001A6EF7">
        <w:t xml:space="preserve"> should the benefits and costs of acquisitions be quantified?</w:t>
      </w:r>
      <w:bookmarkEnd w:id="47"/>
      <w:r w:rsidRPr="001737D5">
        <w:t xml:space="preserve"> </w:t>
      </w:r>
    </w:p>
    <w:p w:rsidRPr="001737D5" w:rsidR="001737D5" w:rsidP="001737D5" w:rsidRDefault="001A6EF7" w14:paraId="2F2048A0" w14:textId="6CAAAD06">
      <w:r w:rsidRPr="001737D5">
        <w:t>Acquiring</w:t>
      </w:r>
      <w:r w:rsidRPr="001737D5" w:rsidR="001737D5">
        <w:t xml:space="preserve"> a new </w:t>
      </w:r>
      <w:r w:rsidR="00CF0682">
        <w:t xml:space="preserve">water </w:t>
      </w:r>
      <w:r w:rsidRPr="001737D5" w:rsidR="001737D5">
        <w:t>system increases the</w:t>
      </w:r>
      <w:r w:rsidR="00CF0682">
        <w:t xml:space="preserve"> overall</w:t>
      </w:r>
      <w:r w:rsidRPr="001737D5" w:rsidR="001737D5">
        <w:t xml:space="preserve"> customer base but</w:t>
      </w:r>
      <w:r w:rsidR="00CF0682">
        <w:t xml:space="preserve"> also</w:t>
      </w:r>
      <w:r w:rsidRPr="001737D5" w:rsidR="001737D5">
        <w:t xml:space="preserve"> </w:t>
      </w:r>
      <w:r>
        <w:t>increases</w:t>
      </w:r>
      <w:r w:rsidR="00CF0682">
        <w:t xml:space="preserve"> customer</w:t>
      </w:r>
      <w:r>
        <w:t xml:space="preserve"> rates as a result of the purchase price </w:t>
      </w:r>
      <w:r w:rsidR="008216DF">
        <w:t>and potentially increased</w:t>
      </w:r>
      <w:r w:rsidRPr="001737D5" w:rsidR="001737D5">
        <w:t xml:space="preserve"> infrastructure costs.</w:t>
      </w:r>
      <w:r>
        <w:t xml:space="preserve"> </w:t>
      </w:r>
      <w:r w:rsidR="00233F5C">
        <w:t xml:space="preserve">When </w:t>
      </w:r>
      <w:r w:rsidR="000C06AE">
        <w:t>petitioning the</w:t>
      </w:r>
      <w:r w:rsidR="00233F5C">
        <w:t xml:space="preserve"> Commission with an acquisition proposal, utilities should be able to quantify the rate impact associated with the acquisition as well as quantify the </w:t>
      </w:r>
      <w:r w:rsidR="00144A15">
        <w:t>savings from economies of scale</w:t>
      </w:r>
      <w:r w:rsidR="00233F5C">
        <w:t xml:space="preserve">. The </w:t>
      </w:r>
      <w:r w:rsidR="005B689E">
        <w:t>revised framework</w:t>
      </w:r>
      <w:r w:rsidR="00233F5C">
        <w:t xml:space="preserve"> </w:t>
      </w:r>
      <w:r w:rsidR="00637BDF">
        <w:t>could</w:t>
      </w:r>
      <w:r w:rsidR="00130F93">
        <w:t xml:space="preserve"> </w:t>
      </w:r>
      <w:r w:rsidR="005B2F01">
        <w:t xml:space="preserve">require the utilities to produce </w:t>
      </w:r>
      <w:r w:rsidR="006D3FAD">
        <w:t xml:space="preserve">a rate impact analysis </w:t>
      </w:r>
      <w:r w:rsidR="00E12DC3">
        <w:t xml:space="preserve">even if there are plans to defer the rate changes </w:t>
      </w:r>
      <w:r w:rsidR="00063CA0">
        <w:t xml:space="preserve">to a later date. The analysis would provide </w:t>
      </w:r>
      <w:r w:rsidR="004E071D">
        <w:t>more transparency on how customers</w:t>
      </w:r>
      <w:r w:rsidR="008216DF">
        <w:t xml:space="preserve"> of the acquired and acquiring utility</w:t>
      </w:r>
      <w:r w:rsidR="004E071D">
        <w:t xml:space="preserve"> would be </w:t>
      </w:r>
      <w:r w:rsidR="000C5E1E">
        <w:t>affected by the</w:t>
      </w:r>
      <w:r w:rsidR="008216DF">
        <w:t xml:space="preserve"> proposed</w:t>
      </w:r>
      <w:r w:rsidR="000C5E1E">
        <w:t xml:space="preserve"> acquisitions.</w:t>
      </w:r>
    </w:p>
    <w:p w:rsidR="00767469" w:rsidP="00983E08" w:rsidRDefault="00A42A9D" w14:paraId="74672CBA" w14:textId="5A343BB6">
      <w:pPr>
        <w:pStyle w:val="Heading3"/>
      </w:pPr>
      <w:bookmarkStart w:name="_Toc91071062" w:id="48"/>
      <w:r>
        <w:lastRenderedPageBreak/>
        <w:t xml:space="preserve">How should </w:t>
      </w:r>
      <w:r w:rsidR="00706E6A">
        <w:t>rate i</w:t>
      </w:r>
      <w:r w:rsidR="003B1968">
        <w:t>mpacts from previous acquisition</w:t>
      </w:r>
      <w:r w:rsidR="00F15D72">
        <w:t>s</w:t>
      </w:r>
      <w:r w:rsidR="003B1968">
        <w:t xml:space="preserve"> be</w:t>
      </w:r>
      <w:r w:rsidR="005529A7">
        <w:t xml:space="preserve"> </w:t>
      </w:r>
      <w:r w:rsidR="00D613C4">
        <w:t xml:space="preserve">assessed </w:t>
      </w:r>
      <w:r w:rsidR="00F15D72">
        <w:t>when reviewing a</w:t>
      </w:r>
      <w:r w:rsidR="003B1968">
        <w:t xml:space="preserve"> proposed acquisition?</w:t>
      </w:r>
      <w:bookmarkEnd w:id="48"/>
    </w:p>
    <w:p w:rsidR="00767469" w:rsidP="00767469" w:rsidRDefault="002B1381" w14:paraId="6C64C63A" w14:textId="096F03E0">
      <w:r>
        <w:t>For</w:t>
      </w:r>
      <w:r w:rsidR="00DD768D">
        <w:t xml:space="preserve"> multiple</w:t>
      </w:r>
      <w:r w:rsidR="006A052C">
        <w:t xml:space="preserve"> acquisitions</w:t>
      </w:r>
      <w:r w:rsidR="00D93302">
        <w:t xml:space="preserve"> involving one utility</w:t>
      </w:r>
      <w:r w:rsidR="00AD01EA">
        <w:t xml:space="preserve">, the rate impact from each acquisition </w:t>
      </w:r>
      <w:r w:rsidR="004C09E4">
        <w:t>might not seem significant</w:t>
      </w:r>
      <w:r w:rsidR="00DD768D">
        <w:t xml:space="preserve"> </w:t>
      </w:r>
      <w:r w:rsidR="000C06AE">
        <w:t>on an individual basis</w:t>
      </w:r>
      <w:r w:rsidR="004C09E4">
        <w:t xml:space="preserve">. However, </w:t>
      </w:r>
      <w:r w:rsidR="00E74AE0">
        <w:t xml:space="preserve">combining </w:t>
      </w:r>
      <w:r>
        <w:t>the</w:t>
      </w:r>
      <w:r w:rsidR="00D613C4">
        <w:t>se</w:t>
      </w:r>
      <w:r>
        <w:t xml:space="preserve"> acquisitions </w:t>
      </w:r>
      <w:r w:rsidR="005166F3">
        <w:t>and producing a cumulative rate impact might produce a considerable rate increase</w:t>
      </w:r>
      <w:r w:rsidR="000C06AE">
        <w:t xml:space="preserve"> </w:t>
      </w:r>
      <w:r w:rsidR="002A375F">
        <w:t xml:space="preserve">before a </w:t>
      </w:r>
      <w:r w:rsidR="00D613C4">
        <w:t xml:space="preserve">rate </w:t>
      </w:r>
      <w:r w:rsidR="002A375F">
        <w:t>review can occur in the following GRC</w:t>
      </w:r>
      <w:r w:rsidR="005166F3">
        <w:t xml:space="preserve">.  </w:t>
      </w:r>
      <w:r w:rsidR="00B65053">
        <w:t>The</w:t>
      </w:r>
      <w:r w:rsidR="00745353">
        <w:t xml:space="preserve"> </w:t>
      </w:r>
      <w:r w:rsidR="005B689E">
        <w:t>revised framework</w:t>
      </w:r>
      <w:r w:rsidR="00B65053">
        <w:t xml:space="preserve"> </w:t>
      </w:r>
      <w:r w:rsidR="00700782">
        <w:t>could</w:t>
      </w:r>
      <w:r w:rsidR="00B65053">
        <w:t xml:space="preserve"> </w:t>
      </w:r>
      <w:r w:rsidR="00745353">
        <w:t>evaluate</w:t>
      </w:r>
      <w:r w:rsidR="00785A2F">
        <w:t xml:space="preserve"> </w:t>
      </w:r>
      <w:r w:rsidR="002A375F">
        <w:t xml:space="preserve">cumulative </w:t>
      </w:r>
      <w:r w:rsidR="00785A2F">
        <w:t xml:space="preserve">rate </w:t>
      </w:r>
      <w:r w:rsidR="00117379">
        <w:t xml:space="preserve">impacts </w:t>
      </w:r>
      <w:r w:rsidR="001B11A0">
        <w:t xml:space="preserve">applicable to </w:t>
      </w:r>
      <w:r w:rsidR="00117379">
        <w:t>a</w:t>
      </w:r>
      <w:r w:rsidR="001B11A0">
        <w:t>n acquiring</w:t>
      </w:r>
      <w:r w:rsidR="00117379">
        <w:t xml:space="preserve"> utility when the same utility is proposing </w:t>
      </w:r>
      <w:r w:rsidR="008216DF">
        <w:t>multiple</w:t>
      </w:r>
      <w:r w:rsidR="001B11A0">
        <w:t xml:space="preserve"> </w:t>
      </w:r>
      <w:r w:rsidR="00117379">
        <w:t>acquisition</w:t>
      </w:r>
      <w:r w:rsidR="001B11A0">
        <w:t>s between GRC cycles</w:t>
      </w:r>
      <w:r w:rsidR="00117379">
        <w:t>.</w:t>
      </w:r>
    </w:p>
    <w:p w:rsidRPr="00767469" w:rsidR="00380EAC" w:rsidP="00767469" w:rsidRDefault="00380EAC" w14:paraId="2E4CB3CB" w14:textId="77777777"/>
    <w:p w:rsidRPr="001737D5" w:rsidR="001737D5" w:rsidP="001737D5" w:rsidRDefault="00BE6C61" w14:paraId="5B966B70" w14:textId="7720368D">
      <w:pPr>
        <w:pStyle w:val="Heading2"/>
      </w:pPr>
      <w:bookmarkStart w:name="_Toc91071063" w:id="49"/>
      <w:r>
        <w:t>Inadequately Operated and Maintained Systems</w:t>
      </w:r>
      <w:bookmarkEnd w:id="49"/>
    </w:p>
    <w:p w:rsidRPr="001737D5" w:rsidR="001737D5" w:rsidP="00D401C5" w:rsidRDefault="001737D5" w14:paraId="718F3730" w14:textId="77777777">
      <w:pPr>
        <w:pStyle w:val="Heading3"/>
      </w:pPr>
      <w:bookmarkStart w:name="_Toc91071064" w:id="50"/>
      <w:r w:rsidRPr="001737D5">
        <w:t>How should acquisitions be prioritized for inadequately operated and maintained systems?</w:t>
      </w:r>
      <w:bookmarkEnd w:id="50"/>
    </w:p>
    <w:p w:rsidR="001737D5" w:rsidP="001737D5" w:rsidRDefault="001737D5" w14:paraId="1E452EE4" w14:textId="0BD69B15">
      <w:r w:rsidRPr="001737D5">
        <w:t xml:space="preserve">While the existing framework incentivized water system acquisitions by investor-owned utilities, development of a new acquisitions framework presents an opportunity to refine the Commission’s overall acquisition policy and align this effort with the </w:t>
      </w:r>
      <w:r w:rsidR="00AE0133">
        <w:t>Commission’s</w:t>
      </w:r>
      <w:r w:rsidRPr="001737D5">
        <w:t xml:space="preserve"> adopted Environmental and Social Justice goals. There is also opportunity to provide guidance on coordination between the Commission and the SWRCB to achieve the Human Right to Water</w:t>
      </w:r>
      <w:r w:rsidR="00F312F1">
        <w:t xml:space="preserve"> for all Californians</w:t>
      </w:r>
      <w:r w:rsidRPr="001737D5">
        <w:t xml:space="preserve">. </w:t>
      </w:r>
    </w:p>
    <w:p w:rsidR="00A062AB" w:rsidP="00A062AB" w:rsidRDefault="00A062AB" w14:paraId="57B56E03" w14:textId="77777777">
      <w:pPr>
        <w:pStyle w:val="Heading3"/>
      </w:pPr>
      <w:bookmarkStart w:name="_Toc91071065" w:id="51"/>
      <w:r>
        <w:t>How should coordination efforts between the Commission and the SWRCB be improved on to address inadequately operated and maintained systems?</w:t>
      </w:r>
      <w:bookmarkEnd w:id="51"/>
    </w:p>
    <w:p w:rsidRPr="001737D5" w:rsidR="00A062AB" w:rsidP="001737D5" w:rsidRDefault="00A062AB" w14:paraId="47E5D8A8" w14:textId="2B8B457F">
      <w:r>
        <w:t>Currently, acquisitions come before the Commission through the existing framework via an application or an advice letter process as discussed above.</w:t>
      </w:r>
      <w:r w:rsidR="002B6104">
        <w:t xml:space="preserve"> Notice is provided to existing service lists of utili</w:t>
      </w:r>
      <w:r w:rsidR="004434F6">
        <w:t xml:space="preserve">ties and affected customers. </w:t>
      </w:r>
      <w:r w:rsidR="0091592D">
        <w:t>The SWRCB is currently not part of this noticing requirement</w:t>
      </w:r>
      <w:r w:rsidR="0002128D">
        <w:t xml:space="preserve"> in some cases</w:t>
      </w:r>
      <w:r w:rsidR="0091592D">
        <w:t xml:space="preserve">, so additional noticing should be provided to </w:t>
      </w:r>
      <w:r w:rsidR="004A19FD">
        <w:t>the SWRCB, including the relevant DDW (Division of Drinking Water) and DFA (Division of Financial Assistance) contacts</w:t>
      </w:r>
      <w:r w:rsidR="00C026A6">
        <w:t xml:space="preserve">. These SWRCB contacts have </w:t>
      </w:r>
      <w:r w:rsidR="0048693F">
        <w:t xml:space="preserve">continually </w:t>
      </w:r>
      <w:r w:rsidR="00C026A6">
        <w:t>monitored these at</w:t>
      </w:r>
      <w:r w:rsidR="0048693F">
        <w:t>-</w:t>
      </w:r>
      <w:r w:rsidR="00C026A6">
        <w:t xml:space="preserve"> risk syste</w:t>
      </w:r>
      <w:r w:rsidR="00912A53">
        <w:t>ms with water quality concerns</w:t>
      </w:r>
      <w:r w:rsidR="00DF3E88">
        <w:t xml:space="preserve"> and have met regularly with the WD to spotlight these systems, but official notice</w:t>
      </w:r>
      <w:r w:rsidR="00CA27D5">
        <w:t xml:space="preserve"> to the SWRCB</w:t>
      </w:r>
      <w:r w:rsidR="00DF3E88">
        <w:t xml:space="preserve"> should be </w:t>
      </w:r>
      <w:r w:rsidR="00CA27D5">
        <w:t>provided at the outset of these acquisition proposals</w:t>
      </w:r>
      <w:r w:rsidR="0048693F">
        <w:t xml:space="preserve"> in order to </w:t>
      </w:r>
      <w:r w:rsidR="00556634">
        <w:t>facilitate ongoing coordination and communication efforts between the Commission and the SWRCB.</w:t>
      </w:r>
    </w:p>
    <w:p w:rsidRPr="001737D5" w:rsidR="001737D5" w:rsidP="00D401C5" w:rsidRDefault="001737D5" w14:paraId="5F249D72" w14:textId="77777777">
      <w:pPr>
        <w:pStyle w:val="Heading3"/>
      </w:pPr>
      <w:bookmarkStart w:name="_Toc91071066" w:id="52"/>
      <w:r w:rsidRPr="001737D5">
        <w:t>How should the acquisitions of systems in disadvantaged communities be approached?</w:t>
      </w:r>
      <w:bookmarkEnd w:id="52"/>
    </w:p>
    <w:p w:rsidR="002C7A2C" w:rsidP="001737D5" w:rsidRDefault="001737D5" w14:paraId="61378753" w14:textId="016488FB">
      <w:r>
        <w:t xml:space="preserve">In reviewing the current incentives for acquisitions, the Commission may look at the “inadequately operated and maintained small water utilities” classification from the existing framework and include systems located in Disadvantaged or Severely Disadvantaged Communities in a new acquisitions framework. </w:t>
      </w:r>
      <w:r w:rsidR="00B4199C">
        <w:t>The Commission</w:t>
      </w:r>
      <w:r>
        <w:t xml:space="preserve"> currently relies on the definition of a disadvantaged community, as defined by Health and Safety Code Section 116275(aa), but the new acquisition framework may review the California Communities </w:t>
      </w:r>
      <w:r>
        <w:lastRenderedPageBreak/>
        <w:t>Environmental Health Screening Tool, Version 3 (</w:t>
      </w:r>
      <w:proofErr w:type="spellStart"/>
      <w:r>
        <w:t>CalEnviroScreen</w:t>
      </w:r>
      <w:proofErr w:type="spellEnd"/>
      <w:r>
        <w:t> 3.0)</w:t>
      </w:r>
      <w:r w:rsidR="0039712D">
        <w:rPr>
          <w:rStyle w:val="FootnoteReference"/>
        </w:rPr>
        <w:footnoteReference w:id="60"/>
      </w:r>
      <w:r>
        <w:t xml:space="preserve"> provided by the California Environmental Protection Agency, that identifies</w:t>
      </w:r>
      <w:r w:rsidR="0A9D68F4">
        <w:t xml:space="preserve"> </w:t>
      </w:r>
      <w:r>
        <w:t>disadvantaged communities by collecting multiple metrics</w:t>
      </w:r>
      <w:r w:rsidR="38257923">
        <w:t xml:space="preserve"> </w:t>
      </w:r>
      <w:r>
        <w:t>and outputting a single value at the census tract scale. </w:t>
      </w:r>
    </w:p>
    <w:p w:rsidRPr="001737D5" w:rsidR="00250C0D" w:rsidP="00250C0D" w:rsidRDefault="00E65A40" w14:paraId="61EBDBDC" w14:textId="2F65D967">
      <w:pPr>
        <w:pStyle w:val="Heading3"/>
      </w:pPr>
      <w:bookmarkStart w:name="_Toc91071067" w:id="53"/>
      <w:r>
        <w:t>What incentives for acquiring inadequately operated and maintained systems would be most effective?</w:t>
      </w:r>
      <w:bookmarkEnd w:id="53"/>
    </w:p>
    <w:p w:rsidRPr="001737D5" w:rsidR="00250C0D" w:rsidP="00250C0D" w:rsidRDefault="00250C0D" w14:paraId="305E6508" w14:textId="57C2D360">
      <w:r w:rsidRPr="001737D5">
        <w:t>Another aspect to consider</w:t>
      </w:r>
      <w:r w:rsidR="00C16D6D">
        <w:t xml:space="preserve"> in a new OIR</w:t>
      </w:r>
      <w:r w:rsidRPr="001737D5">
        <w:t xml:space="preserve"> is</w:t>
      </w:r>
      <w:r w:rsidR="00C16D6D">
        <w:t xml:space="preserve"> the</w:t>
      </w:r>
      <w:r w:rsidRPr="001737D5">
        <w:t xml:space="preserve"> review </w:t>
      </w:r>
      <w:r w:rsidR="00C16D6D">
        <w:t xml:space="preserve">of </w:t>
      </w:r>
      <w:r w:rsidRPr="001737D5">
        <w:t>the incentives available to the IOUs from the existing framework and whether the</w:t>
      </w:r>
      <w:r w:rsidR="00C16D6D">
        <w:t xml:space="preserve">se incentives are </w:t>
      </w:r>
      <w:r w:rsidRPr="001737D5">
        <w:t xml:space="preserve">still necessary </w:t>
      </w:r>
      <w:r w:rsidR="00C16D6D">
        <w:t>to</w:t>
      </w:r>
      <w:r w:rsidRPr="001737D5">
        <w:t xml:space="preserve"> attract IOUs to acquire inadequately operated and maintained water systems.</w:t>
      </w:r>
    </w:p>
    <w:p w:rsidRPr="001737D5" w:rsidR="00250C0D" w:rsidP="00250C0D" w:rsidRDefault="00E00F18" w14:paraId="3056C324" w14:textId="1BC346A9">
      <w:pPr>
        <w:pStyle w:val="Heading3"/>
      </w:pPr>
      <w:bookmarkStart w:name="_Toc91071068" w:id="54"/>
      <w:r>
        <w:t>Should the incentives for acquiring well-maintained systems be decreased?</w:t>
      </w:r>
      <w:bookmarkEnd w:id="54"/>
    </w:p>
    <w:p w:rsidRPr="001737D5" w:rsidR="00250C0D" w:rsidP="00250C0D" w:rsidRDefault="00D65157" w14:paraId="0B8910C0" w14:textId="4164E959">
      <w:r>
        <w:t>To ensure the HR2W for all in California, i</w:t>
      </w:r>
      <w:r w:rsidR="00B8199B">
        <w:t>nadequately operated and maintained</w:t>
      </w:r>
      <w:r w:rsidR="00252FF0">
        <w:t xml:space="preserve"> w</w:t>
      </w:r>
      <w:r w:rsidR="00B80433">
        <w:t>ater systems in need of</w:t>
      </w:r>
      <w:r w:rsidR="003F7BF6">
        <w:t xml:space="preserve"> urgent help should be prioritized</w:t>
      </w:r>
      <w:r w:rsidR="00BE35AE">
        <w:t xml:space="preserve"> over </w:t>
      </w:r>
      <w:r w:rsidR="001753AD">
        <w:t xml:space="preserve">systems that are in good </w:t>
      </w:r>
      <w:r w:rsidR="00D35E73">
        <w:t xml:space="preserve">or stable </w:t>
      </w:r>
      <w:r w:rsidR="001753AD">
        <w:t>condition</w:t>
      </w:r>
      <w:r w:rsidR="00D35E73">
        <w:t xml:space="preserve"> without </w:t>
      </w:r>
      <w:r w:rsidR="00E21C91">
        <w:t>major water quality issues</w:t>
      </w:r>
      <w:r w:rsidR="00252FF0">
        <w:t xml:space="preserve">. </w:t>
      </w:r>
      <w:r w:rsidR="001753AD">
        <w:t xml:space="preserve">The OIR </w:t>
      </w:r>
      <w:r w:rsidR="00E34847">
        <w:t>could</w:t>
      </w:r>
      <w:r w:rsidR="00DF5875">
        <w:t xml:space="preserve"> </w:t>
      </w:r>
      <w:r w:rsidR="001F1ABA">
        <w:t>investigate</w:t>
      </w:r>
      <w:r w:rsidR="004503C5">
        <w:t xml:space="preserve"> adjusting incentives based on the </w:t>
      </w:r>
      <w:r w:rsidR="00C41588">
        <w:t>quality of the system</w:t>
      </w:r>
      <w:r w:rsidR="00B52F1C">
        <w:t xml:space="preserve"> being acquired</w:t>
      </w:r>
      <w:r w:rsidR="00C41588">
        <w:t>.</w:t>
      </w:r>
      <w:r w:rsidR="00A04182">
        <w:t xml:space="preserve"> </w:t>
      </w:r>
    </w:p>
    <w:p w:rsidRPr="001737D5" w:rsidR="00250C0D" w:rsidP="00250C0D" w:rsidRDefault="00E65A40" w14:paraId="245452F8" w14:textId="76074F77">
      <w:pPr>
        <w:pStyle w:val="Heading3"/>
      </w:pPr>
      <w:bookmarkStart w:name="_Toc91071069" w:id="55"/>
      <w:r>
        <w:t xml:space="preserve">How </w:t>
      </w:r>
      <w:r w:rsidR="00A15C47">
        <w:t>should</w:t>
      </w:r>
      <w:r w:rsidR="00D22E32">
        <w:t xml:space="preserve"> the Commission t</w:t>
      </w:r>
      <w:r w:rsidR="00B96578">
        <w:t>reat</w:t>
      </w:r>
      <w:r w:rsidR="00A15C47">
        <w:t xml:space="preserve"> grant funding</w:t>
      </w:r>
      <w:r w:rsidR="00A93DC9">
        <w:t xml:space="preserve"> in acquisitions?</w:t>
      </w:r>
      <w:bookmarkEnd w:id="55"/>
    </w:p>
    <w:p w:rsidR="00250C0D" w:rsidP="00250C0D" w:rsidRDefault="00250C0D" w14:paraId="51FFB6EE" w14:textId="0B212142">
      <w:r>
        <w:t>Grant funding would reduce the impact on ratepayers</w:t>
      </w:r>
      <w:r w:rsidR="005D1482">
        <w:t xml:space="preserve"> for acquired and acquiring utilities</w:t>
      </w:r>
      <w:r w:rsidR="00A15C47">
        <w:t xml:space="preserve">, </w:t>
      </w:r>
      <w:r w:rsidR="001E2A87">
        <w:t xml:space="preserve">while potentially </w:t>
      </w:r>
      <w:r w:rsidR="005D1482">
        <w:t>minimizing</w:t>
      </w:r>
      <w:r w:rsidR="001E2A87">
        <w:t xml:space="preserve"> the incentive for an IOU to acquire a </w:t>
      </w:r>
      <w:r w:rsidR="00A93DC9">
        <w:t>system</w:t>
      </w:r>
      <w:r w:rsidR="001E2A87">
        <w:t>. One option</w:t>
      </w:r>
      <w:r w:rsidR="005D1482">
        <w:t xml:space="preserve"> to consider in a new OIR</w:t>
      </w:r>
      <w:r w:rsidR="001E2A87">
        <w:t xml:space="preserve"> would </w:t>
      </w:r>
      <w:r w:rsidR="00B50F98">
        <w:t xml:space="preserve">be a </w:t>
      </w:r>
      <w:r w:rsidR="001E2A87">
        <w:t>requir</w:t>
      </w:r>
      <w:r w:rsidR="00B50F98">
        <w:t>ement for</w:t>
      </w:r>
      <w:r w:rsidR="001E2A87">
        <w:t xml:space="preserve"> IOUs to take grant funding when available; other options</w:t>
      </w:r>
      <w:r w:rsidR="00B50F98">
        <w:t xml:space="preserve"> to consider</w:t>
      </w:r>
      <w:r w:rsidR="001E2A87">
        <w:t xml:space="preserve"> include</w:t>
      </w:r>
      <w:r w:rsidR="00514F12">
        <w:t xml:space="preserve"> </w:t>
      </w:r>
      <w:r w:rsidR="00B50F98">
        <w:t>reviewing the priori</w:t>
      </w:r>
      <w:r w:rsidR="002C7D80">
        <w:t>tization of</w:t>
      </w:r>
      <w:r w:rsidR="00514F12">
        <w:t xml:space="preserve"> grant funding </w:t>
      </w:r>
      <w:r w:rsidR="007E7CD9">
        <w:t xml:space="preserve">based </w:t>
      </w:r>
      <w:r w:rsidR="00514F12">
        <w:t xml:space="preserve">on </w:t>
      </w:r>
      <w:r w:rsidR="002E72D0">
        <w:t xml:space="preserve">the resulting rate </w:t>
      </w:r>
      <w:r w:rsidR="002C7D80">
        <w:t>impact</w:t>
      </w:r>
      <w:r w:rsidR="002E72D0">
        <w:t xml:space="preserve"> to customers</w:t>
      </w:r>
      <w:r w:rsidR="000927FC">
        <w:t xml:space="preserve">. </w:t>
      </w:r>
      <w:r w:rsidR="00B44922">
        <w:t xml:space="preserve">The </w:t>
      </w:r>
      <w:r w:rsidR="005B689E">
        <w:t>revised framework</w:t>
      </w:r>
      <w:r w:rsidR="009E622A">
        <w:t xml:space="preserve"> </w:t>
      </w:r>
      <w:r w:rsidR="00E34847">
        <w:t>could</w:t>
      </w:r>
      <w:r w:rsidR="00DF5875">
        <w:t xml:space="preserve"> </w:t>
      </w:r>
      <w:r w:rsidR="009E622A">
        <w:t xml:space="preserve">require </w:t>
      </w:r>
      <w:r w:rsidR="00665825">
        <w:t xml:space="preserve">utilities to </w:t>
      </w:r>
      <w:r w:rsidR="002241AE">
        <w:t>report in proposed acquisition</w:t>
      </w:r>
      <w:r w:rsidR="00665825">
        <w:t xml:space="preserve"> </w:t>
      </w:r>
      <w:r w:rsidR="002241AE">
        <w:t>on efforts to</w:t>
      </w:r>
      <w:r w:rsidR="00665825">
        <w:t xml:space="preserve"> seek grant funds</w:t>
      </w:r>
      <w:r w:rsidR="00FF1480">
        <w:t xml:space="preserve"> and </w:t>
      </w:r>
      <w:r w:rsidR="007E7CD9">
        <w:t xml:space="preserve">to </w:t>
      </w:r>
      <w:r w:rsidR="00FF1480">
        <w:t xml:space="preserve">provide an analysis of </w:t>
      </w:r>
      <w:r w:rsidR="00E62895">
        <w:t>cost savings from potential grants.</w:t>
      </w:r>
    </w:p>
    <w:p w:rsidR="001E2A87" w:rsidP="001E2A87" w:rsidRDefault="00E67938" w14:paraId="7EEBB498" w14:textId="3A4E92E9">
      <w:pPr>
        <w:pStyle w:val="Heading3"/>
      </w:pPr>
      <w:bookmarkStart w:name="_Toc91071070" w:id="56"/>
      <w:r>
        <w:t>What options other than acquisitions should be considered?</w:t>
      </w:r>
      <w:bookmarkEnd w:id="56"/>
    </w:p>
    <w:p w:rsidRPr="00E67938" w:rsidR="00E67938" w:rsidRDefault="00E67938" w14:paraId="7366C1E5" w14:textId="419C1857">
      <w:r>
        <w:t xml:space="preserve">A review of the Commission’s acquisitions policy also offers the chance to expand guidance </w:t>
      </w:r>
      <w:r w:rsidR="00477C69">
        <w:t xml:space="preserve">on </w:t>
      </w:r>
      <w:r w:rsidR="008C0386">
        <w:t xml:space="preserve">providing assistance to </w:t>
      </w:r>
      <w:r w:rsidR="007D1ED0">
        <w:t xml:space="preserve">struggling systems if the acquisition process is </w:t>
      </w:r>
      <w:r w:rsidR="007E7CD9">
        <w:t>untenable</w:t>
      </w:r>
      <w:r w:rsidR="007D1ED0">
        <w:t xml:space="preserve">. </w:t>
      </w:r>
      <w:r w:rsidR="000C2C88">
        <w:t>An</w:t>
      </w:r>
      <w:r w:rsidR="00766CEE">
        <w:t xml:space="preserve"> </w:t>
      </w:r>
      <w:r w:rsidR="00477C69">
        <w:t xml:space="preserve">administrator </w:t>
      </w:r>
      <w:r w:rsidR="000C2C88">
        <w:t>role</w:t>
      </w:r>
      <w:r w:rsidR="00766CEE">
        <w:t xml:space="preserve"> </w:t>
      </w:r>
      <w:r w:rsidR="000C2C88">
        <w:t xml:space="preserve">similar to the program provided by the SWRCB </w:t>
      </w:r>
      <w:r w:rsidR="007E7CD9">
        <w:t xml:space="preserve">under the SAFER program may </w:t>
      </w:r>
      <w:r w:rsidR="000C2C88">
        <w:t xml:space="preserve">be an option </w:t>
      </w:r>
      <w:r w:rsidR="004321F6">
        <w:t xml:space="preserve">if the </w:t>
      </w:r>
      <w:r w:rsidR="00106E7C">
        <w:t>proposed acquisition is d</w:t>
      </w:r>
      <w:r w:rsidR="002241AE">
        <w:t>eemed infeasible by the Commission</w:t>
      </w:r>
      <w:r w:rsidR="004321F6">
        <w:t>.</w:t>
      </w:r>
    </w:p>
    <w:p w:rsidR="0094129B" w:rsidRDefault="0094129B" w14:paraId="274405EA" w14:textId="77777777">
      <w:pPr>
        <w:spacing w:after="200" w:line="276" w:lineRule="auto"/>
        <w:rPr>
          <w:rFonts w:ascii="Century Gothic" w:hAnsi="Century Gothic"/>
          <w:color w:val="284A70" w:themeColor="accent1" w:themeShade="80"/>
          <w:spacing w:val="20"/>
          <w:sz w:val="28"/>
          <w:szCs w:val="28"/>
        </w:rPr>
      </w:pPr>
      <w:r>
        <w:br w:type="page"/>
      </w:r>
    </w:p>
    <w:p w:rsidRPr="001737D5" w:rsidR="00BE6C61" w:rsidP="00BE6C61" w:rsidRDefault="00BE6C61" w14:paraId="53AB0E82" w14:textId="7F6A2CC2">
      <w:pPr>
        <w:pStyle w:val="Heading2"/>
      </w:pPr>
      <w:bookmarkStart w:name="_Toc91071071" w:id="57"/>
      <w:r>
        <w:lastRenderedPageBreak/>
        <w:t>Schedule and Timeline</w:t>
      </w:r>
      <w:bookmarkEnd w:id="57"/>
    </w:p>
    <w:p w:rsidRPr="001737D5" w:rsidR="001737D5" w:rsidP="00983E08" w:rsidRDefault="00983E08" w14:paraId="44CB0AC7" w14:textId="7B73099B">
      <w:pPr>
        <w:pStyle w:val="Heading3"/>
      </w:pPr>
      <w:bookmarkStart w:name="_Toc91071072" w:id="58"/>
      <w:r>
        <w:t xml:space="preserve">How can the Commission process </w:t>
      </w:r>
      <w:proofErr w:type="gramStart"/>
      <w:r>
        <w:t>acquisitions</w:t>
      </w:r>
      <w:proofErr w:type="gramEnd"/>
      <w:r>
        <w:t xml:space="preserve"> within the required </w:t>
      </w:r>
      <w:r w:rsidR="00657438">
        <w:t>time limits</w:t>
      </w:r>
      <w:r>
        <w:t>?</w:t>
      </w:r>
      <w:bookmarkEnd w:id="58"/>
    </w:p>
    <w:p w:rsidR="002F0096" w:rsidP="002F0096" w:rsidRDefault="001737D5" w14:paraId="3591407A" w14:textId="069057A4">
      <w:r w:rsidRPr="001737D5">
        <w:t xml:space="preserve">The Commission </w:t>
      </w:r>
      <w:r w:rsidR="00021F6B">
        <w:t xml:space="preserve">did not previously </w:t>
      </w:r>
      <w:r w:rsidR="00983E08">
        <w:t xml:space="preserve">resolve </w:t>
      </w:r>
      <w:r w:rsidRPr="001737D5">
        <w:t>acquisitions</w:t>
      </w:r>
      <w:r w:rsidR="00021F6B">
        <w:t>, on a consistent basis,</w:t>
      </w:r>
      <w:r w:rsidRPr="001737D5">
        <w:t xml:space="preserve"> within the time frame</w:t>
      </w:r>
      <w:r w:rsidR="000B2166">
        <w:t xml:space="preserve"> required by D.99-10-064</w:t>
      </w:r>
      <w:r w:rsidRPr="001737D5">
        <w:t>.</w:t>
      </w:r>
      <w:r w:rsidR="00983E08">
        <w:t xml:space="preserve"> </w:t>
      </w:r>
      <w:r w:rsidR="00F658BF">
        <w:t xml:space="preserve">To </w:t>
      </w:r>
      <w:r w:rsidR="00021F6B">
        <w:t xml:space="preserve">address </w:t>
      </w:r>
      <w:r w:rsidR="00171DDD">
        <w:t>this</w:t>
      </w:r>
      <w:r w:rsidR="00021F6B">
        <w:t xml:space="preserve"> issue</w:t>
      </w:r>
      <w:r w:rsidR="00F658BF">
        <w:t>, t</w:t>
      </w:r>
      <w:r w:rsidR="002F0096">
        <w:t xml:space="preserve">he </w:t>
      </w:r>
      <w:r w:rsidR="005E5CBB">
        <w:t>OIR</w:t>
      </w:r>
      <w:r w:rsidR="002F0096">
        <w:t xml:space="preserve"> </w:t>
      </w:r>
      <w:r w:rsidR="0087717C">
        <w:t>could</w:t>
      </w:r>
      <w:r w:rsidR="00DF5875">
        <w:t xml:space="preserve"> </w:t>
      </w:r>
      <w:r w:rsidR="002F0096">
        <w:t xml:space="preserve">first identify the causes for delays in acquisition proceedings, especially those that have </w:t>
      </w:r>
      <w:r w:rsidR="00D13436">
        <w:t>proceeded</w:t>
      </w:r>
      <w:r w:rsidR="002F0096">
        <w:t xml:space="preserve"> beyond the allotted timeline</w:t>
      </w:r>
      <w:r w:rsidR="00106E7C">
        <w:t xml:space="preserve"> required in the existing framework</w:t>
      </w:r>
      <w:r w:rsidR="002F0096">
        <w:t xml:space="preserve">. </w:t>
      </w:r>
    </w:p>
    <w:p w:rsidR="001737D5" w:rsidP="001737D5" w:rsidRDefault="005E5CBB" w14:paraId="3C6949DD" w14:textId="53341766">
      <w:r>
        <w:t>T</w:t>
      </w:r>
      <w:r w:rsidR="00983E08">
        <w:t>wo possible pathways exist</w:t>
      </w:r>
      <w:r>
        <w:t xml:space="preserve"> for re</w:t>
      </w:r>
      <w:r w:rsidR="00106E7C">
        <w:t>-</w:t>
      </w:r>
      <w:r>
        <w:t xml:space="preserve">evaluating the procedural </w:t>
      </w:r>
      <w:r w:rsidR="00BE66ED">
        <w:t xml:space="preserve">schedules required by the </w:t>
      </w:r>
      <w:r>
        <w:t>existing framework</w:t>
      </w:r>
      <w:r w:rsidR="00BE66ED">
        <w:t xml:space="preserve">. </w:t>
      </w:r>
      <w:r>
        <w:t>T</w:t>
      </w:r>
      <w:r w:rsidR="00F658BF">
        <w:t xml:space="preserve">he OIR </w:t>
      </w:r>
      <w:r>
        <w:t>c</w:t>
      </w:r>
      <w:r w:rsidR="00F658BF">
        <w:t xml:space="preserve">ould investigate the </w:t>
      </w:r>
      <w:r w:rsidR="00DC2105">
        <w:t>validity</w:t>
      </w:r>
      <w:r w:rsidR="008201F4">
        <w:t xml:space="preserve"> </w:t>
      </w:r>
      <w:r w:rsidR="00F658BF">
        <w:t>of the existing timeline</w:t>
      </w:r>
      <w:r w:rsidR="00D0280E">
        <w:t>, determining whether</w:t>
      </w:r>
      <w:r w:rsidR="00F658BF">
        <w:t xml:space="preserve"> it represents a </w:t>
      </w:r>
      <w:r w:rsidR="008201F4">
        <w:t xml:space="preserve">suitable </w:t>
      </w:r>
      <w:r w:rsidR="00F658BF">
        <w:t xml:space="preserve">amount of time to </w:t>
      </w:r>
      <w:r w:rsidR="00DC2105">
        <w:t>fully resolve</w:t>
      </w:r>
      <w:r w:rsidR="00F658BF">
        <w:t xml:space="preserve"> an acquisition</w:t>
      </w:r>
      <w:r w:rsidR="008201F4">
        <w:t xml:space="preserve"> or</w:t>
      </w:r>
      <w:r w:rsidR="00F658BF">
        <w:t xml:space="preserve"> what ste</w:t>
      </w:r>
      <w:r w:rsidR="0047458A">
        <w:t>p</w:t>
      </w:r>
      <w:r w:rsidR="00F658BF">
        <w:t xml:space="preserve">s </w:t>
      </w:r>
      <w:r w:rsidR="008201F4">
        <w:t xml:space="preserve">need to be taken by the Commission </w:t>
      </w:r>
      <w:r w:rsidR="000D24D8">
        <w:t>and/or water systems</w:t>
      </w:r>
      <w:r w:rsidR="00254EA1">
        <w:t xml:space="preserve"> to address the deficiencies</w:t>
      </w:r>
      <w:r w:rsidR="00F658BF">
        <w:t xml:space="preserve">. </w:t>
      </w:r>
      <w:r w:rsidR="00D66B6F">
        <w:t>In addition</w:t>
      </w:r>
      <w:r w:rsidR="0047458A">
        <w:t>,</w:t>
      </w:r>
      <w:r w:rsidR="00BF3E2C">
        <w:t xml:space="preserve"> the OIR </w:t>
      </w:r>
      <w:r w:rsidR="00D0280E">
        <w:t>c</w:t>
      </w:r>
      <w:r w:rsidR="00BF3E2C">
        <w:t xml:space="preserve">ould examine </w:t>
      </w:r>
      <w:r w:rsidR="00254EA1">
        <w:t>proposals for</w:t>
      </w:r>
      <w:r w:rsidR="00BF3E2C">
        <w:t xml:space="preserve"> new timeline</w:t>
      </w:r>
      <w:r w:rsidR="00254EA1">
        <w:t>s</w:t>
      </w:r>
      <w:r w:rsidR="00846ACC">
        <w:rPr>
          <w:rStyle w:val="FootnoteReference"/>
        </w:rPr>
        <w:footnoteReference w:id="61"/>
      </w:r>
      <w:r w:rsidR="00D0280E">
        <w:t xml:space="preserve"> and recognize that the existing framework does not reflect the </w:t>
      </w:r>
      <w:r w:rsidR="00254EA1">
        <w:t xml:space="preserve">complexities </w:t>
      </w:r>
      <w:r w:rsidR="00D0280E">
        <w:t xml:space="preserve">of </w:t>
      </w:r>
      <w:r w:rsidR="00254EA1">
        <w:t xml:space="preserve">current </w:t>
      </w:r>
      <w:r w:rsidR="00D0280E">
        <w:t>acquisition proceedings</w:t>
      </w:r>
      <w:r w:rsidR="00954E61">
        <w:t xml:space="preserve">. </w:t>
      </w:r>
    </w:p>
    <w:p w:rsidR="00F62D29" w:rsidP="000D2A30" w:rsidRDefault="00F62D29" w14:paraId="52814530" w14:textId="33446AF6">
      <w:pPr>
        <w:pStyle w:val="Heading3"/>
      </w:pPr>
      <w:bookmarkStart w:name="_Toc91071073" w:id="59"/>
      <w:r>
        <w:t>What would a new procedural structure look like?</w:t>
      </w:r>
      <w:bookmarkEnd w:id="59"/>
    </w:p>
    <w:p w:rsidR="0094129B" w:rsidP="0094129B" w:rsidRDefault="00F62D29" w14:paraId="5DF5BCC3" w14:textId="33B39F34">
      <w:r>
        <w:t>An example roadmap for how acquisitions could proceed is</w:t>
      </w:r>
      <w:r w:rsidR="00C262D8">
        <w:t xml:space="preserve"> provided for reference</w:t>
      </w:r>
      <w:r>
        <w:t xml:space="preserve"> below. </w:t>
      </w:r>
      <w:r w:rsidR="00B629B8">
        <w:t xml:space="preserve">A new acquisitions framework </w:t>
      </w:r>
      <w:r w:rsidR="0087717C">
        <w:t xml:space="preserve">could </w:t>
      </w:r>
      <w:r w:rsidR="00B629B8">
        <w:t>investigate the Commission’s ability to consider other factors, such as ratepayer impacts and gain on sale rules</w:t>
      </w:r>
      <w:r w:rsidR="00AD1FD9">
        <w:t xml:space="preserve"> or cost sharing methods</w:t>
      </w:r>
      <w:r w:rsidR="00B629B8">
        <w:t>, in parallel with the existing framework’s evaluation of fair market value.</w:t>
      </w:r>
    </w:p>
    <w:p w:rsidR="0094129B" w:rsidP="0094129B" w:rsidRDefault="00717CD2" w14:paraId="5F28D8CF" w14:textId="467DAA29">
      <w:r>
        <w:rPr>
          <w:noProof/>
        </w:rPr>
        <w:drawing>
          <wp:inline distT="0" distB="0" distL="0" distR="0" wp14:anchorId="6F040CFF" wp14:editId="2840536A">
            <wp:extent cx="6400800" cy="233743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2337435"/>
                    </a:xfrm>
                    <a:prstGeom prst="rect">
                      <a:avLst/>
                    </a:prstGeom>
                  </pic:spPr>
                </pic:pic>
              </a:graphicData>
            </a:graphic>
          </wp:inline>
        </w:drawing>
      </w:r>
    </w:p>
    <w:p w:rsidR="00717CD2" w:rsidP="0094129B" w:rsidRDefault="0094129B" w14:paraId="2A9404FF" w14:textId="2EF7BD0E">
      <w:pPr>
        <w:pStyle w:val="Caption"/>
        <w:jc w:val="center"/>
      </w:pPr>
      <w:bookmarkStart w:name="_Toc82154353" w:id="60"/>
      <w:bookmarkStart w:name="_Toc90911215" w:id="61"/>
      <w:r>
        <w:t xml:space="preserve">Figure </w:t>
      </w:r>
      <w:r>
        <w:fldChar w:fldCharType="begin"/>
      </w:r>
      <w:r>
        <w:instrText xml:space="preserve"> SEQ Figure \* ARABIC </w:instrText>
      </w:r>
      <w:r>
        <w:fldChar w:fldCharType="separate"/>
      </w:r>
      <w:r w:rsidR="002B1FD6">
        <w:t>5</w:t>
      </w:r>
      <w:r>
        <w:fldChar w:fldCharType="end"/>
      </w:r>
      <w:r>
        <w:t>: Example Roadmap for Acquisitions</w:t>
      </w:r>
      <w:bookmarkEnd w:id="60"/>
      <w:bookmarkEnd w:id="61"/>
    </w:p>
    <w:p w:rsidRPr="005C09AA" w:rsidR="002C7A2C" w:rsidP="005C09AA" w:rsidRDefault="00B629B8" w14:paraId="32A2A3F1" w14:textId="54D649C9">
      <w:r>
        <w:t xml:space="preserve">In developing a new acquisitions framework, the OIR </w:t>
      </w:r>
      <w:r w:rsidR="0087717C">
        <w:t xml:space="preserve">could </w:t>
      </w:r>
      <w:r>
        <w:t xml:space="preserve">set out clear guidelines for when an </w:t>
      </w:r>
      <w:r w:rsidR="00AD1FD9">
        <w:t xml:space="preserve">acquisition </w:t>
      </w:r>
      <w:r>
        <w:t xml:space="preserve">should be </w:t>
      </w:r>
      <w:r w:rsidR="00AD1FD9">
        <w:t xml:space="preserve">processed </w:t>
      </w:r>
      <w:r>
        <w:t xml:space="preserve">through </w:t>
      </w:r>
      <w:r w:rsidR="00AD1FD9">
        <w:t xml:space="preserve">an </w:t>
      </w:r>
      <w:r>
        <w:t>advice letter versus through</w:t>
      </w:r>
      <w:r w:rsidR="00AD1FD9">
        <w:t xml:space="preserve"> an</w:t>
      </w:r>
      <w:r>
        <w:t xml:space="preserve"> application. The OIR </w:t>
      </w:r>
      <w:r w:rsidR="0087717C">
        <w:t xml:space="preserve">could </w:t>
      </w:r>
      <w:r>
        <w:t>also determine how acquisitions</w:t>
      </w:r>
      <w:r w:rsidR="00C262D8">
        <w:t xml:space="preserve"> of mutual and municipal water </w:t>
      </w:r>
      <w:r w:rsidR="00642022">
        <w:t>systems</w:t>
      </w:r>
      <w:r>
        <w:t xml:space="preserve"> should be treated, and if their treatment </w:t>
      </w:r>
      <w:r w:rsidR="00C262D8">
        <w:t>should</w:t>
      </w:r>
      <w:r>
        <w:t xml:space="preserve"> merit a separate roadmap. In addition, the OIR </w:t>
      </w:r>
      <w:r w:rsidR="0087717C">
        <w:t xml:space="preserve">could </w:t>
      </w:r>
      <w:r>
        <w:t xml:space="preserve">investigate how a procedural schedule for </w:t>
      </w:r>
      <w:r>
        <w:lastRenderedPageBreak/>
        <w:t>inadequately operated and maintained systems could be accelerated</w:t>
      </w:r>
      <w:r w:rsidR="009678E0">
        <w:t xml:space="preserve"> to direct appropriate resources </w:t>
      </w:r>
      <w:r w:rsidR="0076575E">
        <w:t>to this critical need</w:t>
      </w:r>
      <w:r>
        <w:t>.</w:t>
      </w:r>
    </w:p>
    <w:p w:rsidR="00F62D29" w:rsidP="000D2A30" w:rsidRDefault="00F62D29" w14:paraId="4CE850C2" w14:textId="73B9163A">
      <w:pPr>
        <w:pStyle w:val="Heading3"/>
      </w:pPr>
      <w:bookmarkStart w:name="_Toc91071074" w:id="62"/>
      <w:r>
        <w:t xml:space="preserve">What </w:t>
      </w:r>
      <w:r w:rsidR="000C4D1A">
        <w:t>reporting requirements</w:t>
      </w:r>
      <w:r>
        <w:t xml:space="preserve"> should be adopted</w:t>
      </w:r>
      <w:r w:rsidR="00EC7BA5">
        <w:t xml:space="preserve"> for proposed acquisitions</w:t>
      </w:r>
      <w:r>
        <w:t>?</w:t>
      </w:r>
      <w:bookmarkEnd w:id="62"/>
    </w:p>
    <w:p w:rsidR="005C09AA" w:rsidP="001737D5" w:rsidRDefault="0050449F" w14:paraId="5E57C804" w14:textId="49C9AD44">
      <w:r>
        <w:t xml:space="preserve">The OIR </w:t>
      </w:r>
      <w:r w:rsidR="00CA386C">
        <w:t>could</w:t>
      </w:r>
      <w:r w:rsidR="00DF5875">
        <w:t xml:space="preserve"> </w:t>
      </w:r>
      <w:r>
        <w:t xml:space="preserve">also establish exactly what </w:t>
      </w:r>
      <w:r w:rsidR="006E5933">
        <w:t>rep</w:t>
      </w:r>
      <w:r w:rsidR="00B80F3B">
        <w:t xml:space="preserve">orting </w:t>
      </w:r>
      <w:r w:rsidR="00F62D29">
        <w:t>requirements will be necessary in the application as well as advice letter process</w:t>
      </w:r>
      <w:r w:rsidR="00582E0A">
        <w:t xml:space="preserve"> for acquisitions</w:t>
      </w:r>
      <w:r w:rsidR="00F62D29">
        <w:t xml:space="preserve">. This </w:t>
      </w:r>
      <w:r w:rsidR="00CA386C">
        <w:t>could</w:t>
      </w:r>
      <w:r w:rsidR="00DF5875">
        <w:t xml:space="preserve"> </w:t>
      </w:r>
      <w:r w:rsidR="00F62D29">
        <w:t xml:space="preserve">include determining what information </w:t>
      </w:r>
      <w:r w:rsidR="00FD2C8F">
        <w:t>must</w:t>
      </w:r>
      <w:r w:rsidR="00F62D29">
        <w:t xml:space="preserve"> be submitted </w:t>
      </w:r>
      <w:r w:rsidR="00FD2C8F">
        <w:t>in the application or advice letter filing</w:t>
      </w:r>
      <w:r w:rsidR="00F62D29">
        <w:t xml:space="preserve">, as well as establish points throughout the process to serve as </w:t>
      </w:r>
      <w:r w:rsidR="00725292">
        <w:t xml:space="preserve">status updates </w:t>
      </w:r>
      <w:r w:rsidR="00AE71D5">
        <w:t>while processing acquisitions</w:t>
      </w:r>
      <w:r w:rsidR="00F62D29">
        <w:t xml:space="preserve">. This </w:t>
      </w:r>
      <w:r w:rsidR="0076575E">
        <w:t xml:space="preserve">will </w:t>
      </w:r>
      <w:r w:rsidR="00F62D29">
        <w:t xml:space="preserve">allow the </w:t>
      </w:r>
      <w:r w:rsidR="0076575E">
        <w:t xml:space="preserve">acquisition </w:t>
      </w:r>
      <w:r w:rsidR="00F62D29">
        <w:t xml:space="preserve">to </w:t>
      </w:r>
      <w:r w:rsidR="007A7591">
        <w:t>proceed on a defin</w:t>
      </w:r>
      <w:r w:rsidR="00506650">
        <w:t>itive</w:t>
      </w:r>
      <w:r w:rsidR="00F62D29">
        <w:t xml:space="preserve"> track, while requiring only the information that will be useful in each acquisition.</w:t>
      </w:r>
    </w:p>
    <w:p w:rsidR="002C7A2C" w:rsidP="001737D5" w:rsidRDefault="002C7A2C" w14:paraId="395A9B0C" w14:textId="77777777"/>
    <w:p w:rsidRPr="001737D5" w:rsidR="00A6227C" w:rsidP="00A6227C" w:rsidRDefault="00A6227C" w14:paraId="7C1B9689" w14:textId="60818CA5">
      <w:pPr>
        <w:pStyle w:val="Heading2"/>
      </w:pPr>
      <w:bookmarkStart w:name="_Toc91071075" w:id="63"/>
      <w:r>
        <w:t>Legislative Update</w:t>
      </w:r>
      <w:bookmarkEnd w:id="63"/>
    </w:p>
    <w:p w:rsidRPr="001737D5" w:rsidR="00A6227C" w:rsidP="00A6227C" w:rsidRDefault="00A6227C" w14:paraId="496B0645" w14:textId="6FEFCFF8">
      <w:pPr>
        <w:pStyle w:val="Heading3"/>
      </w:pPr>
      <w:bookmarkStart w:name="_Toc91071076" w:id="64"/>
      <w:r>
        <w:t xml:space="preserve">Should </w:t>
      </w:r>
      <w:r w:rsidR="000F73C1">
        <w:t>the</w:t>
      </w:r>
      <w:r w:rsidR="00F958FA">
        <w:t xml:space="preserve"> </w:t>
      </w:r>
      <w:r w:rsidR="00710681">
        <w:t xml:space="preserve">Commission </w:t>
      </w:r>
      <w:r w:rsidR="006B6526">
        <w:t>recommend that</w:t>
      </w:r>
      <w:r w:rsidR="00A92C77">
        <w:t xml:space="preserve"> the Legislature revisit the </w:t>
      </w:r>
      <w:r w:rsidR="00F958FA">
        <w:t>Public Water System Investment and Consolidation Act of 1997</w:t>
      </w:r>
      <w:r w:rsidR="00E13EE8">
        <w:t xml:space="preserve"> </w:t>
      </w:r>
      <w:r w:rsidR="00A92C77">
        <w:t xml:space="preserve">and clarify the </w:t>
      </w:r>
      <w:r w:rsidR="00F738D6">
        <w:t>legislative intent</w:t>
      </w:r>
      <w:r>
        <w:t>?</w:t>
      </w:r>
      <w:bookmarkEnd w:id="64"/>
    </w:p>
    <w:p w:rsidR="00A6227C" w:rsidP="00A6227C" w:rsidRDefault="0007195D" w14:paraId="29DC72B0" w14:textId="426C8CBC">
      <w:r>
        <w:t>Given the length of time that has transpired since 1997 and the significant events that have occurred since then</w:t>
      </w:r>
      <w:r w:rsidR="003E77D0">
        <w:t xml:space="preserve">, the opportunity </w:t>
      </w:r>
      <w:r w:rsidR="00FC2D93">
        <w:t xml:space="preserve">is ripe to revisit the Act </w:t>
      </w:r>
      <w:r w:rsidR="009F2D1F">
        <w:t>consider</w:t>
      </w:r>
      <w:r w:rsidR="00795255">
        <w:t>ing</w:t>
      </w:r>
      <w:r w:rsidR="00F83B3D">
        <w:t xml:space="preserve"> the recent</w:t>
      </w:r>
      <w:r w:rsidR="009F2D1F">
        <w:t xml:space="preserve"> legislative updates to </w:t>
      </w:r>
      <w:r w:rsidR="00FC2D93">
        <w:t>the PU Code</w:t>
      </w:r>
      <w:r w:rsidR="000B7410">
        <w:t xml:space="preserve"> </w:t>
      </w:r>
      <w:r w:rsidR="00FC2D93">
        <w:t>Section</w:t>
      </w:r>
      <w:r w:rsidR="00F83B3D">
        <w:t>s</w:t>
      </w:r>
      <w:r w:rsidR="00FC2D93">
        <w:t xml:space="preserve"> </w:t>
      </w:r>
      <w:r w:rsidRPr="008C3317" w:rsidR="00FC2D93">
        <w:t>2718</w:t>
      </w:r>
      <w:r w:rsidR="00FC2D93">
        <w:t>-27</w:t>
      </w:r>
      <w:r w:rsidR="00155A37">
        <w:t>2</w:t>
      </w:r>
      <w:r w:rsidR="00FC2D93">
        <w:t>0.</w:t>
      </w:r>
      <w:r w:rsidR="00AD38FE">
        <w:t xml:space="preserve">  The Commission has a wealth of </w:t>
      </w:r>
      <w:r w:rsidR="006B2BE2">
        <w:t>decision</w:t>
      </w:r>
      <w:r w:rsidR="00151870">
        <w:t>s</w:t>
      </w:r>
      <w:r w:rsidR="006B2BE2">
        <w:t xml:space="preserve"> </w:t>
      </w:r>
      <w:r w:rsidR="00AD38FE">
        <w:t>and experiences</w:t>
      </w:r>
      <w:r w:rsidR="008024DE">
        <w:t xml:space="preserve"> with </w:t>
      </w:r>
      <w:r w:rsidR="00C8059D">
        <w:t>5</w:t>
      </w:r>
      <w:r w:rsidR="00287CF2">
        <w:t>8</w:t>
      </w:r>
      <w:r w:rsidR="00C8059D">
        <w:t xml:space="preserve"> acquisitions that have come before the Commission </w:t>
      </w:r>
      <w:r w:rsidR="00287CF2">
        <w:t>between 2007 and 2021</w:t>
      </w:r>
      <w:r w:rsidR="00C40228">
        <w:t xml:space="preserve">, and with certain acquisitions, parties have debated the legislative intent </w:t>
      </w:r>
      <w:r w:rsidR="00B837FB">
        <w:t xml:space="preserve">of </w:t>
      </w:r>
      <w:r w:rsidR="00DF0470">
        <w:t>PU Code</w:t>
      </w:r>
      <w:r w:rsidR="00B837FB">
        <w:t xml:space="preserve"> </w:t>
      </w:r>
      <w:r w:rsidR="001A3978">
        <w:t xml:space="preserve">Section </w:t>
      </w:r>
      <w:r w:rsidR="00B837FB">
        <w:t>2718-2720</w:t>
      </w:r>
      <w:r w:rsidR="00DD13F6">
        <w:t xml:space="preserve"> in reviewing acquisitions</w:t>
      </w:r>
      <w:r w:rsidR="00DF0470">
        <w:t xml:space="preserve">. The new OIR </w:t>
      </w:r>
      <w:r w:rsidR="008A5B8F">
        <w:t xml:space="preserve">could </w:t>
      </w:r>
      <w:r w:rsidR="001F5603">
        <w:t>raise th</w:t>
      </w:r>
      <w:r w:rsidR="00DD13F6">
        <w:t>e</w:t>
      </w:r>
      <w:r w:rsidR="001F5603">
        <w:t xml:space="preserve"> question </w:t>
      </w:r>
      <w:r w:rsidR="002F60C7">
        <w:t xml:space="preserve">of </w:t>
      </w:r>
      <w:r w:rsidR="00727BC6">
        <w:t xml:space="preserve">whether the Commission should recommend </w:t>
      </w:r>
      <w:r w:rsidR="00BC06C0">
        <w:t>the Legislature revise the code, given the</w:t>
      </w:r>
      <w:r w:rsidR="00727BC6">
        <w:t xml:space="preserve"> </w:t>
      </w:r>
      <w:r w:rsidR="001F5603">
        <w:t xml:space="preserve">attention to </w:t>
      </w:r>
      <w:r w:rsidR="003B7A60">
        <w:t xml:space="preserve">acquisitions </w:t>
      </w:r>
      <w:r w:rsidR="00045FDD">
        <w:t xml:space="preserve">demonstrated by </w:t>
      </w:r>
      <w:r w:rsidR="003F7609">
        <w:t xml:space="preserve">approval of </w:t>
      </w:r>
      <w:r w:rsidR="003B7A60">
        <w:t>AB 1250 and the increasing need to address at-risk or failing water systems</w:t>
      </w:r>
      <w:r w:rsidR="009C6BC0">
        <w:t>.</w:t>
      </w:r>
    </w:p>
    <w:p w:rsidR="00A6227C" w:rsidP="001737D5" w:rsidRDefault="00A6227C" w14:paraId="27073BFD" w14:textId="77777777"/>
    <w:p w:rsidR="005C09AA" w:rsidP="005C09AA" w:rsidRDefault="005C09AA" w14:paraId="09EBAC3F" w14:textId="12944A82">
      <w:pPr>
        <w:pStyle w:val="Heading1"/>
      </w:pPr>
      <w:bookmarkStart w:name="_Toc91071077" w:id="65"/>
      <w:r>
        <w:lastRenderedPageBreak/>
        <w:t>Conclusion</w:t>
      </w:r>
      <w:bookmarkEnd w:id="65"/>
    </w:p>
    <w:p w:rsidR="00D814F8" w:rsidP="00E64954" w:rsidRDefault="00C5354D" w14:paraId="094FFA8F" w14:textId="7E6FC1AE">
      <w:r>
        <w:t>In addition to the Public Water System Investment and Consolidation Act of 1997, t</w:t>
      </w:r>
      <w:r w:rsidR="00E64954">
        <w:t xml:space="preserve">he existing framework </w:t>
      </w:r>
      <w:r>
        <w:t xml:space="preserve">relied on </w:t>
      </w:r>
      <w:r w:rsidR="00E64954">
        <w:t xml:space="preserve">D.99-10-064 </w:t>
      </w:r>
      <w:r w:rsidR="00B74D06">
        <w:t xml:space="preserve">to lay the foundation </w:t>
      </w:r>
      <w:r w:rsidR="00E64954">
        <w:t>for</w:t>
      </w:r>
      <w:r w:rsidR="00AE197E">
        <w:t xml:space="preserve"> </w:t>
      </w:r>
      <w:r w:rsidR="00BB4001">
        <w:t xml:space="preserve">the Commission to </w:t>
      </w:r>
      <w:r w:rsidR="00781493">
        <w:t xml:space="preserve">process and </w:t>
      </w:r>
      <w:r w:rsidR="00A545C2">
        <w:t>examine</w:t>
      </w:r>
      <w:r w:rsidR="00781493">
        <w:t xml:space="preserve"> proposed acquisitions involving </w:t>
      </w:r>
      <w:r w:rsidR="00D123FF">
        <w:t>Commission-regulated Water IOUs</w:t>
      </w:r>
      <w:r w:rsidR="00176CFB">
        <w:t xml:space="preserve">. </w:t>
      </w:r>
      <w:r w:rsidR="00E356D5">
        <w:t xml:space="preserve">Although </w:t>
      </w:r>
      <w:r w:rsidR="003E4B48">
        <w:t>the Commission has review</w:t>
      </w:r>
      <w:r w:rsidR="00B74D06">
        <w:t>ed</w:t>
      </w:r>
      <w:r w:rsidR="003E4B48">
        <w:t xml:space="preserve"> and approve</w:t>
      </w:r>
      <w:r w:rsidR="00B74D06">
        <w:t>d</w:t>
      </w:r>
      <w:r w:rsidR="003E4B48">
        <w:t xml:space="preserve"> numerous </w:t>
      </w:r>
      <w:r w:rsidR="0018374C">
        <w:t>acquisitions under th</w:t>
      </w:r>
      <w:r w:rsidR="000F492F">
        <w:t>is</w:t>
      </w:r>
      <w:r w:rsidR="0018374C">
        <w:t xml:space="preserve"> </w:t>
      </w:r>
      <w:r w:rsidR="00B74D06">
        <w:t xml:space="preserve">existing </w:t>
      </w:r>
      <w:r w:rsidR="0018374C">
        <w:t xml:space="preserve">framework, </w:t>
      </w:r>
      <w:r w:rsidR="00884B7D">
        <w:t>a re</w:t>
      </w:r>
      <w:r w:rsidR="007A7591">
        <w:t>-</w:t>
      </w:r>
      <w:r w:rsidR="00884B7D">
        <w:t xml:space="preserve">evaluation of </w:t>
      </w:r>
      <w:r w:rsidR="00BF540C">
        <w:t xml:space="preserve">the process is </w:t>
      </w:r>
      <w:r w:rsidR="00884B7D">
        <w:t>needed</w:t>
      </w:r>
      <w:r w:rsidR="00744C25">
        <w:t xml:space="preserve"> to provide</w:t>
      </w:r>
      <w:r w:rsidR="0042012A">
        <w:t xml:space="preserve"> further</w:t>
      </w:r>
      <w:r w:rsidR="00744C25">
        <w:t xml:space="preserve"> guidance and develop</w:t>
      </w:r>
      <w:r w:rsidR="00B74D06">
        <w:t xml:space="preserve"> consistent</w:t>
      </w:r>
      <w:r w:rsidR="00744C25">
        <w:t xml:space="preserve"> </w:t>
      </w:r>
      <w:r w:rsidR="0042012A">
        <w:t xml:space="preserve">standards </w:t>
      </w:r>
      <w:r w:rsidR="005E09B8">
        <w:t>of review for</w:t>
      </w:r>
      <w:r w:rsidR="0042012A">
        <w:t xml:space="preserve"> contentious issues</w:t>
      </w:r>
      <w:r w:rsidR="00B74D06">
        <w:t xml:space="preserve"> that arise with acquisitions</w:t>
      </w:r>
      <w:r w:rsidR="00884B7D">
        <w:t>.</w:t>
      </w:r>
      <w:r w:rsidR="00BF540C">
        <w:t xml:space="preserve"> </w:t>
      </w:r>
      <w:r w:rsidR="00581AE4">
        <w:t>As more acquisitions</w:t>
      </w:r>
      <w:r w:rsidR="005E09B8">
        <w:t xml:space="preserve"> continue to</w:t>
      </w:r>
      <w:r w:rsidR="00581AE4">
        <w:t xml:space="preserve"> </w:t>
      </w:r>
      <w:r w:rsidR="00740E88">
        <w:t>take place</w:t>
      </w:r>
      <w:r w:rsidR="00581AE4">
        <w:t xml:space="preserve">, </w:t>
      </w:r>
      <w:r w:rsidR="000C3E8A">
        <w:t xml:space="preserve">the complexity of </w:t>
      </w:r>
      <w:r w:rsidR="001D25F8">
        <w:t xml:space="preserve">selling and purchasing a water </w:t>
      </w:r>
      <w:r w:rsidR="005E09B8">
        <w:t xml:space="preserve">system </w:t>
      </w:r>
      <w:r w:rsidR="000C7C4F">
        <w:t>increases as each acquisition presents a new series of facts to consider</w:t>
      </w:r>
      <w:r w:rsidR="00744C0A">
        <w:t xml:space="preserve">. </w:t>
      </w:r>
      <w:r w:rsidR="00207CEA">
        <w:t>Consequently</w:t>
      </w:r>
      <w:r w:rsidR="00BC310E">
        <w:t xml:space="preserve">, </w:t>
      </w:r>
      <w:r w:rsidR="00A92378">
        <w:t xml:space="preserve">the Commission </w:t>
      </w:r>
      <w:r w:rsidR="00CD4A18">
        <w:t>faced difficulties</w:t>
      </w:r>
      <w:r w:rsidR="00B4372B">
        <w:t xml:space="preserve"> reviewing acquisitions </w:t>
      </w:r>
      <w:r w:rsidR="00CD4A18">
        <w:t xml:space="preserve">in a timely manner </w:t>
      </w:r>
      <w:r w:rsidR="005779A8">
        <w:t>with issues that arose and</w:t>
      </w:r>
      <w:r w:rsidR="00B4372B">
        <w:t xml:space="preserve"> </w:t>
      </w:r>
      <w:r w:rsidR="00AF7331">
        <w:t>appeared</w:t>
      </w:r>
      <w:r w:rsidR="00B4372B">
        <w:t xml:space="preserve"> outside the scope of the existing framework. Th</w:t>
      </w:r>
      <w:r w:rsidR="00300A66">
        <w:t>e</w:t>
      </w:r>
      <w:r w:rsidR="002C3F0A">
        <w:t xml:space="preserve"> case</w:t>
      </w:r>
      <w:r w:rsidR="00EB6C9E">
        <w:t>-</w:t>
      </w:r>
      <w:r w:rsidR="002C3F0A">
        <w:t>by</w:t>
      </w:r>
      <w:r w:rsidR="00EB6C9E">
        <w:t>-</w:t>
      </w:r>
      <w:r w:rsidR="002C3F0A">
        <w:t>case review</w:t>
      </w:r>
      <w:r w:rsidR="002E57A9">
        <w:t xml:space="preserve"> for each acquisition</w:t>
      </w:r>
      <w:r w:rsidR="00300A66">
        <w:t xml:space="preserve"> has led to </w:t>
      </w:r>
      <w:r w:rsidR="00EC21F2">
        <w:t xml:space="preserve">delayed proceedings and </w:t>
      </w:r>
      <w:r w:rsidR="006F1F43">
        <w:t>inconsist</w:t>
      </w:r>
      <w:r w:rsidR="00CD4A18">
        <w:t>ent Commission review</w:t>
      </w:r>
      <w:r w:rsidR="009E10C5">
        <w:t xml:space="preserve"> applied</w:t>
      </w:r>
      <w:r w:rsidR="00787231">
        <w:t xml:space="preserve"> </w:t>
      </w:r>
      <w:r w:rsidR="00767D2A">
        <w:t>with each acquisition</w:t>
      </w:r>
      <w:r w:rsidR="00EC21F2">
        <w:t>.</w:t>
      </w:r>
    </w:p>
    <w:p w:rsidR="00D91A18" w:rsidP="00E64954" w:rsidRDefault="00F60560" w14:paraId="6078681B" w14:textId="0A08F385">
      <w:r>
        <w:t xml:space="preserve">As </w:t>
      </w:r>
      <w:r w:rsidR="008C26B6">
        <w:t xml:space="preserve">the price of </w:t>
      </w:r>
      <w:r w:rsidR="00FB41BE">
        <w:t xml:space="preserve">drinking water </w:t>
      </w:r>
      <w:r w:rsidR="00767D2A">
        <w:t>increases</w:t>
      </w:r>
      <w:r w:rsidR="00C53387">
        <w:t xml:space="preserve"> </w:t>
      </w:r>
      <w:r w:rsidR="2C7E83FD">
        <w:t xml:space="preserve">for customers </w:t>
      </w:r>
      <w:r w:rsidR="00D731E4">
        <w:t>leading to</w:t>
      </w:r>
      <w:r w:rsidR="00805AD6">
        <w:t xml:space="preserve"> water rates </w:t>
      </w:r>
      <w:r w:rsidR="00DF797B">
        <w:t>be</w:t>
      </w:r>
      <w:r w:rsidR="00787231">
        <w:t>comi</w:t>
      </w:r>
      <w:r w:rsidR="00DF797B">
        <w:t>ng</w:t>
      </w:r>
      <w:r w:rsidR="00F045BA">
        <w:t xml:space="preserve"> less affordable</w:t>
      </w:r>
      <w:r w:rsidR="001807C7">
        <w:t xml:space="preserve">, </w:t>
      </w:r>
      <w:r w:rsidR="00411DC9">
        <w:t xml:space="preserve">the Commission </w:t>
      </w:r>
      <w:r w:rsidR="00787231">
        <w:t>should place a greater emphasis on the</w:t>
      </w:r>
      <w:r w:rsidR="00411DC9">
        <w:t xml:space="preserve"> review </w:t>
      </w:r>
      <w:r w:rsidR="00787231">
        <w:t>of</w:t>
      </w:r>
      <w:r w:rsidR="00411DC9">
        <w:t xml:space="preserve"> </w:t>
      </w:r>
      <w:r w:rsidR="00A3210E">
        <w:t>ratepayer impacts from acquisitions</w:t>
      </w:r>
      <w:r w:rsidR="006222C7">
        <w:t xml:space="preserve">. </w:t>
      </w:r>
      <w:r w:rsidR="00A67EFE">
        <w:t>As discussed in this</w:t>
      </w:r>
      <w:r w:rsidR="00787231">
        <w:t xml:space="preserve"> staff</w:t>
      </w:r>
      <w:r w:rsidR="00A67EFE">
        <w:t xml:space="preserve"> </w:t>
      </w:r>
      <w:r w:rsidR="00767D2A">
        <w:t xml:space="preserve">white </w:t>
      </w:r>
      <w:r w:rsidR="00A67EFE">
        <w:t>paper, the Commission does not have</w:t>
      </w:r>
      <w:r w:rsidR="00514183">
        <w:t xml:space="preserve"> standard </w:t>
      </w:r>
      <w:r w:rsidR="00767D2A">
        <w:t>guidelines</w:t>
      </w:r>
      <w:r w:rsidR="003D605E">
        <w:t xml:space="preserve"> </w:t>
      </w:r>
      <w:r w:rsidR="00DF02AD">
        <w:t xml:space="preserve">to examine the effect </w:t>
      </w:r>
      <w:r w:rsidR="00411DC9">
        <w:t xml:space="preserve">of acquisitions </w:t>
      </w:r>
      <w:r w:rsidR="00DF02AD">
        <w:t>on ratepayers</w:t>
      </w:r>
      <w:r w:rsidR="003D605E">
        <w:t>, including those of the acquiring utility as well as those of the acquired utility</w:t>
      </w:r>
      <w:r w:rsidR="00DF02AD">
        <w:t xml:space="preserve">. </w:t>
      </w:r>
      <w:r w:rsidR="00630AEA">
        <w:t>The existing framework focuse</w:t>
      </w:r>
      <w:r w:rsidR="00767D2A">
        <w:t>s</w:t>
      </w:r>
      <w:r w:rsidR="00630AEA">
        <w:t xml:space="preserve"> </w:t>
      </w:r>
      <w:r w:rsidR="007445A1">
        <w:t xml:space="preserve">only </w:t>
      </w:r>
      <w:r w:rsidR="00630AEA">
        <w:t xml:space="preserve">on </w:t>
      </w:r>
      <w:r w:rsidR="00250F00">
        <w:t xml:space="preserve">impacts of </w:t>
      </w:r>
      <w:r w:rsidR="00BD1DB3">
        <w:t xml:space="preserve">customers that are being acquired and </w:t>
      </w:r>
      <w:r w:rsidR="007445A1">
        <w:t>d</w:t>
      </w:r>
      <w:r w:rsidR="00767D2A">
        <w:t>oes</w:t>
      </w:r>
      <w:r w:rsidR="007445A1">
        <w:t xml:space="preserve"> </w:t>
      </w:r>
      <w:r w:rsidR="00BD1DB3">
        <w:t>not</w:t>
      </w:r>
      <w:r w:rsidR="007445A1">
        <w:t xml:space="preserve"> account for</w:t>
      </w:r>
      <w:r w:rsidR="004E5775">
        <w:t xml:space="preserve"> the rate impacts to</w:t>
      </w:r>
      <w:r w:rsidR="00BD1DB3">
        <w:t xml:space="preserve"> existing customers</w:t>
      </w:r>
      <w:r w:rsidR="00787231">
        <w:t xml:space="preserve"> of the acqui</w:t>
      </w:r>
      <w:r w:rsidR="00F40E19">
        <w:t>ring utility</w:t>
      </w:r>
      <w:r w:rsidR="00BD1DB3">
        <w:t>.</w:t>
      </w:r>
    </w:p>
    <w:p w:rsidR="00991E9A" w:rsidP="00E64954" w:rsidRDefault="009057E8" w14:paraId="028F1302" w14:textId="610E9F8B">
      <w:r>
        <w:t>T</w:t>
      </w:r>
      <w:r w:rsidR="007E1F11">
        <w:t>hus</w:t>
      </w:r>
      <w:r>
        <w:t>, there is</w:t>
      </w:r>
      <w:r w:rsidR="007E1F11">
        <w:t xml:space="preserve"> a need for </w:t>
      </w:r>
      <w:r w:rsidR="00F40E19">
        <w:t xml:space="preserve">the Commission to open </w:t>
      </w:r>
      <w:r w:rsidR="007E1F11">
        <w:t xml:space="preserve">a new </w:t>
      </w:r>
      <w:r w:rsidR="00000741">
        <w:t>Order Instituting Rulemaking (OIR)</w:t>
      </w:r>
      <w:r w:rsidR="008035DB">
        <w:t xml:space="preserve"> to account for </w:t>
      </w:r>
      <w:r w:rsidR="00624259">
        <w:t>all variables</w:t>
      </w:r>
      <w:r w:rsidR="00AE79AD">
        <w:t xml:space="preserve"> (existing and potential)</w:t>
      </w:r>
      <w:r w:rsidR="008B0D1D">
        <w:t xml:space="preserve"> and develop </w:t>
      </w:r>
      <w:r w:rsidR="00C611F7">
        <w:t xml:space="preserve">a </w:t>
      </w:r>
      <w:r w:rsidR="00F40E19">
        <w:t xml:space="preserve">revised </w:t>
      </w:r>
      <w:r w:rsidR="00C611F7">
        <w:t xml:space="preserve">framework to </w:t>
      </w:r>
      <w:r w:rsidR="00105B81">
        <w:t xml:space="preserve">guide and standardize </w:t>
      </w:r>
      <w:r w:rsidR="003E4AA3">
        <w:t>the Commission</w:t>
      </w:r>
      <w:r w:rsidR="00F40E19">
        <w:t>’s</w:t>
      </w:r>
      <w:r w:rsidR="003E4AA3">
        <w:t xml:space="preserve"> review of acquisitions.</w:t>
      </w:r>
      <w:r w:rsidR="004B5138">
        <w:t xml:space="preserve"> Th</w:t>
      </w:r>
      <w:r w:rsidR="00F40E19">
        <w:t>is revised</w:t>
      </w:r>
      <w:r w:rsidR="00C13548">
        <w:t xml:space="preserve"> </w:t>
      </w:r>
      <w:r w:rsidR="004B5138">
        <w:t xml:space="preserve">framework </w:t>
      </w:r>
      <w:r w:rsidR="00990401">
        <w:t xml:space="preserve">would address the inconsistencies </w:t>
      </w:r>
      <w:r w:rsidR="00C13548">
        <w:t xml:space="preserve">in the Commission review </w:t>
      </w:r>
      <w:r w:rsidR="00990401">
        <w:t>of past acquisitions</w:t>
      </w:r>
      <w:r w:rsidR="003E691E">
        <w:t>, es</w:t>
      </w:r>
      <w:r w:rsidR="00E63EE7">
        <w:t>pecially review of the valuation of water systems,</w:t>
      </w:r>
      <w:r w:rsidR="00990401">
        <w:t xml:space="preserve"> </w:t>
      </w:r>
      <w:r w:rsidR="00250F00">
        <w:t xml:space="preserve">and </w:t>
      </w:r>
      <w:r w:rsidR="007E0CA1">
        <w:t xml:space="preserve">create a more </w:t>
      </w:r>
      <w:r w:rsidR="00E63EE7">
        <w:t xml:space="preserve">consistent review </w:t>
      </w:r>
      <w:r w:rsidR="007E0CA1">
        <w:t>process for all parties involved</w:t>
      </w:r>
      <w:r w:rsidR="00B304A9">
        <w:t xml:space="preserve">. The </w:t>
      </w:r>
      <w:r w:rsidR="00F40E19">
        <w:t xml:space="preserve">revised </w:t>
      </w:r>
      <w:r w:rsidR="00B304A9">
        <w:t>framework would</w:t>
      </w:r>
      <w:r w:rsidR="00250F00">
        <w:t xml:space="preserve"> bring renewed </w:t>
      </w:r>
      <w:r w:rsidR="0050609E">
        <w:t xml:space="preserve">focus on </w:t>
      </w:r>
      <w:r w:rsidR="00C063FD">
        <w:t>the</w:t>
      </w:r>
      <w:r w:rsidR="001548F0">
        <w:t xml:space="preserve"> ratepayers</w:t>
      </w:r>
      <w:r w:rsidR="00B949C5">
        <w:t>, especially those of an acquiring utility,</w:t>
      </w:r>
      <w:r w:rsidR="001548F0">
        <w:t xml:space="preserve"> and </w:t>
      </w:r>
      <w:r w:rsidR="00440556">
        <w:t xml:space="preserve">provide </w:t>
      </w:r>
      <w:r w:rsidR="00287C3D">
        <w:t xml:space="preserve">better guidance </w:t>
      </w:r>
      <w:r w:rsidR="001C267E">
        <w:t>for</w:t>
      </w:r>
      <w:r w:rsidR="00287C3D">
        <w:t xml:space="preserve"> the Commission </w:t>
      </w:r>
      <w:r w:rsidR="001C267E">
        <w:t xml:space="preserve">to assess </w:t>
      </w:r>
      <w:r w:rsidR="00CF7F23">
        <w:t xml:space="preserve">the advantages and disadvantages an acquisition </w:t>
      </w:r>
      <w:r w:rsidR="00B949C5">
        <w:t>may have for</w:t>
      </w:r>
      <w:r w:rsidR="00CF7F23">
        <w:t xml:space="preserve"> ratepayers</w:t>
      </w:r>
      <w:r w:rsidR="00B949C5">
        <w:t xml:space="preserve"> of the acquiring utility as well as those of the acquired utility</w:t>
      </w:r>
      <w:r w:rsidR="00CF7F23">
        <w:t>.</w:t>
      </w:r>
      <w:r w:rsidR="001E128B">
        <w:t xml:space="preserve"> </w:t>
      </w:r>
      <w:r w:rsidR="00E63EE7">
        <w:t>This re</w:t>
      </w:r>
      <w:r w:rsidR="007F6169">
        <w:t>-evaluation of the current Commission process on acquisitions</w:t>
      </w:r>
      <w:r w:rsidR="005E1D79">
        <w:t xml:space="preserve"> would </w:t>
      </w:r>
      <w:r w:rsidR="008E6A51">
        <w:t xml:space="preserve">build on the </w:t>
      </w:r>
      <w:r w:rsidR="00991E9A">
        <w:t xml:space="preserve">experiences the Commission </w:t>
      </w:r>
      <w:r w:rsidR="00BD4559">
        <w:t>confronted</w:t>
      </w:r>
      <w:r w:rsidR="00991E9A">
        <w:t xml:space="preserve"> since the Consolidation Act of 1997</w:t>
      </w:r>
      <w:r w:rsidR="00744177">
        <w:t xml:space="preserve"> and would </w:t>
      </w:r>
      <w:r w:rsidR="002F1AE3">
        <w:t>re-examine the goal of achieving economies of scale for the acquisition of smaller water systems by larger investor-owned utilities</w:t>
      </w:r>
      <w:r w:rsidR="00AF5818">
        <w:t>.</w:t>
      </w:r>
      <w:r w:rsidR="005119A5">
        <w:t xml:space="preserve"> </w:t>
      </w:r>
      <w:r w:rsidR="00570605">
        <w:t>Progressing</w:t>
      </w:r>
      <w:r w:rsidR="005119A5">
        <w:t xml:space="preserve"> from the existing acquisitions framework</w:t>
      </w:r>
      <w:r w:rsidR="001C3507">
        <w:t xml:space="preserve"> would allow the Commission to better balance the intersection of affordability </w:t>
      </w:r>
      <w:r w:rsidR="006C7A54">
        <w:t xml:space="preserve">with safe and reliable water service </w:t>
      </w:r>
      <w:r w:rsidR="00A452DD">
        <w:t xml:space="preserve">for </w:t>
      </w:r>
      <w:r w:rsidR="006E3331">
        <w:t>all Californians.</w:t>
      </w:r>
    </w:p>
    <w:p w:rsidR="0070496F" w:rsidP="008D007B" w:rsidRDefault="0070496F" w14:paraId="5CED3708" w14:textId="65FC5C47">
      <w:pPr>
        <w:pStyle w:val="Heading1"/>
      </w:pPr>
      <w:bookmarkStart w:name="_Toc82153507" w:id="66"/>
      <w:bookmarkStart w:name="_Toc91071078" w:id="67"/>
      <w:r>
        <w:lastRenderedPageBreak/>
        <w:t>Appendices</w:t>
      </w:r>
      <w:bookmarkEnd w:id="66"/>
      <w:bookmarkEnd w:id="67"/>
    </w:p>
    <w:p w:rsidR="0070496F" w:rsidP="0070496F" w:rsidRDefault="0070496F" w14:paraId="13650414" w14:textId="3D95F20D">
      <w:pPr>
        <w:pStyle w:val="Heading2"/>
      </w:pPr>
      <w:bookmarkStart w:name="_Toc82153508" w:id="68"/>
      <w:bookmarkStart w:name="_Toc91071079" w:id="69"/>
      <w:r>
        <w:t>Appendix A</w:t>
      </w:r>
      <w:r w:rsidR="00526006">
        <w:t xml:space="preserve"> – D.99-</w:t>
      </w:r>
      <w:r w:rsidR="008B013F">
        <w:t>10-064</w:t>
      </w:r>
      <w:r w:rsidR="00526006">
        <w:t>, Settlement Agreement</w:t>
      </w:r>
      <w:bookmarkEnd w:id="68"/>
      <w:bookmarkEnd w:id="69"/>
    </w:p>
    <w:p w:rsidR="0070496F" w:rsidP="0070496F" w:rsidRDefault="006E56B3" w14:paraId="255A2266" w14:textId="1D786A5C">
      <w:r w:rsidRPr="006E56B3">
        <w:rPr>
          <w:noProof/>
        </w:rPr>
        <w:lastRenderedPageBreak/>
        <w:drawing>
          <wp:inline distT="0" distB="0" distL="0" distR="0" wp14:anchorId="71109856" wp14:editId="24237E94">
            <wp:extent cx="6400800" cy="8329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8329930"/>
                    </a:xfrm>
                    <a:prstGeom prst="rect">
                      <a:avLst/>
                    </a:prstGeom>
                    <a:noFill/>
                    <a:ln>
                      <a:noFill/>
                    </a:ln>
                  </pic:spPr>
                </pic:pic>
              </a:graphicData>
            </a:graphic>
          </wp:inline>
        </w:drawing>
      </w:r>
    </w:p>
    <w:p w:rsidRPr="00412F36" w:rsidR="00412F36" w:rsidP="00412F36" w:rsidRDefault="009477E2" w14:paraId="0DE66033" w14:textId="5BA2D1DE">
      <w:pPr>
        <w:spacing w:after="200" w:line="276" w:lineRule="auto"/>
      </w:pPr>
      <w:r w:rsidRPr="009477E2">
        <w:rPr>
          <w:noProof/>
        </w:rPr>
        <w:lastRenderedPageBreak/>
        <w:drawing>
          <wp:inline distT="0" distB="0" distL="0" distR="0" wp14:anchorId="08C25347" wp14:editId="3F091CCE">
            <wp:extent cx="6359525" cy="832993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9525" cy="8329930"/>
                    </a:xfrm>
                    <a:prstGeom prst="rect">
                      <a:avLst/>
                    </a:prstGeom>
                    <a:noFill/>
                    <a:ln>
                      <a:noFill/>
                    </a:ln>
                  </pic:spPr>
                </pic:pic>
              </a:graphicData>
            </a:graphic>
          </wp:inline>
        </w:drawing>
      </w:r>
    </w:p>
    <w:p w:rsidRPr="00665925" w:rsidR="00665925" w:rsidP="00665925" w:rsidRDefault="00475C37" w14:paraId="6A96FF26" w14:textId="22EA33AD">
      <w:pPr>
        <w:spacing w:after="200" w:line="276" w:lineRule="auto"/>
      </w:pPr>
      <w:r w:rsidRPr="00475C37">
        <w:rPr>
          <w:noProof/>
        </w:rPr>
        <w:lastRenderedPageBreak/>
        <w:drawing>
          <wp:inline distT="0" distB="0" distL="0" distR="0" wp14:anchorId="01B5354D" wp14:editId="08759BE4">
            <wp:extent cx="6374130" cy="832993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4130" cy="8329930"/>
                    </a:xfrm>
                    <a:prstGeom prst="rect">
                      <a:avLst/>
                    </a:prstGeom>
                    <a:noFill/>
                    <a:ln>
                      <a:noFill/>
                    </a:ln>
                  </pic:spPr>
                </pic:pic>
              </a:graphicData>
            </a:graphic>
          </wp:inline>
        </w:drawing>
      </w:r>
    </w:p>
    <w:p w:rsidRPr="00221AE1" w:rsidR="00221AE1" w:rsidP="00221AE1" w:rsidRDefault="002B554F" w14:paraId="13B7DDD3" w14:textId="289806B4">
      <w:pPr>
        <w:spacing w:after="200" w:line="276" w:lineRule="auto"/>
      </w:pPr>
      <w:r w:rsidRPr="002B554F">
        <w:rPr>
          <w:noProof/>
        </w:rPr>
        <w:lastRenderedPageBreak/>
        <w:drawing>
          <wp:inline distT="0" distB="0" distL="0" distR="0" wp14:anchorId="0DEE4B4E" wp14:editId="28C1A9B3">
            <wp:extent cx="6323965" cy="832993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3965" cy="8329930"/>
                    </a:xfrm>
                    <a:prstGeom prst="rect">
                      <a:avLst/>
                    </a:prstGeom>
                    <a:noFill/>
                    <a:ln>
                      <a:noFill/>
                    </a:ln>
                  </pic:spPr>
                </pic:pic>
              </a:graphicData>
            </a:graphic>
          </wp:inline>
        </w:drawing>
      </w:r>
    </w:p>
    <w:p w:rsidRPr="00B6502A" w:rsidR="00B6502A" w:rsidP="00B6502A" w:rsidRDefault="00033FC2" w14:paraId="7611D877" w14:textId="73778C5C">
      <w:pPr>
        <w:spacing w:after="200" w:line="276" w:lineRule="auto"/>
      </w:pPr>
      <w:r w:rsidRPr="00033FC2">
        <w:rPr>
          <w:noProof/>
        </w:rPr>
        <w:lastRenderedPageBreak/>
        <w:drawing>
          <wp:inline distT="0" distB="0" distL="0" distR="0" wp14:anchorId="3A4A91DA" wp14:editId="702C049B">
            <wp:extent cx="6379845" cy="832993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9845" cy="8329930"/>
                    </a:xfrm>
                    <a:prstGeom prst="rect">
                      <a:avLst/>
                    </a:prstGeom>
                    <a:noFill/>
                    <a:ln>
                      <a:noFill/>
                    </a:ln>
                  </pic:spPr>
                </pic:pic>
              </a:graphicData>
            </a:graphic>
          </wp:inline>
        </w:drawing>
      </w:r>
    </w:p>
    <w:p w:rsidR="00033FC2" w:rsidRDefault="00521CB4" w14:paraId="500A2EE4" w14:textId="04E5FF44">
      <w:pPr>
        <w:spacing w:after="200" w:line="276" w:lineRule="auto"/>
      </w:pPr>
      <w:r w:rsidRPr="00521CB4">
        <w:rPr>
          <w:noProof/>
        </w:rPr>
        <w:lastRenderedPageBreak/>
        <w:drawing>
          <wp:inline distT="0" distB="0" distL="0" distR="0" wp14:anchorId="0C61B0BF" wp14:editId="7B7CFC3F">
            <wp:extent cx="6329680" cy="8329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9680" cy="8329930"/>
                    </a:xfrm>
                    <a:prstGeom prst="rect">
                      <a:avLst/>
                    </a:prstGeom>
                    <a:noFill/>
                    <a:ln>
                      <a:noFill/>
                    </a:ln>
                  </pic:spPr>
                </pic:pic>
              </a:graphicData>
            </a:graphic>
          </wp:inline>
        </w:drawing>
      </w:r>
    </w:p>
    <w:p w:rsidRPr="00BE5D31" w:rsidR="00BE5D31" w:rsidP="00BE5D31" w:rsidRDefault="00044375" w14:paraId="3F653DC3" w14:textId="1C8C649F">
      <w:pPr>
        <w:spacing w:after="200" w:line="276" w:lineRule="auto"/>
      </w:pPr>
      <w:r w:rsidRPr="00044375">
        <w:rPr>
          <w:noProof/>
        </w:rPr>
        <w:lastRenderedPageBreak/>
        <w:drawing>
          <wp:inline distT="0" distB="0" distL="0" distR="0" wp14:anchorId="1448984E" wp14:editId="7A90B569">
            <wp:extent cx="6374130" cy="832993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4130" cy="8329930"/>
                    </a:xfrm>
                    <a:prstGeom prst="rect">
                      <a:avLst/>
                    </a:prstGeom>
                    <a:noFill/>
                    <a:ln>
                      <a:noFill/>
                    </a:ln>
                  </pic:spPr>
                </pic:pic>
              </a:graphicData>
            </a:graphic>
          </wp:inline>
        </w:drawing>
      </w:r>
    </w:p>
    <w:p w:rsidRPr="001D3BB0" w:rsidR="001D3BB0" w:rsidP="001D3BB0" w:rsidRDefault="00771C9F" w14:paraId="14530CB5" w14:textId="291052F8">
      <w:pPr>
        <w:spacing w:after="200" w:line="276" w:lineRule="auto"/>
      </w:pPr>
      <w:r w:rsidRPr="00771C9F">
        <w:rPr>
          <w:noProof/>
        </w:rPr>
        <w:lastRenderedPageBreak/>
        <w:drawing>
          <wp:inline distT="0" distB="0" distL="0" distR="0" wp14:anchorId="24C27CA5" wp14:editId="78DBF343">
            <wp:extent cx="6327140" cy="8329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7140" cy="8329930"/>
                    </a:xfrm>
                    <a:prstGeom prst="rect">
                      <a:avLst/>
                    </a:prstGeom>
                    <a:noFill/>
                    <a:ln>
                      <a:noFill/>
                    </a:ln>
                  </pic:spPr>
                </pic:pic>
              </a:graphicData>
            </a:graphic>
          </wp:inline>
        </w:drawing>
      </w:r>
    </w:p>
    <w:p w:rsidR="00771C9F" w:rsidRDefault="004F2615" w14:paraId="5CCCCDAC" w14:textId="4EB192B3">
      <w:pPr>
        <w:spacing w:after="200" w:line="276" w:lineRule="auto"/>
      </w:pPr>
      <w:r w:rsidRPr="004F2615">
        <w:rPr>
          <w:noProof/>
        </w:rPr>
        <w:lastRenderedPageBreak/>
        <w:drawing>
          <wp:inline distT="0" distB="0" distL="0" distR="0" wp14:anchorId="62CBD1FC" wp14:editId="64E8B696">
            <wp:extent cx="6383655" cy="8329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3655" cy="8329930"/>
                    </a:xfrm>
                    <a:prstGeom prst="rect">
                      <a:avLst/>
                    </a:prstGeom>
                    <a:noFill/>
                    <a:ln>
                      <a:noFill/>
                    </a:ln>
                  </pic:spPr>
                </pic:pic>
              </a:graphicData>
            </a:graphic>
          </wp:inline>
        </w:drawing>
      </w:r>
    </w:p>
    <w:p w:rsidRPr="00624D8B" w:rsidR="00624D8B" w:rsidP="00624D8B" w:rsidRDefault="00183773" w14:paraId="2DCDC361" w14:textId="64A48B9B">
      <w:pPr>
        <w:spacing w:after="200" w:line="276" w:lineRule="auto"/>
      </w:pPr>
      <w:r w:rsidRPr="00183773">
        <w:rPr>
          <w:noProof/>
        </w:rPr>
        <w:lastRenderedPageBreak/>
        <w:drawing>
          <wp:inline distT="0" distB="0" distL="0" distR="0" wp14:anchorId="53EC6C4C" wp14:editId="756BC79C">
            <wp:extent cx="6333490" cy="8329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3490" cy="8329930"/>
                    </a:xfrm>
                    <a:prstGeom prst="rect">
                      <a:avLst/>
                    </a:prstGeom>
                    <a:noFill/>
                    <a:ln>
                      <a:noFill/>
                    </a:ln>
                  </pic:spPr>
                </pic:pic>
              </a:graphicData>
            </a:graphic>
          </wp:inline>
        </w:drawing>
      </w:r>
    </w:p>
    <w:p w:rsidRPr="00D4527B" w:rsidR="00D4527B" w:rsidP="00D4527B" w:rsidRDefault="00D21420" w14:paraId="1FB9F2D0" w14:textId="6FFA27B1">
      <w:pPr>
        <w:spacing w:after="200" w:line="276" w:lineRule="auto"/>
      </w:pPr>
      <w:r w:rsidRPr="00D21420">
        <w:rPr>
          <w:noProof/>
        </w:rPr>
        <w:lastRenderedPageBreak/>
        <w:drawing>
          <wp:inline distT="0" distB="0" distL="0" distR="0" wp14:anchorId="784B03D2" wp14:editId="0A0FABE4">
            <wp:extent cx="6387465" cy="83299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7465" cy="8329930"/>
                    </a:xfrm>
                    <a:prstGeom prst="rect">
                      <a:avLst/>
                    </a:prstGeom>
                    <a:noFill/>
                    <a:ln>
                      <a:noFill/>
                    </a:ln>
                  </pic:spPr>
                </pic:pic>
              </a:graphicData>
            </a:graphic>
          </wp:inline>
        </w:drawing>
      </w:r>
    </w:p>
    <w:p w:rsidRPr="009D7AEE" w:rsidR="009D7AEE" w:rsidP="009D7AEE" w:rsidRDefault="002355F6" w14:paraId="4A9CC2BB" w14:textId="3E27B0B6">
      <w:pPr>
        <w:spacing w:after="200" w:line="276" w:lineRule="auto"/>
      </w:pPr>
      <w:r w:rsidRPr="002355F6">
        <w:rPr>
          <w:noProof/>
        </w:rPr>
        <w:lastRenderedPageBreak/>
        <w:drawing>
          <wp:inline distT="0" distB="0" distL="0" distR="0" wp14:anchorId="5963BB22" wp14:editId="7268EBB7">
            <wp:extent cx="6329680" cy="8329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9680" cy="8329930"/>
                    </a:xfrm>
                    <a:prstGeom prst="rect">
                      <a:avLst/>
                    </a:prstGeom>
                    <a:noFill/>
                    <a:ln>
                      <a:noFill/>
                    </a:ln>
                  </pic:spPr>
                </pic:pic>
              </a:graphicData>
            </a:graphic>
          </wp:inline>
        </w:drawing>
      </w:r>
    </w:p>
    <w:p w:rsidR="002355F6" w:rsidRDefault="002355F6" w14:paraId="484274EF" w14:textId="452FDA95">
      <w:pPr>
        <w:spacing w:after="200" w:line="276" w:lineRule="auto"/>
      </w:pPr>
      <w:r w:rsidRPr="002355F6">
        <w:rPr>
          <w:noProof/>
        </w:rPr>
        <w:lastRenderedPageBreak/>
        <w:drawing>
          <wp:inline distT="0" distB="0" distL="0" distR="0" wp14:anchorId="2DDB94E1" wp14:editId="17E19C24">
            <wp:extent cx="6377940" cy="832993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7940" cy="8329930"/>
                    </a:xfrm>
                    <a:prstGeom prst="rect">
                      <a:avLst/>
                    </a:prstGeom>
                    <a:noFill/>
                    <a:ln>
                      <a:noFill/>
                    </a:ln>
                  </pic:spPr>
                </pic:pic>
              </a:graphicData>
            </a:graphic>
          </wp:inline>
        </w:drawing>
      </w:r>
    </w:p>
    <w:p w:rsidRPr="005728AD" w:rsidR="005728AD" w:rsidP="005728AD" w:rsidRDefault="00687B0B" w14:paraId="7D425238" w14:textId="6852F3F9">
      <w:pPr>
        <w:spacing w:after="200" w:line="276" w:lineRule="auto"/>
      </w:pPr>
      <w:r w:rsidRPr="00687B0B">
        <w:rPr>
          <w:noProof/>
        </w:rPr>
        <w:lastRenderedPageBreak/>
        <w:drawing>
          <wp:inline distT="0" distB="0" distL="0" distR="0" wp14:anchorId="473C04A6" wp14:editId="438BE167">
            <wp:extent cx="6355715" cy="832993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5715" cy="8329930"/>
                    </a:xfrm>
                    <a:prstGeom prst="rect">
                      <a:avLst/>
                    </a:prstGeom>
                    <a:noFill/>
                    <a:ln>
                      <a:noFill/>
                    </a:ln>
                  </pic:spPr>
                </pic:pic>
              </a:graphicData>
            </a:graphic>
          </wp:inline>
        </w:drawing>
      </w:r>
    </w:p>
    <w:p w:rsidR="00687B0B" w:rsidRDefault="00687B0B" w14:paraId="64C4435F" w14:textId="18658C09">
      <w:pPr>
        <w:spacing w:after="200" w:line="276" w:lineRule="auto"/>
      </w:pPr>
      <w:r w:rsidRPr="00687B0B">
        <w:rPr>
          <w:noProof/>
        </w:rPr>
        <w:lastRenderedPageBreak/>
        <w:drawing>
          <wp:inline distT="0" distB="0" distL="0" distR="0" wp14:anchorId="668010E9" wp14:editId="780CA6BD">
            <wp:extent cx="6370320" cy="8329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70320" cy="8329930"/>
                    </a:xfrm>
                    <a:prstGeom prst="rect">
                      <a:avLst/>
                    </a:prstGeom>
                    <a:noFill/>
                    <a:ln>
                      <a:noFill/>
                    </a:ln>
                  </pic:spPr>
                </pic:pic>
              </a:graphicData>
            </a:graphic>
          </wp:inline>
        </w:drawing>
      </w:r>
    </w:p>
    <w:p w:rsidRPr="00B81938" w:rsidR="00B81938" w:rsidP="00B81938" w:rsidRDefault="00273014" w14:paraId="6F21F14B" w14:textId="1B855DFC">
      <w:pPr>
        <w:spacing w:after="200" w:line="276" w:lineRule="auto"/>
      </w:pPr>
      <w:r w:rsidRPr="00273014">
        <w:rPr>
          <w:noProof/>
        </w:rPr>
        <w:lastRenderedPageBreak/>
        <w:drawing>
          <wp:inline distT="0" distB="0" distL="0" distR="0" wp14:anchorId="0048D6E1" wp14:editId="66A0FDE6">
            <wp:extent cx="6323965" cy="832993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3965" cy="8329930"/>
                    </a:xfrm>
                    <a:prstGeom prst="rect">
                      <a:avLst/>
                    </a:prstGeom>
                    <a:noFill/>
                    <a:ln>
                      <a:noFill/>
                    </a:ln>
                  </pic:spPr>
                </pic:pic>
              </a:graphicData>
            </a:graphic>
          </wp:inline>
        </w:drawing>
      </w:r>
    </w:p>
    <w:p w:rsidR="00273014" w:rsidRDefault="00273014" w14:paraId="68EF17BD" w14:textId="3C110A82">
      <w:pPr>
        <w:spacing w:after="200" w:line="276" w:lineRule="auto"/>
      </w:pPr>
      <w:r w:rsidRPr="00273014">
        <w:rPr>
          <w:noProof/>
        </w:rPr>
        <w:lastRenderedPageBreak/>
        <w:drawing>
          <wp:inline distT="0" distB="0" distL="0" distR="0" wp14:anchorId="3FE535A0" wp14:editId="2D694F39">
            <wp:extent cx="6377940" cy="832993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77940" cy="8329930"/>
                    </a:xfrm>
                    <a:prstGeom prst="rect">
                      <a:avLst/>
                    </a:prstGeom>
                    <a:noFill/>
                    <a:ln>
                      <a:noFill/>
                    </a:ln>
                  </pic:spPr>
                </pic:pic>
              </a:graphicData>
            </a:graphic>
          </wp:inline>
        </w:drawing>
      </w:r>
    </w:p>
    <w:p w:rsidR="00273014" w:rsidRDefault="00273014" w14:paraId="773A6CD1" w14:textId="46C5E459">
      <w:pPr>
        <w:spacing w:after="200" w:line="276" w:lineRule="auto"/>
      </w:pPr>
      <w:r w:rsidRPr="00273014">
        <w:rPr>
          <w:noProof/>
        </w:rPr>
        <w:lastRenderedPageBreak/>
        <w:drawing>
          <wp:inline distT="0" distB="0" distL="0" distR="0" wp14:anchorId="648C1360" wp14:editId="0C08C04C">
            <wp:extent cx="6334760" cy="832993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4760" cy="8329930"/>
                    </a:xfrm>
                    <a:prstGeom prst="rect">
                      <a:avLst/>
                    </a:prstGeom>
                    <a:noFill/>
                    <a:ln>
                      <a:noFill/>
                    </a:ln>
                  </pic:spPr>
                </pic:pic>
              </a:graphicData>
            </a:graphic>
          </wp:inline>
        </w:drawing>
      </w:r>
    </w:p>
    <w:p w:rsidR="00273014" w:rsidRDefault="005B5E7F" w14:paraId="1D0EE1CC" w14:textId="45B188A0">
      <w:pPr>
        <w:spacing w:after="200" w:line="276" w:lineRule="auto"/>
      </w:pPr>
      <w:r w:rsidRPr="005B5E7F">
        <w:rPr>
          <w:noProof/>
        </w:rPr>
        <w:lastRenderedPageBreak/>
        <w:drawing>
          <wp:inline distT="0" distB="0" distL="0" distR="0" wp14:anchorId="2E96DEBE" wp14:editId="40A12884">
            <wp:extent cx="6381750" cy="8329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0" cy="8329930"/>
                    </a:xfrm>
                    <a:prstGeom prst="rect">
                      <a:avLst/>
                    </a:prstGeom>
                    <a:noFill/>
                    <a:ln>
                      <a:noFill/>
                    </a:ln>
                  </pic:spPr>
                </pic:pic>
              </a:graphicData>
            </a:graphic>
          </wp:inline>
        </w:drawing>
      </w:r>
    </w:p>
    <w:p w:rsidR="00B07071" w:rsidP="00B07071" w:rsidRDefault="00B07071" w14:paraId="1CA5B010" w14:textId="543E33B1">
      <w:pPr>
        <w:pStyle w:val="Heading2"/>
      </w:pPr>
      <w:bookmarkStart w:name="_Toc91071080" w:id="70"/>
      <w:bookmarkStart w:name="_Toc82153509" w:id="71"/>
      <w:r>
        <w:lastRenderedPageBreak/>
        <w:t>Appendix B – Referenced Statutes and Code Sections</w:t>
      </w:r>
      <w:bookmarkEnd w:id="70"/>
    </w:p>
    <w:p w:rsidRPr="00F257FE" w:rsidR="009C50C1" w:rsidRDefault="009C50C1" w14:paraId="3978709C" w14:textId="3FF91AB0">
      <w:pPr>
        <w:spacing w:after="200" w:line="276" w:lineRule="auto"/>
        <w:rPr>
          <w:rStyle w:val="normaltextrun"/>
          <w:b/>
          <w:bCs/>
        </w:rPr>
      </w:pPr>
      <w:r w:rsidRPr="00F257FE">
        <w:rPr>
          <w:rStyle w:val="normaltextrun"/>
          <w:b/>
          <w:bCs/>
        </w:rPr>
        <w:t>Public Utilities Code Sections 2718 through 272</w:t>
      </w:r>
      <w:r w:rsidR="008D472F">
        <w:rPr>
          <w:rStyle w:val="normaltextrun"/>
          <w:b/>
          <w:bCs/>
        </w:rPr>
        <w:t>2</w:t>
      </w:r>
      <w:r w:rsidRPr="00F257FE">
        <w:rPr>
          <w:rStyle w:val="normaltextrun"/>
          <w:b/>
          <w:bCs/>
        </w:rPr>
        <w:t>:</w:t>
      </w:r>
    </w:p>
    <w:p w:rsidRPr="004235C2" w:rsidR="00476D19" w:rsidRDefault="00F257FE" w14:paraId="319F017B" w14:textId="6D802694">
      <w:pPr>
        <w:spacing w:after="200" w:line="276" w:lineRule="auto"/>
        <w:rPr>
          <w:rStyle w:val="normaltextrun"/>
        </w:rPr>
      </w:pPr>
      <w:r>
        <w:rPr>
          <w:rStyle w:val="normaltextrun"/>
        </w:rPr>
        <w:t xml:space="preserve">2718: </w:t>
      </w:r>
      <w:r w:rsidRPr="004235C2" w:rsidR="00AD7597">
        <w:rPr>
          <w:rStyle w:val="normaltextrun"/>
        </w:rPr>
        <w:t xml:space="preserve">This chapter shall be known and may be cited as the Public Water System Investment and Consolidation Act of 1997. </w:t>
      </w:r>
    </w:p>
    <w:p w:rsidRPr="00476D19" w:rsidR="00476D19" w:rsidP="004235C2" w:rsidRDefault="00F257FE" w14:paraId="5998FFBB" w14:textId="7CE29CBC">
      <w:pPr>
        <w:spacing w:after="200" w:line="276" w:lineRule="auto"/>
        <w:rPr>
          <w:rStyle w:val="normaltextrun"/>
        </w:rPr>
      </w:pPr>
      <w:r>
        <w:rPr>
          <w:rStyle w:val="normaltextrun"/>
        </w:rPr>
        <w:t xml:space="preserve">2719: </w:t>
      </w:r>
      <w:r w:rsidRPr="00476D19" w:rsidR="00476D19">
        <w:rPr>
          <w:rStyle w:val="normaltextrun"/>
        </w:rPr>
        <w:t>The Legislature finds and declares all of the following:</w:t>
      </w:r>
    </w:p>
    <w:p w:rsidRPr="00476D19" w:rsidR="00476D19" w:rsidP="00F257FE" w:rsidRDefault="00476D19" w14:paraId="5D97853E" w14:textId="77777777">
      <w:pPr>
        <w:spacing w:after="200" w:line="276" w:lineRule="auto"/>
        <w:ind w:left="720"/>
        <w:rPr>
          <w:rStyle w:val="normaltextrun"/>
        </w:rPr>
      </w:pPr>
      <w:r w:rsidRPr="00476D19">
        <w:rPr>
          <w:rStyle w:val="normaltextrun"/>
        </w:rPr>
        <w:t>(a)</w:t>
      </w:r>
      <w:r w:rsidRPr="00476D19">
        <w:rPr>
          <w:rStyle w:val="normaltextrun"/>
        </w:rPr>
        <w:t> </w:t>
      </w:r>
      <w:r w:rsidRPr="00476D19">
        <w:rPr>
          <w:rStyle w:val="normaltextrun"/>
        </w:rPr>
        <w:t>Public water systems are faced with the need to replace or upgrade the public water system infrastructure to meet increasingly stringent state and federal safe drinking water laws and regulations governing fire flow standards for public fire protection.</w:t>
      </w:r>
    </w:p>
    <w:p w:rsidRPr="00476D19" w:rsidR="00476D19" w:rsidP="00F257FE" w:rsidRDefault="00476D19" w14:paraId="18DF9356" w14:textId="77777777">
      <w:pPr>
        <w:spacing w:after="200" w:line="276" w:lineRule="auto"/>
        <w:ind w:left="720"/>
        <w:rPr>
          <w:rStyle w:val="normaltextrun"/>
        </w:rPr>
      </w:pPr>
      <w:r w:rsidRPr="00476D19">
        <w:rPr>
          <w:rStyle w:val="normaltextrun"/>
        </w:rPr>
        <w:t>(b)</w:t>
      </w:r>
      <w:r w:rsidRPr="00476D19">
        <w:rPr>
          <w:rStyle w:val="normaltextrun"/>
        </w:rPr>
        <w:t> </w:t>
      </w:r>
      <w:r w:rsidRPr="00476D19">
        <w:rPr>
          <w:rStyle w:val="normaltextrun"/>
        </w:rPr>
        <w:t>Increasing amounts of capital are required to finance the necessary investment in public water system infrastructure.</w:t>
      </w:r>
    </w:p>
    <w:p w:rsidRPr="00476D19" w:rsidR="00476D19" w:rsidP="00F257FE" w:rsidRDefault="00476D19" w14:paraId="54240EBA" w14:textId="77777777">
      <w:pPr>
        <w:spacing w:after="200" w:line="276" w:lineRule="auto"/>
        <w:ind w:firstLine="720"/>
        <w:rPr>
          <w:rStyle w:val="normaltextrun"/>
        </w:rPr>
      </w:pPr>
      <w:r w:rsidRPr="00476D19">
        <w:rPr>
          <w:rStyle w:val="normaltextrun"/>
        </w:rPr>
        <w:t>(c)</w:t>
      </w:r>
      <w:r w:rsidRPr="00476D19">
        <w:rPr>
          <w:rStyle w:val="normaltextrun"/>
        </w:rPr>
        <w:t> </w:t>
      </w:r>
      <w:r w:rsidRPr="00476D19">
        <w:rPr>
          <w:rStyle w:val="normaltextrun"/>
        </w:rPr>
        <w:t>Scale economies are achievable in the operation of public water systems.</w:t>
      </w:r>
    </w:p>
    <w:p w:rsidRPr="00476D19" w:rsidR="00476D19" w:rsidP="00F257FE" w:rsidRDefault="00476D19" w14:paraId="0655D02A" w14:textId="77777777">
      <w:pPr>
        <w:spacing w:after="200" w:line="276" w:lineRule="auto"/>
        <w:ind w:left="720"/>
        <w:rPr>
          <w:rStyle w:val="normaltextrun"/>
        </w:rPr>
      </w:pPr>
      <w:r w:rsidRPr="00476D19">
        <w:rPr>
          <w:rStyle w:val="normaltextrun"/>
        </w:rPr>
        <w:t>(d)</w:t>
      </w:r>
      <w:r w:rsidRPr="00476D19">
        <w:rPr>
          <w:rStyle w:val="normaltextrun"/>
        </w:rPr>
        <w:t> </w:t>
      </w:r>
      <w:r w:rsidRPr="00476D19">
        <w:rPr>
          <w:rStyle w:val="normaltextrun"/>
        </w:rPr>
        <w:t>Providing water corporations with an incentive to achieve these scale economies will provide benefits to ratepayers.</w:t>
      </w:r>
    </w:p>
    <w:p w:rsidRPr="004235C2" w:rsidR="00C448E9" w:rsidP="004235C2" w:rsidRDefault="0074749F" w14:paraId="6491FB21" w14:textId="63F508F8">
      <w:pPr>
        <w:spacing w:after="200" w:line="276" w:lineRule="auto"/>
        <w:rPr>
          <w:rStyle w:val="normaltextrun"/>
        </w:rPr>
      </w:pPr>
      <w:r>
        <w:rPr>
          <w:rStyle w:val="normaltextrun"/>
        </w:rPr>
        <w:t xml:space="preserve">2720: </w:t>
      </w:r>
      <w:r w:rsidRPr="004235C2" w:rsidR="00C448E9">
        <w:rPr>
          <w:rStyle w:val="normaltextrun"/>
        </w:rPr>
        <w:t>(a)</w:t>
      </w:r>
      <w:r w:rsidRPr="004235C2" w:rsidR="00C448E9">
        <w:rPr>
          <w:rStyle w:val="normaltextrun"/>
        </w:rPr>
        <w:t> </w:t>
      </w:r>
      <w:r w:rsidRPr="004235C2" w:rsidR="00C448E9">
        <w:rPr>
          <w:rStyle w:val="normaltextrun"/>
        </w:rPr>
        <w:t xml:space="preserve">The commission shall use the standard of fair market value when establishing the rate base value for the distribution system of a public water system acquired by a water corporation. </w:t>
      </w:r>
      <w:r w:rsidRPr="004235C2" w:rsidR="00C448E9">
        <w:rPr>
          <w:rStyle w:val="normaltextrun"/>
        </w:rPr>
        <w:t> </w:t>
      </w:r>
      <w:r w:rsidRPr="004235C2" w:rsidR="00C448E9">
        <w:rPr>
          <w:rStyle w:val="normaltextrun"/>
        </w:rPr>
        <w:t xml:space="preserve">This standard shall be used for </w:t>
      </w:r>
      <w:proofErr w:type="spellStart"/>
      <w:r w:rsidRPr="004235C2" w:rsidR="00C448E9">
        <w:rPr>
          <w:rStyle w:val="normaltextrun"/>
        </w:rPr>
        <w:t>ratesetting</w:t>
      </w:r>
      <w:proofErr w:type="spellEnd"/>
      <w:r w:rsidRPr="004235C2" w:rsidR="00C448E9">
        <w:rPr>
          <w:rStyle w:val="normaltextrun"/>
        </w:rPr>
        <w:t>.</w:t>
      </w:r>
    </w:p>
    <w:p w:rsidRPr="004235C2" w:rsidR="00C448E9" w:rsidP="0074749F" w:rsidRDefault="00C448E9" w14:paraId="4F5C1D12" w14:textId="77777777">
      <w:pPr>
        <w:spacing w:after="200" w:line="276" w:lineRule="auto"/>
        <w:ind w:left="720"/>
        <w:rPr>
          <w:rStyle w:val="normaltextrun"/>
        </w:rPr>
      </w:pPr>
      <w:r w:rsidRPr="004235C2">
        <w:rPr>
          <w:rStyle w:val="normaltextrun"/>
        </w:rPr>
        <w:t>(1)</w:t>
      </w:r>
      <w:r w:rsidRPr="004235C2">
        <w:rPr>
          <w:rStyle w:val="normaltextrun"/>
        </w:rPr>
        <w:t> </w:t>
      </w:r>
      <w:r w:rsidRPr="004235C2">
        <w:rPr>
          <w:rStyle w:val="normaltextrun"/>
        </w:rPr>
        <w:t>For purposes of this section, “public water system” shall have the same meaning as set forth in </w:t>
      </w:r>
      <w:hyperlink w:tgtFrame="_blank" w:tooltip="Section 116275 of the Health and Safety Code" w:history="1" r:id="rId38">
        <w:r w:rsidRPr="004235C2">
          <w:rPr>
            <w:rStyle w:val="normaltextrun"/>
          </w:rPr>
          <w:t>Section 116275 of the Health and Safety Code</w:t>
        </w:r>
      </w:hyperlink>
      <w:r w:rsidRPr="004235C2">
        <w:rPr>
          <w:rStyle w:val="normaltextrun"/>
        </w:rPr>
        <w:t> .</w:t>
      </w:r>
    </w:p>
    <w:p w:rsidRPr="004235C2" w:rsidR="00C448E9" w:rsidP="0074749F" w:rsidRDefault="00C448E9" w14:paraId="1BD40D97" w14:textId="77777777">
      <w:pPr>
        <w:spacing w:after="200" w:line="276" w:lineRule="auto"/>
        <w:ind w:left="720"/>
        <w:rPr>
          <w:rStyle w:val="normaltextrun"/>
        </w:rPr>
      </w:pPr>
      <w:r w:rsidRPr="004235C2">
        <w:rPr>
          <w:rStyle w:val="normaltextrun"/>
        </w:rPr>
        <w:t>(2)</w:t>
      </w:r>
      <w:r w:rsidRPr="004235C2">
        <w:rPr>
          <w:rStyle w:val="normaltextrun"/>
        </w:rPr>
        <w:t> </w:t>
      </w:r>
      <w:r w:rsidRPr="004235C2">
        <w:rPr>
          <w:rStyle w:val="normaltextrun"/>
        </w:rPr>
        <w:t>For purposes of this section, “fair market value” shall have the same meaning as set forth in </w:t>
      </w:r>
      <w:hyperlink w:tgtFrame="_blank" w:tooltip="Section 1263.320 of the Code of Civil Procedure" w:history="1" r:id="rId39">
        <w:r w:rsidRPr="004235C2">
          <w:rPr>
            <w:rStyle w:val="normaltextrun"/>
          </w:rPr>
          <w:t>Section 1263.320 of the Code of Civil Procedure</w:t>
        </w:r>
      </w:hyperlink>
      <w:r w:rsidRPr="004235C2">
        <w:rPr>
          <w:rStyle w:val="normaltextrun"/>
        </w:rPr>
        <w:t> .</w:t>
      </w:r>
    </w:p>
    <w:p w:rsidRPr="004235C2" w:rsidR="00C448E9" w:rsidP="0074749F" w:rsidRDefault="00C448E9" w14:paraId="311A095C" w14:textId="77777777">
      <w:pPr>
        <w:spacing w:after="200" w:line="276" w:lineRule="auto"/>
        <w:ind w:left="720"/>
        <w:rPr>
          <w:rStyle w:val="normaltextrun"/>
        </w:rPr>
      </w:pPr>
      <w:r w:rsidRPr="004235C2">
        <w:rPr>
          <w:rStyle w:val="normaltextrun"/>
        </w:rPr>
        <w:t>(b)</w:t>
      </w:r>
      <w:r w:rsidRPr="004235C2">
        <w:rPr>
          <w:rStyle w:val="normaltextrun"/>
        </w:rPr>
        <w:t> </w:t>
      </w:r>
      <w:r w:rsidRPr="004235C2">
        <w:rPr>
          <w:rStyle w:val="normaltextrun"/>
        </w:rPr>
        <w:t>If the fair market value exceeds reproduction cost, as determined in accordance with </w:t>
      </w:r>
      <w:hyperlink w:tgtFrame="_blank" w:tooltip="Section 820 of the Evidence Code" w:history="1" r:id="rId40">
        <w:r w:rsidRPr="004235C2">
          <w:rPr>
            <w:rStyle w:val="normaltextrun"/>
          </w:rPr>
          <w:t>Section 820 of the Evidence Code</w:t>
        </w:r>
      </w:hyperlink>
      <w:r w:rsidRPr="004235C2">
        <w:rPr>
          <w:rStyle w:val="normaltextrun"/>
        </w:rPr>
        <w:t xml:space="preserve"> , the commission may include the difference in the rate base for </w:t>
      </w:r>
      <w:proofErr w:type="spellStart"/>
      <w:r w:rsidRPr="004235C2">
        <w:rPr>
          <w:rStyle w:val="normaltextrun"/>
        </w:rPr>
        <w:t>ratesetting</w:t>
      </w:r>
      <w:proofErr w:type="spellEnd"/>
      <w:r w:rsidRPr="004235C2">
        <w:rPr>
          <w:rStyle w:val="normaltextrun"/>
        </w:rPr>
        <w:t xml:space="preserve"> purposes if it finds that the additional amounts are fair and reasonable. </w:t>
      </w:r>
      <w:r w:rsidRPr="004235C2">
        <w:rPr>
          <w:rStyle w:val="normaltextrun"/>
        </w:rPr>
        <w:t> </w:t>
      </w:r>
      <w:r w:rsidRPr="004235C2">
        <w:rPr>
          <w:rStyle w:val="normaltextrun"/>
        </w:rPr>
        <w:t>In determining whether the additional amounts are fair and reasonable the commission shall consider whether the acquisition of the public water system will improve water system reliability, whether the ability of the water system to comply with health and safety regulations is improved, whether the water corporation by acquiring the public water system can achieve efficiencies and economies of scale that would not otherwise be available, and whether the effect on existing customers of the water corporation and the acquired public water system is fair and reasonable.</w:t>
      </w:r>
    </w:p>
    <w:p w:rsidRPr="004235C2" w:rsidR="00C448E9" w:rsidP="0074749F" w:rsidRDefault="00C448E9" w14:paraId="4EE5EE68" w14:textId="77777777">
      <w:pPr>
        <w:spacing w:after="200" w:line="276" w:lineRule="auto"/>
        <w:ind w:left="720"/>
        <w:rPr>
          <w:rStyle w:val="normaltextrun"/>
        </w:rPr>
      </w:pPr>
      <w:r w:rsidRPr="004235C2">
        <w:rPr>
          <w:rStyle w:val="normaltextrun"/>
        </w:rPr>
        <w:t>(c)</w:t>
      </w:r>
      <w:r w:rsidRPr="004235C2">
        <w:rPr>
          <w:rStyle w:val="normaltextrun"/>
        </w:rPr>
        <w:t> </w:t>
      </w:r>
      <w:r w:rsidRPr="004235C2">
        <w:rPr>
          <w:rStyle w:val="normaltextrun"/>
        </w:rPr>
        <w:t>The provisions of subdivisions (a) and (b) shall also be applicable to the acquisition of a sewer system by any sewer system corporation or water corporation.</w:t>
      </w:r>
    </w:p>
    <w:p w:rsidR="00C448E9" w:rsidP="0074749F" w:rsidRDefault="00C448E9" w14:paraId="65F7D968" w14:textId="1FC634E9">
      <w:pPr>
        <w:spacing w:after="200" w:line="276" w:lineRule="auto"/>
        <w:ind w:left="720"/>
        <w:rPr>
          <w:rStyle w:val="normaltextrun"/>
        </w:rPr>
      </w:pPr>
      <w:r w:rsidRPr="004235C2">
        <w:rPr>
          <w:rStyle w:val="normaltextrun"/>
        </w:rPr>
        <w:t>(d)</w:t>
      </w:r>
      <w:r w:rsidRPr="004235C2">
        <w:rPr>
          <w:rStyle w:val="normaltextrun"/>
        </w:rPr>
        <w:t> </w:t>
      </w:r>
      <w:r w:rsidRPr="004235C2">
        <w:rPr>
          <w:rStyle w:val="normaltextrun"/>
        </w:rPr>
        <w:t>Consistent with the provisions of this section, the commission shall retain all powers and responsibilities granted pursuant to </w:t>
      </w:r>
      <w:hyperlink w:tgtFrame="_blank" w:tooltip="Sections 851" w:history="1" r:id="rId41">
        <w:r w:rsidRPr="004235C2">
          <w:rPr>
            <w:rStyle w:val="normaltextrun"/>
          </w:rPr>
          <w:t>Sections 851</w:t>
        </w:r>
      </w:hyperlink>
      <w:r w:rsidRPr="004235C2">
        <w:rPr>
          <w:rStyle w:val="normaltextrun"/>
        </w:rPr>
        <w:t> and </w:t>
      </w:r>
      <w:hyperlink w:tgtFrame="_blank" w:tooltip="852" w:history="1" r:id="rId42">
        <w:r w:rsidRPr="004235C2">
          <w:rPr>
            <w:rStyle w:val="normaltextrun"/>
          </w:rPr>
          <w:t>852</w:t>
        </w:r>
      </w:hyperlink>
      <w:r w:rsidRPr="004235C2">
        <w:rPr>
          <w:rStyle w:val="normaltextrun"/>
        </w:rPr>
        <w:t>.</w:t>
      </w:r>
    </w:p>
    <w:p w:rsidRPr="008D472F" w:rsidR="008D472F" w:rsidP="008D472F" w:rsidRDefault="008D472F" w14:paraId="4FD0E158" w14:textId="1E880FC8">
      <w:pPr>
        <w:spacing w:after="200" w:line="276" w:lineRule="auto"/>
        <w:rPr>
          <w:rStyle w:val="normaltextrun"/>
        </w:rPr>
      </w:pPr>
      <w:r w:rsidRPr="008D472F">
        <w:rPr>
          <w:rStyle w:val="normaltextrun"/>
        </w:rPr>
        <w:lastRenderedPageBreak/>
        <w:t>2721</w:t>
      </w:r>
      <w:r>
        <w:rPr>
          <w:rStyle w:val="normaltextrun"/>
        </w:rPr>
        <w:t>:</w:t>
      </w:r>
      <w:r w:rsidRPr="008D472F">
        <w:rPr>
          <w:rStyle w:val="normaltextrun"/>
        </w:rPr>
        <w:t> (a) For purposes of this section, the following terms have the following meanings:</w:t>
      </w:r>
    </w:p>
    <w:p w:rsidRPr="008D472F" w:rsidR="008D472F" w:rsidP="004C715F" w:rsidRDefault="008D472F" w14:paraId="1B61D798" w14:textId="77777777">
      <w:pPr>
        <w:spacing w:after="200" w:line="276" w:lineRule="auto"/>
        <w:ind w:left="1440"/>
        <w:rPr>
          <w:rStyle w:val="normaltextrun"/>
        </w:rPr>
      </w:pPr>
      <w:r w:rsidRPr="008D472F">
        <w:rPr>
          <w:rStyle w:val="normaltextrun"/>
        </w:rPr>
        <w:t>(1) “Consolidate” means to join two or more small community water systems, state small water systems, or affected residences not served by a small community water system or state small water system into a single consolidated water system.</w:t>
      </w:r>
    </w:p>
    <w:p w:rsidRPr="008D472F" w:rsidR="008D472F" w:rsidP="004C715F" w:rsidRDefault="008D472F" w14:paraId="1398A7E8" w14:textId="77777777">
      <w:pPr>
        <w:spacing w:after="200" w:line="276" w:lineRule="auto"/>
        <w:ind w:left="1440"/>
        <w:rPr>
          <w:rStyle w:val="normaltextrun"/>
        </w:rPr>
      </w:pPr>
      <w:r w:rsidRPr="008D472F">
        <w:rPr>
          <w:rStyle w:val="normaltextrun"/>
        </w:rPr>
        <w:t>(2) “Small community water system” has the same meaning as set forth in Section 116275 of the Health and Safety Code.</w:t>
      </w:r>
    </w:p>
    <w:p w:rsidRPr="008D472F" w:rsidR="008D472F" w:rsidP="004C715F" w:rsidRDefault="008D472F" w14:paraId="626E1FE8" w14:textId="77777777">
      <w:pPr>
        <w:spacing w:after="200" w:line="276" w:lineRule="auto"/>
        <w:ind w:left="1440"/>
        <w:rPr>
          <w:rStyle w:val="normaltextrun"/>
        </w:rPr>
      </w:pPr>
      <w:r w:rsidRPr="008D472F">
        <w:rPr>
          <w:rStyle w:val="normaltextrun"/>
        </w:rPr>
        <w:t>(3) “State small water system” has the same meaning as set forth in Section 116275 of the Health and Safety Code.</w:t>
      </w:r>
    </w:p>
    <w:p w:rsidRPr="008D472F" w:rsidR="008D472F" w:rsidP="004C715F" w:rsidRDefault="008D472F" w14:paraId="35CB0310" w14:textId="77777777">
      <w:pPr>
        <w:spacing w:after="200" w:line="276" w:lineRule="auto"/>
        <w:ind w:left="720"/>
        <w:rPr>
          <w:rStyle w:val="normaltextrun"/>
        </w:rPr>
      </w:pPr>
      <w:r w:rsidRPr="008D472F">
        <w:rPr>
          <w:rStyle w:val="normaltextrun"/>
        </w:rPr>
        <w:t>(b) (1) A water or sewer system corporation may file an application and obtain approval from the commission through an order authorizing that water or sewer system corporation to consolidate with a small community water system or state small water system identified as failing or at risk of failing by the State Water Resources Control Board.</w:t>
      </w:r>
    </w:p>
    <w:p w:rsidRPr="008D472F" w:rsidR="008D472F" w:rsidP="004C715F" w:rsidRDefault="008D472F" w14:paraId="48415959" w14:textId="77777777">
      <w:pPr>
        <w:spacing w:after="200" w:line="276" w:lineRule="auto"/>
        <w:ind w:left="1440"/>
        <w:rPr>
          <w:rStyle w:val="normaltextrun"/>
        </w:rPr>
      </w:pPr>
      <w:r w:rsidRPr="008D472F">
        <w:rPr>
          <w:rStyle w:val="normaltextrun"/>
        </w:rPr>
        <w:t>(2) The commission shall approve or deny an application filed pursuant to paragraph (1) within 12 months of its filing, unless the commission makes a written determination that the deadline cannot be met, including findings as to the reason, and issues an order extending the deadline by up to four months. The commission may grant additional extensions of four months or less consistent with this paragraph.</w:t>
      </w:r>
    </w:p>
    <w:p w:rsidRPr="008D472F" w:rsidR="008D472F" w:rsidP="004C715F" w:rsidRDefault="008D472F" w14:paraId="0E0D91B0" w14:textId="77777777">
      <w:pPr>
        <w:spacing w:after="200" w:line="276" w:lineRule="auto"/>
        <w:ind w:left="1440"/>
        <w:rPr>
          <w:rStyle w:val="normaltextrun"/>
        </w:rPr>
      </w:pPr>
      <w:r w:rsidRPr="008D472F">
        <w:rPr>
          <w:rStyle w:val="normaltextrun"/>
        </w:rPr>
        <w:t>(3) A water or sewer system corporation shall submit a fee of ten thousand dollars ($10,000) when filing an application for authority to complete a consolidation made pursuant to paragraph (1).</w:t>
      </w:r>
    </w:p>
    <w:p w:rsidRPr="008D472F" w:rsidR="008D472F" w:rsidP="004C715F" w:rsidRDefault="008D472F" w14:paraId="399AC50F" w14:textId="77777777">
      <w:pPr>
        <w:spacing w:after="200" w:line="276" w:lineRule="auto"/>
        <w:ind w:left="1440"/>
        <w:rPr>
          <w:rStyle w:val="normaltextrun"/>
        </w:rPr>
      </w:pPr>
      <w:r w:rsidRPr="008D472F">
        <w:rPr>
          <w:rStyle w:val="normaltextrun"/>
        </w:rPr>
        <w:t>(4) All moneys collected pursuant to paragraph (3) shall be deposited into the Consolidation For Safe Drinking Water Fund, established pursuant to Section 2722.</w:t>
      </w:r>
    </w:p>
    <w:p w:rsidRPr="008D472F" w:rsidR="008D472F" w:rsidP="004C715F" w:rsidRDefault="008D472F" w14:paraId="0186AC2A" w14:textId="77777777">
      <w:pPr>
        <w:spacing w:after="200" w:line="276" w:lineRule="auto"/>
        <w:ind w:left="720"/>
        <w:rPr>
          <w:rStyle w:val="normaltextrun"/>
        </w:rPr>
      </w:pPr>
      <w:r w:rsidRPr="008D472F">
        <w:rPr>
          <w:rStyle w:val="normaltextrun"/>
        </w:rPr>
        <w:t>(c) (1) (A) For a consolidation valued at five million dollars ($5,000,000) or less, a water or sewer system corporation may file an advice letter and obtain approval from the commission through a resolution authorizing that water or sewer system corporation to consolidate with a small community water system or state small water system identified as failing or at risk of failing by the State Water Resources Control Board.</w:t>
      </w:r>
    </w:p>
    <w:p w:rsidRPr="008D472F" w:rsidR="008D472F" w:rsidP="004C715F" w:rsidRDefault="008D472F" w14:paraId="26878753" w14:textId="77777777">
      <w:pPr>
        <w:spacing w:after="200" w:line="276" w:lineRule="auto"/>
        <w:ind w:left="720"/>
        <w:rPr>
          <w:rStyle w:val="normaltextrun"/>
        </w:rPr>
      </w:pPr>
      <w:r w:rsidRPr="008D472F">
        <w:rPr>
          <w:rStyle w:val="normaltextrun"/>
        </w:rPr>
        <w:t>(B) If an advice letter filed pursuant to this paragraph is uncontested, approval may be given by the executive director or the director of the division of the commission having regulatory jurisdiction over the water or sewer system corporation.</w:t>
      </w:r>
    </w:p>
    <w:p w:rsidRPr="008D472F" w:rsidR="008D472F" w:rsidP="004C715F" w:rsidRDefault="008D472F" w14:paraId="385F3A3E" w14:textId="77777777">
      <w:pPr>
        <w:spacing w:after="200" w:line="276" w:lineRule="auto"/>
        <w:ind w:left="720"/>
        <w:rPr>
          <w:rStyle w:val="normaltextrun"/>
        </w:rPr>
      </w:pPr>
      <w:r w:rsidRPr="008D472F">
        <w:rPr>
          <w:rStyle w:val="normaltextrun"/>
        </w:rPr>
        <w:t xml:space="preserve">(C) Absent incomplete documentation, the commission shall approve or deny the advice letter within 180 days of its filing by the applicant water or sewer system corporation, if the advice letter is not contested, unless the executive director makes a written determination that the deadline cannot be met, including findings as to the reason, and issues a response extending the deadline by up to 60 </w:t>
      </w:r>
      <w:r w:rsidRPr="008D472F">
        <w:rPr>
          <w:rStyle w:val="normaltextrun"/>
        </w:rPr>
        <w:lastRenderedPageBreak/>
        <w:t>days. The executive director may grant additional extensions of 60 days or less consistent with this subparagraph.</w:t>
      </w:r>
    </w:p>
    <w:p w:rsidRPr="008D472F" w:rsidR="008D472F" w:rsidP="004C715F" w:rsidRDefault="008D472F" w14:paraId="384A3F9E" w14:textId="77777777">
      <w:pPr>
        <w:spacing w:after="200" w:line="276" w:lineRule="auto"/>
        <w:ind w:left="720"/>
        <w:rPr>
          <w:rStyle w:val="normaltextrun"/>
        </w:rPr>
      </w:pPr>
      <w:r w:rsidRPr="008D472F">
        <w:rPr>
          <w:rStyle w:val="normaltextrun"/>
        </w:rPr>
        <w:t>(2) For a consolidation valued at five million dollars ($5,000,000) or less, the commission may designate a different procedure if it determines that the consolidation warrants a more comprehensive review than the advice letter procedure described in paragraph (1) provides.</w:t>
      </w:r>
    </w:p>
    <w:p w:rsidRPr="008D472F" w:rsidR="008D472F" w:rsidP="004C715F" w:rsidRDefault="008D472F" w14:paraId="13775F87" w14:textId="77777777">
      <w:pPr>
        <w:spacing w:after="200" w:line="276" w:lineRule="auto"/>
        <w:ind w:left="720"/>
        <w:rPr>
          <w:rStyle w:val="normaltextrun"/>
        </w:rPr>
      </w:pPr>
      <w:r w:rsidRPr="008D472F">
        <w:rPr>
          <w:rStyle w:val="normaltextrun"/>
        </w:rPr>
        <w:t>(d) For purposes of a consolidation pursuant to either subdivision (b) or (c), the commission shall prioritize cases in which a water or sewer system corporation consolidates with a small community water system or state small water system that is subject to a citation issued pursuant to Section 116650 of the Health and Safety Code or a compliance order issued pursuant to Section 116655 of the Health and Safety Code for failure to meet primary or secondary drinking water standards, as defined in Section 116275 of the Health and Safety Code.</w:t>
      </w:r>
    </w:p>
    <w:p w:rsidRPr="008D472F" w:rsidR="008D472F" w:rsidP="004C715F" w:rsidRDefault="008D472F" w14:paraId="65986A53" w14:textId="77777777">
      <w:pPr>
        <w:spacing w:after="200" w:line="276" w:lineRule="auto"/>
        <w:ind w:left="720"/>
        <w:rPr>
          <w:rStyle w:val="normaltextrun"/>
        </w:rPr>
      </w:pPr>
      <w:r w:rsidRPr="008D472F">
        <w:rPr>
          <w:rStyle w:val="normaltextrun"/>
        </w:rPr>
        <w:t>(e) A water or sewer system corporation seeking to consolidate with a small community water system or state small water system pursuant to this section shall give adequate public notice and provide adequate opportunities for public participation, as determined by the commission.</w:t>
      </w:r>
    </w:p>
    <w:p w:rsidRPr="008D472F" w:rsidR="008D472F" w:rsidP="004C715F" w:rsidRDefault="008D472F" w14:paraId="2333D968" w14:textId="77777777">
      <w:pPr>
        <w:spacing w:after="200" w:line="276" w:lineRule="auto"/>
        <w:ind w:left="720"/>
        <w:rPr>
          <w:rStyle w:val="normaltextrun"/>
        </w:rPr>
      </w:pPr>
      <w:r w:rsidRPr="008D472F">
        <w:rPr>
          <w:rStyle w:val="normaltextrun"/>
        </w:rPr>
        <w:t>(f) This section does not require a small community water system or state small water system that is not subject to the jurisdiction, control, and regulation of the commission to obtain authorization from the commission before consolidating with a small community water system or state small water system.</w:t>
      </w:r>
    </w:p>
    <w:p w:rsidRPr="008D472F" w:rsidR="008D472F" w:rsidP="008D472F" w:rsidRDefault="008D472F" w14:paraId="7AD847BB" w14:textId="2FCB508C">
      <w:pPr>
        <w:spacing w:after="200" w:line="276" w:lineRule="auto"/>
        <w:rPr>
          <w:rStyle w:val="normaltextrun"/>
        </w:rPr>
      </w:pPr>
      <w:r w:rsidRPr="008D472F">
        <w:rPr>
          <w:rStyle w:val="normaltextrun"/>
        </w:rPr>
        <w:t>2722</w:t>
      </w:r>
      <w:r w:rsidR="004C715F">
        <w:rPr>
          <w:rStyle w:val="normaltextrun"/>
        </w:rPr>
        <w:t xml:space="preserve">: </w:t>
      </w:r>
      <w:r w:rsidRPr="008D472F">
        <w:rPr>
          <w:rStyle w:val="normaltextrun"/>
        </w:rPr>
        <w:t>The Consolidation For Safe Drinking Water Fund is hereby created. All moneys in the fund are available, upon appropriation by the Legislature, to the commission and shall be used only for the purpose of processing applications pursuant to subdivision (b) of Section 2721 along with any other associated regulatory costs.</w:t>
      </w:r>
    </w:p>
    <w:p w:rsidR="008D472F" w:rsidP="0074749F" w:rsidRDefault="008D472F" w14:paraId="55E6A919" w14:textId="77777777">
      <w:pPr>
        <w:spacing w:after="200" w:line="276" w:lineRule="auto"/>
        <w:ind w:left="720"/>
        <w:rPr>
          <w:rStyle w:val="normaltextrun"/>
        </w:rPr>
      </w:pPr>
    </w:p>
    <w:p w:rsidR="00D510E2" w:rsidP="00D510E2" w:rsidRDefault="00BC39F5" w14:paraId="2D489926" w14:textId="11725064">
      <w:pPr>
        <w:spacing w:after="200" w:line="276" w:lineRule="auto"/>
        <w:rPr>
          <w:rStyle w:val="normaltextrun"/>
          <w:b/>
          <w:bCs/>
        </w:rPr>
      </w:pPr>
      <w:r>
        <w:rPr>
          <w:rStyle w:val="normaltextrun"/>
          <w:b/>
          <w:bCs/>
        </w:rPr>
        <w:t>Code of Civil Procedure Section 1263.320</w:t>
      </w:r>
      <w:r w:rsidRPr="00F257FE" w:rsidR="00D510E2">
        <w:rPr>
          <w:rStyle w:val="normaltextrun"/>
          <w:b/>
          <w:bCs/>
        </w:rPr>
        <w:t>:</w:t>
      </w:r>
    </w:p>
    <w:p w:rsidRPr="00580390" w:rsidR="00580390" w:rsidP="00580390" w:rsidRDefault="00580390" w14:paraId="7254A02E" w14:textId="77777777">
      <w:pPr>
        <w:spacing w:after="200" w:line="276" w:lineRule="auto"/>
        <w:ind w:left="720"/>
        <w:rPr>
          <w:rStyle w:val="normaltextrun"/>
        </w:rPr>
      </w:pPr>
      <w:r w:rsidRPr="00580390">
        <w:rPr>
          <w:rStyle w:val="normaltextrun"/>
        </w:rPr>
        <w:t>(a) The fair market value of the property taken is the highest price on the date of valuation that would be agreed to by a seller, being willing to sell but under no particular or urgent necessity for so doing, nor obliged to sell, and a buyer, being ready, willing, and able to buy but under no particular necessity for so doing, each dealing with the other with full knowledge of all the uses and purposes for which the property is reasonably adaptable and available.</w:t>
      </w:r>
    </w:p>
    <w:p w:rsidR="004C715F" w:rsidP="00580390" w:rsidRDefault="00580390" w14:paraId="3391F16F" w14:textId="4059B41C">
      <w:pPr>
        <w:spacing w:after="200" w:line="276" w:lineRule="auto"/>
        <w:ind w:left="720"/>
        <w:rPr>
          <w:rStyle w:val="normaltextrun"/>
        </w:rPr>
      </w:pPr>
      <w:r w:rsidRPr="00580390">
        <w:rPr>
          <w:rStyle w:val="normaltextrun"/>
        </w:rPr>
        <w:t>(b) The fair market value of property taken for which there is no relevant, comparable market is its value on the date of valuation as determined by any method of valuation that is just and equitable.</w:t>
      </w:r>
    </w:p>
    <w:p w:rsidR="004C715F" w:rsidRDefault="004C715F" w14:paraId="4C5F5A82" w14:textId="77777777">
      <w:pPr>
        <w:spacing w:after="200" w:line="276" w:lineRule="auto"/>
        <w:rPr>
          <w:rStyle w:val="normaltextrun"/>
        </w:rPr>
      </w:pPr>
      <w:r>
        <w:rPr>
          <w:rStyle w:val="normaltextrun"/>
        </w:rPr>
        <w:br w:type="page"/>
      </w:r>
    </w:p>
    <w:p w:rsidR="00143279" w:rsidP="00143279" w:rsidRDefault="00143279" w14:paraId="725D80ED" w14:textId="56DBAEAD">
      <w:pPr>
        <w:spacing w:after="200" w:line="276" w:lineRule="auto"/>
        <w:rPr>
          <w:rStyle w:val="normaltextrun"/>
          <w:b/>
          <w:bCs/>
        </w:rPr>
      </w:pPr>
      <w:r w:rsidRPr="00F257FE">
        <w:rPr>
          <w:rStyle w:val="normaltextrun"/>
          <w:b/>
          <w:bCs/>
        </w:rPr>
        <w:lastRenderedPageBreak/>
        <w:t xml:space="preserve">Public Utilities Code Sections </w:t>
      </w:r>
      <w:r>
        <w:rPr>
          <w:rStyle w:val="normaltextrun"/>
          <w:b/>
          <w:bCs/>
        </w:rPr>
        <w:t>851 through 854</w:t>
      </w:r>
      <w:r w:rsidRPr="00F257FE">
        <w:rPr>
          <w:rStyle w:val="normaltextrun"/>
          <w:b/>
          <w:bCs/>
        </w:rPr>
        <w:t>:</w:t>
      </w:r>
    </w:p>
    <w:p w:rsidRPr="00E16CD7" w:rsidR="00E16CD7" w:rsidP="00E16CD7" w:rsidRDefault="00E16CD7" w14:paraId="2B6FF0F9" w14:textId="7F0675C9">
      <w:pPr>
        <w:spacing w:after="200" w:line="276" w:lineRule="auto"/>
        <w:ind w:left="720"/>
        <w:rPr>
          <w:rStyle w:val="normaltextrun"/>
        </w:rPr>
      </w:pPr>
      <w:r>
        <w:rPr>
          <w:rStyle w:val="normaltextrun"/>
        </w:rPr>
        <w:t xml:space="preserve">851: </w:t>
      </w:r>
      <w:r w:rsidRPr="00E16CD7">
        <w:rPr>
          <w:rStyle w:val="normaltextrun"/>
        </w:rPr>
        <w:t>A public utility, other than a common carrier by railroad subject to Part A of the Interstate Commerce Act ( </w:t>
      </w:r>
      <w:hyperlink w:tgtFrame="_blank" w:tooltip="49 U.S.C. Sec. 10101 et seq." w:history="1" r:id="rId43">
        <w:r w:rsidRPr="00E16CD7">
          <w:rPr>
            <w:rStyle w:val="normaltextrun"/>
          </w:rPr>
          <w:t>49 U.S.C. Sec. 10101 et seq.</w:t>
        </w:r>
      </w:hyperlink>
      <w:r w:rsidRPr="00E16CD7">
        <w:rPr>
          <w:rStyle w:val="normaltextrun"/>
        </w:rPr>
        <w:t xml:space="preserve"> ), shall not sell, lease, assign, mortgage, or otherwise dispose of, or encumber the whole or any part of its railroad, street railroad, line, plant, system, or other property necessary or useful in the performance of its duties to the public, or any franchise or permit or any right thereunder, or by any means whatsoever, directly or indirectly, merge or consolidate its railroad, street railroad, line, plant, system, or other property, or franchises or permits or any part thereof, with any other public utility, without first having either secured an order from the commission authorizing it to do so for qualified transactions valued above five million dollars ($5,000,000), or for qualified transactions valued at five million dollars ($5,000,000) or less, filed an advice letter and obtained approval from the commission authorizing it to do so. </w:t>
      </w:r>
      <w:r w:rsidRPr="00E16CD7">
        <w:rPr>
          <w:rStyle w:val="normaltextrun"/>
        </w:rPr>
        <w:t> </w:t>
      </w:r>
      <w:r w:rsidRPr="00E16CD7">
        <w:rPr>
          <w:rStyle w:val="normaltextrun"/>
        </w:rPr>
        <w:t xml:space="preserve">If the advice letter is uncontested, approval may be given by the executive director or the director of the division of the commission having regulatory jurisdiction over the utility. </w:t>
      </w:r>
      <w:r w:rsidRPr="00E16CD7">
        <w:rPr>
          <w:rStyle w:val="normaltextrun"/>
        </w:rPr>
        <w:t> </w:t>
      </w:r>
      <w:r w:rsidRPr="00E16CD7">
        <w:rPr>
          <w:rStyle w:val="normaltextrun"/>
        </w:rPr>
        <w:t xml:space="preserve">The commission shall determine the types of transactions valued at five million dollars ($5,000,000) or less, that qualify for advice letter handling. </w:t>
      </w:r>
      <w:r w:rsidRPr="00E16CD7">
        <w:rPr>
          <w:rStyle w:val="normaltextrun"/>
        </w:rPr>
        <w:t> </w:t>
      </w:r>
      <w:r w:rsidRPr="00E16CD7">
        <w:rPr>
          <w:rStyle w:val="normaltextrun"/>
        </w:rPr>
        <w:t xml:space="preserve">For a qualified transaction valued at five million dollars ($5,000,000) or less, the commission may designate a procedure different than the advice letter procedure if it determines that the transaction warrants a more comprehensive review. </w:t>
      </w:r>
      <w:r w:rsidRPr="00E16CD7">
        <w:rPr>
          <w:rStyle w:val="normaltextrun"/>
        </w:rPr>
        <w:t> </w:t>
      </w:r>
      <w:r w:rsidRPr="00E16CD7">
        <w:rPr>
          <w:rStyle w:val="normaltextrun"/>
        </w:rPr>
        <w:t xml:space="preserve">Absent protest or incomplete documentation, the commission shall approve or deny the advice letter within 120 days of its filing by the applicant public utility. </w:t>
      </w:r>
      <w:r w:rsidRPr="00E16CD7">
        <w:rPr>
          <w:rStyle w:val="normaltextrun"/>
        </w:rPr>
        <w:t> </w:t>
      </w:r>
      <w:r w:rsidRPr="00E16CD7">
        <w:rPr>
          <w:rStyle w:val="normaltextrun"/>
        </w:rPr>
        <w:t xml:space="preserve">The commission shall reject any advice letter that seeks to circumvent the five million dollar ($5,000,000) threshold by dividing a single asset with a value of more than five million dollars ($5,000,000), into component parts, each valued at less than five million dollars ($5,000,000). </w:t>
      </w:r>
      <w:r w:rsidRPr="00E16CD7">
        <w:rPr>
          <w:rStyle w:val="normaltextrun"/>
        </w:rPr>
        <w:t> </w:t>
      </w:r>
      <w:r w:rsidRPr="00E16CD7">
        <w:rPr>
          <w:rStyle w:val="normaltextrun"/>
        </w:rPr>
        <w:t xml:space="preserve">Every sale, lease, assignment, mortgage, disposition, encumbrance, merger, or consolidation made other than in accordance with the advice letter and approval from the commission authorizing it is void. </w:t>
      </w:r>
      <w:r w:rsidRPr="00E16CD7">
        <w:rPr>
          <w:rStyle w:val="normaltextrun"/>
        </w:rPr>
        <w:t> </w:t>
      </w:r>
      <w:r w:rsidRPr="00E16CD7">
        <w:rPr>
          <w:rStyle w:val="normaltextrun"/>
        </w:rPr>
        <w:t>The permission and approval of the commission to the exercise of a franchise or permit under Article 1 (commencing with </w:t>
      </w:r>
      <w:hyperlink w:tgtFrame="_blank" w:tooltip="Section 1001" w:history="1" r:id="rId44">
        <w:r w:rsidRPr="00E16CD7">
          <w:rPr>
            <w:rStyle w:val="normaltextrun"/>
          </w:rPr>
          <w:t>Section 1001</w:t>
        </w:r>
      </w:hyperlink>
      <w:r w:rsidRPr="00E16CD7">
        <w:rPr>
          <w:rStyle w:val="normaltextrun"/>
        </w:rPr>
        <w:t> ) of Chapter 5, or the sale, lease, assignment, mortgage, or other disposition or encumbrance of a franchise or permit under this article shall not revive or validate any lapsed or invalid franchise or permit, or enlarge or add to the powers or privileges contained in the grant of any franchise or permit, or waive any forfeiture.</w:t>
      </w:r>
    </w:p>
    <w:p w:rsidR="00E16CD7" w:rsidP="00E16CD7" w:rsidRDefault="00E16CD7" w14:paraId="007C3C8E" w14:textId="77777777">
      <w:pPr>
        <w:spacing w:after="200" w:line="276" w:lineRule="auto"/>
        <w:ind w:left="720"/>
        <w:rPr>
          <w:rStyle w:val="normaltextrun"/>
        </w:rPr>
      </w:pPr>
      <w:r w:rsidRPr="00E16CD7">
        <w:rPr>
          <w:rStyle w:val="normaltextrun"/>
        </w:rPr>
        <w:t>This section does not prevent the sale, lease, encumbrance, or other disposition by any public utility of property that is not necessary or useful in the performance of its duties to the public, and any disposition of property by a public utility shall be conclusively presumed to be of property that is not useful or necessary in the performance of its duties to the public, as to any purchaser, lessee, or encumbrancer dealing with that property in good faith for value, provided that this section does not apply to the interchange of equipment in the regular course of transportation between connecting common carriers.</w:t>
      </w:r>
    </w:p>
    <w:p w:rsidRPr="00E16CD7" w:rsidR="00693127" w:rsidP="00E16CD7" w:rsidRDefault="00693127" w14:paraId="020631D3" w14:textId="31856D98">
      <w:pPr>
        <w:spacing w:after="200" w:line="276" w:lineRule="auto"/>
        <w:ind w:left="720"/>
        <w:rPr>
          <w:rStyle w:val="normaltextrun"/>
        </w:rPr>
      </w:pPr>
      <w:r w:rsidRPr="00693127">
        <w:rPr>
          <w:rStyle w:val="normaltextrun"/>
        </w:rPr>
        <w:t xml:space="preserve">852: No public utility, and no subsidiary or affiliate of, or corporation holding a controlling interest in, a public utility, shall purchase or acquire, take or hold, any part of the capital stock of any other public utility, organized or existing under or by virtue of the laws of this state, without having been first authorized to do so by the commission; </w:t>
      </w:r>
      <w:r w:rsidRPr="00693127">
        <w:rPr>
          <w:rStyle w:val="normaltextrun"/>
          <w:rFonts w:ascii="Times New Roman" w:hAnsi="Times New Roman" w:cs="Times New Roman"/>
        </w:rPr>
        <w:t> </w:t>
      </w:r>
      <w:r w:rsidRPr="00693127">
        <w:rPr>
          <w:rStyle w:val="normaltextrun"/>
        </w:rPr>
        <w:t xml:space="preserve">provided, however, that the commission may establish by order or rule categories of stock acquisitions which it determines will not be harmful to the public </w:t>
      </w:r>
      <w:r w:rsidRPr="00693127">
        <w:rPr>
          <w:rStyle w:val="normaltextrun"/>
        </w:rPr>
        <w:lastRenderedPageBreak/>
        <w:t xml:space="preserve">interest, and purchases within those categories are exempt from this section. </w:t>
      </w:r>
      <w:r w:rsidRPr="00693127">
        <w:rPr>
          <w:rStyle w:val="normaltextrun"/>
        </w:rPr>
        <w:t> </w:t>
      </w:r>
      <w:r w:rsidRPr="00693127">
        <w:rPr>
          <w:rStyle w:val="normaltextrun"/>
        </w:rPr>
        <w:t xml:space="preserve">Every assignment, transfer, contract, or agreement for assignment or transfer of any stock by or through any person or corporation to any corporation or otherwise in violation of any of the provisions of this article is void and of no effect, and no such transfer shall be made on the books of any public utility. </w:t>
      </w:r>
      <w:r w:rsidRPr="00693127">
        <w:rPr>
          <w:rStyle w:val="normaltextrun"/>
        </w:rPr>
        <w:t> </w:t>
      </w:r>
      <w:r w:rsidRPr="00693127">
        <w:rPr>
          <w:rStyle w:val="normaltextrun"/>
        </w:rPr>
        <w:t>Nothing in this section prevents the holding of stock previously lawfully acquired.</w:t>
      </w:r>
    </w:p>
    <w:p w:rsidRPr="00E57DD9" w:rsidR="00E57DD9" w:rsidP="00E57DD9" w:rsidRDefault="00E57DD9" w14:paraId="1741FF16" w14:textId="1400BD61">
      <w:pPr>
        <w:spacing w:after="200" w:line="276" w:lineRule="auto"/>
        <w:ind w:left="720"/>
        <w:rPr>
          <w:rStyle w:val="normaltextrun"/>
        </w:rPr>
      </w:pPr>
      <w:r w:rsidRPr="00E57DD9">
        <w:rPr>
          <w:rStyle w:val="normaltextrun"/>
        </w:rPr>
        <w:t>853: (a)</w:t>
      </w:r>
      <w:r w:rsidRPr="00E57DD9">
        <w:rPr>
          <w:rStyle w:val="normaltextrun"/>
        </w:rPr>
        <w:t> </w:t>
      </w:r>
      <w:r w:rsidRPr="00E57DD9">
        <w:rPr>
          <w:rStyle w:val="normaltextrun"/>
        </w:rPr>
        <w:t>This article does not apply to any person or corporation which transacts no business subject to regulation under this part, except performing services or delivering commodities for or to public utilities or municipal corporations or other public agencies primarily for resale or use in serving the public or any portion thereof, but shall apply to any public utility, and any subsidiary or affiliate of, or corporation holding a controlling interest in, a public utility, if the commission finds, in a proceeding to which the public utility is or may become a party, that the application of this article is required by the public interest.</w:t>
      </w:r>
    </w:p>
    <w:p w:rsidRPr="00E57DD9" w:rsidR="00E57DD9" w:rsidP="00C81E3D" w:rsidRDefault="00E57DD9" w14:paraId="59E39B33" w14:textId="77777777">
      <w:pPr>
        <w:spacing w:after="200" w:line="276" w:lineRule="auto"/>
        <w:ind w:left="1440"/>
        <w:rPr>
          <w:rStyle w:val="normaltextrun"/>
        </w:rPr>
      </w:pPr>
      <w:r w:rsidRPr="00E57DD9">
        <w:rPr>
          <w:rStyle w:val="normaltextrun"/>
        </w:rPr>
        <w:t>(b)</w:t>
      </w:r>
      <w:r w:rsidRPr="00E57DD9">
        <w:rPr>
          <w:rStyle w:val="normaltextrun"/>
        </w:rPr>
        <w:t> </w:t>
      </w:r>
      <w:r w:rsidRPr="00E57DD9">
        <w:rPr>
          <w:rStyle w:val="normaltextrun"/>
        </w:rPr>
        <w:t xml:space="preserve">The commission may from time to time by order or rule, and subject to those terms and conditions as may be prescribed therein, exempt any public utility or class of public utility from this article if it finds that the application thereof with respect to the public utility or class of public utility is not necessary in the public interest. </w:t>
      </w:r>
      <w:r w:rsidRPr="00E57DD9">
        <w:rPr>
          <w:rStyle w:val="normaltextrun"/>
        </w:rPr>
        <w:t> </w:t>
      </w:r>
      <w:r w:rsidRPr="00E57DD9">
        <w:rPr>
          <w:rStyle w:val="normaltextrun"/>
        </w:rPr>
        <w:t xml:space="preserve">The commission may establish rules or impose requirements deemed necessary to protect the interest of the customers or subscribers of the public utility or class of public utility exempted under this subdivision. </w:t>
      </w:r>
      <w:r w:rsidRPr="00E57DD9">
        <w:rPr>
          <w:rStyle w:val="normaltextrun"/>
        </w:rPr>
        <w:t> </w:t>
      </w:r>
      <w:r w:rsidRPr="00E57DD9">
        <w:rPr>
          <w:rStyle w:val="normaltextrun"/>
        </w:rPr>
        <w:t>These rules or requirements may include, but are not limited to, notification of a proposed sale or transfer of assets or stock and provision for refunds or credits to customers or subscribers.</w:t>
      </w:r>
    </w:p>
    <w:p w:rsidRPr="00E57DD9" w:rsidR="00E57DD9" w:rsidP="00C81E3D" w:rsidRDefault="00E57DD9" w14:paraId="0BC5D3D0" w14:textId="77777777">
      <w:pPr>
        <w:spacing w:after="200" w:line="276" w:lineRule="auto"/>
        <w:ind w:left="1440"/>
        <w:rPr>
          <w:rStyle w:val="normaltextrun"/>
        </w:rPr>
      </w:pPr>
      <w:r w:rsidRPr="00E57DD9">
        <w:rPr>
          <w:rStyle w:val="normaltextrun"/>
        </w:rPr>
        <w:t>(c)</w:t>
      </w:r>
      <w:r w:rsidRPr="00E57DD9">
        <w:rPr>
          <w:rStyle w:val="normaltextrun"/>
        </w:rPr>
        <w:t> </w:t>
      </w:r>
      <w:r w:rsidRPr="00E57DD9">
        <w:rPr>
          <w:rStyle w:val="normaltextrun"/>
        </w:rPr>
        <w:t>The provisions of </w:t>
      </w:r>
      <w:hyperlink w:tgtFrame="_blank" w:tooltip="Sections 851" w:history="1" r:id="rId45">
        <w:r w:rsidRPr="00E57DD9">
          <w:rPr>
            <w:rStyle w:val="normaltextrun"/>
          </w:rPr>
          <w:t>Sections 851</w:t>
        </w:r>
      </w:hyperlink>
      <w:r w:rsidRPr="00E57DD9">
        <w:rPr>
          <w:rStyle w:val="normaltextrun"/>
        </w:rPr>
        <w:t> and </w:t>
      </w:r>
      <w:hyperlink w:tgtFrame="_blank" w:tooltip="854" w:history="1" r:id="rId46">
        <w:r w:rsidRPr="00E57DD9">
          <w:rPr>
            <w:rStyle w:val="normaltextrun"/>
          </w:rPr>
          <w:t>854</w:t>
        </w:r>
      </w:hyperlink>
      <w:r w:rsidRPr="00E57DD9">
        <w:rPr>
          <w:rStyle w:val="normaltextrun"/>
        </w:rPr>
        <w:t> that prohibit any assignment, acquisition, or change of control without advance authorization from the commission, do not apply to the transfer of the ownership interest in a water utility, with 10,000 or fewer service connections, from a decedent to a member of the decedent's family in the manner provided in </w:t>
      </w:r>
      <w:hyperlink w:tgtFrame="_blank" w:tooltip="Section 240 of the Probate Code" w:history="1" r:id="rId47">
        <w:r w:rsidRPr="00E57DD9">
          <w:rPr>
            <w:rStyle w:val="normaltextrun"/>
          </w:rPr>
          <w:t>Section 240 of the Probate Code</w:t>
        </w:r>
      </w:hyperlink>
      <w:r w:rsidRPr="00E57DD9">
        <w:rPr>
          <w:rStyle w:val="normaltextrun"/>
        </w:rPr>
        <w:t> or by a will, trust, or other instrument.</w:t>
      </w:r>
    </w:p>
    <w:p w:rsidR="00E57DD9" w:rsidP="00C81E3D" w:rsidRDefault="00E57DD9" w14:paraId="3F5B95B3" w14:textId="77777777">
      <w:pPr>
        <w:spacing w:after="200" w:line="276" w:lineRule="auto"/>
        <w:ind w:left="1440"/>
        <w:rPr>
          <w:rStyle w:val="normaltextrun"/>
        </w:rPr>
      </w:pPr>
      <w:r w:rsidRPr="00E57DD9">
        <w:rPr>
          <w:rStyle w:val="normaltextrun"/>
        </w:rPr>
        <w:t>(d)</w:t>
      </w:r>
      <w:r w:rsidRPr="00E57DD9">
        <w:rPr>
          <w:rStyle w:val="normaltextrun"/>
        </w:rPr>
        <w:t> </w:t>
      </w:r>
      <w:r w:rsidRPr="00E57DD9">
        <w:rPr>
          <w:rStyle w:val="normaltextrun"/>
        </w:rPr>
        <w:t xml:space="preserve">It is the intent of the Legislature that transactions with monetary values that materially impact a public utility's rate base should not qualify for expedited advice letter treatment pursuant to this article. </w:t>
      </w:r>
      <w:r w:rsidRPr="00E57DD9">
        <w:rPr>
          <w:rStyle w:val="normaltextrun"/>
        </w:rPr>
        <w:t> </w:t>
      </w:r>
      <w:r w:rsidRPr="00E57DD9">
        <w:rPr>
          <w:rStyle w:val="normaltextrun"/>
        </w:rPr>
        <w:t xml:space="preserve">It is the further intent of the Legislature that the commission maintain all of its oversight and review responsibilities subject to the California Environmental Quality Act, and that public utility transactions that jurisdictionally require a review by the commission, as the lead agency, under the act should not qualify for expedited advice letter treatment pursuant to this article. </w:t>
      </w:r>
      <w:r w:rsidRPr="00E57DD9">
        <w:rPr>
          <w:rStyle w:val="normaltextrun"/>
        </w:rPr>
        <w:t> </w:t>
      </w:r>
      <w:r w:rsidRPr="00E57DD9">
        <w:rPr>
          <w:rStyle w:val="normaltextrun"/>
        </w:rPr>
        <w:t xml:space="preserve">An advice letter may be filed for transactions by the public utility if the lead agency has completed the appropriate review under the California Environmental Quality Act for the transaction, and the commission is the responsible agency under the act. </w:t>
      </w:r>
      <w:r w:rsidRPr="00E57DD9">
        <w:rPr>
          <w:rStyle w:val="normaltextrun"/>
        </w:rPr>
        <w:t> </w:t>
      </w:r>
      <w:r w:rsidRPr="00E57DD9">
        <w:rPr>
          <w:rStyle w:val="normaltextrun"/>
        </w:rPr>
        <w:t>The advice letter shall be subject to approval by resolution voted upon by the commission.</w:t>
      </w:r>
    </w:p>
    <w:p w:rsidRPr="00984909" w:rsidR="00984909" w:rsidP="00984909" w:rsidRDefault="00984909" w14:paraId="6AA1F1D8" w14:textId="36772CBE">
      <w:pPr>
        <w:spacing w:after="200" w:line="276" w:lineRule="auto"/>
        <w:ind w:left="720"/>
        <w:rPr>
          <w:rStyle w:val="normaltextrun"/>
        </w:rPr>
      </w:pPr>
      <w:r w:rsidRPr="00984909">
        <w:rPr>
          <w:rStyle w:val="normaltextrun"/>
        </w:rPr>
        <w:t xml:space="preserve">853.2: For a water or sewer system corporation or an entity merging with or acquiring control of a water or sewer system corporation with less than 2,000 service connections, the following shall apply </w:t>
      </w:r>
      <w:r w:rsidRPr="00984909">
        <w:rPr>
          <w:rStyle w:val="normaltextrun"/>
        </w:rPr>
        <w:lastRenderedPageBreak/>
        <w:t>to transactions valued at five million dollars ($5,000,000) or less, notwithstanding </w:t>
      </w:r>
      <w:hyperlink w:tgtFrame="_blank" w:tooltip="Sections 851" w:history="1" r:id="rId48">
        <w:r w:rsidRPr="00984909">
          <w:rPr>
            <w:rStyle w:val="normaltextrun"/>
          </w:rPr>
          <w:t>Sections 851</w:t>
        </w:r>
      </w:hyperlink>
      <w:r w:rsidRPr="00984909">
        <w:rPr>
          <w:rStyle w:val="normaltextrun"/>
        </w:rPr>
        <w:t> and </w:t>
      </w:r>
      <w:hyperlink w:tgtFrame="_blank" w:tooltip="854" w:history="1" r:id="rId49">
        <w:r w:rsidRPr="00984909">
          <w:rPr>
            <w:rStyle w:val="normaltextrun"/>
          </w:rPr>
          <w:t>854</w:t>
        </w:r>
      </w:hyperlink>
      <w:r w:rsidRPr="00984909">
        <w:rPr>
          <w:rStyle w:val="normaltextrun"/>
        </w:rPr>
        <w:t> :</w:t>
      </w:r>
    </w:p>
    <w:p w:rsidRPr="00984909" w:rsidR="00984909" w:rsidP="00C81E3D" w:rsidRDefault="00984909" w14:paraId="61C7DB09" w14:textId="77777777">
      <w:pPr>
        <w:spacing w:after="200" w:line="276" w:lineRule="auto"/>
        <w:ind w:left="1440"/>
        <w:rPr>
          <w:rStyle w:val="normaltextrun"/>
        </w:rPr>
      </w:pPr>
      <w:r w:rsidRPr="00984909">
        <w:rPr>
          <w:rStyle w:val="normaltextrun"/>
        </w:rPr>
        <w:t>(a)(1)</w:t>
      </w:r>
      <w:r w:rsidRPr="00984909">
        <w:rPr>
          <w:rStyle w:val="normaltextrun"/>
        </w:rPr>
        <w:t> </w:t>
      </w:r>
      <w:r w:rsidRPr="00984909">
        <w:rPr>
          <w:rStyle w:val="normaltextrun"/>
        </w:rPr>
        <w:t>A water or sewer system corporation or an entity merging with or acquiring control of a water or sewer system corporation shall receive the commission's approval before entering into a transaction that would otherwise be subject to </w:t>
      </w:r>
      <w:hyperlink w:tgtFrame="_blank" w:tooltip="Section 851" w:history="1" r:id="rId50">
        <w:r w:rsidRPr="00984909">
          <w:rPr>
            <w:rStyle w:val="normaltextrun"/>
          </w:rPr>
          <w:t>Section 851</w:t>
        </w:r>
      </w:hyperlink>
      <w:r w:rsidRPr="00984909">
        <w:rPr>
          <w:rStyle w:val="normaltextrun"/>
        </w:rPr>
        <w:t> or </w:t>
      </w:r>
      <w:hyperlink w:tgtFrame="_blank" w:tooltip="854" w:history="1" r:id="rId51">
        <w:r w:rsidRPr="00984909">
          <w:rPr>
            <w:rStyle w:val="normaltextrun"/>
          </w:rPr>
          <w:t>854</w:t>
        </w:r>
      </w:hyperlink>
      <w:r w:rsidRPr="00984909">
        <w:rPr>
          <w:rStyle w:val="normaltextrun"/>
        </w:rPr>
        <w:t> .</w:t>
      </w:r>
    </w:p>
    <w:p w:rsidRPr="00984909" w:rsidR="00984909" w:rsidP="00C81E3D" w:rsidRDefault="00984909" w14:paraId="4B2AD3DE" w14:textId="77777777">
      <w:pPr>
        <w:spacing w:after="200" w:line="276" w:lineRule="auto"/>
        <w:ind w:left="1440"/>
        <w:rPr>
          <w:rStyle w:val="normaltextrun"/>
        </w:rPr>
      </w:pPr>
      <w:r w:rsidRPr="00984909">
        <w:rPr>
          <w:rStyle w:val="normaltextrun"/>
        </w:rPr>
        <w:t>(2)</w:t>
      </w:r>
      <w:r w:rsidRPr="00984909">
        <w:rPr>
          <w:rStyle w:val="normaltextrun"/>
        </w:rPr>
        <w:t> </w:t>
      </w:r>
      <w:r w:rsidRPr="00984909">
        <w:rPr>
          <w:rStyle w:val="normaltextrun"/>
        </w:rPr>
        <w:t>If a water or sewer system corporation or an entity merging with or acquiring control of a water or sewer system corporation fails to receive the commission's approval pursuant to paragraph (1), the transaction is voidable by the commission until the commission does either of the following:</w:t>
      </w:r>
    </w:p>
    <w:p w:rsidRPr="00984909" w:rsidR="00984909" w:rsidP="00C81E3D" w:rsidRDefault="00984909" w14:paraId="450EBF32" w14:textId="77777777">
      <w:pPr>
        <w:spacing w:after="200" w:line="276" w:lineRule="auto"/>
        <w:ind w:left="2160"/>
        <w:rPr>
          <w:rStyle w:val="normaltextrun"/>
        </w:rPr>
      </w:pPr>
      <w:r w:rsidRPr="00984909">
        <w:rPr>
          <w:rStyle w:val="normaltextrun"/>
        </w:rPr>
        <w:t>(A)</w:t>
      </w:r>
      <w:r w:rsidRPr="00984909">
        <w:rPr>
          <w:rStyle w:val="normaltextrun"/>
        </w:rPr>
        <w:t> </w:t>
      </w:r>
      <w:r w:rsidRPr="00984909">
        <w:rPr>
          <w:rStyle w:val="normaltextrun"/>
        </w:rPr>
        <w:t>Retroactively approves the transaction upon a determination that the transaction is in the best interests of both the corporation and its ratepayers.</w:t>
      </w:r>
    </w:p>
    <w:p w:rsidRPr="00984909" w:rsidR="00984909" w:rsidP="00C81E3D" w:rsidRDefault="00984909" w14:paraId="61C9A8F2" w14:textId="77777777">
      <w:pPr>
        <w:spacing w:after="200" w:line="276" w:lineRule="auto"/>
        <w:ind w:left="2160"/>
        <w:rPr>
          <w:rStyle w:val="normaltextrun"/>
        </w:rPr>
      </w:pPr>
      <w:r w:rsidRPr="00984909">
        <w:rPr>
          <w:rStyle w:val="normaltextrun"/>
        </w:rPr>
        <w:t>(B)</w:t>
      </w:r>
      <w:r w:rsidRPr="00984909">
        <w:rPr>
          <w:rStyle w:val="normaltextrun"/>
        </w:rPr>
        <w:t> </w:t>
      </w:r>
      <w:r w:rsidRPr="00984909">
        <w:rPr>
          <w:rStyle w:val="normaltextrun"/>
        </w:rPr>
        <w:t>Conditionally approves the transaction, subject to the fulfillment of specified conditions that would ensure that the transaction is in the best interests of both the corporation and its ratepayers.</w:t>
      </w:r>
    </w:p>
    <w:p w:rsidR="00984909" w:rsidP="00C81E3D" w:rsidRDefault="00984909" w14:paraId="10632635" w14:textId="77777777">
      <w:pPr>
        <w:spacing w:after="200" w:line="276" w:lineRule="auto"/>
        <w:ind w:left="1440"/>
        <w:rPr>
          <w:rStyle w:val="normaltextrun"/>
        </w:rPr>
      </w:pPr>
      <w:r w:rsidRPr="00984909">
        <w:rPr>
          <w:rStyle w:val="normaltextrun"/>
        </w:rPr>
        <w:t>(b)</w:t>
      </w:r>
      <w:r w:rsidRPr="00984909">
        <w:rPr>
          <w:rStyle w:val="normaltextrun"/>
        </w:rPr>
        <w:t> </w:t>
      </w:r>
      <w:r w:rsidRPr="00984909">
        <w:rPr>
          <w:rStyle w:val="normaltextrun"/>
        </w:rPr>
        <w:t>The commission may delegate the authority to make the determinations described in subdivision (a) to the director of the division that investigates water and sewer system service quality issues and analyzes and processes utility rate change requests.</w:t>
      </w:r>
    </w:p>
    <w:p w:rsidRPr="00C81E3D" w:rsidR="00C81E3D" w:rsidP="00C81E3D" w:rsidRDefault="00C81E3D" w14:paraId="496C1EE4" w14:textId="00F9D133">
      <w:pPr>
        <w:spacing w:after="200" w:line="276" w:lineRule="auto"/>
        <w:ind w:left="720"/>
        <w:rPr>
          <w:rStyle w:val="normaltextrun"/>
        </w:rPr>
      </w:pPr>
      <w:r w:rsidRPr="00C81E3D">
        <w:rPr>
          <w:rStyle w:val="normaltextrun"/>
        </w:rPr>
        <w:t>854: (a)</w:t>
      </w:r>
      <w:r w:rsidRPr="00C81E3D">
        <w:rPr>
          <w:rStyle w:val="normaltextrun"/>
        </w:rPr>
        <w:t> </w:t>
      </w:r>
      <w:r w:rsidRPr="00C81E3D">
        <w:rPr>
          <w:rStyle w:val="normaltextrun"/>
        </w:rPr>
        <w:t xml:space="preserve">No person or corporation, whether or not organized under the laws of this state, shall merge, acquire, or control either directly or indirectly any public utility organized and doing business in this state without first securing authorization to do so from the commission. </w:t>
      </w:r>
      <w:r w:rsidRPr="00C81E3D">
        <w:rPr>
          <w:rStyle w:val="normaltextrun"/>
        </w:rPr>
        <w:t> </w:t>
      </w:r>
      <w:r w:rsidRPr="00C81E3D">
        <w:rPr>
          <w:rStyle w:val="normaltextrun"/>
        </w:rPr>
        <w:t xml:space="preserve">The commission may establish by order or rule the definitions of what constitute merger, acquisition, or control activities which are subject to this section. </w:t>
      </w:r>
      <w:r w:rsidRPr="00C81E3D">
        <w:rPr>
          <w:rStyle w:val="normaltextrun"/>
        </w:rPr>
        <w:t> </w:t>
      </w:r>
      <w:r w:rsidRPr="00C81E3D">
        <w:rPr>
          <w:rStyle w:val="normaltextrun"/>
        </w:rPr>
        <w:t xml:space="preserve">Any merger, acquisition, or control without that prior authorization shall be void and of no effect. </w:t>
      </w:r>
      <w:r w:rsidRPr="00C81E3D">
        <w:rPr>
          <w:rStyle w:val="normaltextrun"/>
        </w:rPr>
        <w:t> </w:t>
      </w:r>
      <w:r w:rsidRPr="00C81E3D">
        <w:rPr>
          <w:rStyle w:val="normaltextrun"/>
        </w:rPr>
        <w:t>No public utility organized and doing business under the laws of this state, and no subsidiary or affiliate of, or corporation holding a controlling interest in a public utility, shall aid or abet any violation of this section.</w:t>
      </w:r>
    </w:p>
    <w:p w:rsidRPr="00C81E3D" w:rsidR="00C81E3D" w:rsidP="00C81E3D" w:rsidRDefault="00C81E3D" w14:paraId="53E9F2C2" w14:textId="77777777">
      <w:pPr>
        <w:spacing w:after="200" w:line="276" w:lineRule="auto"/>
        <w:ind w:left="1440"/>
        <w:rPr>
          <w:rStyle w:val="normaltextrun"/>
        </w:rPr>
      </w:pPr>
      <w:r w:rsidRPr="00C81E3D">
        <w:rPr>
          <w:rStyle w:val="normaltextrun"/>
        </w:rPr>
        <w:t>(b)</w:t>
      </w:r>
      <w:r w:rsidRPr="00C81E3D">
        <w:rPr>
          <w:rStyle w:val="normaltextrun"/>
        </w:rPr>
        <w:t> </w:t>
      </w:r>
      <w:r w:rsidRPr="00C81E3D">
        <w:rPr>
          <w:rStyle w:val="normaltextrun"/>
        </w:rPr>
        <w:t>Before authorizing the merger, acquisition, or control of any electrical, gas, or telephone corporation organized and doing business in this state, where any of the utilities that are parties to the proposed transaction has gross annual California revenues exceeding five hundred million dollars ($500,000,000), the commission shall find that the proposal does all of the following:</w:t>
      </w:r>
    </w:p>
    <w:p w:rsidRPr="00C81E3D" w:rsidR="00C81E3D" w:rsidP="00C81E3D" w:rsidRDefault="00C81E3D" w14:paraId="5112E5D3" w14:textId="77777777">
      <w:pPr>
        <w:spacing w:after="200" w:line="276" w:lineRule="auto"/>
        <w:ind w:left="1440" w:firstLine="720"/>
        <w:rPr>
          <w:rStyle w:val="normaltextrun"/>
        </w:rPr>
      </w:pPr>
      <w:r w:rsidRPr="00C81E3D">
        <w:rPr>
          <w:rStyle w:val="normaltextrun"/>
        </w:rPr>
        <w:t>(1)</w:t>
      </w:r>
      <w:r w:rsidRPr="00C81E3D">
        <w:rPr>
          <w:rStyle w:val="normaltextrun"/>
        </w:rPr>
        <w:t> </w:t>
      </w:r>
      <w:r w:rsidRPr="00C81E3D">
        <w:rPr>
          <w:rStyle w:val="normaltextrun"/>
        </w:rPr>
        <w:t>Provides short-term and long-term economic benefits to ratepayers.</w:t>
      </w:r>
    </w:p>
    <w:p w:rsidRPr="00C81E3D" w:rsidR="00C81E3D" w:rsidP="00C81E3D" w:rsidRDefault="00C81E3D" w14:paraId="5D07B853" w14:textId="77777777">
      <w:pPr>
        <w:spacing w:after="200" w:line="276" w:lineRule="auto"/>
        <w:ind w:left="2160"/>
        <w:rPr>
          <w:rStyle w:val="normaltextrun"/>
        </w:rPr>
      </w:pPr>
      <w:r w:rsidRPr="00C81E3D">
        <w:rPr>
          <w:rStyle w:val="normaltextrun"/>
        </w:rPr>
        <w:t>(2)</w:t>
      </w:r>
      <w:r w:rsidRPr="00C81E3D">
        <w:rPr>
          <w:rStyle w:val="normaltextrun"/>
        </w:rPr>
        <w:t> </w:t>
      </w:r>
      <w:r w:rsidRPr="00C81E3D">
        <w:rPr>
          <w:rStyle w:val="normaltextrun"/>
        </w:rPr>
        <w:t xml:space="preserve">Equitably allocates, where the commission has ratemaking authority, the total short-term and long-term forecasted economic benefits, as determined by the commission, of the proposed merger, acquisition, or control, between shareholders and ratepayers. </w:t>
      </w:r>
      <w:r w:rsidRPr="00C81E3D">
        <w:rPr>
          <w:rStyle w:val="normaltextrun"/>
        </w:rPr>
        <w:t> </w:t>
      </w:r>
      <w:r w:rsidRPr="00C81E3D">
        <w:rPr>
          <w:rStyle w:val="normaltextrun"/>
        </w:rPr>
        <w:t>Ratepayers shall receive not less than 50 percent of those benefits.</w:t>
      </w:r>
    </w:p>
    <w:p w:rsidRPr="00C81E3D" w:rsidR="00C81E3D" w:rsidP="00C81E3D" w:rsidRDefault="00C81E3D" w14:paraId="0C373ED8" w14:textId="77777777">
      <w:pPr>
        <w:spacing w:after="200" w:line="276" w:lineRule="auto"/>
        <w:ind w:left="2160"/>
        <w:rPr>
          <w:rStyle w:val="normaltextrun"/>
        </w:rPr>
      </w:pPr>
      <w:r w:rsidRPr="00C81E3D">
        <w:rPr>
          <w:rStyle w:val="normaltextrun"/>
        </w:rPr>
        <w:lastRenderedPageBreak/>
        <w:t>(3)</w:t>
      </w:r>
      <w:r w:rsidRPr="00C81E3D">
        <w:rPr>
          <w:rStyle w:val="normaltextrun"/>
        </w:rPr>
        <w:t> </w:t>
      </w:r>
      <w:r w:rsidRPr="00C81E3D">
        <w:rPr>
          <w:rStyle w:val="normaltextrun"/>
        </w:rPr>
        <w:t xml:space="preserve">Not adversely affect competition. </w:t>
      </w:r>
      <w:r w:rsidRPr="00C81E3D">
        <w:rPr>
          <w:rStyle w:val="normaltextrun"/>
        </w:rPr>
        <w:t> </w:t>
      </w:r>
      <w:r w:rsidRPr="00C81E3D">
        <w:rPr>
          <w:rStyle w:val="normaltextrun"/>
        </w:rPr>
        <w:t>In making this finding, the commission shall request an advisory opinion from the Attorney General regarding whether competition will be adversely affected and what mitigation measures could be adopted to avoid this result.</w:t>
      </w:r>
    </w:p>
    <w:p w:rsidRPr="00C81E3D" w:rsidR="00C81E3D" w:rsidP="00C81E3D" w:rsidRDefault="00C81E3D" w14:paraId="3E728D28" w14:textId="77777777">
      <w:pPr>
        <w:spacing w:after="200" w:line="276" w:lineRule="auto"/>
        <w:ind w:left="2160"/>
        <w:rPr>
          <w:rStyle w:val="normaltextrun"/>
        </w:rPr>
      </w:pPr>
      <w:r w:rsidRPr="00C81E3D">
        <w:rPr>
          <w:rStyle w:val="normaltextrun"/>
        </w:rPr>
        <w:t>(4)</w:t>
      </w:r>
      <w:r w:rsidRPr="00C81E3D">
        <w:rPr>
          <w:rStyle w:val="normaltextrun"/>
        </w:rPr>
        <w:t> </w:t>
      </w:r>
      <w:r w:rsidRPr="00C81E3D">
        <w:rPr>
          <w:rStyle w:val="normaltextrun"/>
        </w:rPr>
        <w:t>For an electric or gas utility, ensures the utility will have an adequate workforce to maintain the safe and reliable operation of the utility assets.</w:t>
      </w:r>
    </w:p>
    <w:p w:rsidRPr="00C81E3D" w:rsidR="00C81E3D" w:rsidP="00C81E3D" w:rsidRDefault="00C81E3D" w14:paraId="4B9E0335" w14:textId="77777777">
      <w:pPr>
        <w:spacing w:after="200" w:line="276" w:lineRule="auto"/>
        <w:ind w:left="1440"/>
        <w:rPr>
          <w:rStyle w:val="normaltextrun"/>
        </w:rPr>
      </w:pPr>
      <w:r w:rsidRPr="00C81E3D">
        <w:rPr>
          <w:rStyle w:val="normaltextrun"/>
        </w:rPr>
        <w:t>(c)</w:t>
      </w:r>
      <w:r w:rsidRPr="00C81E3D">
        <w:rPr>
          <w:rStyle w:val="normaltextrun"/>
        </w:rPr>
        <w:t> </w:t>
      </w:r>
      <w:r w:rsidRPr="00C81E3D">
        <w:rPr>
          <w:rStyle w:val="normaltextrun"/>
        </w:rPr>
        <w:t>Before authorizing the merger, acquisition, or control of any electrical, gas, or telephone corporation organized and doing business in this state, where any of the entities that are parties to the proposed transaction has gross annual California revenues exceeding five hundred million dollars ($500,000,000), the commission shall consider each of the criteria listed in paragraphs (1) to (8), inclusive, and find, on balance, that the merger, acquisition, or control proposal is in the public interest.</w:t>
      </w:r>
    </w:p>
    <w:p w:rsidRPr="00C81E3D" w:rsidR="00C81E3D" w:rsidP="00C81E3D" w:rsidRDefault="00C81E3D" w14:paraId="07EDF3A1" w14:textId="77777777">
      <w:pPr>
        <w:spacing w:after="200" w:line="276" w:lineRule="auto"/>
        <w:ind w:left="2160"/>
        <w:rPr>
          <w:rStyle w:val="normaltextrun"/>
        </w:rPr>
      </w:pPr>
      <w:r w:rsidRPr="00C81E3D">
        <w:rPr>
          <w:rStyle w:val="normaltextrun"/>
        </w:rPr>
        <w:t>(1)</w:t>
      </w:r>
      <w:r w:rsidRPr="00C81E3D">
        <w:rPr>
          <w:rStyle w:val="normaltextrun"/>
        </w:rPr>
        <w:t> </w:t>
      </w:r>
      <w:r w:rsidRPr="00C81E3D">
        <w:rPr>
          <w:rStyle w:val="normaltextrun"/>
        </w:rPr>
        <w:t>Maintain or improve the financial condition of the resulting public utility doing business in the state.</w:t>
      </w:r>
    </w:p>
    <w:p w:rsidRPr="00C81E3D" w:rsidR="00C81E3D" w:rsidP="00C81E3D" w:rsidRDefault="00C81E3D" w14:paraId="4EA82621" w14:textId="77777777">
      <w:pPr>
        <w:spacing w:after="200" w:line="276" w:lineRule="auto"/>
        <w:ind w:left="1440" w:firstLine="720"/>
        <w:rPr>
          <w:rStyle w:val="normaltextrun"/>
        </w:rPr>
      </w:pPr>
      <w:r w:rsidRPr="00C81E3D">
        <w:rPr>
          <w:rStyle w:val="normaltextrun"/>
        </w:rPr>
        <w:t>(2)</w:t>
      </w:r>
      <w:r w:rsidRPr="00C81E3D">
        <w:rPr>
          <w:rStyle w:val="normaltextrun"/>
        </w:rPr>
        <w:t> </w:t>
      </w:r>
      <w:r w:rsidRPr="00C81E3D">
        <w:rPr>
          <w:rStyle w:val="normaltextrun"/>
        </w:rPr>
        <w:t>Maintain or improve the quality of service to public utility ratepayers in the state.</w:t>
      </w:r>
    </w:p>
    <w:p w:rsidRPr="00C81E3D" w:rsidR="00C81E3D" w:rsidP="00C81E3D" w:rsidRDefault="00C81E3D" w14:paraId="23CB9423" w14:textId="77777777">
      <w:pPr>
        <w:spacing w:after="200" w:line="276" w:lineRule="auto"/>
        <w:ind w:left="2160"/>
        <w:rPr>
          <w:rStyle w:val="normaltextrun"/>
        </w:rPr>
      </w:pPr>
      <w:r w:rsidRPr="00C81E3D">
        <w:rPr>
          <w:rStyle w:val="normaltextrun"/>
        </w:rPr>
        <w:t>(3)</w:t>
      </w:r>
      <w:r w:rsidRPr="00C81E3D">
        <w:rPr>
          <w:rStyle w:val="normaltextrun"/>
        </w:rPr>
        <w:t> </w:t>
      </w:r>
      <w:r w:rsidRPr="00C81E3D">
        <w:rPr>
          <w:rStyle w:val="normaltextrun"/>
        </w:rPr>
        <w:t>Maintain or improve the quality of management of the resulting public utility doing business in the state.</w:t>
      </w:r>
    </w:p>
    <w:p w:rsidRPr="00C81E3D" w:rsidR="00C81E3D" w:rsidP="00C81E3D" w:rsidRDefault="00C81E3D" w14:paraId="53FEB584" w14:textId="77777777">
      <w:pPr>
        <w:spacing w:after="200" w:line="276" w:lineRule="auto"/>
        <w:ind w:left="2160"/>
        <w:rPr>
          <w:rStyle w:val="normaltextrun"/>
        </w:rPr>
      </w:pPr>
      <w:r w:rsidRPr="00C81E3D">
        <w:rPr>
          <w:rStyle w:val="normaltextrun"/>
        </w:rPr>
        <w:t>(4)</w:t>
      </w:r>
      <w:r w:rsidRPr="00C81E3D">
        <w:rPr>
          <w:rStyle w:val="normaltextrun"/>
        </w:rPr>
        <w:t> </w:t>
      </w:r>
      <w:r w:rsidRPr="00C81E3D">
        <w:rPr>
          <w:rStyle w:val="normaltextrun"/>
        </w:rPr>
        <w:t>Be fair and reasonable to affected public utility employees, including both union and nonunion employees.</w:t>
      </w:r>
    </w:p>
    <w:p w:rsidRPr="00C81E3D" w:rsidR="00C81E3D" w:rsidP="00C81E3D" w:rsidRDefault="00C81E3D" w14:paraId="6D8668A2" w14:textId="77777777">
      <w:pPr>
        <w:spacing w:after="200" w:line="276" w:lineRule="auto"/>
        <w:ind w:left="1440" w:firstLine="720"/>
        <w:rPr>
          <w:rStyle w:val="normaltextrun"/>
        </w:rPr>
      </w:pPr>
      <w:r w:rsidRPr="00C81E3D">
        <w:rPr>
          <w:rStyle w:val="normaltextrun"/>
        </w:rPr>
        <w:t>(5)</w:t>
      </w:r>
      <w:r w:rsidRPr="00C81E3D">
        <w:rPr>
          <w:rStyle w:val="normaltextrun"/>
        </w:rPr>
        <w:t> </w:t>
      </w:r>
      <w:r w:rsidRPr="00C81E3D">
        <w:rPr>
          <w:rStyle w:val="normaltextrun"/>
        </w:rPr>
        <w:t>Be fair and reasonable to the majority of all affected public utility shareholders.</w:t>
      </w:r>
    </w:p>
    <w:p w:rsidRPr="00C81E3D" w:rsidR="00C81E3D" w:rsidP="00C81E3D" w:rsidRDefault="00C81E3D" w14:paraId="58690D54" w14:textId="77777777">
      <w:pPr>
        <w:spacing w:after="200" w:line="276" w:lineRule="auto"/>
        <w:ind w:left="2160"/>
        <w:rPr>
          <w:rStyle w:val="normaltextrun"/>
        </w:rPr>
      </w:pPr>
      <w:r w:rsidRPr="00C81E3D">
        <w:rPr>
          <w:rStyle w:val="normaltextrun"/>
        </w:rPr>
        <w:t>(6)</w:t>
      </w:r>
      <w:r w:rsidRPr="00C81E3D">
        <w:rPr>
          <w:rStyle w:val="normaltextrun"/>
        </w:rPr>
        <w:t> </w:t>
      </w:r>
      <w:r w:rsidRPr="00C81E3D">
        <w:rPr>
          <w:rStyle w:val="normaltextrun"/>
        </w:rPr>
        <w:t>Be beneficial on an overall basis to state and local economies, and to the communities in the area served by the resulting public utility.</w:t>
      </w:r>
    </w:p>
    <w:p w:rsidRPr="00C81E3D" w:rsidR="00C81E3D" w:rsidP="00C81E3D" w:rsidRDefault="00C81E3D" w14:paraId="513140BB" w14:textId="77777777">
      <w:pPr>
        <w:spacing w:after="200" w:line="276" w:lineRule="auto"/>
        <w:ind w:left="2160"/>
        <w:rPr>
          <w:rStyle w:val="normaltextrun"/>
        </w:rPr>
      </w:pPr>
      <w:r w:rsidRPr="00C81E3D">
        <w:rPr>
          <w:rStyle w:val="normaltextrun"/>
        </w:rPr>
        <w:t>(7)</w:t>
      </w:r>
      <w:r w:rsidRPr="00C81E3D">
        <w:rPr>
          <w:rStyle w:val="normaltextrun"/>
        </w:rPr>
        <w:t> </w:t>
      </w:r>
      <w:r w:rsidRPr="00C81E3D">
        <w:rPr>
          <w:rStyle w:val="normaltextrun"/>
        </w:rPr>
        <w:t>Preserve the jurisdiction of the commission and the capacity of the commission to effectively regulate and audit public utility operations in the state.</w:t>
      </w:r>
    </w:p>
    <w:p w:rsidRPr="00C81E3D" w:rsidR="00C81E3D" w:rsidP="00C81E3D" w:rsidRDefault="00C81E3D" w14:paraId="698D3161" w14:textId="77777777">
      <w:pPr>
        <w:spacing w:after="200" w:line="276" w:lineRule="auto"/>
        <w:ind w:left="2160"/>
        <w:rPr>
          <w:rStyle w:val="normaltextrun"/>
        </w:rPr>
      </w:pPr>
      <w:r w:rsidRPr="00C81E3D">
        <w:rPr>
          <w:rStyle w:val="normaltextrun"/>
        </w:rPr>
        <w:t>(8)</w:t>
      </w:r>
      <w:r w:rsidRPr="00C81E3D">
        <w:rPr>
          <w:rStyle w:val="normaltextrun"/>
        </w:rPr>
        <w:t> </w:t>
      </w:r>
      <w:r w:rsidRPr="00C81E3D">
        <w:rPr>
          <w:rStyle w:val="normaltextrun"/>
        </w:rPr>
        <w:t>Provide mitigation measures to prevent significant adverse consequences which may result.</w:t>
      </w:r>
    </w:p>
    <w:p w:rsidRPr="00C81E3D" w:rsidR="00C81E3D" w:rsidP="00C81E3D" w:rsidRDefault="00C81E3D" w14:paraId="68AC4235" w14:textId="77777777">
      <w:pPr>
        <w:spacing w:after="200" w:line="276" w:lineRule="auto"/>
        <w:ind w:left="1440"/>
        <w:rPr>
          <w:rStyle w:val="normaltextrun"/>
        </w:rPr>
      </w:pPr>
      <w:r w:rsidRPr="00C81E3D">
        <w:rPr>
          <w:rStyle w:val="normaltextrun"/>
        </w:rPr>
        <w:t>(d)</w:t>
      </w:r>
      <w:r w:rsidRPr="00C81E3D">
        <w:rPr>
          <w:rStyle w:val="normaltextrun"/>
        </w:rPr>
        <w:t> </w:t>
      </w:r>
      <w:r w:rsidRPr="00C81E3D">
        <w:rPr>
          <w:rStyle w:val="normaltextrun"/>
        </w:rPr>
        <w:t>When reviewing a merger, acquisition, or control proposal, the commission shall consider reasonable options to the proposal recommended by other parties, including no new merger, acquisition, or control, to determine whether comparable short-term and long-term economic savings can be achieved through other means while avoiding the possible adverse consequences of the proposal.</w:t>
      </w:r>
    </w:p>
    <w:p w:rsidRPr="00C81E3D" w:rsidR="00C81E3D" w:rsidP="00C81E3D" w:rsidRDefault="00C81E3D" w14:paraId="3374E1A4" w14:textId="77777777">
      <w:pPr>
        <w:spacing w:after="200" w:line="276" w:lineRule="auto"/>
        <w:ind w:left="1440"/>
        <w:rPr>
          <w:rStyle w:val="normaltextrun"/>
        </w:rPr>
      </w:pPr>
      <w:r w:rsidRPr="00C81E3D">
        <w:rPr>
          <w:rStyle w:val="normaltextrun"/>
        </w:rPr>
        <w:t>(e)</w:t>
      </w:r>
      <w:r w:rsidRPr="00C81E3D">
        <w:rPr>
          <w:rStyle w:val="normaltextrun"/>
        </w:rPr>
        <w:t> </w:t>
      </w:r>
      <w:r w:rsidRPr="00C81E3D">
        <w:rPr>
          <w:rStyle w:val="normaltextrun"/>
        </w:rPr>
        <w:t>The person or corporation seeking acquisition or control of a public utility organized and doing business in this state shall have, before the commission, the burden of proving by a preponderance of the evidence that the requirements of subdivisions (b) and (c) are met.</w:t>
      </w:r>
    </w:p>
    <w:p w:rsidRPr="00C81E3D" w:rsidR="00C81E3D" w:rsidP="00C81E3D" w:rsidRDefault="00C81E3D" w14:paraId="26012A1F" w14:textId="77777777">
      <w:pPr>
        <w:spacing w:after="200" w:line="276" w:lineRule="auto"/>
        <w:ind w:left="1440"/>
        <w:rPr>
          <w:rStyle w:val="normaltextrun"/>
        </w:rPr>
      </w:pPr>
      <w:r w:rsidRPr="00C81E3D">
        <w:rPr>
          <w:rStyle w:val="normaltextrun"/>
        </w:rPr>
        <w:lastRenderedPageBreak/>
        <w:t>(f)</w:t>
      </w:r>
      <w:r w:rsidRPr="00C81E3D">
        <w:rPr>
          <w:rStyle w:val="normaltextrun"/>
        </w:rPr>
        <w:t> </w:t>
      </w:r>
      <w:r w:rsidRPr="00C81E3D">
        <w:rPr>
          <w:rStyle w:val="normaltextrun"/>
        </w:rPr>
        <w:t>In determining whether an acquiring utility has gross annual revenues exceeding the amount specified in subdivisions (b) and (c), the revenues of that utility's affiliates shall not be considered unless the affiliate was utilized for the purpose of effecting the merger, acquisition, or control.</w:t>
      </w:r>
    </w:p>
    <w:p w:rsidRPr="00C81E3D" w:rsidR="00C81E3D" w:rsidP="00C81E3D" w:rsidRDefault="00C81E3D" w14:paraId="15B99D10" w14:textId="77777777">
      <w:pPr>
        <w:spacing w:after="200" w:line="276" w:lineRule="auto"/>
        <w:ind w:left="1440"/>
        <w:rPr>
          <w:rStyle w:val="normaltextrun"/>
        </w:rPr>
      </w:pPr>
      <w:r w:rsidRPr="00C81E3D">
        <w:rPr>
          <w:rStyle w:val="normaltextrun"/>
        </w:rPr>
        <w:t>(g)</w:t>
      </w:r>
      <w:r w:rsidRPr="00C81E3D">
        <w:rPr>
          <w:rStyle w:val="normaltextrun"/>
        </w:rPr>
        <w:t> </w:t>
      </w:r>
      <w:r w:rsidRPr="00C81E3D">
        <w:rPr>
          <w:rStyle w:val="normaltextrun"/>
        </w:rPr>
        <w:t>Paragraphs (1) and (2) of subdivision (b) shall not apply to the formation of a holding company.</w:t>
      </w:r>
    </w:p>
    <w:p w:rsidRPr="00C81E3D" w:rsidR="00C81E3D" w:rsidP="00C81E3D" w:rsidRDefault="00C81E3D" w14:paraId="0CCB3254" w14:textId="77777777">
      <w:pPr>
        <w:spacing w:after="200" w:line="276" w:lineRule="auto"/>
        <w:ind w:left="1440"/>
        <w:rPr>
          <w:rStyle w:val="normaltextrun"/>
        </w:rPr>
      </w:pPr>
      <w:r w:rsidRPr="00C81E3D">
        <w:rPr>
          <w:rStyle w:val="normaltextrun"/>
        </w:rPr>
        <w:t>(h)</w:t>
      </w:r>
      <w:r w:rsidRPr="00C81E3D">
        <w:rPr>
          <w:rStyle w:val="normaltextrun"/>
        </w:rPr>
        <w:t> </w:t>
      </w:r>
      <w:r w:rsidRPr="00C81E3D">
        <w:rPr>
          <w:rStyle w:val="normaltextrun"/>
        </w:rPr>
        <w:t xml:space="preserve">For purposes of paragraphs (1) and (2) of subdivision (b), the legislature does not intend to include acquisitions or changes in control that are mandated by either the commission or the Legislature as a result of, or in response to any electric industry restructuring. </w:t>
      </w:r>
      <w:r w:rsidRPr="00C81E3D">
        <w:rPr>
          <w:rStyle w:val="normaltextrun"/>
        </w:rPr>
        <w:t> </w:t>
      </w:r>
      <w:r w:rsidRPr="00C81E3D">
        <w:rPr>
          <w:rStyle w:val="normaltextrun"/>
        </w:rPr>
        <w:t>However, the value of an acquisition or change in control may be used by the commission in determining the costs or benefits attributable to any electric industry restructuring and for allocating those costs or benefits for collection in rates.</w:t>
      </w:r>
    </w:p>
    <w:p w:rsidRPr="00984909" w:rsidR="00C81E3D" w:rsidP="00C81E3D" w:rsidRDefault="00C81E3D" w14:paraId="27E5FCAD" w14:textId="77777777">
      <w:pPr>
        <w:spacing w:after="200" w:line="276" w:lineRule="auto"/>
        <w:ind w:left="1440"/>
        <w:rPr>
          <w:rStyle w:val="normaltextrun"/>
        </w:rPr>
      </w:pPr>
    </w:p>
    <w:p w:rsidR="00B70F49" w:rsidP="00B70F49" w:rsidRDefault="00B70F49" w14:paraId="4A45087C" w14:textId="0AEDA086">
      <w:pPr>
        <w:spacing w:after="200" w:line="276" w:lineRule="auto"/>
        <w:rPr>
          <w:rStyle w:val="normaltextrun"/>
          <w:b/>
          <w:bCs/>
        </w:rPr>
      </w:pPr>
      <w:r w:rsidRPr="00F257FE">
        <w:rPr>
          <w:rStyle w:val="normaltextrun"/>
          <w:b/>
          <w:bCs/>
        </w:rPr>
        <w:t>Public Utilities Code Section</w:t>
      </w:r>
      <w:r>
        <w:rPr>
          <w:rStyle w:val="normaltextrun"/>
          <w:b/>
          <w:bCs/>
        </w:rPr>
        <w:t xml:space="preserve"> 10061</w:t>
      </w:r>
      <w:r w:rsidRPr="00F257FE">
        <w:rPr>
          <w:rStyle w:val="normaltextrun"/>
          <w:b/>
          <w:bCs/>
        </w:rPr>
        <w:t>:</w:t>
      </w:r>
    </w:p>
    <w:p w:rsidRPr="007A772E" w:rsidR="007A772E" w:rsidP="007A772E" w:rsidRDefault="007A772E" w14:paraId="1A620015" w14:textId="77777777">
      <w:pPr>
        <w:spacing w:after="200" w:line="276" w:lineRule="auto"/>
        <w:ind w:left="720"/>
        <w:rPr>
          <w:rStyle w:val="normaltextrun"/>
        </w:rPr>
      </w:pPr>
      <w:r w:rsidRPr="007A772E">
        <w:rPr>
          <w:rStyle w:val="normaltextrun"/>
        </w:rPr>
        <w:t>(a)</w:t>
      </w:r>
      <w:r w:rsidRPr="007A772E">
        <w:rPr>
          <w:rStyle w:val="normaltextrun"/>
        </w:rPr>
        <w:t> </w:t>
      </w:r>
      <w:r w:rsidRPr="007A772E">
        <w:rPr>
          <w:rStyle w:val="normaltextrun"/>
        </w:rPr>
        <w:t>Notwithstanding Article 1 (commencing with </w:t>
      </w:r>
      <w:hyperlink w:tgtFrame="_blank" w:tooltip="Section 10001" w:history="1" r:id="rId52">
        <w:r w:rsidRPr="007A772E">
          <w:rPr>
            <w:rStyle w:val="normaltextrun"/>
          </w:rPr>
          <w:t>Section 10001</w:t>
        </w:r>
      </w:hyperlink>
      <w:r w:rsidRPr="007A772E">
        <w:rPr>
          <w:rStyle w:val="normaltextrun"/>
        </w:rPr>
        <w:t> ) and this article, and except as provided in </w:t>
      </w:r>
      <w:hyperlink w:tgtFrame="_blank" w:tooltip="Section 37420.5 of the Government Code" w:history="1" r:id="rId53">
        <w:r w:rsidRPr="007A772E">
          <w:rPr>
            <w:rStyle w:val="normaltextrun"/>
          </w:rPr>
          <w:t>Section 37420.5 of the Government Code</w:t>
        </w:r>
      </w:hyperlink>
      <w:r w:rsidRPr="007A772E">
        <w:rPr>
          <w:rStyle w:val="normaltextrun"/>
        </w:rPr>
        <w:t xml:space="preserve"> , a municipal corporation, by following the provisions of this section, may lease, sell, or transfer all or part of a public utility owned and operated by it for furnishing water or sewer service. </w:t>
      </w:r>
      <w:r w:rsidRPr="007A772E">
        <w:rPr>
          <w:rStyle w:val="normaltextrun"/>
        </w:rPr>
        <w:t> </w:t>
      </w:r>
      <w:r w:rsidRPr="007A772E">
        <w:rPr>
          <w:rStyle w:val="normaltextrun"/>
        </w:rPr>
        <w:t>As used in this section, “municipal corporation *</w:t>
      </w:r>
      <w:r w:rsidRPr="007A772E">
        <w:rPr>
          <w:rStyle w:val="normaltextrun"/>
        </w:rPr>
        <w:t> </w:t>
      </w:r>
      <w:r w:rsidRPr="007A772E">
        <w:rPr>
          <w:rStyle w:val="normaltextrun"/>
        </w:rPr>
        <w:t>*</w:t>
      </w:r>
      <w:r w:rsidRPr="007A772E">
        <w:rPr>
          <w:rStyle w:val="normaltextrun"/>
        </w:rPr>
        <w:t> </w:t>
      </w:r>
      <w:r w:rsidRPr="007A772E">
        <w:rPr>
          <w:rStyle w:val="normaltextrun"/>
        </w:rPr>
        <w:t>*” means a city or a city and county.</w:t>
      </w:r>
    </w:p>
    <w:p w:rsidRPr="007A772E" w:rsidR="007A772E" w:rsidP="007A772E" w:rsidRDefault="007A772E" w14:paraId="3CA9D954" w14:textId="77777777">
      <w:pPr>
        <w:spacing w:after="200" w:line="276" w:lineRule="auto"/>
        <w:ind w:left="720"/>
        <w:rPr>
          <w:rStyle w:val="normaltextrun"/>
        </w:rPr>
      </w:pPr>
      <w:r w:rsidRPr="007A772E">
        <w:rPr>
          <w:rStyle w:val="normaltextrun"/>
        </w:rPr>
        <w:t>(b)</w:t>
      </w:r>
      <w:r w:rsidRPr="007A772E">
        <w:rPr>
          <w:rStyle w:val="normaltextrun"/>
        </w:rPr>
        <w:t> </w:t>
      </w:r>
      <w:r w:rsidRPr="007A772E">
        <w:rPr>
          <w:rStyle w:val="normaltextrun"/>
        </w:rPr>
        <w:t>Any municipal corporation owning and operating a public utility for furnishing water or sewer service, a part of which or all of which public utility is operated and used for furnishing water or sewer service outside the boundaries of the municipal corporation, may lease, sell, or transfer, for just compensation, all or any part of the portion of the public utility located outside the boundaries of the municipal corporation to any other municipal corporation, public agency, water corporation, or sewer system corporation upon the terms and conditions agreed upon by the selling municipal corporation if, by resolution adopted by a majority of its legislative body, it has determined that the public utility, or portion thereof, is not necessary for supplying water or sewer service to its own inhabitants and if the acquiring entity by resolution adopted by a majority of the members of its legislative body or board of directors has concurred in the lease, sale, or transfer and the terms and conditions thereof and if the acquiring entity will be bound to render water or sewer service to the persons formerly served through the system being sold on terms and conditions that are just and reasonable and do not unreasonably discriminate against the customers of the acquired entity.</w:t>
      </w:r>
    </w:p>
    <w:p w:rsidRPr="007A772E" w:rsidR="007A772E" w:rsidP="007A772E" w:rsidRDefault="007A772E" w14:paraId="5B035217" w14:textId="77777777">
      <w:pPr>
        <w:spacing w:after="200" w:line="276" w:lineRule="auto"/>
        <w:ind w:left="720"/>
        <w:rPr>
          <w:rStyle w:val="normaltextrun"/>
        </w:rPr>
      </w:pPr>
      <w:r w:rsidRPr="007A772E">
        <w:rPr>
          <w:rStyle w:val="normaltextrun"/>
        </w:rPr>
        <w:t>(c)</w:t>
      </w:r>
      <w:r w:rsidRPr="007A772E">
        <w:rPr>
          <w:rStyle w:val="normaltextrun"/>
        </w:rPr>
        <w:t> </w:t>
      </w:r>
      <w:r w:rsidRPr="007A772E">
        <w:rPr>
          <w:rStyle w:val="normaltextrun"/>
        </w:rPr>
        <w:t xml:space="preserve">Any municipal corporation owning and operating a public utility for furnishing water or sewer service may sell or transfer, for just compensation, all or any part of the public utility located inside its municipal boundaries to any other municipal corporation, public agency, water </w:t>
      </w:r>
      <w:r w:rsidRPr="007A772E">
        <w:rPr>
          <w:rStyle w:val="normaltextrun"/>
        </w:rPr>
        <w:lastRenderedPageBreak/>
        <w:t>corporation, or sewer system corporation upon the terms and conditions agreed upon by the selling municipal corporation, if the sale or transfer is approved as follows:</w:t>
      </w:r>
    </w:p>
    <w:p w:rsidRPr="007A772E" w:rsidR="007A772E" w:rsidP="007A772E" w:rsidRDefault="007A772E" w14:paraId="29712FBF" w14:textId="77777777">
      <w:pPr>
        <w:spacing w:after="200" w:line="276" w:lineRule="auto"/>
        <w:ind w:left="1440"/>
        <w:rPr>
          <w:rStyle w:val="normaltextrun"/>
        </w:rPr>
      </w:pPr>
      <w:r w:rsidRPr="007A772E">
        <w:rPr>
          <w:rStyle w:val="normaltextrun"/>
        </w:rPr>
        <w:t>(1)</w:t>
      </w:r>
      <w:r w:rsidRPr="007A772E">
        <w:rPr>
          <w:rStyle w:val="normaltextrun"/>
        </w:rPr>
        <w:t> </w:t>
      </w:r>
      <w:r w:rsidRPr="007A772E">
        <w:rPr>
          <w:rStyle w:val="normaltextrun"/>
        </w:rPr>
        <w:t>The municipal corporation, by resolution adopted by a majority of its legislative body, has determined that the public utility, or portion thereof, is not necessary for supplying water or sewer services to its own inhabitants, or that its inhabitants will be provided with equal or better service by the acquiring entity on terms that are just and reasonable and do not discriminate against the customers of the acquired entity, and orders the issue submitted to the qualified voters of the municipality at a special or general election held for that purpose.</w:t>
      </w:r>
    </w:p>
    <w:p w:rsidRPr="007A772E" w:rsidR="007A772E" w:rsidP="007A772E" w:rsidRDefault="007A772E" w14:paraId="764181BC" w14:textId="77777777">
      <w:pPr>
        <w:spacing w:after="200" w:line="276" w:lineRule="auto"/>
        <w:ind w:left="1440"/>
        <w:rPr>
          <w:rStyle w:val="normaltextrun"/>
        </w:rPr>
      </w:pPr>
      <w:r w:rsidRPr="007A772E">
        <w:rPr>
          <w:rStyle w:val="normaltextrun"/>
        </w:rPr>
        <w:t>(2)</w:t>
      </w:r>
      <w:r w:rsidRPr="007A772E">
        <w:rPr>
          <w:rStyle w:val="normaltextrun"/>
        </w:rPr>
        <w:t> </w:t>
      </w:r>
      <w:r w:rsidRPr="007A772E">
        <w:rPr>
          <w:rStyle w:val="normaltextrun"/>
        </w:rPr>
        <w:t>The acquiring entity by resolution adopted by a majority of its legislative body or board of directors has concurred in the sale or transfer and in the terms and conditions thereof.</w:t>
      </w:r>
    </w:p>
    <w:p w:rsidRPr="007A772E" w:rsidR="007A772E" w:rsidP="007A772E" w:rsidRDefault="007A772E" w14:paraId="4A1AF0D9" w14:textId="77777777">
      <w:pPr>
        <w:spacing w:after="200" w:line="276" w:lineRule="auto"/>
        <w:ind w:left="1440"/>
        <w:rPr>
          <w:rStyle w:val="normaltextrun"/>
        </w:rPr>
      </w:pPr>
      <w:r w:rsidRPr="007A772E">
        <w:rPr>
          <w:rStyle w:val="normaltextrun"/>
        </w:rPr>
        <w:t>(3)</w:t>
      </w:r>
      <w:r w:rsidRPr="007A772E">
        <w:rPr>
          <w:rStyle w:val="normaltextrun"/>
        </w:rPr>
        <w:t> </w:t>
      </w:r>
      <w:r w:rsidRPr="007A772E">
        <w:rPr>
          <w:rStyle w:val="normaltextrun"/>
        </w:rPr>
        <w:t>The sale or transfer is approved by a majority of all voters voting on the issue in the election held for that purpose.</w:t>
      </w:r>
    </w:p>
    <w:p w:rsidRPr="007A772E" w:rsidR="007A772E" w:rsidP="007A772E" w:rsidRDefault="007A772E" w14:paraId="06968FE0" w14:textId="77777777">
      <w:pPr>
        <w:spacing w:after="200" w:line="276" w:lineRule="auto"/>
        <w:ind w:left="1440"/>
        <w:rPr>
          <w:rStyle w:val="normaltextrun"/>
        </w:rPr>
      </w:pPr>
      <w:r w:rsidRPr="007A772E">
        <w:rPr>
          <w:rStyle w:val="normaltextrun"/>
        </w:rPr>
        <w:t>(4)</w:t>
      </w:r>
      <w:r w:rsidRPr="007A772E">
        <w:rPr>
          <w:rStyle w:val="normaltextrun"/>
        </w:rPr>
        <w:t> </w:t>
      </w:r>
      <w:r w:rsidRPr="007A772E">
        <w:rPr>
          <w:rStyle w:val="normaltextrun"/>
        </w:rPr>
        <w:t>The municipal corporation, public agency, water corporation, or sewer system corporation proposing to acquire a municipal corporation public utility for furnishing water or sewer service shall disclose to the customers of the public water or sewer system to be acquired, not less than 30 days prior to the date of election for formal approval of the acquisition, a written statement which includes all of the following:</w:t>
      </w:r>
    </w:p>
    <w:p w:rsidRPr="007A772E" w:rsidR="007A772E" w:rsidP="0086752E" w:rsidRDefault="007A772E" w14:paraId="591A2C16" w14:textId="77777777">
      <w:pPr>
        <w:spacing w:after="200" w:line="276" w:lineRule="auto"/>
        <w:ind w:left="1440" w:firstLine="720"/>
        <w:rPr>
          <w:rStyle w:val="normaltextrun"/>
        </w:rPr>
      </w:pPr>
      <w:r w:rsidRPr="007A772E">
        <w:rPr>
          <w:rStyle w:val="normaltextrun"/>
        </w:rPr>
        <w:t>(A)</w:t>
      </w:r>
      <w:r w:rsidRPr="007A772E">
        <w:rPr>
          <w:rStyle w:val="normaltextrun"/>
        </w:rPr>
        <w:t> </w:t>
      </w:r>
      <w:r w:rsidRPr="007A772E">
        <w:rPr>
          <w:rStyle w:val="normaltextrun"/>
        </w:rPr>
        <w:t>A summary of the price and terms of the proposed acquisition.</w:t>
      </w:r>
    </w:p>
    <w:p w:rsidRPr="007A772E" w:rsidR="007A772E" w:rsidP="0086752E" w:rsidRDefault="007A772E" w14:paraId="5C1A2C2C" w14:textId="77777777">
      <w:pPr>
        <w:spacing w:after="200" w:line="276" w:lineRule="auto"/>
        <w:ind w:left="2160"/>
        <w:rPr>
          <w:rStyle w:val="normaltextrun"/>
        </w:rPr>
      </w:pPr>
      <w:r w:rsidRPr="007A772E">
        <w:rPr>
          <w:rStyle w:val="normaltextrun"/>
        </w:rPr>
        <w:t>(B)</w:t>
      </w:r>
      <w:r w:rsidRPr="007A772E">
        <w:rPr>
          <w:rStyle w:val="normaltextrun"/>
        </w:rPr>
        <w:t> </w:t>
      </w:r>
      <w:r w:rsidRPr="007A772E">
        <w:rPr>
          <w:rStyle w:val="normaltextrun"/>
        </w:rPr>
        <w:t>A comparison of the applicable water or sewer charges before and after the proposed acquisition.</w:t>
      </w:r>
    </w:p>
    <w:p w:rsidRPr="007A772E" w:rsidR="007A772E" w:rsidP="0086752E" w:rsidRDefault="007A772E" w14:paraId="731D6833" w14:textId="77777777">
      <w:pPr>
        <w:spacing w:after="200" w:line="276" w:lineRule="auto"/>
        <w:ind w:left="2160"/>
        <w:rPr>
          <w:rStyle w:val="normaltextrun"/>
        </w:rPr>
      </w:pPr>
      <w:r w:rsidRPr="007A772E">
        <w:rPr>
          <w:rStyle w:val="normaltextrun"/>
        </w:rPr>
        <w:t>(C)</w:t>
      </w:r>
      <w:r w:rsidRPr="007A772E">
        <w:rPr>
          <w:rStyle w:val="normaltextrun"/>
        </w:rPr>
        <w:t> </w:t>
      </w:r>
      <w:r w:rsidRPr="007A772E">
        <w:rPr>
          <w:rStyle w:val="normaltextrun"/>
        </w:rPr>
        <w:t>The estimated savings to be achieved or additional costs expected to result, or both, from the proposed acquisition.</w:t>
      </w:r>
    </w:p>
    <w:p w:rsidRPr="007A772E" w:rsidR="007A772E" w:rsidP="007A772E" w:rsidRDefault="007A772E" w14:paraId="4A337306" w14:textId="77777777">
      <w:pPr>
        <w:spacing w:after="200" w:line="276" w:lineRule="auto"/>
        <w:ind w:left="720"/>
        <w:rPr>
          <w:rStyle w:val="normaltextrun"/>
        </w:rPr>
      </w:pPr>
      <w:r w:rsidRPr="007A772E">
        <w:rPr>
          <w:rStyle w:val="normaltextrun"/>
        </w:rPr>
        <w:t>(d)</w:t>
      </w:r>
      <w:r w:rsidRPr="007A772E">
        <w:rPr>
          <w:rStyle w:val="normaltextrun"/>
        </w:rPr>
        <w:t> </w:t>
      </w:r>
      <w:r w:rsidRPr="007A772E">
        <w:rPr>
          <w:rStyle w:val="normaltextrun"/>
        </w:rPr>
        <w:t>Subject to subdivision (e), a municipal corporation may lease a public utility furnishing water or sewer service by a resolution adopted by a majority of its legislative body and without lease term or other restrictions stated in any other law.</w:t>
      </w:r>
    </w:p>
    <w:p w:rsidRPr="007A772E" w:rsidR="007A772E" w:rsidP="007A772E" w:rsidRDefault="007A772E" w14:paraId="32D088D1" w14:textId="77777777">
      <w:pPr>
        <w:spacing w:after="200" w:line="276" w:lineRule="auto"/>
        <w:ind w:left="720"/>
        <w:rPr>
          <w:rStyle w:val="normaltextrun"/>
        </w:rPr>
      </w:pPr>
      <w:r w:rsidRPr="007A772E">
        <w:rPr>
          <w:rStyle w:val="normaltextrun"/>
        </w:rPr>
        <w:t>(e)</w:t>
      </w:r>
      <w:r w:rsidRPr="007A772E">
        <w:rPr>
          <w:rStyle w:val="normaltextrun"/>
        </w:rPr>
        <w:t> </w:t>
      </w:r>
      <w:r w:rsidRPr="007A772E">
        <w:rPr>
          <w:rStyle w:val="normaltextrun"/>
        </w:rPr>
        <w:t xml:space="preserve">A municipal corporation acting pursuant to subdivision (c) shall specify the manner of soliciting and filing, and the method of evaluating, proposals for the acquisition of the public utility. </w:t>
      </w:r>
      <w:r w:rsidRPr="007A772E">
        <w:rPr>
          <w:rStyle w:val="normaltextrun"/>
        </w:rPr>
        <w:t> </w:t>
      </w:r>
      <w:r w:rsidRPr="007A772E">
        <w:rPr>
          <w:rStyle w:val="normaltextrun"/>
        </w:rPr>
        <w:t>Upon receipt and staff evaluation of a proposal or proposals the municipal corporation, if it determines that the proposal or proposals are responsive, shall schedule a public hearing, and notice thereof shall be published in accordance with </w:t>
      </w:r>
      <w:hyperlink w:tgtFrame="_blank" w:tooltip="Section 6066 of the Government Code" w:history="1" r:id="rId54">
        <w:r w:rsidRPr="007A772E">
          <w:rPr>
            <w:rStyle w:val="normaltextrun"/>
          </w:rPr>
          <w:t>Section 6066 of the Government Code</w:t>
        </w:r>
      </w:hyperlink>
      <w:r w:rsidRPr="007A772E">
        <w:rPr>
          <w:rStyle w:val="normaltextrun"/>
        </w:rPr>
        <w:t xml:space="preserve"> . </w:t>
      </w:r>
      <w:r w:rsidRPr="007A772E">
        <w:rPr>
          <w:rStyle w:val="normaltextrun"/>
        </w:rPr>
        <w:t> </w:t>
      </w:r>
      <w:r w:rsidRPr="007A772E">
        <w:rPr>
          <w:rStyle w:val="normaltextrun"/>
        </w:rPr>
        <w:t xml:space="preserve">At the hearing, the municipal corporation shall examine proposals received and staff recommendations, and without lease term or other restrictions, may lease, sell, or transfer, for just compensation, the public utility to the entity that the municipal corporation finds best qualified to continue to provide equal or better service to the customers of the system. </w:t>
      </w:r>
      <w:r w:rsidRPr="007A772E">
        <w:rPr>
          <w:rStyle w:val="normaltextrun"/>
        </w:rPr>
        <w:t> </w:t>
      </w:r>
      <w:r w:rsidRPr="007A772E">
        <w:rPr>
          <w:rStyle w:val="normaltextrun"/>
        </w:rPr>
        <w:t xml:space="preserve">If the resolution proposes a sale, the resolution shall place </w:t>
      </w:r>
      <w:r w:rsidRPr="007A772E">
        <w:rPr>
          <w:rStyle w:val="normaltextrun"/>
        </w:rPr>
        <w:lastRenderedPageBreak/>
        <w:t xml:space="preserve">the question on the ballot at the next regularly scheduled election or at a special election called for that purpose. </w:t>
      </w:r>
      <w:r w:rsidRPr="007A772E">
        <w:rPr>
          <w:rStyle w:val="normaltextrun"/>
        </w:rPr>
        <w:t> </w:t>
      </w:r>
      <w:r w:rsidRPr="007A772E">
        <w:rPr>
          <w:rStyle w:val="normaltextrun"/>
        </w:rPr>
        <w:t>The municipal corporation may, in its sole discretion, reject all proposals.</w:t>
      </w:r>
    </w:p>
    <w:p w:rsidRPr="007A772E" w:rsidR="007A772E" w:rsidP="007A772E" w:rsidRDefault="007A772E" w14:paraId="051D9963" w14:textId="77777777">
      <w:pPr>
        <w:spacing w:after="200" w:line="276" w:lineRule="auto"/>
        <w:ind w:left="720"/>
        <w:rPr>
          <w:rStyle w:val="normaltextrun"/>
        </w:rPr>
      </w:pPr>
      <w:r w:rsidRPr="007A772E">
        <w:rPr>
          <w:rStyle w:val="normaltextrun"/>
        </w:rPr>
        <w:t>(f)</w:t>
      </w:r>
      <w:r w:rsidRPr="007A772E">
        <w:rPr>
          <w:rStyle w:val="normaltextrun"/>
        </w:rPr>
        <w:t> </w:t>
      </w:r>
      <w:r w:rsidRPr="007A772E">
        <w:rPr>
          <w:rStyle w:val="normaltextrun"/>
        </w:rPr>
        <w:t>Any agreement entered into before September 17, 1965, between municipal corporations for the lease, sale, or transfer of all or any part of a public utility owned and operated by one of the municipal corporations and furnishing water service to the inhabitants of the municipal corporation to which the lease, sale, or transfer is made is hereby validated.</w:t>
      </w:r>
    </w:p>
    <w:p w:rsidR="00E16CD7" w:rsidP="00143279" w:rsidRDefault="00CB334B" w14:paraId="4D586D1F" w14:textId="323572F3">
      <w:pPr>
        <w:spacing w:after="200" w:line="276" w:lineRule="auto"/>
        <w:rPr>
          <w:rStyle w:val="normaltextrun"/>
          <w:b/>
          <w:bCs/>
        </w:rPr>
      </w:pPr>
      <w:r w:rsidRPr="00CB334B">
        <w:rPr>
          <w:rStyle w:val="normaltextrun"/>
          <w:b/>
          <w:bCs/>
        </w:rPr>
        <w:t>Government Code Section 37420.5</w:t>
      </w:r>
      <w:r>
        <w:rPr>
          <w:rStyle w:val="normaltextrun"/>
          <w:b/>
          <w:bCs/>
        </w:rPr>
        <w:t>:</w:t>
      </w:r>
    </w:p>
    <w:p w:rsidRPr="00E33C44" w:rsidR="00E33C44" w:rsidP="00E33C44" w:rsidRDefault="00E33C44" w14:paraId="6D52D533" w14:textId="77777777">
      <w:pPr>
        <w:spacing w:after="200" w:line="276" w:lineRule="auto"/>
        <w:ind w:left="720"/>
        <w:rPr>
          <w:rStyle w:val="normaltextrun"/>
        </w:rPr>
      </w:pPr>
      <w:r w:rsidRPr="00E33C44">
        <w:rPr>
          <w:rStyle w:val="normaltextrun"/>
        </w:rPr>
        <w:t>(a)</w:t>
      </w:r>
      <w:r w:rsidRPr="00E33C44">
        <w:rPr>
          <w:rStyle w:val="normaltextrun"/>
        </w:rPr>
        <w:t> </w:t>
      </w:r>
      <w:r w:rsidRPr="00E33C44">
        <w:rPr>
          <w:rStyle w:val="normaltextrun"/>
        </w:rPr>
        <w:t>Notwithstanding Article 2 (commencing with </w:t>
      </w:r>
      <w:hyperlink w:tgtFrame="_blank" w:tooltip="Section 10051) of Chapter 1 of Division 5 of the Public Utilities Code" w:history="1" r:id="rId55">
        <w:r w:rsidRPr="00E33C44">
          <w:rPr>
            <w:rStyle w:val="normaltextrun"/>
          </w:rPr>
          <w:t>Section 10051) of Chapter 1 of Division 5 of the Public Utilities Code</w:t>
        </w:r>
      </w:hyperlink>
      <w:r w:rsidRPr="00E33C44">
        <w:rPr>
          <w:rStyle w:val="normaltextrun"/>
        </w:rPr>
        <w:t> , the City of El Monte, the City of Montebello, and the City of Willows may sell its public utility for furnishing water service pursuant to this article for the purpose of consolidating its public water system with another public water system only if the potentially subsumed public water system is wholly within the boundaries of the city and if the city determines that it is uneconomical and not in the public interest to own and operate the public utility for furnishing water service, subject to all of the following requirements:</w:t>
      </w:r>
    </w:p>
    <w:p w:rsidRPr="00E33C44" w:rsidR="00E33C44" w:rsidP="00E33C44" w:rsidRDefault="00E33C44" w14:paraId="1DC9FCD1" w14:textId="77777777">
      <w:pPr>
        <w:spacing w:after="200" w:line="276" w:lineRule="auto"/>
        <w:ind w:left="1440"/>
        <w:rPr>
          <w:rStyle w:val="normaltextrun"/>
        </w:rPr>
      </w:pPr>
      <w:r w:rsidRPr="00E33C44">
        <w:rPr>
          <w:rStyle w:val="normaltextrun"/>
        </w:rPr>
        <w:t>(1)</w:t>
      </w:r>
      <w:r w:rsidRPr="00E33C44">
        <w:rPr>
          <w:rStyle w:val="normaltextrun"/>
        </w:rPr>
        <w:t> </w:t>
      </w:r>
      <w:r w:rsidRPr="00E33C44">
        <w:rPr>
          <w:rStyle w:val="normaltextrun"/>
        </w:rPr>
        <w:t>The legislative body of the city shall not sell the water utility property for less than its fair market value, as defined in </w:t>
      </w:r>
      <w:hyperlink w:tgtFrame="_blank" w:tooltip="Section 1263.320 of the Code of Civil Procedure" w:history="1" r:id="rId56">
        <w:r w:rsidRPr="00E33C44">
          <w:rPr>
            <w:rStyle w:val="normaltextrun"/>
          </w:rPr>
          <w:t>Section 1263.320 of the Code of Civil Procedure</w:t>
        </w:r>
      </w:hyperlink>
      <w:r w:rsidRPr="00E33C44">
        <w:rPr>
          <w:rStyle w:val="normaltextrun"/>
        </w:rPr>
        <w:t> .</w:t>
      </w:r>
    </w:p>
    <w:p w:rsidRPr="00E33C44" w:rsidR="00E33C44" w:rsidP="00E33C44" w:rsidRDefault="00E33C44" w14:paraId="68F497FE" w14:textId="77777777">
      <w:pPr>
        <w:spacing w:after="200" w:line="276" w:lineRule="auto"/>
        <w:ind w:left="1440"/>
        <w:rPr>
          <w:rStyle w:val="normaltextrun"/>
        </w:rPr>
      </w:pPr>
      <w:r w:rsidRPr="00E33C44">
        <w:rPr>
          <w:rStyle w:val="normaltextrun"/>
        </w:rPr>
        <w:t>(2)</w:t>
      </w:r>
      <w:r w:rsidRPr="00E33C44">
        <w:rPr>
          <w:rStyle w:val="normaltextrun"/>
        </w:rPr>
        <w:t> </w:t>
      </w:r>
      <w:r w:rsidRPr="00E33C44">
        <w:rPr>
          <w:rStyle w:val="normaltextrun"/>
        </w:rPr>
        <w:t>The legislative body of the city shall not sell the water utility property without a four-fifths vote of the city's legislative body.</w:t>
      </w:r>
    </w:p>
    <w:p w:rsidRPr="00E33C44" w:rsidR="00E33C44" w:rsidP="00E33C44" w:rsidRDefault="00E33C44" w14:paraId="0A77E2B6" w14:textId="77777777">
      <w:pPr>
        <w:spacing w:after="200" w:line="276" w:lineRule="auto"/>
        <w:ind w:left="1440"/>
        <w:rPr>
          <w:rStyle w:val="normaltextrun"/>
        </w:rPr>
      </w:pPr>
      <w:r w:rsidRPr="00E33C44">
        <w:rPr>
          <w:rStyle w:val="normaltextrun"/>
        </w:rPr>
        <w:t>(3)</w:t>
      </w:r>
      <w:r w:rsidRPr="00E33C44">
        <w:rPr>
          <w:rStyle w:val="normaltextrun"/>
        </w:rPr>
        <w:t> </w:t>
      </w:r>
      <w:r w:rsidRPr="00E33C44">
        <w:rPr>
          <w:rStyle w:val="normaltextrun"/>
        </w:rPr>
        <w:t>There are at least two water suppliers that provide drinking water to residents in the city prior to the sale.</w:t>
      </w:r>
    </w:p>
    <w:p w:rsidRPr="00E33C44" w:rsidR="00E33C44" w:rsidP="00E33C44" w:rsidRDefault="00E33C44" w14:paraId="34412820" w14:textId="77777777">
      <w:pPr>
        <w:spacing w:after="200" w:line="276" w:lineRule="auto"/>
        <w:ind w:left="1440"/>
        <w:rPr>
          <w:rStyle w:val="normaltextrun"/>
        </w:rPr>
      </w:pPr>
      <w:r w:rsidRPr="00E33C44">
        <w:rPr>
          <w:rStyle w:val="normaltextrun"/>
        </w:rPr>
        <w:t>(4)</w:t>
      </w:r>
      <w:r w:rsidRPr="00E33C44">
        <w:rPr>
          <w:rStyle w:val="normaltextrun"/>
        </w:rPr>
        <w:t> </w:t>
      </w:r>
      <w:r w:rsidRPr="00E33C44">
        <w:rPr>
          <w:rStyle w:val="normaltextrun"/>
        </w:rPr>
        <w:t xml:space="preserve">The city has deferred necessary maintenance for aging or failing water infrastructure of public water systems operated by the public utility. </w:t>
      </w:r>
      <w:r w:rsidRPr="00E33C44">
        <w:rPr>
          <w:rStyle w:val="normaltextrun"/>
        </w:rPr>
        <w:t> </w:t>
      </w:r>
      <w:r w:rsidRPr="00E33C44">
        <w:rPr>
          <w:rStyle w:val="normaltextrun"/>
        </w:rPr>
        <w:t>The necessity of the maintenance shall be demonstrated by a study conducted by an independent third party that evaluates performance of the system applying American Water Works Association standards or other equivalent standards.</w:t>
      </w:r>
    </w:p>
    <w:p w:rsidRPr="00E33C44" w:rsidR="00E33C44" w:rsidP="00E33C44" w:rsidRDefault="00E33C44" w14:paraId="42AD1C75" w14:textId="77777777">
      <w:pPr>
        <w:spacing w:after="200" w:line="276" w:lineRule="auto"/>
        <w:ind w:left="1440"/>
        <w:rPr>
          <w:rStyle w:val="normaltextrun"/>
        </w:rPr>
      </w:pPr>
      <w:r w:rsidRPr="00E33C44">
        <w:rPr>
          <w:rStyle w:val="normaltextrun"/>
        </w:rPr>
        <w:t>(5)</w:t>
      </w:r>
      <w:r w:rsidRPr="00E33C44">
        <w:rPr>
          <w:rStyle w:val="normaltextrun"/>
        </w:rPr>
        <w:t> </w:t>
      </w:r>
      <w:r w:rsidRPr="00E33C44">
        <w:rPr>
          <w:rStyle w:val="normaltextrun"/>
        </w:rPr>
        <w:t>The receiving water system's service area borders the service area of the subsumed water system.</w:t>
      </w:r>
    </w:p>
    <w:p w:rsidRPr="00E33C44" w:rsidR="00E33C44" w:rsidP="00E33C44" w:rsidRDefault="00E33C44" w14:paraId="06297D43" w14:textId="77777777">
      <w:pPr>
        <w:spacing w:after="200" w:line="276" w:lineRule="auto"/>
        <w:ind w:left="1440"/>
        <w:rPr>
          <w:rStyle w:val="normaltextrun"/>
        </w:rPr>
      </w:pPr>
      <w:r w:rsidRPr="00E33C44">
        <w:rPr>
          <w:rStyle w:val="normaltextrun"/>
        </w:rPr>
        <w:t>(6)</w:t>
      </w:r>
      <w:r w:rsidRPr="00E33C44">
        <w:rPr>
          <w:rStyle w:val="normaltextrun"/>
        </w:rPr>
        <w:t> </w:t>
      </w:r>
      <w:r w:rsidRPr="00E33C44">
        <w:rPr>
          <w:rStyle w:val="normaltextrun"/>
        </w:rPr>
        <w:t xml:space="preserve">The subsumed water system's customers shall not pay water rates different from customers already receiving service from the receiving water system. </w:t>
      </w:r>
      <w:r w:rsidRPr="00E33C44">
        <w:rPr>
          <w:rStyle w:val="normaltextrun"/>
        </w:rPr>
        <w:t> </w:t>
      </w:r>
      <w:r w:rsidRPr="00E33C44">
        <w:rPr>
          <w:rStyle w:val="normaltextrun"/>
        </w:rPr>
        <w:t xml:space="preserve">Consolidation of the water systems shall be economically feasible for the ratepayers of the subsumed water system. </w:t>
      </w:r>
      <w:r w:rsidRPr="00E33C44">
        <w:rPr>
          <w:rStyle w:val="normaltextrun"/>
        </w:rPr>
        <w:t> </w:t>
      </w:r>
      <w:r w:rsidRPr="00E33C44">
        <w:rPr>
          <w:rStyle w:val="normaltextrun"/>
        </w:rPr>
        <w:t xml:space="preserve">Ratepayers of the subsumed water system shall be notified of the applicable rate that will be in effect during the first year after consolidation has been completed. </w:t>
      </w:r>
      <w:r w:rsidRPr="00E33C44">
        <w:rPr>
          <w:rStyle w:val="normaltextrun"/>
        </w:rPr>
        <w:t> </w:t>
      </w:r>
      <w:r w:rsidRPr="00E33C44">
        <w:rPr>
          <w:rStyle w:val="normaltextrun"/>
        </w:rPr>
        <w:t>Any rate increases following the sale of a public utility for furnishing water service shall be phased in over time.</w:t>
      </w:r>
    </w:p>
    <w:p w:rsidRPr="00E33C44" w:rsidR="00E33C44" w:rsidP="00E33C44" w:rsidRDefault="00E33C44" w14:paraId="00B73522" w14:textId="77777777">
      <w:pPr>
        <w:spacing w:after="200" w:line="276" w:lineRule="auto"/>
        <w:ind w:left="720" w:firstLine="720"/>
        <w:rPr>
          <w:rStyle w:val="normaltextrun"/>
        </w:rPr>
      </w:pPr>
      <w:r w:rsidRPr="00E33C44">
        <w:rPr>
          <w:rStyle w:val="normaltextrun"/>
        </w:rPr>
        <w:t>(7)</w:t>
      </w:r>
      <w:r w:rsidRPr="00E33C44">
        <w:rPr>
          <w:rStyle w:val="normaltextrun"/>
        </w:rPr>
        <w:t> </w:t>
      </w:r>
      <w:r w:rsidRPr="00E33C44">
        <w:rPr>
          <w:rStyle w:val="normaltextrun"/>
        </w:rPr>
        <w:t>Consolidation of the water systems is technically and economically feasible.</w:t>
      </w:r>
    </w:p>
    <w:p w:rsidRPr="00E33C44" w:rsidR="00E33C44" w:rsidP="00E33C44" w:rsidRDefault="00E33C44" w14:paraId="0F7DF8E6" w14:textId="77777777">
      <w:pPr>
        <w:spacing w:after="200" w:line="276" w:lineRule="auto"/>
        <w:ind w:left="1440"/>
        <w:rPr>
          <w:rStyle w:val="normaltextrun"/>
        </w:rPr>
      </w:pPr>
      <w:r w:rsidRPr="00E33C44">
        <w:rPr>
          <w:rStyle w:val="normaltextrun"/>
        </w:rPr>
        <w:lastRenderedPageBreak/>
        <w:t>(8)(A)</w:t>
      </w:r>
      <w:r w:rsidRPr="00E33C44">
        <w:rPr>
          <w:rStyle w:val="normaltextrun"/>
        </w:rPr>
        <w:t> </w:t>
      </w:r>
      <w:r w:rsidRPr="00E33C44">
        <w:rPr>
          <w:rStyle w:val="normaltextrun"/>
        </w:rPr>
        <w:t>The legislative body of the city shall not sell its public utility for furnishing water service unless it considers oral and written protests at its second regularly scheduled meeting following the adoption of a resolution pursuant to </w:t>
      </w:r>
      <w:hyperlink w:tgtFrame="_blank" w:tooltip="Sections 37422" w:history="1" r:id="rId57">
        <w:r w:rsidRPr="00E33C44">
          <w:rPr>
            <w:rStyle w:val="normaltextrun"/>
          </w:rPr>
          <w:t>Sections 37422</w:t>
        </w:r>
      </w:hyperlink>
      <w:r w:rsidRPr="00E33C44">
        <w:rPr>
          <w:rStyle w:val="normaltextrun"/>
        </w:rPr>
        <w:t xml:space="preserve"> and publication pursuant to subparagraph (B). </w:t>
      </w:r>
      <w:r w:rsidRPr="00E33C44">
        <w:rPr>
          <w:rStyle w:val="normaltextrun"/>
        </w:rPr>
        <w:t> </w:t>
      </w:r>
      <w:r w:rsidRPr="00E33C44">
        <w:rPr>
          <w:rStyle w:val="normaltextrun"/>
        </w:rPr>
        <w:t>In addition to the requirements of </w:t>
      </w:r>
      <w:hyperlink w:tgtFrame="_blank" w:tooltip="Section 37422" w:history="1" r:id="rId58">
        <w:r w:rsidRPr="00E33C44">
          <w:rPr>
            <w:rStyle w:val="normaltextrun"/>
          </w:rPr>
          <w:t>Section 37422</w:t>
        </w:r>
      </w:hyperlink>
      <w:r w:rsidRPr="00E33C44">
        <w:rPr>
          <w:rStyle w:val="normaltextrun"/>
        </w:rPr>
        <w:t xml:space="preserve"> , the resolution shall allow 45 days for hearing protests to the sale and shall state the city's intended use of the sale proceeds. </w:t>
      </w:r>
      <w:r w:rsidRPr="00E33C44">
        <w:rPr>
          <w:rStyle w:val="normaltextrun"/>
        </w:rPr>
        <w:t> </w:t>
      </w:r>
      <w:r w:rsidRPr="00E33C44">
        <w:rPr>
          <w:rStyle w:val="normaltextrun"/>
        </w:rPr>
        <w:t xml:space="preserve">Notice of the sale may be given by including notice in the agency's regular billing statement. </w:t>
      </w:r>
      <w:r w:rsidRPr="00E33C44">
        <w:rPr>
          <w:rStyle w:val="normaltextrun"/>
        </w:rPr>
        <w:t> </w:t>
      </w:r>
      <w:r w:rsidRPr="00E33C44">
        <w:rPr>
          <w:rStyle w:val="normaltextrun"/>
        </w:rPr>
        <w:t xml:space="preserve">One written protest per parcel, filed by an owner or tenant of the parcel, shall be counted in calculating a protest. </w:t>
      </w:r>
      <w:r w:rsidRPr="00E33C44">
        <w:rPr>
          <w:rStyle w:val="normaltextrun"/>
        </w:rPr>
        <w:t> </w:t>
      </w:r>
      <w:r w:rsidRPr="00E33C44">
        <w:rPr>
          <w:rStyle w:val="normaltextrun"/>
        </w:rPr>
        <w:t>The city shall maintain all written protests for a minimum of two years following the date of the hearing to consider written protests.</w:t>
      </w:r>
    </w:p>
    <w:p w:rsidRPr="00E33C44" w:rsidR="00E33C44" w:rsidP="00E33C44" w:rsidRDefault="00E33C44" w14:paraId="6EC25516" w14:textId="77777777">
      <w:pPr>
        <w:spacing w:after="200" w:line="276" w:lineRule="auto"/>
        <w:ind w:left="2160"/>
        <w:rPr>
          <w:rStyle w:val="normaltextrun"/>
        </w:rPr>
      </w:pPr>
      <w:r w:rsidRPr="00E33C44">
        <w:rPr>
          <w:rStyle w:val="normaltextrun"/>
        </w:rPr>
        <w:t>(B)</w:t>
      </w:r>
      <w:r w:rsidRPr="00E33C44">
        <w:rPr>
          <w:rStyle w:val="normaltextrun"/>
        </w:rPr>
        <w:t> </w:t>
      </w:r>
      <w:r w:rsidRPr="00E33C44">
        <w:rPr>
          <w:rStyle w:val="normaltextrun"/>
        </w:rPr>
        <w:t>Notwithstanding </w:t>
      </w:r>
      <w:hyperlink w:tgtFrame="_blank" w:tooltip="Section 37423" w:history="1" r:id="rId59">
        <w:r w:rsidRPr="00E33C44">
          <w:rPr>
            <w:rStyle w:val="normaltextrun"/>
          </w:rPr>
          <w:t>Section 37423</w:t>
        </w:r>
      </w:hyperlink>
      <w:r w:rsidRPr="00E33C44">
        <w:rPr>
          <w:rStyle w:val="normaltextrun"/>
        </w:rPr>
        <w:t xml:space="preserve"> , the resolution shall be published at least once in a daily newspaper published and circulated in the city or, if there is none, the legislative body shall designate a newspaper published in the county. </w:t>
      </w:r>
      <w:r w:rsidRPr="00E33C44">
        <w:rPr>
          <w:rStyle w:val="normaltextrun"/>
        </w:rPr>
        <w:t> </w:t>
      </w:r>
      <w:r w:rsidRPr="00E33C44">
        <w:rPr>
          <w:rStyle w:val="normaltextrun"/>
        </w:rPr>
        <w:t>It shall also be posted for not less than 10 days in at least three conspicuous places in the city.</w:t>
      </w:r>
    </w:p>
    <w:p w:rsidRPr="00E33C44" w:rsidR="00E33C44" w:rsidP="00E33C44" w:rsidRDefault="00E33C44" w14:paraId="304727EA" w14:textId="77777777">
      <w:pPr>
        <w:spacing w:after="200" w:line="276" w:lineRule="auto"/>
        <w:ind w:left="2160"/>
        <w:rPr>
          <w:rStyle w:val="normaltextrun"/>
        </w:rPr>
      </w:pPr>
      <w:r w:rsidRPr="00E33C44">
        <w:rPr>
          <w:rStyle w:val="normaltextrun"/>
        </w:rPr>
        <w:t>(C)(i)</w:t>
      </w:r>
      <w:r w:rsidRPr="00E33C44">
        <w:rPr>
          <w:rStyle w:val="normaltextrun"/>
        </w:rPr>
        <w:t> </w:t>
      </w:r>
      <w:r w:rsidRPr="00E33C44">
        <w:rPr>
          <w:rStyle w:val="normaltextrun"/>
        </w:rPr>
        <w:t>Notwithstanding </w:t>
      </w:r>
      <w:hyperlink w:tgtFrame="_blank" w:tooltip="Section 37425" w:history="1" r:id="rId60">
        <w:r w:rsidRPr="00E33C44">
          <w:rPr>
            <w:rStyle w:val="normaltextrun"/>
          </w:rPr>
          <w:t>Section 37425</w:t>
        </w:r>
      </w:hyperlink>
      <w:r w:rsidRPr="00E33C44">
        <w:rPr>
          <w:rStyle w:val="normaltextrun"/>
        </w:rPr>
        <w:t> , if the legislative body of the city finds that protests have been filed by at least 10 percent of interested persons, the legislative body of the city shall call an election pursuant to </w:t>
      </w:r>
      <w:hyperlink w:tgtFrame="_blank" w:tooltip="Section 37427" w:history="1" r:id="rId61">
        <w:r w:rsidRPr="00E33C44">
          <w:rPr>
            <w:rStyle w:val="normaltextrun"/>
          </w:rPr>
          <w:t>Section 37427</w:t>
        </w:r>
      </w:hyperlink>
      <w:r w:rsidRPr="00E33C44">
        <w:rPr>
          <w:rStyle w:val="normaltextrun"/>
        </w:rPr>
        <w:t xml:space="preserve"> . </w:t>
      </w:r>
      <w:r w:rsidRPr="00E33C44">
        <w:rPr>
          <w:rStyle w:val="normaltextrun"/>
        </w:rPr>
        <w:t> </w:t>
      </w:r>
      <w:r w:rsidRPr="00E33C44">
        <w:rPr>
          <w:rStyle w:val="normaltextrun"/>
        </w:rPr>
        <w:t>If an election is called pursuant to this paragraph, the legislative body of the city shall not sell the public utility for furnishing water service unless the sale is approved by a majority of the city's registered voters voting on the issue.</w:t>
      </w:r>
    </w:p>
    <w:p w:rsidRPr="00E33C44" w:rsidR="00E33C44" w:rsidP="00571DD5" w:rsidRDefault="00E33C44" w14:paraId="34D30211" w14:textId="77777777">
      <w:pPr>
        <w:spacing w:after="200" w:line="276" w:lineRule="auto"/>
        <w:ind w:left="2160"/>
        <w:rPr>
          <w:rStyle w:val="normaltextrun"/>
        </w:rPr>
      </w:pPr>
      <w:r w:rsidRPr="00E33C44">
        <w:rPr>
          <w:rStyle w:val="normaltextrun"/>
        </w:rPr>
        <w:t>(ii)</w:t>
      </w:r>
      <w:r w:rsidRPr="00E33C44">
        <w:rPr>
          <w:rStyle w:val="normaltextrun"/>
        </w:rPr>
        <w:t> </w:t>
      </w:r>
      <w:r w:rsidRPr="00E33C44">
        <w:rPr>
          <w:rStyle w:val="normaltextrun"/>
        </w:rPr>
        <w:t xml:space="preserve">If 50 percent or more of interested persons protest the sale of the public utility, the city shall not take further steps for the sale of the public utility. </w:t>
      </w:r>
      <w:r w:rsidRPr="00E33C44">
        <w:rPr>
          <w:rStyle w:val="normaltextrun"/>
        </w:rPr>
        <w:t> </w:t>
      </w:r>
      <w:r w:rsidRPr="00E33C44">
        <w:rPr>
          <w:rStyle w:val="normaltextrun"/>
        </w:rPr>
        <w:t>The city, after one year has passed, may sell the public utility if the requirements of this section are met, including adoption of a new resolution pursuant to subparagraph (A).</w:t>
      </w:r>
    </w:p>
    <w:p w:rsidRPr="00E33C44" w:rsidR="00E33C44" w:rsidP="00571DD5" w:rsidRDefault="00E33C44" w14:paraId="1E0319A6" w14:textId="77777777">
      <w:pPr>
        <w:spacing w:after="200" w:line="276" w:lineRule="auto"/>
        <w:ind w:left="2160"/>
        <w:rPr>
          <w:rStyle w:val="normaltextrun"/>
        </w:rPr>
      </w:pPr>
      <w:r w:rsidRPr="00E33C44">
        <w:rPr>
          <w:rStyle w:val="normaltextrun"/>
        </w:rPr>
        <w:t>(iii)</w:t>
      </w:r>
      <w:r w:rsidRPr="00E33C44">
        <w:rPr>
          <w:rStyle w:val="normaltextrun"/>
        </w:rPr>
        <w:t> </w:t>
      </w:r>
      <w:r w:rsidRPr="00E33C44">
        <w:rPr>
          <w:rStyle w:val="normaltextrun"/>
        </w:rPr>
        <w:t>For purposes of this paragraph, “interested person” means a person who is a resident of the city proposing to sell its public utility pursuant to this section.</w:t>
      </w:r>
    </w:p>
    <w:p w:rsidRPr="00E33C44" w:rsidR="00E33C44" w:rsidP="00571DD5" w:rsidRDefault="00E33C44" w14:paraId="77FBB61D" w14:textId="77777777">
      <w:pPr>
        <w:spacing w:after="200" w:line="276" w:lineRule="auto"/>
        <w:ind w:left="1440"/>
        <w:rPr>
          <w:rStyle w:val="normaltextrun"/>
        </w:rPr>
      </w:pPr>
      <w:r w:rsidRPr="00E33C44">
        <w:rPr>
          <w:rStyle w:val="normaltextrun"/>
        </w:rPr>
        <w:t>(9)</w:t>
      </w:r>
      <w:r w:rsidRPr="00E33C44">
        <w:rPr>
          <w:rStyle w:val="normaltextrun"/>
        </w:rPr>
        <w:t> </w:t>
      </w:r>
      <w:r w:rsidRPr="00E33C44">
        <w:rPr>
          <w:rStyle w:val="normaltextrun"/>
        </w:rPr>
        <w:t>The legislative body of the city has adopted a resolution, at a regularly scheduled meeting, that paragraphs (1) to (8), inclusive, have been met.</w:t>
      </w:r>
    </w:p>
    <w:p w:rsidRPr="00E33C44" w:rsidR="00E33C44" w:rsidP="00571DD5" w:rsidRDefault="00E33C44" w14:paraId="0E867B50" w14:textId="77777777">
      <w:pPr>
        <w:spacing w:after="200" w:line="276" w:lineRule="auto"/>
        <w:ind w:left="2160"/>
        <w:rPr>
          <w:rStyle w:val="normaltextrun"/>
        </w:rPr>
      </w:pPr>
      <w:r w:rsidRPr="00E33C44">
        <w:rPr>
          <w:rStyle w:val="normaltextrun"/>
        </w:rPr>
        <w:t>(b)</w:t>
      </w:r>
      <w:r w:rsidRPr="00E33C44">
        <w:rPr>
          <w:rStyle w:val="normaltextrun"/>
        </w:rPr>
        <w:t> </w:t>
      </w:r>
      <w:r w:rsidRPr="00E33C44">
        <w:rPr>
          <w:rStyle w:val="normaltextrun"/>
        </w:rPr>
        <w:t xml:space="preserve">This section shall remain in effect only until January 1, 2022, and as of that date is repealed, unless a later enacted statute that is enacted before January 1, 2022, </w:t>
      </w:r>
      <w:proofErr w:type="gramStart"/>
      <w:r w:rsidRPr="00E33C44">
        <w:rPr>
          <w:rStyle w:val="normaltextrun"/>
        </w:rPr>
        <w:t>deletes</w:t>
      </w:r>
      <w:proofErr w:type="gramEnd"/>
      <w:r w:rsidRPr="00E33C44">
        <w:rPr>
          <w:rStyle w:val="normaltextrun"/>
        </w:rPr>
        <w:t xml:space="preserve"> or extends that date.</w:t>
      </w:r>
    </w:p>
    <w:p w:rsidRPr="00F257FE" w:rsidR="00E33C44" w:rsidP="00143279" w:rsidRDefault="00E33C44" w14:paraId="24A57E05" w14:textId="77777777">
      <w:pPr>
        <w:spacing w:after="200" w:line="276" w:lineRule="auto"/>
        <w:rPr>
          <w:rStyle w:val="normaltextrun"/>
          <w:b/>
          <w:bCs/>
        </w:rPr>
      </w:pPr>
    </w:p>
    <w:p w:rsidRPr="004235C2" w:rsidR="00D510E2" w:rsidP="0074749F" w:rsidRDefault="00D510E2" w14:paraId="3AAA2B36" w14:textId="77777777">
      <w:pPr>
        <w:spacing w:after="200" w:line="276" w:lineRule="auto"/>
        <w:ind w:left="720"/>
        <w:rPr>
          <w:rStyle w:val="normaltextrun"/>
        </w:rPr>
      </w:pPr>
    </w:p>
    <w:p w:rsidR="00B07071" w:rsidRDefault="00B07071" w14:paraId="69F2A4B5" w14:textId="183E85C8">
      <w:pPr>
        <w:spacing w:after="200" w:line="276" w:lineRule="auto"/>
        <w:rPr>
          <w:rFonts w:ascii="Century Gothic" w:hAnsi="Century Gothic"/>
          <w:color w:val="284A70" w:themeColor="accent1" w:themeShade="80"/>
          <w:spacing w:val="20"/>
          <w:sz w:val="28"/>
          <w:szCs w:val="28"/>
        </w:rPr>
      </w:pPr>
      <w:r>
        <w:br w:type="page"/>
      </w:r>
    </w:p>
    <w:p w:rsidR="0070496F" w:rsidP="0070496F" w:rsidRDefault="0070496F" w14:paraId="5A054065" w14:textId="504836EC">
      <w:pPr>
        <w:pStyle w:val="Heading2"/>
      </w:pPr>
      <w:bookmarkStart w:name="_Toc91071081" w:id="72"/>
      <w:r>
        <w:lastRenderedPageBreak/>
        <w:t xml:space="preserve">Appendix </w:t>
      </w:r>
      <w:r w:rsidR="00B07071">
        <w:t>C</w:t>
      </w:r>
      <w:r w:rsidR="007126F0">
        <w:t xml:space="preserve"> – </w:t>
      </w:r>
      <w:r w:rsidR="007D0204">
        <w:t>Commission-Regulated</w:t>
      </w:r>
      <w:r w:rsidR="007126F0">
        <w:t xml:space="preserve"> Systems on the Human Right to Water List</w:t>
      </w:r>
      <w:bookmarkEnd w:id="71"/>
      <w:bookmarkEnd w:id="72"/>
    </w:p>
    <w:p w:rsidRPr="0070496F" w:rsidR="0070496F" w:rsidP="0070496F" w:rsidRDefault="0070496F" w14:paraId="1684418E" w14:textId="21C1A805"/>
    <w:tbl>
      <w:tblPr>
        <w:tblStyle w:val="GridTable4-Accent61"/>
        <w:tblW w:w="0" w:type="auto"/>
        <w:tblLook w:val="04A0" w:firstRow="1" w:lastRow="0" w:firstColumn="1" w:lastColumn="0" w:noHBand="0" w:noVBand="1"/>
      </w:tblPr>
      <w:tblGrid>
        <w:gridCol w:w="5395"/>
        <w:gridCol w:w="4675"/>
      </w:tblGrid>
      <w:tr w:rsidR="00DB5833" w:rsidTr="001838B8" w14:paraId="6D1BAC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Pr="00DB5833" w:rsidR="00DB5833" w:rsidP="00DB5833" w:rsidRDefault="00DB5833" w14:paraId="46F5CC8F" w14:textId="046FB890">
            <w:pPr>
              <w:pStyle w:val="TableHead1"/>
              <w:jc w:val="center"/>
              <w:rPr>
                <w:color w:val="FFFFFF" w:themeColor="background1"/>
                <w:sz w:val="24"/>
                <w:szCs w:val="24"/>
              </w:rPr>
            </w:pPr>
            <w:r w:rsidRPr="00DB5833">
              <w:rPr>
                <w:color w:val="FFFFFF" w:themeColor="background1"/>
                <w:sz w:val="24"/>
                <w:szCs w:val="24"/>
              </w:rPr>
              <w:t>System</w:t>
            </w:r>
          </w:p>
        </w:tc>
        <w:tc>
          <w:tcPr>
            <w:tcW w:w="4675" w:type="dxa"/>
          </w:tcPr>
          <w:p w:rsidRPr="00DB5833" w:rsidR="00DB5833" w:rsidP="00DB5833" w:rsidRDefault="00DB5833" w14:paraId="5EB5521B" w14:textId="0FA20F76">
            <w:pPr>
              <w:pStyle w:val="TableHead1"/>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DB5833">
              <w:rPr>
                <w:color w:val="FFFFFF" w:themeColor="background1"/>
                <w:sz w:val="24"/>
                <w:szCs w:val="24"/>
              </w:rPr>
              <w:t>PWSID</w:t>
            </w:r>
          </w:p>
        </w:tc>
      </w:tr>
      <w:tr w:rsidR="00211FE9" w:rsidTr="001838B8" w14:paraId="1F8D61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59B86A47" w14:textId="7855A4D2">
            <w:pPr>
              <w:pStyle w:val="Tabletext"/>
            </w:pPr>
            <w:r w:rsidRPr="00211FE9">
              <w:t>Yosemite Spring Park Utility Company</w:t>
            </w:r>
          </w:p>
        </w:tc>
        <w:tc>
          <w:tcPr>
            <w:tcW w:w="4675" w:type="dxa"/>
            <w:vAlign w:val="center"/>
          </w:tcPr>
          <w:p w:rsidRPr="00211FE9" w:rsidR="00211FE9" w:rsidP="00211FE9" w:rsidRDefault="00211FE9" w14:paraId="12D20EC5" w14:textId="6E414689">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CA2010005</w:t>
            </w:r>
          </w:p>
        </w:tc>
      </w:tr>
      <w:tr w:rsidR="00211FE9" w:rsidTr="001838B8" w14:paraId="2BCA207F" w14:textId="77777777">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0DDE6AFD" w14:textId="08A10560">
            <w:pPr>
              <w:pStyle w:val="Tabletext"/>
            </w:pPr>
            <w:r w:rsidRPr="00211FE9">
              <w:t>Havasu Water Company</w:t>
            </w:r>
          </w:p>
        </w:tc>
        <w:tc>
          <w:tcPr>
            <w:tcW w:w="4675" w:type="dxa"/>
            <w:vAlign w:val="center"/>
          </w:tcPr>
          <w:p w:rsidRPr="00211FE9" w:rsidR="00211FE9" w:rsidP="00211FE9" w:rsidRDefault="00211FE9" w14:paraId="28BB12BA" w14:textId="593BD9CC">
            <w:pPr>
              <w:pStyle w:val="Tabletext"/>
              <w:cnfStyle w:val="000000000000" w:firstRow="0" w:lastRow="0" w:firstColumn="0" w:lastColumn="0" w:oddVBand="0" w:evenVBand="0" w:oddHBand="0" w:evenHBand="0" w:firstRowFirstColumn="0" w:firstRowLastColumn="0" w:lastRowFirstColumn="0" w:lastRowLastColumn="0"/>
              <w:rPr>
                <w:b/>
                <w:bCs w:val="0"/>
              </w:rPr>
            </w:pPr>
            <w:r w:rsidRPr="00211FE9">
              <w:rPr>
                <w:b/>
                <w:bCs w:val="0"/>
              </w:rPr>
              <w:t>CA3610017</w:t>
            </w:r>
          </w:p>
        </w:tc>
      </w:tr>
      <w:tr w:rsidR="00211FE9" w:rsidTr="001838B8" w14:paraId="306B96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044D6116" w14:textId="2457FBBC">
            <w:pPr>
              <w:pStyle w:val="Tabletext"/>
            </w:pPr>
            <w:r w:rsidRPr="00211FE9">
              <w:t>Cazadero Water Company</w:t>
            </w:r>
          </w:p>
        </w:tc>
        <w:tc>
          <w:tcPr>
            <w:tcW w:w="4675" w:type="dxa"/>
            <w:vAlign w:val="center"/>
          </w:tcPr>
          <w:p w:rsidRPr="00211FE9" w:rsidR="00211FE9" w:rsidP="00211FE9" w:rsidRDefault="00211FE9" w14:paraId="27923E45" w14:textId="681F53D4">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CA4900508</w:t>
            </w:r>
          </w:p>
        </w:tc>
      </w:tr>
      <w:tr w:rsidR="00211FE9" w:rsidTr="001838B8" w14:paraId="6F202585" w14:textId="77777777">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2A6C8C78" w14:textId="5E611630">
            <w:pPr>
              <w:pStyle w:val="Tabletext"/>
            </w:pPr>
            <w:r w:rsidRPr="00211FE9">
              <w:t xml:space="preserve">Twin Valley </w:t>
            </w:r>
          </w:p>
        </w:tc>
        <w:tc>
          <w:tcPr>
            <w:tcW w:w="4675" w:type="dxa"/>
            <w:vAlign w:val="center"/>
          </w:tcPr>
          <w:p w:rsidRPr="00211FE9" w:rsidR="00211FE9" w:rsidP="00211FE9" w:rsidRDefault="00211FE9" w14:paraId="2155AED0" w14:textId="14DFDB5D">
            <w:pPr>
              <w:pStyle w:val="Tabletext"/>
              <w:cnfStyle w:val="000000000000" w:firstRow="0" w:lastRow="0" w:firstColumn="0" w:lastColumn="0" w:oddVBand="0" w:evenVBand="0" w:oddHBand="0" w:evenHBand="0" w:firstRowFirstColumn="0" w:firstRowLastColumn="0" w:lastRowFirstColumn="0" w:lastRowLastColumn="0"/>
              <w:rPr>
                <w:b/>
                <w:bCs w:val="0"/>
              </w:rPr>
            </w:pPr>
            <w:r w:rsidRPr="00211FE9">
              <w:rPr>
                <w:b/>
                <w:bCs w:val="0"/>
              </w:rPr>
              <w:t>CA4300575</w:t>
            </w:r>
          </w:p>
        </w:tc>
      </w:tr>
      <w:tr w:rsidR="00211FE9" w:rsidTr="001838B8" w14:paraId="371621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3F4C55DA" w14:textId="4D9D26CC">
            <w:pPr>
              <w:pStyle w:val="Tabletext"/>
            </w:pPr>
            <w:r w:rsidRPr="00211FE9">
              <w:t xml:space="preserve">Ramona Water Company </w:t>
            </w:r>
          </w:p>
        </w:tc>
        <w:tc>
          <w:tcPr>
            <w:tcW w:w="4675" w:type="dxa"/>
            <w:vAlign w:val="center"/>
          </w:tcPr>
          <w:p w:rsidRPr="00211FE9" w:rsidR="00211FE9" w:rsidP="00211FE9" w:rsidRDefault="00211FE9" w14:paraId="6E8673D2" w14:textId="6AEF2F1D">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CA3301529</w:t>
            </w:r>
          </w:p>
        </w:tc>
      </w:tr>
      <w:tr w:rsidR="0011575D" w:rsidTr="001838B8" w14:paraId="3831D224" w14:textId="77777777">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11575D" w:rsidP="00211FE9" w:rsidRDefault="0011575D" w14:paraId="2A578B50" w14:textId="212F0451">
            <w:pPr>
              <w:pStyle w:val="Tabletext"/>
            </w:pPr>
            <w:r>
              <w:t>Nacimiento Water Company</w:t>
            </w:r>
          </w:p>
        </w:tc>
        <w:tc>
          <w:tcPr>
            <w:tcW w:w="4675" w:type="dxa"/>
            <w:vAlign w:val="center"/>
          </w:tcPr>
          <w:p w:rsidRPr="00211FE9" w:rsidR="0011575D" w:rsidP="00211FE9" w:rsidRDefault="0011575D" w14:paraId="7B885500" w14:textId="6E02A369">
            <w:pPr>
              <w:pStyle w:val="Tabletext"/>
              <w:cnfStyle w:val="000000000000" w:firstRow="0" w:lastRow="0" w:firstColumn="0" w:lastColumn="0" w:oddVBand="0" w:evenVBand="0" w:oddHBand="0" w:evenHBand="0" w:firstRowFirstColumn="0" w:firstRowLastColumn="0" w:lastRowFirstColumn="0" w:lastRowLastColumn="0"/>
              <w:rPr>
                <w:b/>
                <w:bCs w:val="0"/>
              </w:rPr>
            </w:pPr>
            <w:r>
              <w:rPr>
                <w:b/>
                <w:bCs w:val="0"/>
              </w:rPr>
              <w:t>CA4010027</w:t>
            </w:r>
          </w:p>
        </w:tc>
      </w:tr>
      <w:tr w:rsidR="00211FE9" w:rsidTr="001838B8" w14:paraId="2CE2DA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vAlign w:val="center"/>
          </w:tcPr>
          <w:p w:rsidRPr="00211FE9" w:rsidR="00211FE9" w:rsidP="00211FE9" w:rsidRDefault="00211FE9" w14:paraId="67026AF8" w14:textId="2AA2E237">
            <w:pPr>
              <w:pStyle w:val="Tabletext"/>
            </w:pPr>
            <w:r w:rsidRPr="00211FE9">
              <w:t xml:space="preserve">California American Water - </w:t>
            </w:r>
            <w:proofErr w:type="spellStart"/>
            <w:r w:rsidRPr="00211FE9">
              <w:t>Goldside</w:t>
            </w:r>
            <w:proofErr w:type="spellEnd"/>
          </w:p>
        </w:tc>
        <w:tc>
          <w:tcPr>
            <w:tcW w:w="4675" w:type="dxa"/>
            <w:vAlign w:val="center"/>
          </w:tcPr>
          <w:p w:rsidRPr="00211FE9" w:rsidR="00211FE9" w:rsidP="00211FE9" w:rsidRDefault="00211FE9" w14:paraId="62CEA6D3" w14:textId="74EF4B71">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CA2010014</w:t>
            </w:r>
          </w:p>
        </w:tc>
      </w:tr>
      <w:tr w:rsidR="00211FE9" w:rsidTr="001838B8" w14:paraId="5E0422CE" w14:textId="77777777">
        <w:tc>
          <w:tcPr>
            <w:cnfStyle w:val="001000000000" w:firstRow="0" w:lastRow="0" w:firstColumn="1" w:lastColumn="0" w:oddVBand="0" w:evenVBand="0" w:oddHBand="0" w:evenHBand="0" w:firstRowFirstColumn="0" w:firstRowLastColumn="0" w:lastRowFirstColumn="0" w:lastRowLastColumn="0"/>
            <w:tcW w:w="5395" w:type="dxa"/>
          </w:tcPr>
          <w:p w:rsidRPr="00211FE9" w:rsidR="00211FE9" w:rsidP="00211FE9" w:rsidRDefault="00211FE9" w14:paraId="15EDBE88" w14:textId="12C747CA">
            <w:pPr>
              <w:pStyle w:val="Tabletext"/>
            </w:pPr>
            <w:r w:rsidRPr="00211FE9">
              <w:t>Del Oro Water Company – Country Estates</w:t>
            </w:r>
          </w:p>
        </w:tc>
        <w:tc>
          <w:tcPr>
            <w:tcW w:w="4675" w:type="dxa"/>
            <w:vAlign w:val="center"/>
          </w:tcPr>
          <w:p w:rsidRPr="00211FE9" w:rsidR="00211FE9" w:rsidP="00211FE9" w:rsidRDefault="00211FE9" w14:paraId="5CB31A48" w14:textId="1B2E1B13">
            <w:pPr>
              <w:pStyle w:val="Tabletext"/>
              <w:cnfStyle w:val="000000000000" w:firstRow="0" w:lastRow="0" w:firstColumn="0" w:lastColumn="0" w:oddVBand="0" w:evenVBand="0" w:oddHBand="0" w:evenHBand="0" w:firstRowFirstColumn="0" w:firstRowLastColumn="0" w:lastRowFirstColumn="0" w:lastRowLastColumn="0"/>
              <w:rPr>
                <w:b/>
                <w:bCs w:val="0"/>
              </w:rPr>
            </w:pPr>
            <w:r w:rsidRPr="00211FE9">
              <w:rPr>
                <w:b/>
                <w:bCs w:val="0"/>
              </w:rPr>
              <w:t>CA1500314</w:t>
            </w:r>
          </w:p>
        </w:tc>
      </w:tr>
      <w:tr w:rsidR="00211FE9" w:rsidTr="001838B8" w14:paraId="2C028E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Pr="00211FE9" w:rsidR="00211FE9" w:rsidP="00211FE9" w:rsidRDefault="00211FE9" w14:paraId="3E23BD49" w14:textId="01A3EE30">
            <w:pPr>
              <w:pStyle w:val="Tabletext"/>
            </w:pPr>
            <w:r w:rsidRPr="00211FE9">
              <w:t>Del Oro Water Company – River Island T</w:t>
            </w:r>
            <w:r w:rsidR="00E85B5E">
              <w:t xml:space="preserve">erritory </w:t>
            </w:r>
            <w:r w:rsidRPr="00211FE9">
              <w:t>1</w:t>
            </w:r>
          </w:p>
        </w:tc>
        <w:tc>
          <w:tcPr>
            <w:tcW w:w="4675" w:type="dxa"/>
            <w:vAlign w:val="center"/>
          </w:tcPr>
          <w:p w:rsidRPr="00211FE9" w:rsidR="00211FE9" w:rsidP="00211FE9" w:rsidRDefault="00211FE9" w14:paraId="7C217E98" w14:textId="52D16677">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CA5400665</w:t>
            </w:r>
          </w:p>
        </w:tc>
      </w:tr>
      <w:tr w:rsidR="00211FE9" w:rsidTr="001838B8" w14:paraId="3253772E" w14:textId="77777777">
        <w:tc>
          <w:tcPr>
            <w:cnfStyle w:val="001000000000" w:firstRow="0" w:lastRow="0" w:firstColumn="1" w:lastColumn="0" w:oddVBand="0" w:evenVBand="0" w:oddHBand="0" w:evenHBand="0" w:firstRowFirstColumn="0" w:firstRowLastColumn="0" w:lastRowFirstColumn="0" w:lastRowLastColumn="0"/>
            <w:tcW w:w="5395" w:type="dxa"/>
          </w:tcPr>
          <w:p w:rsidRPr="00211FE9" w:rsidR="00211FE9" w:rsidP="00211FE9" w:rsidRDefault="00211FE9" w14:paraId="08CBB24F" w14:textId="4F5397BB">
            <w:pPr>
              <w:pStyle w:val="Tabletext"/>
            </w:pPr>
            <w:r w:rsidRPr="00211FE9">
              <w:t>Del Oro Water Company – Grandview</w:t>
            </w:r>
          </w:p>
        </w:tc>
        <w:tc>
          <w:tcPr>
            <w:tcW w:w="4675" w:type="dxa"/>
            <w:vAlign w:val="center"/>
          </w:tcPr>
          <w:p w:rsidRPr="00211FE9" w:rsidR="00211FE9" w:rsidP="00211FE9" w:rsidRDefault="00211FE9" w14:paraId="098444E3" w14:textId="4654D6C5">
            <w:pPr>
              <w:pStyle w:val="Tabletext"/>
              <w:cnfStyle w:val="000000000000" w:firstRow="0" w:lastRow="0" w:firstColumn="0" w:lastColumn="0" w:oddVBand="0" w:evenVBand="0" w:oddHBand="0" w:evenHBand="0" w:firstRowFirstColumn="0" w:firstRowLastColumn="0" w:lastRowFirstColumn="0" w:lastRowLastColumn="0"/>
              <w:rPr>
                <w:b/>
                <w:bCs w:val="0"/>
              </w:rPr>
            </w:pPr>
            <w:r w:rsidRPr="00211FE9">
              <w:rPr>
                <w:b/>
                <w:bCs w:val="0"/>
              </w:rPr>
              <w:t>CA5400666</w:t>
            </w:r>
          </w:p>
        </w:tc>
      </w:tr>
      <w:tr w:rsidR="00211FE9" w:rsidTr="001838B8" w14:paraId="329513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Pr="00211FE9" w:rsidR="00211FE9" w:rsidP="00211FE9" w:rsidRDefault="00211FE9" w14:paraId="307C9DB9" w14:textId="0A17110F">
            <w:pPr>
              <w:pStyle w:val="Tabletext"/>
            </w:pPr>
            <w:r w:rsidRPr="00211FE9">
              <w:t>Del Oro Water Company – Metropolitan</w:t>
            </w:r>
          </w:p>
        </w:tc>
        <w:tc>
          <w:tcPr>
            <w:tcW w:w="4675" w:type="dxa"/>
            <w:vAlign w:val="center"/>
          </w:tcPr>
          <w:p w:rsidRPr="00211FE9" w:rsidR="00211FE9" w:rsidP="00211FE9" w:rsidRDefault="00211FE9" w14:paraId="37BB96CD" w14:textId="3FC020DA">
            <w:pPr>
              <w:pStyle w:val="Tabletext"/>
              <w:cnfStyle w:val="000000100000" w:firstRow="0" w:lastRow="0" w:firstColumn="0" w:lastColumn="0" w:oddVBand="0" w:evenVBand="0" w:oddHBand="1" w:evenHBand="0" w:firstRowFirstColumn="0" w:firstRowLastColumn="0" w:lastRowFirstColumn="0" w:lastRowLastColumn="0"/>
              <w:rPr>
                <w:b/>
                <w:bCs w:val="0"/>
              </w:rPr>
            </w:pPr>
            <w:r w:rsidRPr="00211FE9">
              <w:rPr>
                <w:b/>
                <w:bCs w:val="0"/>
              </w:rPr>
              <w:t>CA1000057</w:t>
            </w:r>
          </w:p>
        </w:tc>
      </w:tr>
      <w:tr w:rsidR="00211FE9" w:rsidTr="001838B8" w14:paraId="067E7A9C" w14:textId="77777777">
        <w:tc>
          <w:tcPr>
            <w:cnfStyle w:val="001000000000" w:firstRow="0" w:lastRow="0" w:firstColumn="1" w:lastColumn="0" w:oddVBand="0" w:evenVBand="0" w:oddHBand="0" w:evenHBand="0" w:firstRowFirstColumn="0" w:firstRowLastColumn="0" w:lastRowFirstColumn="0" w:lastRowLastColumn="0"/>
            <w:tcW w:w="5395" w:type="dxa"/>
          </w:tcPr>
          <w:p w:rsidRPr="00211FE9" w:rsidR="00211FE9" w:rsidP="00211FE9" w:rsidRDefault="00211FE9" w14:paraId="73CCA4AA" w14:textId="65AEC712">
            <w:pPr>
              <w:pStyle w:val="Tabletext"/>
            </w:pPr>
            <w:r w:rsidRPr="00211FE9">
              <w:t>Del Oro Water Company – Traver</w:t>
            </w:r>
          </w:p>
        </w:tc>
        <w:tc>
          <w:tcPr>
            <w:tcW w:w="4675" w:type="dxa"/>
            <w:vAlign w:val="center"/>
          </w:tcPr>
          <w:p w:rsidRPr="00211FE9" w:rsidR="00211FE9" w:rsidP="00211FE9" w:rsidRDefault="00211FE9" w14:paraId="0CD5F0AB" w14:textId="48B92A81">
            <w:pPr>
              <w:pStyle w:val="Tabletext"/>
              <w:cnfStyle w:val="000000000000" w:firstRow="0" w:lastRow="0" w:firstColumn="0" w:lastColumn="0" w:oddVBand="0" w:evenVBand="0" w:oddHBand="0" w:evenHBand="0" w:firstRowFirstColumn="0" w:firstRowLastColumn="0" w:lastRowFirstColumn="0" w:lastRowLastColumn="0"/>
              <w:rPr>
                <w:b/>
                <w:bCs w:val="0"/>
              </w:rPr>
            </w:pPr>
            <w:r w:rsidRPr="00211FE9">
              <w:rPr>
                <w:b/>
                <w:bCs w:val="0"/>
              </w:rPr>
              <w:t>CA5400553</w:t>
            </w:r>
          </w:p>
        </w:tc>
      </w:tr>
    </w:tbl>
    <w:p w:rsidR="0070496F" w:rsidP="0070496F" w:rsidRDefault="0070496F" w14:paraId="6AD39669" w14:textId="77777777"/>
    <w:p w:rsidR="00E82AD4" w:rsidP="0080416F" w:rsidRDefault="00E82AD4" w14:paraId="7F3A899D" w14:textId="77777777">
      <w:pPr>
        <w:pStyle w:val="Heading2"/>
      </w:pPr>
    </w:p>
    <w:p w:rsidR="00E82AD4" w:rsidP="0080416F" w:rsidRDefault="00E82AD4" w14:paraId="356E7E1E" w14:textId="77777777">
      <w:pPr>
        <w:pStyle w:val="Heading2"/>
      </w:pPr>
    </w:p>
    <w:p w:rsidR="00E82AD4" w:rsidP="0080416F" w:rsidRDefault="00E82AD4" w14:paraId="0D699D88" w14:textId="77777777">
      <w:pPr>
        <w:pStyle w:val="Heading2"/>
      </w:pPr>
    </w:p>
    <w:p w:rsidR="00E82AD4" w:rsidP="0080416F" w:rsidRDefault="00E82AD4" w14:paraId="050B613D" w14:textId="77777777">
      <w:pPr>
        <w:pStyle w:val="Heading2"/>
      </w:pPr>
    </w:p>
    <w:p w:rsidR="00E82AD4" w:rsidP="0080416F" w:rsidRDefault="00E82AD4" w14:paraId="6E0E65EA" w14:textId="77777777">
      <w:pPr>
        <w:pStyle w:val="Heading2"/>
      </w:pPr>
    </w:p>
    <w:p w:rsidR="00E82AD4" w:rsidP="0080416F" w:rsidRDefault="00E82AD4" w14:paraId="02822848" w14:textId="77777777">
      <w:pPr>
        <w:pStyle w:val="Heading2"/>
      </w:pPr>
    </w:p>
    <w:p w:rsidR="00E82AD4" w:rsidP="0080416F" w:rsidRDefault="00E82AD4" w14:paraId="5867B8D7" w14:textId="77777777">
      <w:pPr>
        <w:pStyle w:val="Heading2"/>
      </w:pPr>
    </w:p>
    <w:p w:rsidR="00E82AD4" w:rsidP="0080416F" w:rsidRDefault="00E82AD4" w14:paraId="7390CA37" w14:textId="77777777">
      <w:pPr>
        <w:pStyle w:val="Heading2"/>
      </w:pPr>
    </w:p>
    <w:p w:rsidR="00E82AD4" w:rsidP="0080416F" w:rsidRDefault="00E82AD4" w14:paraId="6FBC093C" w14:textId="77777777">
      <w:pPr>
        <w:pStyle w:val="Heading2"/>
      </w:pPr>
    </w:p>
    <w:p w:rsidR="00E82AD4" w:rsidP="0080416F" w:rsidRDefault="00E82AD4" w14:paraId="770C6B17" w14:textId="77777777">
      <w:pPr>
        <w:pStyle w:val="Heading2"/>
      </w:pPr>
    </w:p>
    <w:p w:rsidR="00E82AD4" w:rsidP="0080416F" w:rsidRDefault="00E82AD4" w14:paraId="58BB58CC" w14:textId="77777777">
      <w:pPr>
        <w:pStyle w:val="Heading2"/>
      </w:pPr>
    </w:p>
    <w:p w:rsidR="00E82AD4" w:rsidP="0080416F" w:rsidRDefault="00E82AD4" w14:paraId="10E03C52" w14:textId="77777777">
      <w:pPr>
        <w:pStyle w:val="Heading2"/>
      </w:pPr>
    </w:p>
    <w:p w:rsidRPr="00667EC7" w:rsidR="00667EC7" w:rsidP="00667EC7" w:rsidRDefault="0080416F" w14:paraId="32B6FCA6" w14:textId="264A7110">
      <w:pPr>
        <w:pStyle w:val="Heading2"/>
      </w:pPr>
      <w:bookmarkStart w:name="_Toc91071082" w:id="73"/>
      <w:r>
        <w:lastRenderedPageBreak/>
        <w:t xml:space="preserve">Appendix </w:t>
      </w:r>
      <w:r w:rsidR="00B07071">
        <w:t>D</w:t>
      </w:r>
      <w:r>
        <w:t xml:space="preserve"> </w:t>
      </w:r>
      <w:r w:rsidR="008070AC">
        <w:t>–</w:t>
      </w:r>
      <w:r>
        <w:t xml:space="preserve"> </w:t>
      </w:r>
      <w:r w:rsidR="008070AC">
        <w:t xml:space="preserve">List of Acquisitions involving Commission-Regulated </w:t>
      </w:r>
      <w:r w:rsidR="00935930">
        <w:t>Systems</w:t>
      </w:r>
      <w:r w:rsidR="008070AC">
        <w:t xml:space="preserve"> between 2007 and 2021</w:t>
      </w:r>
      <w:bookmarkEnd w:id="73"/>
    </w:p>
    <w:tbl>
      <w:tblPr>
        <w:tblW w:w="0" w:type="auto"/>
        <w:tblInd w:w="-5" w:type="dxa"/>
        <w:tblLayout w:type="fixed"/>
        <w:tblLook w:val="04A0" w:firstRow="1" w:lastRow="0" w:firstColumn="1" w:lastColumn="0" w:noHBand="0" w:noVBand="1"/>
      </w:tblPr>
      <w:tblGrid>
        <w:gridCol w:w="423"/>
        <w:gridCol w:w="2692"/>
        <w:gridCol w:w="2645"/>
        <w:gridCol w:w="1080"/>
        <w:gridCol w:w="1170"/>
        <w:gridCol w:w="990"/>
        <w:gridCol w:w="1075"/>
      </w:tblGrid>
      <w:tr w:rsidRPr="00151F2C" w:rsidR="0058259E" w:rsidTr="00EC1D62" w14:paraId="1CE15B5E" w14:textId="77777777">
        <w:trPr>
          <w:trHeight w:val="557"/>
        </w:trPr>
        <w:tc>
          <w:tcPr>
            <w:tcW w:w="3115" w:type="dxa"/>
            <w:gridSpan w:val="2"/>
            <w:tcBorders>
              <w:top w:val="single" w:color="auto" w:sz="4" w:space="0"/>
              <w:left w:val="single" w:color="auto" w:sz="4" w:space="0"/>
              <w:bottom w:val="single" w:color="auto" w:sz="4" w:space="0"/>
              <w:right w:val="single" w:color="auto" w:sz="4" w:space="0"/>
            </w:tcBorders>
            <w:shd w:val="clear" w:color="000000" w:fill="1F497D"/>
            <w:noWrap/>
            <w:vAlign w:val="center"/>
            <w:hideMark/>
          </w:tcPr>
          <w:p w:rsidRPr="00F97E88" w:rsidR="00F97E88" w:rsidP="00F97E88" w:rsidRDefault="00F97E88" w14:paraId="62CAA16E"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Acquired Water Utility</w:t>
            </w:r>
          </w:p>
        </w:tc>
        <w:tc>
          <w:tcPr>
            <w:tcW w:w="2645" w:type="dxa"/>
            <w:tcBorders>
              <w:top w:val="single" w:color="auto" w:sz="4" w:space="0"/>
              <w:left w:val="nil"/>
              <w:bottom w:val="single" w:color="auto" w:sz="4" w:space="0"/>
              <w:right w:val="single" w:color="auto" w:sz="4" w:space="0"/>
            </w:tcBorders>
            <w:shd w:val="clear" w:color="000000" w:fill="1F497D"/>
            <w:noWrap/>
            <w:vAlign w:val="center"/>
            <w:hideMark/>
          </w:tcPr>
          <w:p w:rsidRPr="00F97E88" w:rsidR="00F97E88" w:rsidP="00F97E88" w:rsidRDefault="00F97E88" w14:paraId="129FE8AF"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Water Utility Purchaser</w:t>
            </w:r>
          </w:p>
        </w:tc>
        <w:tc>
          <w:tcPr>
            <w:tcW w:w="1080" w:type="dxa"/>
            <w:tcBorders>
              <w:top w:val="single" w:color="auto" w:sz="4" w:space="0"/>
              <w:left w:val="nil"/>
              <w:bottom w:val="single" w:color="auto" w:sz="4" w:space="0"/>
              <w:right w:val="single" w:color="auto" w:sz="4" w:space="0"/>
            </w:tcBorders>
            <w:shd w:val="clear" w:color="000000" w:fill="1F497D"/>
            <w:noWrap/>
            <w:vAlign w:val="center"/>
            <w:hideMark/>
          </w:tcPr>
          <w:p w:rsidRPr="00F97E88" w:rsidR="00F97E88" w:rsidP="00F97E88" w:rsidRDefault="00F97E88" w14:paraId="043630E9"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Connections</w:t>
            </w:r>
          </w:p>
        </w:tc>
        <w:tc>
          <w:tcPr>
            <w:tcW w:w="1170" w:type="dxa"/>
            <w:tcBorders>
              <w:top w:val="single" w:color="auto" w:sz="4" w:space="0"/>
              <w:left w:val="nil"/>
              <w:bottom w:val="single" w:color="auto" w:sz="4" w:space="0"/>
              <w:right w:val="single" w:color="auto" w:sz="4" w:space="0"/>
            </w:tcBorders>
            <w:shd w:val="clear" w:color="000000" w:fill="1F497D"/>
            <w:vAlign w:val="center"/>
            <w:hideMark/>
          </w:tcPr>
          <w:p w:rsidRPr="00F97E88" w:rsidR="00F97E88" w:rsidP="00F97E88" w:rsidRDefault="00F97E88" w14:paraId="2DFEFCD0"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Purchase</w:t>
            </w:r>
            <w:r w:rsidRPr="00F97E88">
              <w:rPr>
                <w:rFonts w:ascii="Calibri" w:hAnsi="Calibri" w:eastAsia="Times New Roman" w:cs="Calibri"/>
                <w:b/>
                <w:color w:val="FFFFFF"/>
                <w:kern w:val="0"/>
                <w:sz w:val="16"/>
                <w:szCs w:val="16"/>
                <w14:ligatures w14:val="none"/>
              </w:rPr>
              <w:br/>
              <w:t>Price</w:t>
            </w:r>
          </w:p>
        </w:tc>
        <w:tc>
          <w:tcPr>
            <w:tcW w:w="990" w:type="dxa"/>
            <w:tcBorders>
              <w:top w:val="single" w:color="auto" w:sz="4" w:space="0"/>
              <w:left w:val="nil"/>
              <w:bottom w:val="single" w:color="auto" w:sz="4" w:space="0"/>
              <w:right w:val="single" w:color="auto" w:sz="4" w:space="0"/>
            </w:tcBorders>
            <w:shd w:val="clear" w:color="000000" w:fill="1F497D"/>
            <w:vAlign w:val="center"/>
            <w:hideMark/>
          </w:tcPr>
          <w:p w:rsidRPr="00F97E88" w:rsidR="00F97E88" w:rsidP="00F97E88" w:rsidRDefault="00F97E88" w14:paraId="2A358ACF"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Decision/</w:t>
            </w:r>
            <w:r w:rsidRPr="00F97E88">
              <w:rPr>
                <w:rFonts w:ascii="Calibri" w:hAnsi="Calibri" w:eastAsia="Times New Roman" w:cs="Calibri"/>
                <w:b/>
                <w:color w:val="FFFFFF"/>
                <w:kern w:val="0"/>
                <w:sz w:val="16"/>
                <w:szCs w:val="16"/>
                <w14:ligatures w14:val="none"/>
              </w:rPr>
              <w:br/>
              <w:t>Resolution</w:t>
            </w:r>
          </w:p>
        </w:tc>
        <w:tc>
          <w:tcPr>
            <w:tcW w:w="1075" w:type="dxa"/>
            <w:tcBorders>
              <w:top w:val="single" w:color="auto" w:sz="4" w:space="0"/>
              <w:left w:val="nil"/>
              <w:bottom w:val="single" w:color="auto" w:sz="4" w:space="0"/>
              <w:right w:val="single" w:color="auto" w:sz="4" w:space="0"/>
            </w:tcBorders>
            <w:shd w:val="clear" w:color="000000" w:fill="1F497D"/>
            <w:vAlign w:val="center"/>
            <w:hideMark/>
          </w:tcPr>
          <w:p w:rsidRPr="00F97E88" w:rsidR="00F97E88" w:rsidP="00F97E88" w:rsidRDefault="00F97E88" w14:paraId="631AF978" w14:textId="77777777">
            <w:pPr>
              <w:spacing w:after="0" w:line="240" w:lineRule="auto"/>
              <w:jc w:val="center"/>
              <w:rPr>
                <w:rFonts w:ascii="Calibri" w:hAnsi="Calibri" w:eastAsia="Times New Roman" w:cs="Calibri"/>
                <w:b/>
                <w:color w:val="FFFFFF"/>
                <w:kern w:val="0"/>
                <w:sz w:val="16"/>
                <w:szCs w:val="16"/>
                <w14:ligatures w14:val="none"/>
              </w:rPr>
            </w:pPr>
            <w:r w:rsidRPr="00F97E88">
              <w:rPr>
                <w:rFonts w:ascii="Calibri" w:hAnsi="Calibri" w:eastAsia="Times New Roman" w:cs="Calibri"/>
                <w:b/>
                <w:color w:val="FFFFFF"/>
                <w:kern w:val="0"/>
                <w:sz w:val="16"/>
                <w:szCs w:val="16"/>
                <w14:ligatures w14:val="none"/>
              </w:rPr>
              <w:t>Approval</w:t>
            </w:r>
            <w:r w:rsidRPr="00F97E88">
              <w:rPr>
                <w:rFonts w:ascii="Calibri" w:hAnsi="Calibri" w:eastAsia="Times New Roman" w:cs="Calibri"/>
                <w:b/>
                <w:color w:val="FFFFFF"/>
                <w:kern w:val="0"/>
                <w:sz w:val="16"/>
                <w:szCs w:val="16"/>
                <w14:ligatures w14:val="none"/>
              </w:rPr>
              <w:br/>
              <w:t>Date</w:t>
            </w:r>
          </w:p>
        </w:tc>
      </w:tr>
      <w:tr w:rsidRPr="00151F2C" w:rsidR="00284AFF" w:rsidTr="00EC1D62" w14:paraId="71611851"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C7AF8C6"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4A66C5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Grand Oaks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F96359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 Water Service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D50729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24A1FF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0BA3223" w14:textId="5FEAE23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D0705053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2221A8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5/24/2007</w:t>
            </w:r>
          </w:p>
        </w:tc>
      </w:tr>
      <w:tr w:rsidRPr="00151F2C" w:rsidR="00284AFF" w:rsidTr="00EC1D62" w14:paraId="6EC762B9"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4EECE41"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6B514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Peerless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819FD7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City of Bellflower</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6F2945" w:rsidRDefault="00216442" w14:paraId="7C4F329F" w14:textId="251C919A">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1,812</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55603A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$5,800,000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FD734A6" w14:textId="7098057C">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W-4656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E0B9E5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8/23/2007</w:t>
            </w:r>
          </w:p>
        </w:tc>
      </w:tr>
      <w:tr w:rsidRPr="00151F2C" w:rsidR="00284AFF" w:rsidTr="00EC1D62" w14:paraId="7255D939"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7223469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E582AEE"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Arrowhead Manor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773D41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County of San Bernardino</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031343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331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AACE86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65CFA75" w14:textId="7FC6A484">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D0708022</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013B8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8/24/2007</w:t>
            </w:r>
          </w:p>
        </w:tc>
      </w:tr>
      <w:tr w:rsidRPr="00151F2C" w:rsidR="0058259E" w:rsidTr="00EC1D62" w14:paraId="04625873"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627B537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03E14D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Alco Water Service - Buena Vista District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8B315D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 Water Service Company</w:t>
            </w:r>
          </w:p>
        </w:tc>
        <w:tc>
          <w:tcPr>
            <w:tcW w:w="1080" w:type="dxa"/>
            <w:tcBorders>
              <w:top w:val="nil"/>
              <w:left w:val="nil"/>
              <w:bottom w:val="single" w:color="auto" w:sz="4" w:space="0"/>
              <w:right w:val="single" w:color="auto" w:sz="4" w:space="0"/>
            </w:tcBorders>
            <w:shd w:val="pct50" w:color="000000" w:fill="auto"/>
            <w:noWrap/>
            <w:vAlign w:val="center"/>
            <w:hideMark/>
          </w:tcPr>
          <w:p w:rsidRPr="00F97E88" w:rsidR="00F97E88" w:rsidP="00FA700B" w:rsidRDefault="00F97E88" w14:paraId="2B4503D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1B2509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0CB5F45"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D0709013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512917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9/6/2007</w:t>
            </w:r>
          </w:p>
        </w:tc>
      </w:tr>
      <w:tr w:rsidRPr="00151F2C" w:rsidR="00284AFF" w:rsidTr="00EC1D62" w14:paraId="60526876"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BE7DBD3"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8E91E0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Toro Water Service</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231078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5D5FC10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248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D7DC4F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$408,000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CFB4A19" w14:textId="299C5D85">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D0711034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F56644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11/19/2007</w:t>
            </w:r>
          </w:p>
        </w:tc>
      </w:tr>
      <w:tr w:rsidRPr="00151F2C" w:rsidR="00284AFF" w:rsidTr="00EC1D62" w14:paraId="3FFDD51A"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47E6131"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F6364F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Matt Dillon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3258BEE"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Tuolumne Utilities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9461AA6"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186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17917F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D9A32E4" w14:textId="4F2E615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D0802025</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F9F5EA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2/28/2008</w:t>
            </w:r>
          </w:p>
        </w:tc>
      </w:tr>
      <w:tr w:rsidRPr="00151F2C" w:rsidR="00284AFF" w:rsidTr="00EC1D62" w14:paraId="04FC1062"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7E50A0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8BEA899"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Mar Vista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556F1A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Trout Gulch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7672CB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186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C2AD55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$295,860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2489180" w14:textId="14A2F70D">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D0805005</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502BC3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5/15/2008</w:t>
            </w:r>
          </w:p>
        </w:tc>
      </w:tr>
      <w:tr w:rsidRPr="00151F2C" w:rsidR="00284AFF" w:rsidTr="00EC1D62" w14:paraId="5FBE22F4"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50D3746"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70E50B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River Island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B3A957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F5A0AA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352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C56DB0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$760,000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B1E07F2" w14:textId="6D30C6F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D0807034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A23855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7/31/2008</w:t>
            </w:r>
          </w:p>
        </w:tc>
      </w:tr>
      <w:tr w:rsidRPr="00151F2C" w:rsidR="00284AFF" w:rsidTr="00EC1D62" w14:paraId="2A2B412B"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1C4FE321"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FC91F7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Arbuckle Water Company (Mutual)</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1C8CDBB"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1594A0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55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97A139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B4F276D" w14:textId="61B71F04">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D0809010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6A8860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9/5/2008</w:t>
            </w:r>
          </w:p>
        </w:tc>
      </w:tr>
      <w:tr w:rsidRPr="00151F2C" w:rsidR="00464191" w:rsidTr="00D00E62" w14:paraId="0AA0D8E7"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86FDB0C"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10</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6333FB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Tehachapi Mountain Water Company</w:t>
            </w:r>
          </w:p>
        </w:tc>
        <w:tc>
          <w:tcPr>
            <w:tcW w:w="2645" w:type="dxa"/>
            <w:tcBorders>
              <w:top w:val="nil"/>
              <w:left w:val="nil"/>
              <w:bottom w:val="single" w:color="auto" w:sz="4" w:space="0"/>
              <w:right w:val="single" w:color="auto" w:sz="4" w:space="0"/>
            </w:tcBorders>
            <w:shd w:val="clear" w:color="auto" w:fill="808080" w:themeFill="background1" w:themeFillShade="80"/>
            <w:noWrap/>
            <w:vAlign w:val="center"/>
            <w:hideMark/>
          </w:tcPr>
          <w:p w:rsidRPr="00F97E88" w:rsidR="00F97E88" w:rsidP="00F97E88" w:rsidRDefault="00F97E88" w14:paraId="071F2519" w14:textId="6DC0C0BD">
            <w:pPr>
              <w:spacing w:after="0" w:line="240" w:lineRule="auto"/>
              <w:rPr>
                <w:rFonts w:ascii="Calibri" w:hAnsi="Calibri" w:eastAsia="Times New Roman" w:cs="Calibri"/>
                <w:color w:val="000000"/>
                <w:kern w:val="0"/>
                <w:sz w:val="16"/>
                <w:szCs w:val="16"/>
                <w14:ligatures w14:val="none"/>
              </w:rPr>
            </w:pPr>
          </w:p>
        </w:tc>
        <w:tc>
          <w:tcPr>
            <w:tcW w:w="1080" w:type="dxa"/>
            <w:tcBorders>
              <w:top w:val="nil"/>
              <w:left w:val="nil"/>
              <w:bottom w:val="single" w:color="auto" w:sz="4" w:space="0"/>
              <w:right w:val="single" w:color="auto" w:sz="4" w:space="0"/>
            </w:tcBorders>
            <w:shd w:val="clear" w:color="auto" w:fill="808080" w:themeFill="background1" w:themeFillShade="80"/>
            <w:noWrap/>
            <w:vAlign w:val="center"/>
            <w:hideMark/>
          </w:tcPr>
          <w:p w:rsidRPr="00F97E88" w:rsidR="00F97E88" w:rsidP="00FA700B" w:rsidRDefault="00F97E88" w14:paraId="1181F9F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1170" w:type="dxa"/>
            <w:tcBorders>
              <w:top w:val="nil"/>
              <w:left w:val="nil"/>
              <w:bottom w:val="single" w:color="auto" w:sz="4" w:space="0"/>
              <w:right w:val="single" w:color="auto" w:sz="4" w:space="0"/>
            </w:tcBorders>
            <w:shd w:val="clear" w:color="auto" w:fill="808080" w:themeFill="background1" w:themeFillShade="80"/>
            <w:noWrap/>
            <w:vAlign w:val="center"/>
            <w:hideMark/>
          </w:tcPr>
          <w:p w:rsidRPr="00F97E88" w:rsidR="00F97E88" w:rsidP="00EC2CC8" w:rsidRDefault="00F97E88" w14:paraId="426009F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990" w:type="dxa"/>
            <w:tcBorders>
              <w:top w:val="nil"/>
              <w:left w:val="nil"/>
              <w:bottom w:val="single" w:color="auto" w:sz="4" w:space="0"/>
              <w:right w:val="single" w:color="auto" w:sz="4" w:space="0"/>
            </w:tcBorders>
            <w:shd w:val="clear" w:color="auto" w:fill="808080" w:themeFill="background1" w:themeFillShade="80"/>
            <w:noWrap/>
            <w:vAlign w:val="center"/>
            <w:hideMark/>
          </w:tcPr>
          <w:p w:rsidRPr="00F97E88" w:rsidR="00F97E88" w:rsidP="00F97E88" w:rsidRDefault="00F97E88" w14:paraId="796C401E" w14:textId="492DC667">
            <w:pPr>
              <w:spacing w:after="0" w:line="240" w:lineRule="auto"/>
              <w:jc w:val="center"/>
              <w:rPr>
                <w:rFonts w:ascii="Calibri" w:hAnsi="Calibri" w:eastAsia="Times New Roman" w:cs="Calibri"/>
                <w:color w:val="000000"/>
                <w:kern w:val="0"/>
                <w:sz w:val="16"/>
                <w:szCs w:val="16"/>
                <w14:ligatures w14:val="none"/>
              </w:rPr>
            </w:pP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E4BFD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9/10/2008</w:t>
            </w:r>
          </w:p>
        </w:tc>
      </w:tr>
      <w:tr w:rsidRPr="00151F2C" w:rsidR="00284AFF" w:rsidTr="00EC1D62" w14:paraId="1D28A10A"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7ADCD10"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1A0D30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 - Felton District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1CC82D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San Lorenzo Valley Water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D26963C" w14:textId="332C21DC">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1,324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5E61E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$13,400,000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BDF8AAE" w14:textId="23D8738D">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W-4719</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9D7F6E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11/7/2008</w:t>
            </w:r>
          </w:p>
        </w:tc>
      </w:tr>
      <w:tr w:rsidRPr="00151F2C" w:rsidR="00464191" w:rsidTr="00EC1D62" w14:paraId="3A3F946F"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AB6C64A"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0E1CD9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McCanna Ranch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197EE7F"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Perris Public Utility Authority</w:t>
            </w:r>
          </w:p>
        </w:tc>
        <w:tc>
          <w:tcPr>
            <w:tcW w:w="1080" w:type="dxa"/>
            <w:tcBorders>
              <w:top w:val="nil"/>
              <w:left w:val="nil"/>
              <w:bottom w:val="single" w:color="auto" w:sz="4" w:space="0"/>
              <w:right w:val="single" w:color="auto" w:sz="4" w:space="0"/>
            </w:tcBorders>
            <w:shd w:val="pct50" w:color="000000" w:fill="auto"/>
            <w:noWrap/>
            <w:vAlign w:val="center"/>
            <w:hideMark/>
          </w:tcPr>
          <w:p w:rsidRPr="00F97E88" w:rsidR="00F97E88" w:rsidP="00FA700B" w:rsidRDefault="00F97E88" w14:paraId="6BCE5EC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1170" w:type="dxa"/>
            <w:tcBorders>
              <w:top w:val="nil"/>
              <w:left w:val="nil"/>
              <w:bottom w:val="single" w:color="auto" w:sz="4" w:space="0"/>
              <w:right w:val="single" w:color="auto" w:sz="4" w:space="0"/>
            </w:tcBorders>
            <w:shd w:val="pct50" w:color="000000" w:fill="auto"/>
            <w:noWrap/>
            <w:vAlign w:val="center"/>
            <w:hideMark/>
          </w:tcPr>
          <w:p w:rsidRPr="00F97E88" w:rsidR="00F97E88" w:rsidP="00EC2CC8" w:rsidRDefault="00F97E88" w14:paraId="6716EB4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990" w:type="dxa"/>
            <w:tcBorders>
              <w:top w:val="nil"/>
              <w:left w:val="nil"/>
              <w:bottom w:val="single" w:color="auto" w:sz="4" w:space="0"/>
              <w:right w:val="single" w:color="auto" w:sz="4" w:space="0"/>
            </w:tcBorders>
            <w:shd w:val="pct50" w:color="000000" w:fill="auto"/>
            <w:noWrap/>
            <w:vAlign w:val="center"/>
            <w:hideMark/>
          </w:tcPr>
          <w:p w:rsidRPr="00F97E88" w:rsidR="00F97E88" w:rsidP="00F97E88" w:rsidRDefault="00F97E88" w14:paraId="754E08A4" w14:textId="41D5BB2B">
            <w:pPr>
              <w:spacing w:after="0" w:line="240" w:lineRule="auto"/>
              <w:jc w:val="center"/>
              <w:rPr>
                <w:rFonts w:ascii="Calibri" w:hAnsi="Calibri" w:eastAsia="Times New Roman" w:cs="Calibri"/>
                <w:color w:val="000000"/>
                <w:kern w:val="0"/>
                <w:sz w:val="16"/>
                <w:szCs w:val="16"/>
                <w14:ligatures w14:val="none"/>
              </w:rPr>
            </w:pP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DAE7EB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12/19/2008</w:t>
            </w:r>
          </w:p>
        </w:tc>
      </w:tr>
      <w:tr w:rsidRPr="00151F2C" w:rsidR="00284AFF" w:rsidTr="00EC1D62" w14:paraId="0FFD1010"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42E4662"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E4EF23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Klein Homes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5AE44C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San Jose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64D6A9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19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2FFE51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$25,000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E05B92C" w14:textId="4F91AD7F">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W-4745</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9D777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2/20/2009</w:t>
            </w:r>
          </w:p>
        </w:tc>
      </w:tr>
      <w:tr w:rsidRPr="00151F2C" w:rsidR="00284AFF" w:rsidTr="00EC1D62" w14:paraId="00D7F14D"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7A5DE4A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14</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F19559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Mount Lassen Woods Subdivision (New Development)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9F4B4C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32B411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132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D6D7C3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$165,000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C42B72C" w14:textId="491EC7D0">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D0904016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679FC7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4/29/2009</w:t>
            </w:r>
          </w:p>
        </w:tc>
      </w:tr>
      <w:tr w:rsidRPr="00151F2C" w:rsidR="00284AFF" w:rsidTr="00EC1D62" w14:paraId="267B05CF" w14:textId="77777777">
        <w:trPr>
          <w:trHeight w:val="269"/>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7750B8B0"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15</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ECA2E19"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Woodside Mutual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D576BB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 Water Service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C5B760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47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BCCDE1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D71CF15" w14:textId="1E3AED9A">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AL 1907 (No Res.)</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2223C9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7/6/2009</w:t>
            </w:r>
          </w:p>
        </w:tc>
      </w:tr>
      <w:tr w:rsidRPr="00151F2C" w:rsidR="00464191" w:rsidTr="00EC1D62" w14:paraId="2642BBD6"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89A9C6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E6F233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Alco Water Service - San </w:t>
            </w:r>
            <w:proofErr w:type="spellStart"/>
            <w:r w:rsidRPr="00F97E88">
              <w:rPr>
                <w:rFonts w:ascii="Calibri" w:hAnsi="Calibri" w:eastAsia="Times New Roman" w:cs="Calibri"/>
                <w:color w:val="000000"/>
                <w:kern w:val="0"/>
                <w:sz w:val="16"/>
                <w:szCs w:val="16"/>
                <w14:ligatures w14:val="none"/>
              </w:rPr>
              <w:t>Jerardo</w:t>
            </w:r>
            <w:proofErr w:type="spellEnd"/>
            <w:r w:rsidRPr="00F97E88">
              <w:rPr>
                <w:rFonts w:ascii="Calibri" w:hAnsi="Calibri" w:eastAsia="Times New Roman" w:cs="Calibri"/>
                <w:color w:val="000000"/>
                <w:kern w:val="0"/>
                <w:sz w:val="16"/>
                <w:szCs w:val="16"/>
                <w14:ligatures w14:val="none"/>
              </w:rPr>
              <w:t xml:space="preserve"> District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A5C75F"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County of Monterey</w:t>
            </w:r>
          </w:p>
        </w:tc>
        <w:tc>
          <w:tcPr>
            <w:tcW w:w="1080" w:type="dxa"/>
            <w:tcBorders>
              <w:top w:val="nil"/>
              <w:left w:val="nil"/>
              <w:bottom w:val="single" w:color="auto" w:sz="4" w:space="0"/>
              <w:right w:val="single" w:color="auto" w:sz="4" w:space="0"/>
            </w:tcBorders>
            <w:shd w:val="pct50" w:color="000000" w:fill="auto"/>
            <w:noWrap/>
            <w:vAlign w:val="center"/>
            <w:hideMark/>
          </w:tcPr>
          <w:p w:rsidRPr="00F97E88" w:rsidR="00F97E88" w:rsidP="00FA700B" w:rsidRDefault="00F97E88" w14:paraId="6115A22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1170" w:type="dxa"/>
            <w:tcBorders>
              <w:top w:val="nil"/>
              <w:left w:val="nil"/>
              <w:bottom w:val="single" w:color="auto" w:sz="4" w:space="0"/>
              <w:right w:val="single" w:color="auto" w:sz="4" w:space="0"/>
            </w:tcBorders>
            <w:shd w:val="pct50" w:color="000000" w:fill="auto"/>
            <w:noWrap/>
            <w:vAlign w:val="center"/>
            <w:hideMark/>
          </w:tcPr>
          <w:p w:rsidRPr="00F97E88" w:rsidR="00F97E88" w:rsidP="00EC2CC8" w:rsidRDefault="00F97E88" w14:paraId="15FBCCC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7EBB0C0"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W-4786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7E8BA6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9/24/2009</w:t>
            </w:r>
          </w:p>
        </w:tc>
      </w:tr>
      <w:tr w:rsidRPr="00151F2C" w:rsidR="00284AFF" w:rsidTr="00EC1D62" w14:paraId="6BDA7B98"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692CB4BE"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31EB91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Ponderosa Sky Ranch Water System</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CB04A1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Sky View County Water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BBBDC1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110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0F6A11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08DCCAF" w14:textId="5764BB16">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D0910018</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AF248A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10/15/2009</w:t>
            </w:r>
          </w:p>
        </w:tc>
      </w:tr>
      <w:tr w:rsidRPr="00151F2C" w:rsidR="00284AFF" w:rsidTr="00EC1D62" w14:paraId="07EF191C"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7C46E5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5C96CF4"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West Riverside Canal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B65775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Empire Water Corporation (Non-Public Utility)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E4FE53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A19847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FFB8B05" w14:textId="579116D5">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D1011002</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01104B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11/10/2010</w:t>
            </w:r>
          </w:p>
        </w:tc>
      </w:tr>
      <w:tr w:rsidRPr="00151F2C" w:rsidR="00284AFF" w:rsidTr="00EC1D62" w14:paraId="749CE491"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7AA2E9DC"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19</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6F2A0F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James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5153FD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 Water Service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9CC1B5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641FE0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CBBEE98" w14:textId="6AA1CBC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D1202003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0BD2E1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2/1/2012</w:t>
            </w:r>
          </w:p>
        </w:tc>
      </w:tr>
      <w:tr w:rsidRPr="00151F2C" w:rsidR="00464191" w:rsidTr="00EC1D62" w14:paraId="70FCC2DF"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1F976D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20</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A50747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Stewart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B90BDB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Gordon Water Acres Water Company (Mutual)</w:t>
            </w:r>
          </w:p>
        </w:tc>
        <w:tc>
          <w:tcPr>
            <w:tcW w:w="1080" w:type="dxa"/>
            <w:tcBorders>
              <w:top w:val="nil"/>
              <w:left w:val="nil"/>
              <w:bottom w:val="single" w:color="auto" w:sz="4" w:space="0"/>
              <w:right w:val="single" w:color="auto" w:sz="4" w:space="0"/>
            </w:tcBorders>
            <w:shd w:val="pct50" w:color="000000" w:fill="auto"/>
            <w:noWrap/>
            <w:vAlign w:val="center"/>
            <w:hideMark/>
          </w:tcPr>
          <w:p w:rsidRPr="00F97E88" w:rsidR="00F97E88" w:rsidP="00FA700B" w:rsidRDefault="00F97E88" w14:paraId="7668AD2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1170" w:type="dxa"/>
            <w:tcBorders>
              <w:top w:val="nil"/>
              <w:left w:val="nil"/>
              <w:bottom w:val="single" w:color="auto" w:sz="4" w:space="0"/>
              <w:right w:val="single" w:color="auto" w:sz="4" w:space="0"/>
            </w:tcBorders>
            <w:shd w:val="pct50" w:color="000000" w:fill="auto"/>
            <w:noWrap/>
            <w:vAlign w:val="center"/>
            <w:hideMark/>
          </w:tcPr>
          <w:p w:rsidRPr="00F97E88" w:rsidR="00F97E88" w:rsidP="00EC2CC8" w:rsidRDefault="00F97E88" w14:paraId="28C8212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0AD1A4E"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W-4907</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BD6F83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2/16/2012</w:t>
            </w:r>
          </w:p>
        </w:tc>
      </w:tr>
      <w:tr w:rsidRPr="00151F2C" w:rsidR="00284AFF" w:rsidTr="00EC1D62" w14:paraId="421288DB"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BCCD901"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CADB5BB"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Central Water System</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F21B3E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Plainview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4D1303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42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832C6F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$24,000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F0761D8" w14:textId="72352FAC">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D1204020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941883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4/19/2012</w:t>
            </w:r>
          </w:p>
        </w:tc>
      </w:tr>
      <w:tr w:rsidRPr="00151F2C" w:rsidR="00284AFF" w:rsidTr="00EC1D62" w14:paraId="7525CF56"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C19173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99C9B2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Lewiston Valley Water Company (&amp; Sewer)</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7F82E6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Lewiston Community Services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696616C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12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8526A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$35,000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B291515" w14:textId="39B44B15">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W-4920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21AB1D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6/7/2012</w:t>
            </w:r>
          </w:p>
        </w:tc>
      </w:tr>
      <w:tr w:rsidRPr="00151F2C" w:rsidR="00284AFF" w:rsidTr="00EC1D62" w14:paraId="5DEB3DB1"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68FF99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C67370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Riverview Acres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EB6D63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Salyer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AF33B1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53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02F844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9F363CE" w14:textId="2DB39EE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W-4923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948838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6/21/2012</w:t>
            </w:r>
          </w:p>
        </w:tc>
      </w:tr>
      <w:tr w:rsidRPr="00151F2C" w:rsidR="00284AFF" w:rsidTr="00EC1D62" w14:paraId="12C8C72E"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4AA931B"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24</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EDA4A8D"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Watertek</w:t>
            </w:r>
            <w:proofErr w:type="spellEnd"/>
            <w:r w:rsidRPr="00F97E88">
              <w:rPr>
                <w:rFonts w:ascii="Calibri" w:hAnsi="Calibri" w:eastAsia="Times New Roman" w:cs="Calibri"/>
                <w:color w:val="000000"/>
                <w:kern w:val="0"/>
                <w:sz w:val="16"/>
                <w:szCs w:val="16"/>
                <w14:ligatures w14:val="none"/>
              </w:rPr>
              <w:t xml:space="preserve"> Incorporated</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76AD199"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4CBA52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146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38C1DE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163814E" w14:textId="6A8501B1">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D1209013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164602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9/13/2012</w:t>
            </w:r>
          </w:p>
        </w:tc>
      </w:tr>
      <w:tr w:rsidRPr="00151F2C" w:rsidR="00284AFF" w:rsidTr="00EC1D62" w14:paraId="07315ED0"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B8DE67C"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25</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DCFF46B"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Garrapata</w:t>
            </w:r>
            <w:proofErr w:type="spellEnd"/>
            <w:r w:rsidRPr="00F97E88">
              <w:rPr>
                <w:rFonts w:ascii="Calibri" w:hAnsi="Calibri" w:eastAsia="Times New Roman" w:cs="Calibri"/>
                <w:color w:val="000000"/>
                <w:kern w:val="0"/>
                <w:sz w:val="16"/>
                <w:szCs w:val="16"/>
                <w14:ligatures w14:val="none"/>
              </w:rPr>
              <w:t xml:space="preserve">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DE090C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7381D1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49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EC2086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4C91EAD" w14:textId="68EF6484">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D1301033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2AAA2B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1/24/2013</w:t>
            </w:r>
          </w:p>
        </w:tc>
      </w:tr>
      <w:tr w:rsidRPr="00151F2C" w:rsidR="00284AFF" w:rsidTr="00EC1D62" w14:paraId="1161F149"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C0F0F9B"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8D6701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Valencia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596365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Castaic Lake Water Agency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07510E4" w14:textId="2822C8A9">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30,000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615D11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$73,000,000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E027C00" w14:textId="0F3E8A2C">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D1402041</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05BEB6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2/27/2014</w:t>
            </w:r>
          </w:p>
        </w:tc>
      </w:tr>
      <w:tr w:rsidRPr="00151F2C" w:rsidR="00284AFF" w:rsidTr="00EC1D62" w14:paraId="51069444"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7572398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A162991"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Idylwild</w:t>
            </w:r>
            <w:proofErr w:type="spellEnd"/>
            <w:r w:rsidRPr="00F97E88">
              <w:rPr>
                <w:rFonts w:ascii="Calibri" w:hAnsi="Calibri" w:eastAsia="Times New Roman" w:cs="Calibri"/>
                <w:color w:val="000000"/>
                <w:kern w:val="0"/>
                <w:sz w:val="16"/>
                <w:szCs w:val="16"/>
                <w14:ligatures w14:val="none"/>
              </w:rPr>
              <w:t xml:space="preserve"> Water System</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F456F9F"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Raineri</w:t>
            </w:r>
            <w:proofErr w:type="spellEnd"/>
            <w:r w:rsidRPr="00F97E88">
              <w:rPr>
                <w:rFonts w:ascii="Calibri" w:hAnsi="Calibri" w:eastAsia="Times New Roman" w:cs="Calibri"/>
                <w:color w:val="000000"/>
                <w:kern w:val="0"/>
                <w:sz w:val="16"/>
                <w:szCs w:val="16"/>
                <w14:ligatures w14:val="none"/>
              </w:rPr>
              <w:t xml:space="preserve">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6F44D01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45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DF0202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$16,000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00E66B0" w14:textId="6BA3327B">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D1403009</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38644B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3/14/2014</w:t>
            </w:r>
          </w:p>
        </w:tc>
      </w:tr>
      <w:tr w:rsidRPr="00151F2C" w:rsidR="00284AFF" w:rsidTr="00EC1D62" w14:paraId="66B486C7"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472DD9B"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5AC422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Lake Forest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C737B0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Tahoe City Public Utility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651F46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118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11AA7D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$453,700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6A54CA1" w14:textId="6A5F2C3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W-4980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E79837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5/16/2014</w:t>
            </w:r>
          </w:p>
        </w:tc>
      </w:tr>
      <w:tr w:rsidRPr="00151F2C" w:rsidR="00284AFF" w:rsidTr="00EC1D62" w14:paraId="6D8811BD"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6A35C61"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29</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41BD825"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Yermo</w:t>
            </w:r>
            <w:proofErr w:type="spellEnd"/>
            <w:r w:rsidRPr="00F97E88">
              <w:rPr>
                <w:rFonts w:ascii="Calibri" w:hAnsi="Calibri" w:eastAsia="Times New Roman" w:cs="Calibri"/>
                <w:color w:val="000000"/>
                <w:kern w:val="0"/>
                <w:sz w:val="16"/>
                <w:szCs w:val="16"/>
                <w14:ligatures w14:val="none"/>
              </w:rPr>
              <w:t xml:space="preserve">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B3FD44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Apple Valley Ranchos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10DCF8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250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9DF35A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31AFA34" w14:textId="2FFF2AC1">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W-4998</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FD53E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8/29/2014</w:t>
            </w:r>
          </w:p>
        </w:tc>
      </w:tr>
      <w:tr w:rsidRPr="00151F2C" w:rsidR="00284AFF" w:rsidTr="00EC1D62" w14:paraId="400FD2AE"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181D7D8B"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30</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E65F6F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Ox Bow Mutual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8C047C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38188B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96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B65868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$495,000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0E5D00B" w14:textId="12FEB870">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W-5042</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B6AECE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6/16/2015</w:t>
            </w:r>
          </w:p>
        </w:tc>
      </w:tr>
      <w:tr w:rsidRPr="00151F2C" w:rsidR="00284AFF" w:rsidTr="00EC1D62" w14:paraId="54794DF4"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A1238D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81BBC4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Rural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B134C7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Golden State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C8DAC2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950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212BDE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$1,700,000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40ADC18" w14:textId="165511EE">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D1506049</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FAA548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7/1/2015</w:t>
            </w:r>
          </w:p>
        </w:tc>
      </w:tr>
      <w:tr w:rsidRPr="00151F2C" w:rsidR="00284AFF" w:rsidTr="00EC1D62" w14:paraId="1AE36F9F"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CB0691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6BCCDA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Black Butte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42A7D4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5A5B1BC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87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445FBD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$47,197</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BDBFAD8" w14:textId="31F007F1">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D1508036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132F4B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8/25/2015</w:t>
            </w:r>
          </w:p>
        </w:tc>
      </w:tr>
      <w:tr w:rsidRPr="00151F2C" w:rsidR="00284AFF" w:rsidTr="00EC1D62" w14:paraId="3198B19F"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23DD765"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97CF84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Traver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A4C741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5425948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180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0C0351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8C2A893" w14:textId="6419090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D1509015</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EC9DFB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9/21/2015</w:t>
            </w:r>
          </w:p>
        </w:tc>
      </w:tr>
      <w:tr w:rsidRPr="00151F2C" w:rsidR="00284AFF" w:rsidTr="00EC1D62" w14:paraId="2A6718D2"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9E2EC70"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lastRenderedPageBreak/>
              <w:t>34</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195701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Dunnigan Water Works (&amp; Sewer)</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CF8D473"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0F7DBC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253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FB6883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$2,000,000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940DEE" w14:textId="543865EE">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D1511012</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2E7319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11/10/2015</w:t>
            </w:r>
          </w:p>
        </w:tc>
      </w:tr>
      <w:tr w:rsidRPr="00151F2C" w:rsidR="00284AFF" w:rsidTr="00EC1D62" w14:paraId="3AD5F4ED"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0300089"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35</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C917636"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Buzztail</w:t>
            </w:r>
            <w:proofErr w:type="spellEnd"/>
            <w:r w:rsidRPr="00F97E88">
              <w:rPr>
                <w:rFonts w:ascii="Calibri" w:hAnsi="Calibri" w:eastAsia="Times New Roman" w:cs="Calibri"/>
                <w:color w:val="000000"/>
                <w:kern w:val="0"/>
                <w:sz w:val="16"/>
                <w:szCs w:val="16"/>
                <w14:ligatures w14:val="none"/>
              </w:rPr>
              <w:t xml:space="preserve"> Community Service District (Mutual)</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370EBC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7D42B6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34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1921D8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$73,359</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D83C1B3" w14:textId="4F450455">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W-5068</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2AABB0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11/23/2015</w:t>
            </w:r>
          </w:p>
        </w:tc>
      </w:tr>
      <w:tr w:rsidRPr="00151F2C" w:rsidR="00284AFF" w:rsidTr="00EC1D62" w14:paraId="5E66F9AC"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D220BD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E2C94C9"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Trinity Village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F54DBE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Trinity Village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58CE805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191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51E7FD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E1B4D11" w14:textId="6BAB5439">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W-5076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8688FF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1/21/2016</w:t>
            </w:r>
          </w:p>
        </w:tc>
      </w:tr>
      <w:tr w:rsidRPr="00151F2C" w:rsidR="00284AFF" w:rsidTr="00EC1D62" w14:paraId="2E59FE49"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F8535B2"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469AAF5"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Adams Ranch Mutual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4D042D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2DA8BD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173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5348E6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C48D013" w14:textId="536FFBC6">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W-5080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06358F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2/25/2016</w:t>
            </w:r>
          </w:p>
        </w:tc>
      </w:tr>
      <w:tr w:rsidRPr="00151F2C" w:rsidR="00284AFF" w:rsidTr="00EC1D62" w14:paraId="36BF7D97"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D7D13A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267E567"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Beasore</w:t>
            </w:r>
            <w:proofErr w:type="spellEnd"/>
            <w:r w:rsidRPr="00F97E88">
              <w:rPr>
                <w:rFonts w:ascii="Calibri" w:hAnsi="Calibri" w:eastAsia="Times New Roman" w:cs="Calibri"/>
                <w:color w:val="000000"/>
                <w:kern w:val="0"/>
                <w:sz w:val="16"/>
                <w:szCs w:val="16"/>
                <w14:ligatures w14:val="none"/>
              </w:rPr>
              <w:t xml:space="preserve"> Meadows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6D8844B" w14:textId="77777777">
            <w:pPr>
              <w:spacing w:after="0" w:line="240" w:lineRule="auto"/>
              <w:rPr>
                <w:rFonts w:ascii="Calibri" w:hAnsi="Calibri" w:eastAsia="Times New Roman" w:cs="Calibri"/>
                <w:color w:val="000000"/>
                <w:kern w:val="0"/>
                <w:sz w:val="16"/>
                <w:szCs w:val="16"/>
                <w14:ligatures w14:val="none"/>
              </w:rPr>
            </w:pPr>
            <w:proofErr w:type="spellStart"/>
            <w:r w:rsidRPr="00F97E88">
              <w:rPr>
                <w:rFonts w:ascii="Calibri" w:hAnsi="Calibri" w:eastAsia="Times New Roman" w:cs="Calibri"/>
                <w:color w:val="000000"/>
                <w:kern w:val="0"/>
                <w:sz w:val="16"/>
                <w:szCs w:val="16"/>
                <w14:ligatures w14:val="none"/>
              </w:rPr>
              <w:t>Beasore</w:t>
            </w:r>
            <w:proofErr w:type="spellEnd"/>
            <w:r w:rsidRPr="00F97E88">
              <w:rPr>
                <w:rFonts w:ascii="Calibri" w:hAnsi="Calibri" w:eastAsia="Times New Roman" w:cs="Calibri"/>
                <w:color w:val="000000"/>
                <w:kern w:val="0"/>
                <w:sz w:val="16"/>
                <w:szCs w:val="16"/>
                <w14:ligatures w14:val="none"/>
              </w:rPr>
              <w:t xml:space="preserve">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228B20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75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E432A2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1B447E5" w14:textId="40B7B72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W-5091</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370B7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4/7/2016</w:t>
            </w:r>
          </w:p>
        </w:tc>
      </w:tr>
      <w:tr w:rsidRPr="00151F2C" w:rsidR="00284AFF" w:rsidTr="00EC1D62" w14:paraId="19019C0E"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6B41EDE2"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39</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B4FE3BF"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Wendell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2E0FEE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Wendell Lane Mutual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4FB0EF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25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E7AA47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$7,500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204A85F" w14:textId="38771405">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W-5100</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7BC2C7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8/22/2016</w:t>
            </w:r>
          </w:p>
        </w:tc>
      </w:tr>
      <w:tr w:rsidRPr="00151F2C" w:rsidR="00284AFF" w:rsidTr="00EC1D62" w14:paraId="7EC0974A"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6DCC96FB"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40</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CC9097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Geyserville Water Works</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77D758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65DA3C1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318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03F6E56"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$1,415,210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C788D05" w14:textId="1F2EE64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D1611014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7C6C00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11/17/2016</w:t>
            </w:r>
          </w:p>
        </w:tc>
      </w:tr>
      <w:tr w:rsidRPr="00151F2C" w:rsidR="00284AFF" w:rsidTr="00EC1D62" w14:paraId="06D2B23D"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D78E32D"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1B0016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Meadowbrook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8328DE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031623B" w14:textId="5D4CB9DC">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1,695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19238F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$4,000,000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1A12DA9" w14:textId="297F421D">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D1612014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F6167A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12/6/2016</w:t>
            </w:r>
          </w:p>
        </w:tc>
      </w:tr>
      <w:tr w:rsidRPr="00151F2C" w:rsidR="00284AFF" w:rsidTr="00EC1D62" w14:paraId="6C923E89"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C0C7ABE"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5CDA7C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Larkspur Meadows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DAA9EE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AC553D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37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F2DA18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$83,000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49A12F4" w14:textId="42406982">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D1703019</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5D5F7D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3/23/2017</w:t>
            </w:r>
          </w:p>
        </w:tc>
      </w:tr>
      <w:tr w:rsidRPr="00151F2C" w:rsidR="00284AFF" w:rsidTr="00EC1D62" w14:paraId="06EC9B2C"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175ED87"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426334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 - Walnut Ranch District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889FF7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City of Colusa</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5813F9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79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A7244C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$280,000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CC53893" w14:textId="29E8A258">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W-5136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5180E6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3/23/2017</w:t>
            </w:r>
          </w:p>
        </w:tc>
      </w:tr>
      <w:tr w:rsidRPr="00151F2C" w:rsidR="0082783A" w:rsidTr="00EC1D62" w14:paraId="29FDBFC1" w14:textId="77777777">
        <w:trPr>
          <w:trHeight w:val="312"/>
        </w:trPr>
        <w:tc>
          <w:tcPr>
            <w:tcW w:w="423" w:type="dxa"/>
            <w:tcBorders>
              <w:top w:val="nil"/>
              <w:left w:val="single" w:color="auto" w:sz="4" w:space="0"/>
              <w:bottom w:val="nil"/>
              <w:right w:val="single" w:color="auto" w:sz="4" w:space="0"/>
            </w:tcBorders>
            <w:shd w:val="clear" w:color="auto" w:fill="auto"/>
            <w:noWrap/>
            <w:vAlign w:val="center"/>
            <w:hideMark/>
          </w:tcPr>
          <w:p w:rsidRPr="00F97E88" w:rsidR="00F97E88" w:rsidP="00F97E88" w:rsidRDefault="00F97E88" w14:paraId="3E09AB18"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44</w:t>
            </w:r>
          </w:p>
        </w:tc>
        <w:tc>
          <w:tcPr>
            <w:tcW w:w="2692" w:type="dxa"/>
            <w:tcBorders>
              <w:top w:val="nil"/>
              <w:left w:val="nil"/>
              <w:bottom w:val="nil"/>
              <w:right w:val="single" w:color="auto" w:sz="4" w:space="0"/>
            </w:tcBorders>
            <w:shd w:val="clear" w:color="auto" w:fill="auto"/>
            <w:noWrap/>
            <w:vAlign w:val="center"/>
            <w:hideMark/>
          </w:tcPr>
          <w:p w:rsidRPr="00F97E88" w:rsidR="00F97E88" w:rsidP="00F97E88" w:rsidRDefault="00F97E88" w14:paraId="13F595D5"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Benbow Water Company</w:t>
            </w:r>
          </w:p>
        </w:tc>
        <w:tc>
          <w:tcPr>
            <w:tcW w:w="2645" w:type="dxa"/>
            <w:tcBorders>
              <w:top w:val="nil"/>
              <w:left w:val="nil"/>
              <w:bottom w:val="nil"/>
              <w:right w:val="single" w:color="auto" w:sz="4" w:space="0"/>
            </w:tcBorders>
            <w:shd w:val="clear" w:color="auto" w:fill="auto"/>
            <w:noWrap/>
            <w:vAlign w:val="center"/>
            <w:hideMark/>
          </w:tcPr>
          <w:p w:rsidRPr="00F97E88" w:rsidR="00F97E88" w:rsidP="00F97E88" w:rsidRDefault="00F97E88" w14:paraId="4F81C54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nil"/>
              <w:right w:val="single" w:color="auto" w:sz="4" w:space="0"/>
            </w:tcBorders>
            <w:shd w:val="clear" w:color="auto" w:fill="auto"/>
            <w:noWrap/>
            <w:vAlign w:val="center"/>
            <w:hideMark/>
          </w:tcPr>
          <w:p w:rsidRPr="00F97E88" w:rsidR="00F97E88" w:rsidP="00FA700B" w:rsidRDefault="00F97E88" w14:paraId="7C8BA6F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134 </w:t>
            </w:r>
          </w:p>
        </w:tc>
        <w:tc>
          <w:tcPr>
            <w:tcW w:w="1170" w:type="dxa"/>
            <w:tcBorders>
              <w:top w:val="nil"/>
              <w:left w:val="nil"/>
              <w:bottom w:val="nil"/>
              <w:right w:val="single" w:color="auto" w:sz="4" w:space="0"/>
            </w:tcBorders>
            <w:shd w:val="clear" w:color="auto" w:fill="auto"/>
            <w:noWrap/>
            <w:vAlign w:val="center"/>
            <w:hideMark/>
          </w:tcPr>
          <w:p w:rsidRPr="00F97E88" w:rsidR="00F97E88" w:rsidP="00F97E88" w:rsidRDefault="00F97E88" w14:paraId="1490A17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$590,586</w:t>
            </w:r>
          </w:p>
        </w:tc>
        <w:tc>
          <w:tcPr>
            <w:tcW w:w="990" w:type="dxa"/>
            <w:tcBorders>
              <w:top w:val="nil"/>
              <w:left w:val="nil"/>
              <w:bottom w:val="nil"/>
              <w:right w:val="single" w:color="auto" w:sz="4" w:space="0"/>
            </w:tcBorders>
            <w:shd w:val="clear" w:color="auto" w:fill="auto"/>
            <w:noWrap/>
            <w:vAlign w:val="center"/>
            <w:hideMark/>
          </w:tcPr>
          <w:p w:rsidRPr="00F97E88" w:rsidR="00F97E88" w:rsidP="00F97E88" w:rsidRDefault="00F97E88" w14:paraId="0B8FA010" w14:textId="527B18F0">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D1705003</w:t>
            </w:r>
          </w:p>
        </w:tc>
        <w:tc>
          <w:tcPr>
            <w:tcW w:w="1075" w:type="dxa"/>
            <w:tcBorders>
              <w:top w:val="nil"/>
              <w:left w:val="nil"/>
              <w:bottom w:val="nil"/>
              <w:right w:val="single" w:color="auto" w:sz="4" w:space="0"/>
            </w:tcBorders>
            <w:shd w:val="clear" w:color="auto" w:fill="auto"/>
            <w:noWrap/>
            <w:vAlign w:val="center"/>
            <w:hideMark/>
          </w:tcPr>
          <w:p w:rsidRPr="00F97E88" w:rsidR="00F97E88" w:rsidP="00F97E88" w:rsidRDefault="00F97E88" w14:paraId="1FFC380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5/11/2017</w:t>
            </w:r>
          </w:p>
        </w:tc>
      </w:tr>
      <w:tr w:rsidRPr="00151F2C" w:rsidR="0082783A" w:rsidTr="00EC1D62" w14:paraId="45CBA4E6" w14:textId="77777777">
        <w:trPr>
          <w:trHeight w:val="312"/>
        </w:trPr>
        <w:tc>
          <w:tcPr>
            <w:tcW w:w="42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6B221D7"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45</w:t>
            </w:r>
          </w:p>
        </w:tc>
        <w:tc>
          <w:tcPr>
            <w:tcW w:w="2692" w:type="dxa"/>
            <w:tcBorders>
              <w:top w:val="single" w:color="auto" w:sz="4" w:space="0"/>
              <w:left w:val="nil"/>
              <w:bottom w:val="single" w:color="auto" w:sz="4" w:space="0"/>
              <w:right w:val="single" w:color="auto" w:sz="4" w:space="0"/>
            </w:tcBorders>
            <w:shd w:val="clear" w:color="auto" w:fill="auto"/>
            <w:noWrap/>
            <w:vAlign w:val="center"/>
            <w:hideMark/>
          </w:tcPr>
          <w:p w:rsidRPr="00F97E88" w:rsidR="00F97E88" w:rsidP="00F97E88" w:rsidRDefault="00F97E88" w14:paraId="7AC8D69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Madden Creek Water Company</w:t>
            </w:r>
          </w:p>
        </w:tc>
        <w:tc>
          <w:tcPr>
            <w:tcW w:w="264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F97E88" w:rsidR="00F97E88" w:rsidP="00F97E88" w:rsidRDefault="00F97E88" w14:paraId="05DD8CD8"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Tahoe City Public Utility District</w:t>
            </w:r>
          </w:p>
        </w:tc>
        <w:tc>
          <w:tcPr>
            <w:tcW w:w="1080" w:type="dxa"/>
            <w:tcBorders>
              <w:top w:val="single" w:color="auto" w:sz="4" w:space="0"/>
              <w:left w:val="nil"/>
              <w:bottom w:val="single" w:color="auto" w:sz="4" w:space="0"/>
              <w:right w:val="single" w:color="auto" w:sz="4" w:space="0"/>
            </w:tcBorders>
            <w:shd w:val="clear" w:color="auto" w:fill="auto"/>
            <w:noWrap/>
            <w:vAlign w:val="center"/>
            <w:hideMark/>
          </w:tcPr>
          <w:p w:rsidRPr="00F97E88" w:rsidR="00F97E88" w:rsidP="00FA700B" w:rsidRDefault="00F97E88" w14:paraId="4917BD96"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169 </w:t>
            </w:r>
          </w:p>
        </w:tc>
        <w:tc>
          <w:tcPr>
            <w:tcW w:w="117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F97E88" w:rsidR="00F97E88" w:rsidP="00F97E88" w:rsidRDefault="00F97E88" w14:paraId="2ED10E9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$4,700,000</w:t>
            </w:r>
          </w:p>
        </w:tc>
        <w:tc>
          <w:tcPr>
            <w:tcW w:w="99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F97E88" w:rsidR="00F97E88" w:rsidP="00F97E88" w:rsidRDefault="00F97E88" w14:paraId="252899CF" w14:textId="44CC131F">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W-5163</w:t>
            </w:r>
          </w:p>
        </w:tc>
        <w:tc>
          <w:tcPr>
            <w:tcW w:w="107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hideMark/>
          </w:tcPr>
          <w:p w:rsidRPr="00F97E88" w:rsidR="00F97E88" w:rsidP="00F97E88" w:rsidRDefault="00F97E88" w14:paraId="21A1587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4/26/2018</w:t>
            </w:r>
          </w:p>
        </w:tc>
      </w:tr>
      <w:tr w:rsidRPr="00151F2C" w:rsidR="0082783A" w:rsidTr="00EC1D62" w14:paraId="46B55CBC"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081D2F6"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F87052D"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Tahoe Cedars Water Company</w:t>
            </w:r>
          </w:p>
        </w:tc>
        <w:tc>
          <w:tcPr>
            <w:tcW w:w="2645" w:type="dxa"/>
            <w:vMerge/>
            <w:tcBorders>
              <w:top w:val="single" w:color="auto" w:sz="4" w:space="0"/>
              <w:left w:val="single" w:color="auto" w:sz="4" w:space="0"/>
              <w:bottom w:val="single" w:color="000000" w:sz="4" w:space="0"/>
              <w:right w:val="single" w:color="auto" w:sz="4" w:space="0"/>
            </w:tcBorders>
            <w:vAlign w:val="center"/>
            <w:hideMark/>
          </w:tcPr>
          <w:p w:rsidRPr="00F97E88" w:rsidR="00F97E88" w:rsidP="00F97E88" w:rsidRDefault="00F97E88" w14:paraId="79DE7911" w14:textId="77777777">
            <w:pPr>
              <w:spacing w:after="0" w:line="240" w:lineRule="auto"/>
              <w:rPr>
                <w:rFonts w:ascii="Calibri" w:hAnsi="Calibri" w:eastAsia="Times New Roman" w:cs="Calibri"/>
                <w:color w:val="000000"/>
                <w:kern w:val="0"/>
                <w:sz w:val="16"/>
                <w:szCs w:val="16"/>
                <w14:ligatures w14:val="none"/>
              </w:rPr>
            </w:pP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6402453" w14:textId="36424605">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1,167 </w:t>
            </w:r>
          </w:p>
        </w:tc>
        <w:tc>
          <w:tcPr>
            <w:tcW w:w="1170" w:type="dxa"/>
            <w:vMerge/>
            <w:tcBorders>
              <w:top w:val="single" w:color="auto" w:sz="4" w:space="0"/>
              <w:left w:val="single" w:color="auto" w:sz="4" w:space="0"/>
              <w:bottom w:val="single" w:color="000000" w:sz="4" w:space="0"/>
              <w:right w:val="single" w:color="auto" w:sz="4" w:space="0"/>
            </w:tcBorders>
            <w:vAlign w:val="center"/>
            <w:hideMark/>
          </w:tcPr>
          <w:p w:rsidRPr="00F97E88" w:rsidR="00F97E88" w:rsidP="00EC2CC8" w:rsidRDefault="00F97E88" w14:paraId="15BE7E4A" w14:textId="77777777">
            <w:pPr>
              <w:spacing w:after="0" w:line="240" w:lineRule="auto"/>
              <w:jc w:val="right"/>
              <w:rPr>
                <w:rFonts w:ascii="Calibri" w:hAnsi="Calibri" w:eastAsia="Times New Roman" w:cs="Calibri"/>
                <w:color w:val="000000"/>
                <w:kern w:val="0"/>
                <w:sz w:val="16"/>
                <w:szCs w:val="16"/>
                <w14:ligatures w14:val="none"/>
              </w:rPr>
            </w:pPr>
          </w:p>
        </w:tc>
        <w:tc>
          <w:tcPr>
            <w:tcW w:w="990" w:type="dxa"/>
            <w:vMerge/>
            <w:tcBorders>
              <w:top w:val="single" w:color="auto" w:sz="4" w:space="0"/>
              <w:left w:val="single" w:color="auto" w:sz="4" w:space="0"/>
              <w:bottom w:val="single" w:color="000000" w:sz="4" w:space="0"/>
              <w:right w:val="single" w:color="auto" w:sz="4" w:space="0"/>
            </w:tcBorders>
            <w:vAlign w:val="center"/>
            <w:hideMark/>
          </w:tcPr>
          <w:p w:rsidRPr="00F97E88" w:rsidR="00F97E88" w:rsidP="00EC1D62" w:rsidRDefault="00F97E88" w14:paraId="47FF935B" w14:textId="77777777">
            <w:pPr>
              <w:spacing w:after="0" w:line="240" w:lineRule="auto"/>
              <w:jc w:val="center"/>
              <w:rPr>
                <w:rFonts w:ascii="Calibri" w:hAnsi="Calibri" w:eastAsia="Times New Roman" w:cs="Calibri"/>
                <w:color w:val="000000"/>
                <w:kern w:val="0"/>
                <w:sz w:val="16"/>
                <w:szCs w:val="16"/>
                <w14:ligatures w14:val="none"/>
              </w:rPr>
            </w:pPr>
          </w:p>
        </w:tc>
        <w:tc>
          <w:tcPr>
            <w:tcW w:w="1075" w:type="dxa"/>
            <w:vMerge/>
            <w:tcBorders>
              <w:top w:val="single" w:color="auto" w:sz="4" w:space="0"/>
              <w:left w:val="single" w:color="auto" w:sz="4" w:space="0"/>
              <w:bottom w:val="single" w:color="000000" w:sz="4" w:space="0"/>
              <w:right w:val="single" w:color="auto" w:sz="4" w:space="0"/>
            </w:tcBorders>
            <w:vAlign w:val="center"/>
            <w:hideMark/>
          </w:tcPr>
          <w:p w:rsidRPr="00F97E88" w:rsidR="00F97E88" w:rsidP="00EC1D62" w:rsidRDefault="00F97E88" w14:paraId="32C4E5EC" w14:textId="77777777">
            <w:pPr>
              <w:spacing w:after="0" w:line="240" w:lineRule="auto"/>
              <w:jc w:val="right"/>
              <w:rPr>
                <w:rFonts w:ascii="Calibri" w:hAnsi="Calibri" w:eastAsia="Times New Roman" w:cs="Calibri"/>
                <w:color w:val="000000"/>
                <w:kern w:val="0"/>
                <w:sz w:val="16"/>
                <w:szCs w:val="16"/>
                <w14:ligatures w14:val="none"/>
              </w:rPr>
            </w:pPr>
          </w:p>
        </w:tc>
      </w:tr>
      <w:tr w:rsidRPr="00151F2C" w:rsidR="00284AFF" w:rsidTr="00EC1D62" w14:paraId="77563093"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6B37582"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DAFD49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Timberland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D7A9E6E"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Tahoe City Public Utility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3E66DF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136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A14F610"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$445,000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130CE82" w14:textId="65AFD7CB">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W-5166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86F0D19"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4/26/2018</w:t>
            </w:r>
          </w:p>
        </w:tc>
      </w:tr>
      <w:tr w:rsidRPr="00151F2C" w:rsidR="00284AFF" w:rsidTr="00EC1D62" w14:paraId="34D270D1"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09275F5"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DC409E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Rolling Hills Water System</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4BCAAD9"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Bakman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0611F6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361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8FE7AC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$297,172</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5B9CFC8" w14:textId="7D33CEFD">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W-5184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465148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1/31/2019</w:t>
            </w:r>
          </w:p>
        </w:tc>
      </w:tr>
      <w:tr w:rsidRPr="00151F2C" w:rsidR="00284AFF" w:rsidTr="00EC1D62" w14:paraId="689B9B90"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83EC49E"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49</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B0987D6"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Rio Plaza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7ACFD8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606DA0B1"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520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8BA978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$1,750,000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9538E66" w14:textId="4B147E96">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D1904015</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58ACB06"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4/25/2019</w:t>
            </w:r>
          </w:p>
        </w:tc>
      </w:tr>
      <w:tr w:rsidRPr="00151F2C" w:rsidR="00284AFF" w:rsidTr="00EC1D62" w14:paraId="498CA340"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4ABE337"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50</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1389124"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Mesa-Crest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224FBF4"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Park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12FCBF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708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1B17A9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$2,600,000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0B87F84" w14:textId="4ED3FA66">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D1904023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100DF8A"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4/25/2019</w:t>
            </w:r>
          </w:p>
        </w:tc>
      </w:tr>
      <w:tr w:rsidRPr="00151F2C" w:rsidR="00284AFF" w:rsidTr="00EC1D62" w14:paraId="73603724"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335F9A4E"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51</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5AF63D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Golden State Water Company - Ojai District</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495660C"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Casitas Municipal Water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00D5DE74" w14:textId="38F22ED9">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2,899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7C3C96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$34,481,628</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D125647" w14:textId="0D2F72F3">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D1905044</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384A94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5/30/2019</w:t>
            </w:r>
          </w:p>
        </w:tc>
      </w:tr>
      <w:tr w:rsidRPr="00151F2C" w:rsidR="00284AFF" w:rsidTr="00EC1D62" w14:paraId="65A61161"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4D3056C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52</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27D6C40"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Hat Creek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0AEC54B"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Del Oro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EC5099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63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80EC68B"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9E39BA9" w14:textId="38492B4D">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W-5196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BD78215"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8/1/2019</w:t>
            </w:r>
          </w:p>
        </w:tc>
      </w:tr>
      <w:tr w:rsidRPr="00151F2C" w:rsidR="00284AFF" w:rsidTr="00EC1D62" w14:paraId="5C3751EC"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EF5A775"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53</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125F89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Crane Ridge Mutual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8BE7E7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 Water Service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44D7627"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27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ABA925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28C8A64" w14:textId="5A0BD85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W-5206</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4A5EB0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9/26/2019</w:t>
            </w:r>
          </w:p>
        </w:tc>
      </w:tr>
      <w:tr w:rsidRPr="00151F2C" w:rsidR="00284AFF" w:rsidTr="00EC1D62" w14:paraId="5055E4C4"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514EC2C5"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54</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592D8F4"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Hillview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7D99FD3A"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38D2D97E" w14:textId="3DFC1E56">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1,472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BEE784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$7,470,459</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68872BD" w14:textId="67CA95C1">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D1911003</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BA692A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11/13/2019</w:t>
            </w:r>
          </w:p>
        </w:tc>
      </w:tr>
      <w:tr w:rsidRPr="00151F2C" w:rsidR="00284AFF" w:rsidTr="00EC1D62" w14:paraId="1197CA07"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A361EF4"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55</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94E31C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Fruitridge Vista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7D7C561"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14BD72DF" w14:textId="0C24AB7A">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4,760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2EC92D4"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$20,750,000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8C9A33D" w14:textId="666F6784">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D1912038</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A8814EE"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12/23/2019</w:t>
            </w:r>
          </w:p>
        </w:tc>
      </w:tr>
      <w:tr w:rsidRPr="00151F2C" w:rsidR="00284AFF" w:rsidTr="00EC1D62" w14:paraId="16F73936"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072E20AC"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56</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FA82DD2"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Cobb Mountain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41F281C5"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Cobb Area County Water District</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507EF32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64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1426B52"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$25,728</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C1BE7F4" w14:textId="575CAC2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W-5239</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59E5A33"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6/3/2021</w:t>
            </w:r>
          </w:p>
        </w:tc>
      </w:tr>
      <w:tr w:rsidRPr="00151F2C" w:rsidR="00284AFF" w:rsidTr="00EC1D62" w14:paraId="796302AB"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255A8890"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57</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D35BBC7"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Robbins Water System</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3171955D"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Golden State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44BF9AFD"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94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5A9B3A8"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$1,000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A5DDC0B" w14:textId="1041BA89">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W-5237</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5DCF6BA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6/24/2021</w:t>
            </w:r>
          </w:p>
        </w:tc>
      </w:tr>
      <w:tr w:rsidRPr="00151F2C" w:rsidR="00284AFF" w:rsidTr="00EC1D62" w14:paraId="26120C90" w14:textId="77777777">
        <w:trPr>
          <w:trHeight w:val="312"/>
        </w:trPr>
        <w:tc>
          <w:tcPr>
            <w:tcW w:w="423" w:type="dxa"/>
            <w:tcBorders>
              <w:top w:val="nil"/>
              <w:left w:val="single" w:color="auto" w:sz="4" w:space="0"/>
              <w:bottom w:val="single" w:color="auto" w:sz="4" w:space="0"/>
              <w:right w:val="single" w:color="auto" w:sz="4" w:space="0"/>
            </w:tcBorders>
            <w:shd w:val="clear" w:color="auto" w:fill="auto"/>
            <w:noWrap/>
            <w:vAlign w:val="center"/>
            <w:hideMark/>
          </w:tcPr>
          <w:p w:rsidRPr="00F97E88" w:rsidR="00F97E88" w:rsidP="00F97E88" w:rsidRDefault="00F97E88" w14:paraId="666A621D" w14:textId="77777777">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58</w:t>
            </w:r>
          </w:p>
        </w:tc>
        <w:tc>
          <w:tcPr>
            <w:tcW w:w="2692"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A42E674"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East Pasadena Water Company</w:t>
            </w:r>
          </w:p>
        </w:tc>
        <w:tc>
          <w:tcPr>
            <w:tcW w:w="264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138FA38B" w14:textId="77777777">
            <w:pPr>
              <w:spacing w:after="0" w:line="240" w:lineRule="auto"/>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California-American Water Company</w:t>
            </w:r>
          </w:p>
        </w:tc>
        <w:tc>
          <w:tcPr>
            <w:tcW w:w="1080" w:type="dxa"/>
            <w:tcBorders>
              <w:top w:val="nil"/>
              <w:left w:val="nil"/>
              <w:bottom w:val="single" w:color="auto" w:sz="4" w:space="0"/>
              <w:right w:val="single" w:color="auto" w:sz="4" w:space="0"/>
            </w:tcBorders>
            <w:shd w:val="clear" w:color="auto" w:fill="auto"/>
            <w:noWrap/>
            <w:vAlign w:val="center"/>
            <w:hideMark/>
          </w:tcPr>
          <w:p w:rsidRPr="00F97E88" w:rsidR="00F97E88" w:rsidP="00FA700B" w:rsidRDefault="00F97E88" w14:paraId="78034009" w14:textId="75D31FD0">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 xml:space="preserve">             3,024 </w:t>
            </w:r>
          </w:p>
        </w:tc>
        <w:tc>
          <w:tcPr>
            <w:tcW w:w="117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2FBC8D7C"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$34,000,000</w:t>
            </w:r>
          </w:p>
        </w:tc>
        <w:tc>
          <w:tcPr>
            <w:tcW w:w="990"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6F8C9D65" w14:textId="77BD5A30">
            <w:pPr>
              <w:spacing w:after="0" w:line="240" w:lineRule="auto"/>
              <w:jc w:val="center"/>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D2108002</w:t>
            </w:r>
          </w:p>
        </w:tc>
        <w:tc>
          <w:tcPr>
            <w:tcW w:w="1075" w:type="dxa"/>
            <w:tcBorders>
              <w:top w:val="nil"/>
              <w:left w:val="nil"/>
              <w:bottom w:val="single" w:color="auto" w:sz="4" w:space="0"/>
              <w:right w:val="single" w:color="auto" w:sz="4" w:space="0"/>
            </w:tcBorders>
            <w:shd w:val="clear" w:color="auto" w:fill="auto"/>
            <w:noWrap/>
            <w:vAlign w:val="center"/>
            <w:hideMark/>
          </w:tcPr>
          <w:p w:rsidRPr="00F97E88" w:rsidR="00F97E88" w:rsidP="00F97E88" w:rsidRDefault="00F97E88" w14:paraId="007F133F" w14:textId="77777777">
            <w:pPr>
              <w:spacing w:after="0" w:line="240" w:lineRule="auto"/>
              <w:jc w:val="right"/>
              <w:rPr>
                <w:rFonts w:ascii="Calibri" w:hAnsi="Calibri" w:eastAsia="Times New Roman" w:cs="Calibri"/>
                <w:color w:val="000000"/>
                <w:kern w:val="0"/>
                <w:sz w:val="16"/>
                <w:szCs w:val="16"/>
                <w14:ligatures w14:val="none"/>
              </w:rPr>
            </w:pPr>
            <w:r w:rsidRPr="00F97E88">
              <w:rPr>
                <w:rFonts w:ascii="Calibri" w:hAnsi="Calibri" w:eastAsia="Times New Roman" w:cs="Calibri"/>
                <w:color w:val="000000"/>
                <w:kern w:val="0"/>
                <w:sz w:val="16"/>
                <w:szCs w:val="16"/>
                <w14:ligatures w14:val="none"/>
              </w:rPr>
              <w:t>8/5/2021</w:t>
            </w:r>
          </w:p>
        </w:tc>
      </w:tr>
    </w:tbl>
    <w:p w:rsidR="005F69A3" w:rsidP="005F69A3" w:rsidRDefault="005F69A3" w14:paraId="2B6F3307" w14:textId="192C9D22"/>
    <w:p w:rsidR="002B1FD6" w:rsidP="005F69A3" w:rsidRDefault="002B1FD6" w14:paraId="5F94E60F" w14:textId="6E4ABCF1"/>
    <w:p w:rsidRPr="002B1FD6" w:rsidR="002B1FD6" w:rsidP="002B1FD6" w:rsidRDefault="002B1FD6" w14:paraId="443F4E2E" w14:textId="0854BB06">
      <w:pPr>
        <w:jc w:val="center"/>
        <w:rPr>
          <w:b/>
          <w:bCs/>
        </w:rPr>
      </w:pPr>
      <w:r w:rsidRPr="0085451D">
        <w:rPr>
          <w:b/>
          <w:bCs/>
        </w:rPr>
        <w:t>(END OF APPENDIX A)</w:t>
      </w:r>
    </w:p>
    <w:p w:rsidR="00395969" w:rsidRDefault="00395969" w14:paraId="7A26D8AC" w14:textId="6BEB60C9">
      <w:pPr>
        <w:spacing w:after="200" w:line="276" w:lineRule="auto"/>
        <w:rPr>
          <w:sz w:val="2"/>
          <w:szCs w:val="2"/>
        </w:rPr>
      </w:pPr>
    </w:p>
    <w:p w:rsidR="002B1FD6" w:rsidRDefault="002B1FD6" w14:paraId="3FECE5F9" w14:textId="711C9208">
      <w:pPr>
        <w:spacing w:after="200" w:line="276" w:lineRule="auto"/>
        <w:rPr>
          <w:sz w:val="2"/>
          <w:szCs w:val="2"/>
        </w:rPr>
      </w:pPr>
    </w:p>
    <w:p w:rsidRPr="002B1FD6" w:rsidR="002B1FD6" w:rsidRDefault="002B1FD6" w14:paraId="701B35D7" w14:textId="77777777">
      <w:pPr>
        <w:spacing w:after="200" w:line="276" w:lineRule="auto"/>
        <w:rPr>
          <w:sz w:val="2"/>
          <w:szCs w:val="2"/>
        </w:rPr>
      </w:pPr>
    </w:p>
    <w:sectPr w:rsidRPr="002B1FD6" w:rsidR="002B1FD6" w:rsidSect="002D2C3E">
      <w:headerReference w:type="default" r:id="rId62"/>
      <w:pgSz w:w="12240" w:h="15840"/>
      <w:pgMar w:top="1080" w:right="1080" w:bottom="1642"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74164" w14:textId="77777777" w:rsidR="00621592" w:rsidRDefault="00621592">
      <w:r>
        <w:separator/>
      </w:r>
    </w:p>
  </w:endnote>
  <w:endnote w:type="continuationSeparator" w:id="0">
    <w:p w14:paraId="647419C1" w14:textId="77777777" w:rsidR="00621592" w:rsidRDefault="00621592">
      <w:r>
        <w:continuationSeparator/>
      </w:r>
    </w:p>
  </w:endnote>
  <w:endnote w:type="continuationNotice" w:id="1">
    <w:p w14:paraId="6B971906" w14:textId="77777777" w:rsidR="00621592" w:rsidRDefault="00621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Century Gothic (Body)">
    <w:altName w:val="Century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310154"/>
      <w:docPartObj>
        <w:docPartGallery w:val="Page Numbers (Bottom of Page)"/>
        <w:docPartUnique/>
      </w:docPartObj>
    </w:sdtPr>
    <w:sdtEndPr>
      <w:rPr>
        <w:noProof/>
      </w:rPr>
    </w:sdtEndPr>
    <w:sdtContent>
      <w:p w14:paraId="56ACCF3F" w14:textId="564EA844" w:rsidR="00D2655D" w:rsidRDefault="00D2655D">
        <w:pPr>
          <w:pStyle w:val="Footer"/>
        </w:pPr>
        <w:r>
          <w:fldChar w:fldCharType="begin"/>
        </w:r>
        <w:r>
          <w:instrText xml:space="preserve"> PAGE   \* MERGEFORMAT </w:instrText>
        </w:r>
        <w:r>
          <w:fldChar w:fldCharType="separate"/>
        </w:r>
        <w:r>
          <w:rPr>
            <w:noProof/>
          </w:rPr>
          <w:t>2</w:t>
        </w:r>
        <w:r>
          <w:rPr>
            <w:noProof/>
          </w:rPr>
          <w:fldChar w:fldCharType="end"/>
        </w:r>
      </w:p>
    </w:sdtContent>
  </w:sdt>
  <w:p w14:paraId="4C3DB570" w14:textId="54543C11" w:rsidR="008D007B" w:rsidRDefault="008D007B" w:rsidP="0086461C">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B41E5" w14:textId="77777777" w:rsidR="00621592" w:rsidRDefault="00621592">
      <w:r>
        <w:separator/>
      </w:r>
    </w:p>
  </w:footnote>
  <w:footnote w:type="continuationSeparator" w:id="0">
    <w:p w14:paraId="7E314703" w14:textId="77777777" w:rsidR="00621592" w:rsidRDefault="00621592">
      <w:r>
        <w:continuationSeparator/>
      </w:r>
    </w:p>
  </w:footnote>
  <w:footnote w:type="continuationNotice" w:id="1">
    <w:p w14:paraId="5F47DC79" w14:textId="77777777" w:rsidR="00621592" w:rsidRDefault="00621592">
      <w:pPr>
        <w:spacing w:after="0" w:line="240" w:lineRule="auto"/>
      </w:pPr>
    </w:p>
  </w:footnote>
  <w:footnote w:id="2">
    <w:p w14:paraId="0DF3AD63" w14:textId="24DC5A6E" w:rsidR="00AA49D3" w:rsidRDefault="00AA49D3">
      <w:pPr>
        <w:pStyle w:val="FootnoteText"/>
      </w:pPr>
      <w:r>
        <w:rPr>
          <w:rStyle w:val="FootnoteReference"/>
        </w:rPr>
        <w:footnoteRef/>
      </w:r>
      <w:r>
        <w:t xml:space="preserve"> </w:t>
      </w:r>
      <w:r w:rsidRPr="00142830">
        <w:rPr>
          <w:rStyle w:val="normaltextrun"/>
        </w:rPr>
        <w:t>Decision (D.) 99-10-064</w:t>
      </w:r>
      <w:r>
        <w:rPr>
          <w:rStyle w:val="normaltextrun"/>
        </w:rPr>
        <w:t>.</w:t>
      </w:r>
    </w:p>
  </w:footnote>
  <w:footnote w:id="3">
    <w:p w14:paraId="02F69537" w14:textId="63469ED5" w:rsidR="006F212A" w:rsidRDefault="006F212A">
      <w:pPr>
        <w:pStyle w:val="FootnoteText"/>
      </w:pPr>
      <w:r>
        <w:rPr>
          <w:rStyle w:val="FootnoteReference"/>
        </w:rPr>
        <w:footnoteRef/>
      </w:r>
      <w:r>
        <w:t xml:space="preserve"> </w:t>
      </w:r>
      <w:r w:rsidRPr="00B97F90">
        <w:t>Legislature’s passage of S</w:t>
      </w:r>
      <w:r w:rsidR="00E30365">
        <w:t>enate</w:t>
      </w:r>
      <w:r w:rsidRPr="00B97F90">
        <w:t xml:space="preserve"> Bill (SB) 1268 as the Public Water System Investment and Consolidation Act of 1997</w:t>
      </w:r>
    </w:p>
  </w:footnote>
  <w:footnote w:id="4">
    <w:p w14:paraId="10384562" w14:textId="22CF4893" w:rsidR="005D6E93" w:rsidRDefault="005D6E93">
      <w:pPr>
        <w:pStyle w:val="FootnoteText"/>
      </w:pPr>
      <w:r>
        <w:rPr>
          <w:rStyle w:val="FootnoteReference"/>
        </w:rPr>
        <w:footnoteRef/>
      </w:r>
      <w:r>
        <w:t xml:space="preserve"> </w:t>
      </w:r>
      <w:r w:rsidR="008D6A52">
        <w:t xml:space="preserve">Water Code, </w:t>
      </w:r>
      <w:r w:rsidR="00D67F1C">
        <w:rPr>
          <w:szCs w:val="24"/>
        </w:rPr>
        <w:t>Section</w:t>
      </w:r>
      <w:r w:rsidR="008D6A52">
        <w:rPr>
          <w:szCs w:val="24"/>
        </w:rPr>
        <w:t xml:space="preserve"> 106.3</w:t>
      </w:r>
      <w:r w:rsidR="00917DB3">
        <w:rPr>
          <w:szCs w:val="24"/>
        </w:rPr>
        <w:t>.</w:t>
      </w:r>
    </w:p>
  </w:footnote>
  <w:footnote w:id="5">
    <w:p w14:paraId="29FFAC25" w14:textId="30402094" w:rsidR="0031208C" w:rsidRPr="00B97F90" w:rsidRDefault="0031208C" w:rsidP="0031208C">
      <w:pPr>
        <w:pStyle w:val="FootnoteText"/>
      </w:pPr>
      <w:r w:rsidRPr="00B97F90">
        <w:rPr>
          <w:rStyle w:val="FootnoteReference"/>
        </w:rPr>
        <w:footnoteRef/>
      </w:r>
      <w:r w:rsidRPr="00B97F90">
        <w:t xml:space="preserve"> D.99-10-064 concluded Rulemaking (R.) 97-10-045, which the Commission opened in response to the Legislature’s passage of S</w:t>
      </w:r>
      <w:r w:rsidR="00E30365">
        <w:t>enate</w:t>
      </w:r>
      <w:r w:rsidRPr="00B97F90">
        <w:t xml:space="preserve"> Bill (SB) 1268 as the Public Water System Investment and Consolidation Act of 1997.</w:t>
      </w:r>
    </w:p>
  </w:footnote>
  <w:footnote w:id="6">
    <w:p w14:paraId="37DEB274" w14:textId="37A0D7C5" w:rsidR="005251F3" w:rsidRDefault="005251F3">
      <w:pPr>
        <w:pStyle w:val="FootnoteText"/>
      </w:pPr>
      <w:r>
        <w:rPr>
          <w:rStyle w:val="FootnoteReference"/>
        </w:rPr>
        <w:footnoteRef/>
      </w:r>
      <w:r>
        <w:t xml:space="preserve"> </w:t>
      </w:r>
      <w:r w:rsidR="00C00E0E">
        <w:t>This Code Section and relevant statutes can be found in Appendix B.</w:t>
      </w:r>
    </w:p>
  </w:footnote>
  <w:footnote w:id="7">
    <w:p w14:paraId="507BD4B1" w14:textId="70FAA2BB" w:rsidR="0031208C" w:rsidRPr="00B97F90" w:rsidRDefault="0031208C" w:rsidP="0031208C">
      <w:pPr>
        <w:pStyle w:val="FootnoteText"/>
      </w:pPr>
      <w:r w:rsidRPr="00B97F90">
        <w:rPr>
          <w:rStyle w:val="FootnoteReference"/>
        </w:rPr>
        <w:footnoteRef/>
      </w:r>
      <w:r w:rsidRPr="00B97F90">
        <w:t xml:space="preserve"> Fair market value is specifically defined in </w:t>
      </w:r>
      <w:r w:rsidR="00D50FC9">
        <w:rPr>
          <w:szCs w:val="24"/>
        </w:rPr>
        <w:t xml:space="preserve">Section </w:t>
      </w:r>
      <w:r w:rsidRPr="00B97F90">
        <w:rPr>
          <w:szCs w:val="24"/>
        </w:rPr>
        <w:t xml:space="preserve">1263.320 </w:t>
      </w:r>
      <w:r w:rsidRPr="00B97F90">
        <w:t>of the Code of Civil Procedure, discussed below.</w:t>
      </w:r>
    </w:p>
  </w:footnote>
  <w:footnote w:id="8">
    <w:p w14:paraId="399B6E8E" w14:textId="50CA61B2" w:rsidR="0031208C" w:rsidRPr="00B97F90" w:rsidRDefault="0031208C" w:rsidP="0031208C">
      <w:pPr>
        <w:pStyle w:val="FootnoteText"/>
      </w:pPr>
      <w:r w:rsidRPr="00B97F90">
        <w:rPr>
          <w:rStyle w:val="FootnoteReference"/>
        </w:rPr>
        <w:footnoteRef/>
      </w:r>
      <w:r w:rsidRPr="00B97F90">
        <w:t xml:space="preserve"> “Reproduction cost” of a property is determined in accordance with Evidence Code </w:t>
      </w:r>
      <w:r w:rsidR="00D50FC9">
        <w:rPr>
          <w:rStyle w:val="normaltextrun"/>
          <w:rFonts w:cs="Calibri"/>
        </w:rPr>
        <w:t xml:space="preserve">Section </w:t>
      </w:r>
      <w:r w:rsidRPr="00B97F90">
        <w:rPr>
          <w:rStyle w:val="normaltextrun"/>
          <w:rFonts w:cs="Calibri"/>
        </w:rPr>
        <w:t xml:space="preserve">820, which also establishes a distinction between replacement cost and reproduction cost. </w:t>
      </w:r>
    </w:p>
  </w:footnote>
  <w:footnote w:id="9">
    <w:p w14:paraId="14DC3FF2" w14:textId="77777777" w:rsidR="0031208C" w:rsidRDefault="0031208C" w:rsidP="0031208C">
      <w:pPr>
        <w:pStyle w:val="FootnoteText"/>
      </w:pPr>
      <w:r w:rsidRPr="005D14CA">
        <w:rPr>
          <w:rStyle w:val="FootnoteReference"/>
        </w:rPr>
        <w:footnoteRef/>
      </w:r>
      <w:r w:rsidRPr="005D14CA">
        <w:t xml:space="preserve"> While these criteria are specifically applied to electrical, gas, and telephone companies, </w:t>
      </w:r>
      <w:r w:rsidRPr="005D14CA">
        <w:rPr>
          <w:rStyle w:val="normaltextrun"/>
          <w:rFonts w:cs="Calibri"/>
        </w:rPr>
        <w:t>the criteria in 854 generally denote that ratepayer interest, shareholder interests, utility employee interests, and local &amp; statewide community interests all constitute the public interest.</w:t>
      </w:r>
    </w:p>
  </w:footnote>
  <w:footnote w:id="10">
    <w:p w14:paraId="413706A1" w14:textId="46E3624D" w:rsidR="005267F7" w:rsidRDefault="005267F7">
      <w:pPr>
        <w:pStyle w:val="FootnoteText"/>
      </w:pPr>
      <w:r>
        <w:rPr>
          <w:rStyle w:val="FootnoteReference"/>
        </w:rPr>
        <w:footnoteRef/>
      </w:r>
      <w:r>
        <w:t xml:space="preserve"> </w:t>
      </w:r>
      <w:r w:rsidR="0091672E">
        <w:t>PU</w:t>
      </w:r>
      <w:r>
        <w:t xml:space="preserve"> Code </w:t>
      </w:r>
      <w:r w:rsidR="006318EF">
        <w:rPr>
          <w:rStyle w:val="normaltextrun"/>
        </w:rPr>
        <w:t>Section</w:t>
      </w:r>
      <w:r>
        <w:rPr>
          <w:rStyle w:val="normaltextrun"/>
        </w:rPr>
        <w:t xml:space="preserve"> 2719(a).</w:t>
      </w:r>
    </w:p>
  </w:footnote>
  <w:footnote w:id="11">
    <w:p w14:paraId="10389556" w14:textId="6C4EDE25" w:rsidR="00653A90" w:rsidRDefault="00653A90">
      <w:pPr>
        <w:pStyle w:val="FootnoteText"/>
      </w:pPr>
      <w:r>
        <w:rPr>
          <w:rStyle w:val="FootnoteReference"/>
        </w:rPr>
        <w:footnoteRef/>
      </w:r>
      <w:r>
        <w:t xml:space="preserve"> </w:t>
      </w:r>
      <w:r w:rsidR="0091672E">
        <w:t>PU</w:t>
      </w:r>
      <w:r>
        <w:t xml:space="preserve"> Code </w:t>
      </w:r>
      <w:r w:rsidR="006318EF">
        <w:rPr>
          <w:rStyle w:val="normaltextrun"/>
        </w:rPr>
        <w:t>Section</w:t>
      </w:r>
      <w:r>
        <w:rPr>
          <w:rStyle w:val="normaltextrun"/>
        </w:rPr>
        <w:t xml:space="preserve"> 2719(b) and 2719(c).</w:t>
      </w:r>
    </w:p>
  </w:footnote>
  <w:footnote w:id="12">
    <w:p w14:paraId="0FAEEE64" w14:textId="3490A38E" w:rsidR="0074458C" w:rsidRDefault="0074458C">
      <w:pPr>
        <w:pStyle w:val="FootnoteText"/>
      </w:pPr>
      <w:r>
        <w:rPr>
          <w:rStyle w:val="FootnoteReference"/>
        </w:rPr>
        <w:footnoteRef/>
      </w:r>
      <w:r>
        <w:t xml:space="preserve"> </w:t>
      </w:r>
      <w:r w:rsidR="00DA109E">
        <w:rPr>
          <w:rStyle w:val="normaltextrun"/>
        </w:rPr>
        <w:t>PU</w:t>
      </w:r>
      <w:r w:rsidRPr="00F51D42">
        <w:rPr>
          <w:rStyle w:val="normaltextrun"/>
        </w:rPr>
        <w:t xml:space="preserve"> Code </w:t>
      </w:r>
      <w:r w:rsidR="006318EF">
        <w:rPr>
          <w:rStyle w:val="normaltextrun"/>
        </w:rPr>
        <w:t>Section</w:t>
      </w:r>
      <w:r w:rsidRPr="00F51D42">
        <w:rPr>
          <w:rStyle w:val="normaltextrun"/>
        </w:rPr>
        <w:t xml:space="preserve"> 2720(b</w:t>
      </w:r>
      <w:r>
        <w:rPr>
          <w:rStyle w:val="normaltextrun"/>
        </w:rPr>
        <w:t>).</w:t>
      </w:r>
    </w:p>
  </w:footnote>
  <w:footnote w:id="13">
    <w:p w14:paraId="048CD2B4" w14:textId="52ED4A23" w:rsidR="008F60CD" w:rsidRDefault="008F60CD">
      <w:pPr>
        <w:pStyle w:val="FootnoteText"/>
      </w:pPr>
      <w:r>
        <w:rPr>
          <w:rStyle w:val="FootnoteReference"/>
        </w:rPr>
        <w:footnoteRef/>
      </w:r>
      <w:r>
        <w:t xml:space="preserve"> </w:t>
      </w:r>
      <w:r w:rsidR="00F17BA7">
        <w:t xml:space="preserve">Strickland, Tonya. </w:t>
      </w:r>
      <w:r w:rsidR="000F0711">
        <w:t xml:space="preserve">“Paso </w:t>
      </w:r>
      <w:r w:rsidR="000F0711" w:rsidRPr="000F0711">
        <w:t>voters reject water rate increase to fund Nacimiento pipeline project</w:t>
      </w:r>
      <w:r w:rsidR="00C81513">
        <w:t xml:space="preserve">.” San Luis Obispo Tribune, </w:t>
      </w:r>
      <w:r w:rsidR="00AB21EA">
        <w:t>November 3, 2009.</w:t>
      </w:r>
      <w:r w:rsidR="000F0711" w:rsidRPr="000F0711">
        <w:t xml:space="preserve"> </w:t>
      </w:r>
      <w:hyperlink r:id="rId1" w:history="1">
        <w:r w:rsidR="000F0711" w:rsidRPr="000F0711">
          <w:rPr>
            <w:rStyle w:val="Hyperlink"/>
          </w:rPr>
          <w:t>https://www.sanluisobispo.com/news/local/article39110382.html</w:t>
        </w:r>
      </w:hyperlink>
      <w:r w:rsidR="000F0711">
        <w:t xml:space="preserve">. </w:t>
      </w:r>
      <w:r w:rsidR="0095171D">
        <w:t>Accessed December 17, 2021.</w:t>
      </w:r>
    </w:p>
  </w:footnote>
  <w:footnote w:id="14">
    <w:p w14:paraId="72E36560" w14:textId="02FCCCAD" w:rsidR="00DF2E35" w:rsidRDefault="00DF2E35">
      <w:pPr>
        <w:pStyle w:val="FootnoteText"/>
      </w:pPr>
      <w:r>
        <w:rPr>
          <w:rStyle w:val="FootnoteReference"/>
        </w:rPr>
        <w:footnoteRef/>
      </w:r>
      <w:r>
        <w:t xml:space="preserve"> Application (A.) 20-10-</w:t>
      </w:r>
      <w:r w:rsidR="00721A57">
        <w:t>004</w:t>
      </w:r>
      <w:r w:rsidR="00A07C4F">
        <w:t>, p.13.</w:t>
      </w:r>
    </w:p>
  </w:footnote>
  <w:footnote w:id="15">
    <w:p w14:paraId="19B16EF9" w14:textId="48B78111" w:rsidR="00504D22" w:rsidRDefault="00504D22">
      <w:pPr>
        <w:pStyle w:val="FootnoteText"/>
      </w:pPr>
      <w:r>
        <w:rPr>
          <w:rStyle w:val="FootnoteReference"/>
        </w:rPr>
        <w:footnoteRef/>
      </w:r>
      <w:r>
        <w:t xml:space="preserve"> D.99-10-064, Appendix D.</w:t>
      </w:r>
    </w:p>
  </w:footnote>
  <w:footnote w:id="16">
    <w:p w14:paraId="164E0F0B" w14:textId="1CE259CF" w:rsidR="00311865" w:rsidRDefault="00311865">
      <w:pPr>
        <w:pStyle w:val="FootnoteText"/>
      </w:pPr>
      <w:r>
        <w:rPr>
          <w:rStyle w:val="FootnoteReference"/>
        </w:rPr>
        <w:footnoteRef/>
      </w:r>
      <w:r>
        <w:t xml:space="preserve"> D.99-10-064 does not clarify whether the proposed rates are th</w:t>
      </w:r>
      <w:r w:rsidR="00436FB1">
        <w:t>ose of the acquired utility, the acquiring utility, or both.</w:t>
      </w:r>
      <w:r>
        <w:t xml:space="preserve"> </w:t>
      </w:r>
    </w:p>
  </w:footnote>
  <w:footnote w:id="17">
    <w:p w14:paraId="661D9410" w14:textId="77777777" w:rsidR="0031208C" w:rsidRPr="00B97F90" w:rsidRDefault="0031208C" w:rsidP="0031208C">
      <w:pPr>
        <w:pStyle w:val="FootnoteText"/>
      </w:pPr>
      <w:r w:rsidRPr="00B97F90">
        <w:rPr>
          <w:rStyle w:val="FootnoteReference"/>
        </w:rPr>
        <w:footnoteRef/>
      </w:r>
      <w:r w:rsidRPr="00B97F90">
        <w:t xml:space="preserve"> “Inadequately operated and maintained small water utilities” specifically refers to systems with fewer than 2,000 customers subject to orders from the Department of Drinking Water (known as the Department of Health Services when the Decision was issued).</w:t>
      </w:r>
    </w:p>
  </w:footnote>
  <w:footnote w:id="18">
    <w:p w14:paraId="0198E629" w14:textId="59B142FB" w:rsidR="00F31930" w:rsidRDefault="00F31930">
      <w:pPr>
        <w:pStyle w:val="FootnoteText"/>
      </w:pPr>
      <w:r>
        <w:rPr>
          <w:rStyle w:val="FootnoteReference"/>
        </w:rPr>
        <w:footnoteRef/>
      </w:r>
      <w:r>
        <w:t xml:space="preserve"> D.99-</w:t>
      </w:r>
      <w:r w:rsidR="00FE3FC2">
        <w:t>10-064, Appendix D</w:t>
      </w:r>
      <w:r w:rsidR="00097B97">
        <w:t xml:space="preserve">, Section </w:t>
      </w:r>
      <w:r>
        <w:t>3.02.</w:t>
      </w:r>
    </w:p>
  </w:footnote>
  <w:footnote w:id="19">
    <w:p w14:paraId="2771F6B2" w14:textId="77777777" w:rsidR="0031208C" w:rsidRPr="00B97F90" w:rsidRDefault="0031208C" w:rsidP="0031208C">
      <w:pPr>
        <w:pStyle w:val="FootnoteText"/>
      </w:pPr>
      <w:r w:rsidRPr="00B97F90">
        <w:rPr>
          <w:rStyle w:val="FootnoteReference"/>
        </w:rPr>
        <w:footnoteRef/>
      </w:r>
      <w:r w:rsidRPr="00B97F90">
        <w:t xml:space="preserve"> The acquisition premium is to be amortized over the average remaining life of the plant.</w:t>
      </w:r>
    </w:p>
  </w:footnote>
  <w:footnote w:id="20">
    <w:p w14:paraId="5A11E21B" w14:textId="77777777" w:rsidR="0031208C" w:rsidRPr="00241CAA" w:rsidRDefault="0031208C" w:rsidP="0031208C">
      <w:pPr>
        <w:pStyle w:val="FootnoteText"/>
      </w:pPr>
      <w:r w:rsidRPr="00241CAA">
        <w:rPr>
          <w:rStyle w:val="FootnoteReference"/>
        </w:rPr>
        <w:footnoteRef/>
      </w:r>
      <w:r w:rsidRPr="00241CAA">
        <w:t xml:space="preserve"> Per the Commission’s General Order 96-B,</w:t>
      </w:r>
      <w:r>
        <w:t xml:space="preserve"> Water Industry Rule 1.2,</w:t>
      </w:r>
      <w:r w:rsidRPr="00241CAA">
        <w:t xml:space="preserve"> Class A utilities serve more than 10,000 service connections; Class B utilities serve between 2,001 and 10,000 service connections, Class C utilities serve between 501 and 2,000 service connections; and Class D utilities serve 500 service connections or fewer.</w:t>
      </w:r>
    </w:p>
  </w:footnote>
  <w:footnote w:id="21">
    <w:p w14:paraId="2C9BC6A6" w14:textId="582E9883" w:rsidR="00097B97" w:rsidRDefault="00097B97">
      <w:pPr>
        <w:pStyle w:val="FootnoteText"/>
      </w:pPr>
      <w:r>
        <w:rPr>
          <w:rStyle w:val="FootnoteReference"/>
        </w:rPr>
        <w:footnoteRef/>
      </w:r>
      <w:r>
        <w:t xml:space="preserve"> In practice, many acquisitions have exceeded the prescribed timeline. This is discussed further in </w:t>
      </w:r>
      <w:r w:rsidR="00931129">
        <w:t>the sections below.</w:t>
      </w:r>
    </w:p>
  </w:footnote>
  <w:footnote w:id="22">
    <w:p w14:paraId="5CBB71CC" w14:textId="77777777" w:rsidR="009702C3" w:rsidRPr="00B97F90" w:rsidRDefault="009702C3" w:rsidP="009702C3">
      <w:pPr>
        <w:pStyle w:val="FootnoteText"/>
      </w:pPr>
      <w:r w:rsidRPr="00B97F90">
        <w:rPr>
          <w:rStyle w:val="FootnoteReference"/>
        </w:rPr>
        <w:footnoteRef/>
      </w:r>
      <w:r w:rsidRPr="00B97F90">
        <w:t xml:space="preserve"> </w:t>
      </w:r>
      <w:r>
        <w:t>D.19-11-003; D.19-04-023; D.19-04-015</w:t>
      </w:r>
      <w:r w:rsidR="00A00FC6">
        <w:t>.</w:t>
      </w:r>
    </w:p>
  </w:footnote>
  <w:footnote w:id="23">
    <w:p w14:paraId="1E097BB9" w14:textId="77777777" w:rsidR="009702C3" w:rsidRDefault="009702C3" w:rsidP="009702C3">
      <w:pPr>
        <w:pStyle w:val="FootnoteText"/>
      </w:pPr>
      <w:r w:rsidRPr="00241CAA">
        <w:rPr>
          <w:rStyle w:val="FootnoteReference"/>
        </w:rPr>
        <w:footnoteRef/>
      </w:r>
      <w:r w:rsidRPr="00241CAA">
        <w:t xml:space="preserve"> D.99-10-064, Appendix D, p.2.</w:t>
      </w:r>
    </w:p>
  </w:footnote>
  <w:footnote w:id="24">
    <w:p w14:paraId="10F60F62" w14:textId="02264A0D" w:rsidR="00554577" w:rsidRDefault="00554577">
      <w:pPr>
        <w:pStyle w:val="FootnoteText"/>
      </w:pPr>
      <w:r>
        <w:rPr>
          <w:rStyle w:val="FootnoteReference"/>
        </w:rPr>
        <w:footnoteRef/>
      </w:r>
      <w:r>
        <w:t xml:space="preserve"> Systems sold to C</w:t>
      </w:r>
      <w:r w:rsidR="007D0204">
        <w:t>ommission</w:t>
      </w:r>
      <w:r w:rsidR="00A00FC6">
        <w:t>-</w:t>
      </w:r>
      <w:r>
        <w:t xml:space="preserve">regulated </w:t>
      </w:r>
      <w:r w:rsidR="00F2316C">
        <w:t>water utilities</w:t>
      </w:r>
      <w:r w:rsidR="00A00FC6">
        <w:t xml:space="preserve"> </w:t>
      </w:r>
      <w:r>
        <w:t>only</w:t>
      </w:r>
      <w:r w:rsidR="002E1398">
        <w:t>. Not adjusted for inflation.</w:t>
      </w:r>
    </w:p>
  </w:footnote>
  <w:footnote w:id="25">
    <w:p w14:paraId="055F77D9" w14:textId="0DEA4EA9" w:rsidR="00EE43D6" w:rsidRDefault="00EE43D6">
      <w:pPr>
        <w:pStyle w:val="FootnoteText"/>
      </w:pPr>
      <w:r>
        <w:rPr>
          <w:rStyle w:val="FootnoteReference"/>
        </w:rPr>
        <w:footnoteRef/>
      </w:r>
      <w:r>
        <w:t xml:space="preserve"> A.</w:t>
      </w:r>
      <w:r w:rsidR="00141F03">
        <w:t>18-09-013</w:t>
      </w:r>
      <w:r w:rsidR="00A00FC6">
        <w:t>.</w:t>
      </w:r>
    </w:p>
  </w:footnote>
  <w:footnote w:id="26">
    <w:p w14:paraId="19027184" w14:textId="2856B22F" w:rsidR="00554577" w:rsidRDefault="00554577">
      <w:pPr>
        <w:pStyle w:val="FootnoteText"/>
      </w:pPr>
      <w:r>
        <w:rPr>
          <w:rStyle w:val="FootnoteReference"/>
        </w:rPr>
        <w:footnoteRef/>
      </w:r>
      <w:r>
        <w:t xml:space="preserve"> Cal-Am’s presentation to the Commission July 25, 2018</w:t>
      </w:r>
      <w:r w:rsidR="00E94716">
        <w:t>.</w:t>
      </w:r>
    </w:p>
  </w:footnote>
  <w:footnote w:id="27">
    <w:p w14:paraId="6ED57CE8" w14:textId="7E708B74" w:rsidR="002B2313" w:rsidRDefault="002B2313">
      <w:pPr>
        <w:pStyle w:val="FootnoteText"/>
      </w:pPr>
      <w:r>
        <w:rPr>
          <w:rStyle w:val="FootnoteReference"/>
        </w:rPr>
        <w:footnoteRef/>
      </w:r>
      <w:r>
        <w:t xml:space="preserve"> There are some exceptions, such as holders of water rights from prior to the SWRCB’s existence.</w:t>
      </w:r>
    </w:p>
  </w:footnote>
  <w:footnote w:id="28">
    <w:p w14:paraId="11A1964E" w14:textId="1A32EDC9" w:rsidR="003A5DE2" w:rsidRDefault="003A5DE2">
      <w:pPr>
        <w:pStyle w:val="FootnoteText"/>
      </w:pPr>
      <w:r>
        <w:rPr>
          <w:rStyle w:val="FootnoteReference"/>
        </w:rPr>
        <w:footnoteRef/>
      </w:r>
      <w:r>
        <w:t xml:space="preserve"> There are currently 29 groundwater areas considered adjudicated by the Sustainable Groundwater Management Act (SGMA).</w:t>
      </w:r>
    </w:p>
  </w:footnote>
  <w:footnote w:id="29">
    <w:p w14:paraId="0389DFB2" w14:textId="131BFB60" w:rsidR="0010664F" w:rsidRDefault="0010664F" w:rsidP="0010664F">
      <w:pPr>
        <w:pStyle w:val="FootnoteText"/>
      </w:pPr>
      <w:r>
        <w:rPr>
          <w:rStyle w:val="FootnoteReference"/>
        </w:rPr>
        <w:footnoteRef/>
      </w:r>
      <w:r>
        <w:t xml:space="preserve"> Water rights in California are also subject to a “beneficial use” clause</w:t>
      </w:r>
      <w:r w:rsidR="00257438">
        <w:t xml:space="preserve"> defined as any use recognized by the state as being an appropriate use of water</w:t>
      </w:r>
      <w:r>
        <w:t>, and only for reasonable amounts of water</w:t>
      </w:r>
      <w:r w:rsidR="008A05E7">
        <w:t>.</w:t>
      </w:r>
      <w:r>
        <w:t xml:space="preserve"> </w:t>
      </w:r>
    </w:p>
  </w:footnote>
  <w:footnote w:id="30">
    <w:p w14:paraId="20F4E09E" w14:textId="77777777" w:rsidR="008B5F34" w:rsidRDefault="008B5F34" w:rsidP="008B5F34">
      <w:pPr>
        <w:pStyle w:val="FootnoteText"/>
      </w:pPr>
      <w:r>
        <w:rPr>
          <w:rStyle w:val="FootnoteReference"/>
        </w:rPr>
        <w:footnoteRef/>
      </w:r>
      <w:r>
        <w:t xml:space="preserve"> Resolution W-5080 approved the acquisition that includes the water rights purchase of $1,600,000.</w:t>
      </w:r>
    </w:p>
  </w:footnote>
  <w:footnote w:id="31">
    <w:p w14:paraId="6A98285F" w14:textId="597F2A58" w:rsidR="00C447F9" w:rsidRDefault="00C447F9">
      <w:pPr>
        <w:pStyle w:val="FootnoteText"/>
      </w:pPr>
      <w:r>
        <w:rPr>
          <w:rStyle w:val="FootnoteReference"/>
        </w:rPr>
        <w:footnoteRef/>
      </w:r>
      <w:r>
        <w:t xml:space="preserve"> </w:t>
      </w:r>
      <w:r w:rsidR="00F162A3">
        <w:t>Decision 19-04-15</w:t>
      </w:r>
      <w:r w:rsidR="00E62CDC">
        <w:t>,</w:t>
      </w:r>
      <w:r w:rsidR="00F162A3">
        <w:t xml:space="preserve"> </w:t>
      </w:r>
      <w:r w:rsidR="00E62CDC">
        <w:t>which approved</w:t>
      </w:r>
      <w:r w:rsidR="00F162A3">
        <w:t xml:space="preserve"> the acquisition of Rio Plaza Water Company by Cal</w:t>
      </w:r>
      <w:r w:rsidR="004C4F1D">
        <w:t>-Am</w:t>
      </w:r>
      <w:r w:rsidR="00E62CDC">
        <w:t>,</w:t>
      </w:r>
      <w:r w:rsidR="004C4F1D">
        <w:t xml:space="preserve"> did not allow </w:t>
      </w:r>
      <w:r w:rsidR="00F62A99">
        <w:t>water rights to be</w:t>
      </w:r>
      <w:r w:rsidR="00E62CDC">
        <w:t xml:space="preserve"> a separate asset value.</w:t>
      </w:r>
    </w:p>
  </w:footnote>
  <w:footnote w:id="32">
    <w:p w14:paraId="2C3D37B9" w14:textId="296CB821" w:rsidR="00576FD8" w:rsidRDefault="00576FD8">
      <w:pPr>
        <w:pStyle w:val="FootnoteText"/>
      </w:pPr>
      <w:r>
        <w:rPr>
          <w:rStyle w:val="FootnoteReference"/>
        </w:rPr>
        <w:footnoteRef/>
      </w:r>
      <w:r>
        <w:t xml:space="preserve"> </w:t>
      </w:r>
      <w:r w:rsidR="00A77389">
        <w:t xml:space="preserve">In Commission General Rate Case Proceedings, </w:t>
      </w:r>
      <w:r w:rsidR="000A47E5">
        <w:t>intangible assets are not considered a part of utility rate base</w:t>
      </w:r>
      <w:r w:rsidR="00EF3EEC">
        <w:t>.</w:t>
      </w:r>
    </w:p>
  </w:footnote>
  <w:footnote w:id="33">
    <w:p w14:paraId="5B5755A7" w14:textId="4BB7B20B" w:rsidR="0010664F" w:rsidRDefault="0010664F" w:rsidP="0010664F">
      <w:pPr>
        <w:pStyle w:val="FootnoteText"/>
      </w:pPr>
      <w:r>
        <w:rPr>
          <w:rStyle w:val="FootnoteReference"/>
        </w:rPr>
        <w:footnoteRef/>
      </w:r>
      <w:r>
        <w:t xml:space="preserve"> </w:t>
      </w:r>
      <w:r w:rsidR="00211102">
        <w:t>A.20-04-003,</w:t>
      </w:r>
      <w:r>
        <w:t xml:space="preserve"> Testimony of Kevin Zanni, Attachment 2, Exhibit 18, p.77.</w:t>
      </w:r>
    </w:p>
  </w:footnote>
  <w:footnote w:id="34">
    <w:p w14:paraId="407DC507" w14:textId="51A4084D" w:rsidR="0010664F" w:rsidRDefault="0010664F" w:rsidP="0010664F">
      <w:pPr>
        <w:pStyle w:val="FootnoteText"/>
      </w:pPr>
      <w:r>
        <w:rPr>
          <w:rStyle w:val="FootnoteReference"/>
        </w:rPr>
        <w:footnoteRef/>
      </w:r>
      <w:r>
        <w:t xml:space="preserve"> </w:t>
      </w:r>
      <w:r w:rsidR="00211102">
        <w:t>A.20-04-003,</w:t>
      </w:r>
      <w:r>
        <w:t xml:space="preserve"> Public Advocates </w:t>
      </w:r>
      <w:r w:rsidR="001B3308">
        <w:t xml:space="preserve">Office </w:t>
      </w:r>
      <w:r>
        <w:t>Testimony, p. 2-2.</w:t>
      </w:r>
    </w:p>
  </w:footnote>
  <w:footnote w:id="35">
    <w:p w14:paraId="33FC83D2" w14:textId="169CDC40" w:rsidR="0010664F" w:rsidRDefault="0010664F" w:rsidP="0010664F">
      <w:pPr>
        <w:pStyle w:val="FootnoteText"/>
      </w:pPr>
      <w:r>
        <w:rPr>
          <w:rStyle w:val="FootnoteReference"/>
        </w:rPr>
        <w:footnoteRef/>
      </w:r>
      <w:r>
        <w:t xml:space="preserve"> </w:t>
      </w:r>
      <w:r w:rsidR="00211102">
        <w:t>A.20-04-003,</w:t>
      </w:r>
      <w:r>
        <w:t xml:space="preserve"> Testimony of Kevin Zanni, Attachment 2, Exhibit 18, p.77.</w:t>
      </w:r>
    </w:p>
  </w:footnote>
  <w:footnote w:id="36">
    <w:p w14:paraId="7959E6CD" w14:textId="71CDEC44" w:rsidR="0010664F" w:rsidRDefault="0010664F" w:rsidP="0010664F">
      <w:pPr>
        <w:pStyle w:val="FootnoteText"/>
      </w:pPr>
      <w:r>
        <w:rPr>
          <w:rStyle w:val="FootnoteReference"/>
        </w:rPr>
        <w:footnoteRef/>
      </w:r>
      <w:r>
        <w:t xml:space="preserve"> </w:t>
      </w:r>
      <w:r w:rsidR="00211102">
        <w:t>A.20-04-003,</w:t>
      </w:r>
      <w:r>
        <w:t xml:space="preserve"> Public Advocates </w:t>
      </w:r>
      <w:r w:rsidR="001B3308">
        <w:t xml:space="preserve">Office </w:t>
      </w:r>
      <w:r>
        <w:t>Testimony, p. 2-2.</w:t>
      </w:r>
    </w:p>
  </w:footnote>
  <w:footnote w:id="37">
    <w:p w14:paraId="36472E47" w14:textId="2F96D14B" w:rsidR="008C25C4" w:rsidRDefault="008C25C4">
      <w:pPr>
        <w:pStyle w:val="FootnoteText"/>
      </w:pPr>
      <w:r>
        <w:rPr>
          <w:rStyle w:val="FootnoteReference"/>
        </w:rPr>
        <w:footnoteRef/>
      </w:r>
      <w:r>
        <w:t xml:space="preserve"> </w:t>
      </w:r>
      <w:r w:rsidR="0028169E">
        <w:t xml:space="preserve">For the purposes of this paper, a mutual water </w:t>
      </w:r>
      <w:r w:rsidR="00FF5653">
        <w:t xml:space="preserve">system is a company </w:t>
      </w:r>
      <w:r w:rsidR="00783C1A">
        <w:t xml:space="preserve">whose shareholders are the owners of the land served by the mutual. A mutual is not subject to Commission regulation if it </w:t>
      </w:r>
      <w:r w:rsidR="00FF5653">
        <w:t xml:space="preserve">provides water to its shareholders at cost. </w:t>
      </w:r>
      <w:r w:rsidR="009F5ED3">
        <w:t xml:space="preserve">Mutuals are </w:t>
      </w:r>
      <w:r w:rsidR="0028169E">
        <w:t>governed in part</w:t>
      </w:r>
      <w:r w:rsidR="009F5ED3">
        <w:t xml:space="preserve"> by </w:t>
      </w:r>
      <w:r w:rsidR="0028169E">
        <w:t xml:space="preserve">Section 14300 of the Corporation Code and </w:t>
      </w:r>
      <w:r w:rsidR="009F5ED3">
        <w:t>Section 2705 of the PU Code</w:t>
      </w:r>
      <w:r w:rsidR="0028169E">
        <w:t>.</w:t>
      </w:r>
    </w:p>
  </w:footnote>
  <w:footnote w:id="38">
    <w:p w14:paraId="7954DB1E" w14:textId="75FD74A6" w:rsidR="009702C3" w:rsidRDefault="009702C3" w:rsidP="009702C3">
      <w:pPr>
        <w:pStyle w:val="FootnoteText"/>
      </w:pPr>
      <w:r w:rsidRPr="00B97F90">
        <w:rPr>
          <w:rStyle w:val="FootnoteReference"/>
        </w:rPr>
        <w:footnoteRef/>
      </w:r>
      <w:r w:rsidRPr="00B97F90">
        <w:t xml:space="preserve"> The Settlement</w:t>
      </w:r>
      <w:r w:rsidR="0051487E">
        <w:t xml:space="preserve"> from the Framework Decision</w:t>
      </w:r>
      <w:r w:rsidRPr="00B97F90">
        <w:t xml:space="preserve"> gives the example of a municipality selling its water system in exchange for annual payments from the acquiring utility</w:t>
      </w:r>
      <w:r w:rsidR="00715799">
        <w:t xml:space="preserve"> </w:t>
      </w:r>
      <w:r w:rsidR="0014619B">
        <w:t xml:space="preserve">but does not </w:t>
      </w:r>
      <w:r w:rsidR="00011FA2">
        <w:t xml:space="preserve">provide </w:t>
      </w:r>
      <w:r w:rsidR="00A13118">
        <w:t xml:space="preserve">direction to the Commission for processing </w:t>
      </w:r>
      <w:r w:rsidR="0066255C">
        <w:t>acquisitions of municipal and publicly-owned systems</w:t>
      </w:r>
      <w:r w:rsidRPr="00B97F90">
        <w:t>.</w:t>
      </w:r>
    </w:p>
  </w:footnote>
  <w:footnote w:id="39">
    <w:p w14:paraId="47670E07" w14:textId="77777777" w:rsidR="009702C3" w:rsidRPr="0067067A" w:rsidRDefault="009702C3" w:rsidP="009702C3">
      <w:pPr>
        <w:pStyle w:val="FootnoteText"/>
      </w:pPr>
      <w:r w:rsidRPr="0067067A">
        <w:rPr>
          <w:rStyle w:val="FootnoteReference"/>
        </w:rPr>
        <w:footnoteRef/>
      </w:r>
      <w:r w:rsidRPr="0067067A">
        <w:t xml:space="preserve"> D.99-10-064, p.10.</w:t>
      </w:r>
    </w:p>
  </w:footnote>
  <w:footnote w:id="40">
    <w:p w14:paraId="43468BB4" w14:textId="6DB62615" w:rsidR="001F55C5" w:rsidRDefault="001F55C5">
      <w:pPr>
        <w:pStyle w:val="FootnoteText"/>
      </w:pPr>
      <w:r>
        <w:rPr>
          <w:rStyle w:val="FootnoteReference"/>
        </w:rPr>
        <w:footnoteRef/>
      </w:r>
      <w:r>
        <w:t xml:space="preserve"> A.</w:t>
      </w:r>
      <w:r w:rsidR="000D6C6D">
        <w:t>20-10-004</w:t>
      </w:r>
    </w:p>
  </w:footnote>
  <w:footnote w:id="41">
    <w:p w14:paraId="624B5278" w14:textId="048915B1" w:rsidR="00455C1D" w:rsidRDefault="00455C1D">
      <w:pPr>
        <w:pStyle w:val="FootnoteText"/>
      </w:pPr>
      <w:r>
        <w:rPr>
          <w:rStyle w:val="FootnoteReference"/>
        </w:rPr>
        <w:footnoteRef/>
      </w:r>
      <w:r w:rsidR="00192205">
        <w:t xml:space="preserve"> </w:t>
      </w:r>
      <w:r w:rsidR="008C37C1">
        <w:t xml:space="preserve">A recent example </w:t>
      </w:r>
      <w:r w:rsidR="0095681B">
        <w:t xml:space="preserve">being </w:t>
      </w:r>
      <w:r w:rsidR="00E74D64">
        <w:t>Cal-Am’s acquisition of East Pasadena</w:t>
      </w:r>
      <w:r w:rsidR="00ED5CFF">
        <w:t xml:space="preserve"> (</w:t>
      </w:r>
      <w:r w:rsidR="00E74D64">
        <w:t>D.21-08-002</w:t>
      </w:r>
      <w:r w:rsidR="007F69B0">
        <w:t>, p.11</w:t>
      </w:r>
      <w:r w:rsidR="00783460">
        <w:t>-12</w:t>
      </w:r>
      <w:r w:rsidR="00ED5CFF">
        <w:t>).</w:t>
      </w:r>
      <w:r w:rsidR="00E74D64">
        <w:t xml:space="preserve"> </w:t>
      </w:r>
    </w:p>
  </w:footnote>
  <w:footnote w:id="42">
    <w:p w14:paraId="1BF8331A" w14:textId="4AA9D779" w:rsidR="006E1A17" w:rsidRDefault="006E1A17">
      <w:pPr>
        <w:pStyle w:val="FootnoteText"/>
      </w:pPr>
      <w:r>
        <w:rPr>
          <w:rStyle w:val="FootnoteReference"/>
        </w:rPr>
        <w:footnoteRef/>
      </w:r>
      <w:r>
        <w:t xml:space="preserve"> D.01-09-057, p.</w:t>
      </w:r>
      <w:r w:rsidR="000F5610">
        <w:t>28.</w:t>
      </w:r>
    </w:p>
  </w:footnote>
  <w:footnote w:id="43">
    <w:p w14:paraId="109FD49F" w14:textId="0CF31382" w:rsidR="00554577" w:rsidRDefault="00554577">
      <w:pPr>
        <w:pStyle w:val="FootnoteText"/>
      </w:pPr>
      <w:r>
        <w:rPr>
          <w:rStyle w:val="FootnoteReference"/>
        </w:rPr>
        <w:footnoteRef/>
      </w:r>
      <w:r>
        <w:t xml:space="preserve"> Systems sold to C</w:t>
      </w:r>
      <w:r w:rsidR="007D0204">
        <w:t>ommission-</w:t>
      </w:r>
      <w:r>
        <w:t>regulated only</w:t>
      </w:r>
    </w:p>
  </w:footnote>
  <w:footnote w:id="44">
    <w:p w14:paraId="7995F38A" w14:textId="11BCE0F9" w:rsidR="000118B3" w:rsidRDefault="000118B3">
      <w:pPr>
        <w:pStyle w:val="FootnoteText"/>
      </w:pPr>
      <w:r>
        <w:rPr>
          <w:rStyle w:val="FootnoteReference"/>
        </w:rPr>
        <w:footnoteRef/>
      </w:r>
      <w:r>
        <w:t xml:space="preserve"> </w:t>
      </w:r>
      <w:r w:rsidR="00725735">
        <w:t>D.19-04-023</w:t>
      </w:r>
    </w:p>
  </w:footnote>
  <w:footnote w:id="45">
    <w:p w14:paraId="2795A357" w14:textId="0C54C4D4" w:rsidR="002661C7" w:rsidRDefault="002661C7">
      <w:pPr>
        <w:pStyle w:val="FootnoteText"/>
      </w:pPr>
      <w:r>
        <w:rPr>
          <w:rStyle w:val="FootnoteReference"/>
        </w:rPr>
        <w:footnoteRef/>
      </w:r>
      <w:r>
        <w:t xml:space="preserve"> D.19-11-003</w:t>
      </w:r>
    </w:p>
  </w:footnote>
  <w:footnote w:id="46">
    <w:p w14:paraId="618BFCBF" w14:textId="6B79256D" w:rsidR="000D0688" w:rsidRDefault="000D0688">
      <w:pPr>
        <w:pStyle w:val="FootnoteText"/>
      </w:pPr>
      <w:r>
        <w:rPr>
          <w:rStyle w:val="FootnoteReference"/>
        </w:rPr>
        <w:footnoteRef/>
      </w:r>
      <w:r>
        <w:t xml:space="preserve"> </w:t>
      </w:r>
      <w:r w:rsidR="0055127C">
        <w:t xml:space="preserve">The standard of review for settlements </w:t>
      </w:r>
      <w:r w:rsidR="00197859">
        <w:t xml:space="preserve">are set out in the </w:t>
      </w:r>
      <w:r w:rsidR="00DC1F13">
        <w:t>Commission</w:t>
      </w:r>
      <w:r w:rsidR="00197859">
        <w:t>’s</w:t>
      </w:r>
      <w:r w:rsidR="00DC1F13">
        <w:t xml:space="preserve"> Rules of Practice and Procedure </w:t>
      </w:r>
      <w:r w:rsidR="0080617D">
        <w:t>Article</w:t>
      </w:r>
      <w:r w:rsidR="00DC1F13">
        <w:t xml:space="preserve"> 12</w:t>
      </w:r>
      <w:r w:rsidR="00197859">
        <w:t>.</w:t>
      </w:r>
    </w:p>
  </w:footnote>
  <w:footnote w:id="47">
    <w:p w14:paraId="1ED461E1" w14:textId="544E3C60" w:rsidR="00BD4A2D" w:rsidRDefault="00BD4A2D">
      <w:pPr>
        <w:pStyle w:val="FootnoteText"/>
      </w:pPr>
      <w:r>
        <w:rPr>
          <w:rStyle w:val="FootnoteReference"/>
        </w:rPr>
        <w:footnoteRef/>
      </w:r>
      <w:r>
        <w:t xml:space="preserve"> There have been </w:t>
      </w:r>
      <w:r w:rsidR="00F055D1">
        <w:t>nine</w:t>
      </w:r>
      <w:r>
        <w:t xml:space="preserve"> completed acquisitions since 2019</w:t>
      </w:r>
      <w:r w:rsidR="0010405F">
        <w:t xml:space="preserve"> where</w:t>
      </w:r>
      <w:r w:rsidR="007504E4">
        <w:t xml:space="preserve"> </w:t>
      </w:r>
      <w:r w:rsidR="000E6B3B">
        <w:t>a</w:t>
      </w:r>
      <w:r w:rsidR="007504E4">
        <w:t xml:space="preserve"> </w:t>
      </w:r>
      <w:r w:rsidR="003C3062">
        <w:t>Commission</w:t>
      </w:r>
      <w:r w:rsidR="007504E4">
        <w:t xml:space="preserve">-regulated </w:t>
      </w:r>
      <w:r w:rsidR="000E6B3B">
        <w:t xml:space="preserve">water </w:t>
      </w:r>
      <w:r w:rsidR="007504E4">
        <w:t>utility is the</w:t>
      </w:r>
      <w:r w:rsidR="00535304">
        <w:t xml:space="preserve"> acquir</w:t>
      </w:r>
      <w:r w:rsidR="000E6B3B">
        <w:t>ing utility</w:t>
      </w:r>
      <w:r>
        <w:t xml:space="preserve">.  </w:t>
      </w:r>
      <w:r w:rsidR="00F055D1">
        <w:t>Six</w:t>
      </w:r>
      <w:r w:rsidR="007C725E">
        <w:t xml:space="preserve"> acquisitions</w:t>
      </w:r>
      <w:r>
        <w:t xml:space="preserve"> used socialization of costs as a justification</w:t>
      </w:r>
      <w:r w:rsidR="00291C70">
        <w:t xml:space="preserve">: D.19-04-015, </w:t>
      </w:r>
      <w:r w:rsidR="00DB041E">
        <w:t xml:space="preserve">D.19-12-038, D.21-08-002, </w:t>
      </w:r>
      <w:r w:rsidR="001125D9">
        <w:t>Resolution (Res.)</w:t>
      </w:r>
      <w:r w:rsidR="00E63230">
        <w:t xml:space="preserve"> W-5184,</w:t>
      </w:r>
      <w:r w:rsidR="001125D9">
        <w:t xml:space="preserve"> </w:t>
      </w:r>
      <w:r w:rsidR="00E63230">
        <w:t xml:space="preserve">Res. </w:t>
      </w:r>
      <w:r w:rsidR="001125D9">
        <w:t>W-5196</w:t>
      </w:r>
      <w:r w:rsidR="00B0387D">
        <w:t xml:space="preserve">, </w:t>
      </w:r>
      <w:r w:rsidR="00DB041E">
        <w:t xml:space="preserve">and </w:t>
      </w:r>
      <w:r w:rsidR="00B0387D">
        <w:t>Res. W-5237</w:t>
      </w:r>
      <w:r>
        <w:t>.</w:t>
      </w:r>
    </w:p>
  </w:footnote>
  <w:footnote w:id="48">
    <w:p w14:paraId="231B4645" w14:textId="0EF9A0D8" w:rsidR="00D43073" w:rsidRDefault="00D43073">
      <w:pPr>
        <w:pStyle w:val="FootnoteText"/>
      </w:pPr>
      <w:r>
        <w:rPr>
          <w:rStyle w:val="FootnoteReference"/>
        </w:rPr>
        <w:footnoteRef/>
      </w:r>
      <w:r>
        <w:t xml:space="preserve"> D.99-10-</w:t>
      </w:r>
      <w:r w:rsidR="003D7FA0">
        <w:t>064, Appendix D, Section 4.02.</w:t>
      </w:r>
    </w:p>
  </w:footnote>
  <w:footnote w:id="49">
    <w:p w14:paraId="0EBF4917" w14:textId="75B0CDB9" w:rsidR="00C55A52" w:rsidRDefault="00C55A52">
      <w:pPr>
        <w:pStyle w:val="FootnoteText"/>
      </w:pPr>
      <w:r>
        <w:rPr>
          <w:rStyle w:val="FootnoteReference"/>
        </w:rPr>
        <w:footnoteRef/>
      </w:r>
      <w:r>
        <w:t xml:space="preserve"> Systems sold to C</w:t>
      </w:r>
      <w:r w:rsidR="003C3062">
        <w:t>ommission-</w:t>
      </w:r>
      <w:r w:rsidR="005576EA">
        <w:t>r</w:t>
      </w:r>
      <w:r>
        <w:t>egulated only, 2007-2021.</w:t>
      </w:r>
    </w:p>
  </w:footnote>
  <w:footnote w:id="50">
    <w:p w14:paraId="1366D309" w14:textId="4397108A" w:rsidR="00C43218" w:rsidRDefault="00C43218">
      <w:pPr>
        <w:pStyle w:val="FootnoteText"/>
      </w:pPr>
      <w:r>
        <w:rPr>
          <w:rStyle w:val="FootnoteReference"/>
        </w:rPr>
        <w:footnoteRef/>
      </w:r>
      <w:r>
        <w:t xml:space="preserve"> Allocations to central office are paid by all customers, whereas allocations to decentralized areas are borne only by the customers residing in that area.</w:t>
      </w:r>
    </w:p>
  </w:footnote>
  <w:footnote w:id="51">
    <w:p w14:paraId="5CB9F646" w14:textId="03D14FAC" w:rsidR="004D6189" w:rsidRDefault="004D6189">
      <w:pPr>
        <w:pStyle w:val="FootnoteText"/>
      </w:pPr>
      <w:r>
        <w:rPr>
          <w:rStyle w:val="FootnoteReference"/>
        </w:rPr>
        <w:footnoteRef/>
      </w:r>
      <w:r>
        <w:t xml:space="preserve"> </w:t>
      </w:r>
      <w:r w:rsidR="009E2892">
        <w:t xml:space="preserve">A state small water system is defined as a water system </w:t>
      </w:r>
      <w:r w:rsidR="00F52F3A">
        <w:t>that serves</w:t>
      </w:r>
      <w:r w:rsidR="00F90CE2">
        <w:t xml:space="preserve"> between 5 and 14</w:t>
      </w:r>
      <w:r w:rsidR="00F52F3A">
        <w:t xml:space="preserve"> connections.</w:t>
      </w:r>
    </w:p>
  </w:footnote>
  <w:footnote w:id="52">
    <w:p w14:paraId="2AD68DEE" w14:textId="796105FB" w:rsidR="006138D7" w:rsidRDefault="006138D7">
      <w:pPr>
        <w:pStyle w:val="FootnoteText"/>
      </w:pPr>
      <w:r>
        <w:rPr>
          <w:rStyle w:val="FootnoteReference"/>
        </w:rPr>
        <w:footnoteRef/>
      </w:r>
      <w:r>
        <w:t xml:space="preserve"> </w:t>
      </w:r>
      <w:r w:rsidR="00E67529">
        <w:t>2021</w:t>
      </w:r>
      <w:r w:rsidR="00363DD0">
        <w:t xml:space="preserve"> Drinking Water Needs Assessment</w:t>
      </w:r>
      <w:r w:rsidR="00926FE9">
        <w:t>, April 2021</w:t>
      </w:r>
    </w:p>
  </w:footnote>
  <w:footnote w:id="53">
    <w:p w14:paraId="674DF668" w14:textId="77777777" w:rsidR="000D5F3F" w:rsidRDefault="000D5F3F" w:rsidP="000D5F3F">
      <w:pPr>
        <w:pStyle w:val="FootnoteText"/>
      </w:pPr>
      <w:r>
        <w:rPr>
          <w:rStyle w:val="FootnoteReference"/>
        </w:rPr>
        <w:footnoteRef/>
      </w:r>
      <w:r>
        <w:t xml:space="preserve"> Needs Assessment, p.9</w:t>
      </w:r>
    </w:p>
  </w:footnote>
  <w:footnote w:id="54">
    <w:p w14:paraId="3D49571C" w14:textId="0F2810BD" w:rsidR="00D05482" w:rsidRDefault="00D05482">
      <w:pPr>
        <w:pStyle w:val="FootnoteText"/>
      </w:pPr>
      <w:r>
        <w:rPr>
          <w:rStyle w:val="FootnoteReference"/>
        </w:rPr>
        <w:footnoteRef/>
      </w:r>
      <w:r>
        <w:t xml:space="preserve"> Cal-Am’s acquisition of Ox Bow Mutual received $2.985 million in grant funding while Golden State Water Company’s acquisition of Robbins Water System received $3.8 million in grant funding.</w:t>
      </w:r>
    </w:p>
  </w:footnote>
  <w:footnote w:id="55">
    <w:p w14:paraId="610B988B" w14:textId="77777777" w:rsidR="005934B9" w:rsidRDefault="005934B9" w:rsidP="005934B9">
      <w:pPr>
        <w:pStyle w:val="FootnoteText"/>
      </w:pPr>
      <w:r>
        <w:rPr>
          <w:rStyle w:val="FootnoteReference"/>
        </w:rPr>
        <w:footnoteRef/>
      </w:r>
      <w:r>
        <w:t xml:space="preserve"> S</w:t>
      </w:r>
      <w:r w:rsidRPr="006D7A0F">
        <w:t>igned into law by President Joe Biden, Nov. 15, 2021</w:t>
      </w:r>
      <w:r>
        <w:t>.</w:t>
      </w:r>
    </w:p>
  </w:footnote>
  <w:footnote w:id="56">
    <w:p w14:paraId="38531218" w14:textId="617F1D06" w:rsidR="005F063C" w:rsidRDefault="005F063C">
      <w:pPr>
        <w:pStyle w:val="FootnoteText"/>
      </w:pPr>
      <w:r>
        <w:rPr>
          <w:rStyle w:val="FootnoteReference"/>
        </w:rPr>
        <w:footnoteRef/>
      </w:r>
      <w:r>
        <w:t xml:space="preserve"> </w:t>
      </w:r>
      <w:r w:rsidRPr="286AC268">
        <w:t>D.99-10-064 Appendix D pages 4-6</w:t>
      </w:r>
      <w:r w:rsidR="00E773A3">
        <w:t>.</w:t>
      </w:r>
    </w:p>
  </w:footnote>
  <w:footnote w:id="57">
    <w:p w14:paraId="59D36733" w14:textId="77777777" w:rsidR="00CA7574" w:rsidRDefault="00CA7574" w:rsidP="00CA7574">
      <w:pPr>
        <w:pStyle w:val="FootnoteText"/>
      </w:pPr>
      <w:r w:rsidRPr="286AC268">
        <w:rPr>
          <w:rStyle w:val="FootnoteReference"/>
        </w:rPr>
        <w:footnoteRef/>
      </w:r>
      <w:r w:rsidRPr="286AC268">
        <w:t xml:space="preserve"> Authority now under the State Water Resources Control Board</w:t>
      </w:r>
      <w:r w:rsidR="00E773A3">
        <w:t>.</w:t>
      </w:r>
    </w:p>
  </w:footnote>
  <w:footnote w:id="58">
    <w:p w14:paraId="5C32E96B" w14:textId="77777777" w:rsidR="00F65C3C" w:rsidRDefault="00F65C3C" w:rsidP="00F65C3C">
      <w:pPr>
        <w:pStyle w:val="FootnoteText"/>
      </w:pPr>
      <w:r w:rsidRPr="286AC268">
        <w:rPr>
          <w:rStyle w:val="FootnoteReference"/>
        </w:rPr>
        <w:footnoteRef/>
      </w:r>
      <w:r w:rsidRPr="286AC268">
        <w:t xml:space="preserve"> PU Code </w:t>
      </w:r>
      <w:r>
        <w:t xml:space="preserve">Section </w:t>
      </w:r>
      <w:r w:rsidRPr="286AC268">
        <w:t>851 is not limited to water systems but applied to all public utilities.</w:t>
      </w:r>
    </w:p>
  </w:footnote>
  <w:footnote w:id="59">
    <w:p w14:paraId="0C143403" w14:textId="035F6802" w:rsidR="0094129B" w:rsidRDefault="0094129B" w:rsidP="0094129B">
      <w:pPr>
        <w:pStyle w:val="FootnoteText"/>
      </w:pPr>
      <w:r w:rsidRPr="286AC268">
        <w:rPr>
          <w:rStyle w:val="FootnoteReference"/>
        </w:rPr>
        <w:footnoteRef/>
      </w:r>
      <w:r w:rsidRPr="286AC268">
        <w:t xml:space="preserve"> </w:t>
      </w:r>
      <w:r w:rsidR="00AA5629">
        <w:t>One resolution</w:t>
      </w:r>
      <w:r w:rsidR="00306E29">
        <w:t xml:space="preserve"> approved two acquisitions</w:t>
      </w:r>
      <w:r w:rsidR="00486E74">
        <w:t xml:space="preserve"> </w:t>
      </w:r>
      <w:r w:rsidR="005D54BE">
        <w:t>(</w:t>
      </w:r>
      <w:r w:rsidR="00486E74">
        <w:t xml:space="preserve">Resolution </w:t>
      </w:r>
      <w:r w:rsidR="005D54BE">
        <w:t>W-5163</w:t>
      </w:r>
      <w:r w:rsidR="00024AFA">
        <w:t xml:space="preserve"> </w:t>
      </w:r>
      <w:r w:rsidR="00486E74">
        <w:t xml:space="preserve">for </w:t>
      </w:r>
      <w:r w:rsidR="00694209">
        <w:t xml:space="preserve">the sale of </w:t>
      </w:r>
      <w:r w:rsidR="00117F62">
        <w:t>Madden Creek Water Company and Tahoe Cedars Water Company to Tahoe City Public Utility District</w:t>
      </w:r>
      <w:r w:rsidR="00055844">
        <w:t>)</w:t>
      </w:r>
      <w:r w:rsidR="00306E29">
        <w:t xml:space="preserve">. </w:t>
      </w:r>
      <w:r w:rsidR="008D4879">
        <w:t>One</w:t>
      </w:r>
      <w:r w:rsidRPr="286AC268">
        <w:t xml:space="preserve"> </w:t>
      </w:r>
      <w:r w:rsidR="0098040A">
        <w:t xml:space="preserve">acquisition </w:t>
      </w:r>
      <w:r w:rsidRPr="286AC268">
        <w:t>was completed by Water Division approval via advice letter</w:t>
      </w:r>
      <w:r w:rsidR="007B7164">
        <w:t xml:space="preserve"> without a resolution</w:t>
      </w:r>
      <w:r w:rsidR="00034CEA">
        <w:t xml:space="preserve"> (</w:t>
      </w:r>
      <w:r w:rsidR="002332DD">
        <w:t>Cal</w:t>
      </w:r>
      <w:r w:rsidR="000819B4">
        <w:t>ifornia</w:t>
      </w:r>
      <w:r w:rsidR="002332DD">
        <w:t xml:space="preserve"> Water</w:t>
      </w:r>
      <w:r w:rsidR="000819B4">
        <w:t xml:space="preserve"> Service Company Advice Letter 1907</w:t>
      </w:r>
      <w:r w:rsidR="00F2515A">
        <w:t xml:space="preserve"> </w:t>
      </w:r>
      <w:r w:rsidR="00034CEA">
        <w:t>for its</w:t>
      </w:r>
      <w:r w:rsidR="00F2515A">
        <w:t xml:space="preserve"> purchase of Woodside Mutual Water Company</w:t>
      </w:r>
      <w:r w:rsidR="00E45B05">
        <w:t>)</w:t>
      </w:r>
      <w:r w:rsidR="007A002B">
        <w:t xml:space="preserve">. </w:t>
      </w:r>
      <w:r w:rsidRPr="286AC268">
        <w:t xml:space="preserve"> </w:t>
      </w:r>
      <w:r w:rsidR="00533225">
        <w:t xml:space="preserve">Two </w:t>
      </w:r>
      <w:r w:rsidR="00F1517C">
        <w:t xml:space="preserve">acquisitions </w:t>
      </w:r>
      <w:r w:rsidR="00533225">
        <w:t xml:space="preserve">remain </w:t>
      </w:r>
      <w:r w:rsidRPr="286AC268">
        <w:t>unknown</w:t>
      </w:r>
      <w:r w:rsidR="007E25C9">
        <w:t xml:space="preserve"> (</w:t>
      </w:r>
      <w:r w:rsidR="00A62377">
        <w:t>McCanna Ranch</w:t>
      </w:r>
      <w:r w:rsidR="009F31C2">
        <w:t xml:space="preserve"> Water Company </w:t>
      </w:r>
      <w:r w:rsidR="00870784">
        <w:t xml:space="preserve">by </w:t>
      </w:r>
      <w:r w:rsidR="005061EF">
        <w:t xml:space="preserve">Perris Public Utility Authority </w:t>
      </w:r>
      <w:r w:rsidR="009F31C2">
        <w:t xml:space="preserve">and </w:t>
      </w:r>
      <w:r w:rsidR="00FA02BC">
        <w:t>Tehachapi Mountain Water Company</w:t>
      </w:r>
      <w:r w:rsidR="00FC583C">
        <w:t xml:space="preserve"> by an unknown utility)</w:t>
      </w:r>
      <w:r w:rsidRPr="286AC268">
        <w:t>.</w:t>
      </w:r>
    </w:p>
  </w:footnote>
  <w:footnote w:id="60">
    <w:p w14:paraId="52C2158C" w14:textId="483C85CD" w:rsidR="0039712D" w:rsidRDefault="0039712D">
      <w:pPr>
        <w:pStyle w:val="FootnoteText"/>
      </w:pPr>
      <w:r>
        <w:rPr>
          <w:rStyle w:val="FootnoteReference"/>
        </w:rPr>
        <w:footnoteRef/>
      </w:r>
      <w:r>
        <w:t xml:space="preserve"> </w:t>
      </w:r>
      <w:r w:rsidR="006D4E56">
        <w:t xml:space="preserve">As of October 20, 2021, </w:t>
      </w:r>
      <w:r w:rsidR="006D4E56" w:rsidRPr="006D4E56">
        <w:t>The Office of Environmental Health Hazard Assessment (OEHHA) announce</w:t>
      </w:r>
      <w:r w:rsidR="006D4E56">
        <w:t>d</w:t>
      </w:r>
      <w:r w:rsidR="006D4E56" w:rsidRPr="006D4E56">
        <w:t xml:space="preserve"> the availability of a new version of the California Communities Environmental Health Screening Tool: CalEnviroScreen 4.0. CalEnviroScreen is a screening methodology that can be used to help identify California communities that are disproportionately burdened by multiple sources of pollution.</w:t>
      </w:r>
    </w:p>
  </w:footnote>
  <w:footnote w:id="61">
    <w:p w14:paraId="10729247" w14:textId="6225E868" w:rsidR="00846ACC" w:rsidRDefault="00846ACC">
      <w:pPr>
        <w:pStyle w:val="FootnoteText"/>
      </w:pPr>
      <w:r>
        <w:rPr>
          <w:rStyle w:val="FootnoteReference"/>
        </w:rPr>
        <w:footnoteRef/>
      </w:r>
      <w:r>
        <w:t xml:space="preserve"> Exclusive of timelines spelled out in statute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2668" w14:textId="6D14C4F1" w:rsidR="003C18FA" w:rsidRPr="003C18FA" w:rsidRDefault="003C18FA" w:rsidP="003C18FA">
    <w:pPr>
      <w:rPr>
        <w:rFonts w:ascii="Book Antiqua" w:hAnsi="Book Antiqua"/>
        <w:sz w:val="26"/>
        <w:szCs w:val="26"/>
      </w:rPr>
    </w:pPr>
    <w:r>
      <w:rPr>
        <w:rFonts w:ascii="Book Antiqua" w:hAnsi="Book Antiqua"/>
        <w:sz w:val="26"/>
        <w:szCs w:val="26"/>
      </w:rPr>
      <w:t>R</w:t>
    </w:r>
    <w:r w:rsidRPr="003C18FA">
      <w:rPr>
        <w:rFonts w:ascii="Book Antiqua" w:hAnsi="Book Antiqua"/>
        <w:sz w:val="26"/>
        <w:szCs w:val="26"/>
      </w:rPr>
      <w:t>.</w:t>
    </w:r>
    <w:r w:rsidR="00020BD5">
      <w:rPr>
        <w:rFonts w:ascii="Book Antiqua" w:hAnsi="Book Antiqua"/>
        <w:sz w:val="26"/>
        <w:szCs w:val="26"/>
      </w:rPr>
      <w:t>22-04-003</w:t>
    </w:r>
    <w:r w:rsidRPr="003C18FA">
      <w:rPr>
        <w:rFonts w:ascii="Book Antiqua" w:hAnsi="Book Antiqua"/>
        <w:sz w:val="26"/>
        <w:szCs w:val="26"/>
      </w:rPr>
      <w:t xml:space="preserve">  </w:t>
    </w:r>
    <w:r>
      <w:rPr>
        <w:rFonts w:ascii="Book Antiqua" w:hAnsi="Book Antiqua"/>
        <w:sz w:val="26"/>
        <w:szCs w:val="26"/>
      </w:rPr>
      <w:t>ALJ/GK1/jnf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0A09" w14:textId="16D68E17" w:rsidR="00395969" w:rsidRPr="00201DE7" w:rsidRDefault="00395969" w:rsidP="00201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03C70B0"/>
    <w:lvl w:ilvl="0">
      <w:start w:val="1"/>
      <w:numFmt w:val="lowerLetter"/>
      <w:pStyle w:val="ListNumber3"/>
      <w:lvlText w:val="%1."/>
      <w:lvlJc w:val="left"/>
      <w:pPr>
        <w:ind w:left="1080" w:hanging="360"/>
      </w:pPr>
    </w:lvl>
  </w:abstractNum>
  <w:abstractNum w:abstractNumId="3" w15:restartNumberingAfterBreak="0">
    <w:nsid w:val="FFFFFF7F"/>
    <w:multiLevelType w:val="singleLevel"/>
    <w:tmpl w:val="4916304C"/>
    <w:lvl w:ilvl="0">
      <w:start w:val="1"/>
      <w:numFmt w:val="upperLetter"/>
      <w:pStyle w:val="ListNumber2"/>
      <w:lvlText w:val="%1."/>
      <w:lvlJc w:val="left"/>
      <w:pPr>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F0AEE794"/>
    <w:lvl w:ilvl="0">
      <w:start w:val="1"/>
      <w:numFmt w:val="bullet"/>
      <w:pStyle w:val="ListBullet3"/>
      <w:lvlText w:val="o"/>
      <w:lvlJc w:val="left"/>
      <w:pPr>
        <w:ind w:left="1080" w:hanging="360"/>
      </w:pPr>
      <w:rPr>
        <w:rFonts w:ascii="Courier New" w:hAnsi="Courier New" w:cs="Courier New" w:hint="default"/>
      </w:rPr>
    </w:lvl>
  </w:abstractNum>
  <w:abstractNum w:abstractNumId="7" w15:restartNumberingAfterBreak="0">
    <w:nsid w:val="FFFFFF83"/>
    <w:multiLevelType w:val="singleLevel"/>
    <w:tmpl w:val="D96C8F3A"/>
    <w:lvl w:ilvl="0">
      <w:start w:val="1"/>
      <w:numFmt w:val="bullet"/>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F6A6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766A4"/>
    <w:multiLevelType w:val="hybridMultilevel"/>
    <w:tmpl w:val="4C663454"/>
    <w:lvl w:ilvl="0" w:tplc="573ACA2A">
      <w:start w:val="22"/>
      <w:numFmt w:val="bullet"/>
      <w:lvlText w:val="-"/>
      <w:lvlJc w:val="left"/>
      <w:pPr>
        <w:ind w:left="720" w:hanging="360"/>
      </w:pPr>
      <w:rPr>
        <w:rFonts w:ascii="Garamond" w:eastAsiaTheme="minorHAnsi" w:hAnsi="Garamond" w:cs="Times New Roman (Headings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3F5A78"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D5B36AE"/>
    <w:multiLevelType w:val="hybridMultilevel"/>
    <w:tmpl w:val="F438A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C079B"/>
    <w:multiLevelType w:val="hybridMultilevel"/>
    <w:tmpl w:val="380687BA"/>
    <w:lvl w:ilvl="0" w:tplc="8C6C892E">
      <w:start w:val="1"/>
      <w:numFmt w:val="bullet"/>
      <w:pStyle w:val="ListBullet2"/>
      <w:lvlText w:val="»"/>
      <w:lvlJc w:val="left"/>
      <w:pPr>
        <w:ind w:left="720" w:hanging="360"/>
      </w:pPr>
      <w:rPr>
        <w:rFonts w:ascii="Century Gothic (Body)" w:hAnsi="Century Gothic (Bod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76D555A"/>
    <w:multiLevelType w:val="hybridMultilevel"/>
    <w:tmpl w:val="4ECE9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C4471"/>
    <w:multiLevelType w:val="multilevel"/>
    <w:tmpl w:val="C9FA27FE"/>
    <w:lvl w:ilvl="0">
      <w:start w:val="3"/>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54037F6"/>
    <w:multiLevelType w:val="hybridMultilevel"/>
    <w:tmpl w:val="0B32FC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5A72BAD"/>
    <w:multiLevelType w:val="hybridMultilevel"/>
    <w:tmpl w:val="DBDE5FD0"/>
    <w:lvl w:ilvl="0" w:tplc="AAE23384">
      <w:numFmt w:val="bullet"/>
      <w:lvlText w:val="-"/>
      <w:lvlJc w:val="left"/>
      <w:pPr>
        <w:ind w:left="720" w:hanging="360"/>
      </w:pPr>
      <w:rPr>
        <w:rFonts w:ascii="Garamond" w:eastAsiaTheme="minorHAnsi" w:hAnsi="Garamond" w:cs="Times New Roman (Headings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54400C"/>
    <w:multiLevelType w:val="hybridMultilevel"/>
    <w:tmpl w:val="9A36A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B3B96"/>
    <w:multiLevelType w:val="hybridMultilevel"/>
    <w:tmpl w:val="5E844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18563">
    <w:abstractNumId w:val="9"/>
  </w:num>
  <w:num w:numId="2" w16cid:durableId="2121603397">
    <w:abstractNumId w:val="12"/>
  </w:num>
  <w:num w:numId="3" w16cid:durableId="34280953">
    <w:abstractNumId w:val="7"/>
  </w:num>
  <w:num w:numId="4" w16cid:durableId="1360666420">
    <w:abstractNumId w:val="7"/>
  </w:num>
  <w:num w:numId="5" w16cid:durableId="582881423">
    <w:abstractNumId w:val="6"/>
  </w:num>
  <w:num w:numId="6" w16cid:durableId="1107891045">
    <w:abstractNumId w:val="6"/>
  </w:num>
  <w:num w:numId="7" w16cid:durableId="1562718187">
    <w:abstractNumId w:val="5"/>
  </w:num>
  <w:num w:numId="8" w16cid:durableId="1080519405">
    <w:abstractNumId w:val="5"/>
  </w:num>
  <w:num w:numId="9" w16cid:durableId="334574615">
    <w:abstractNumId w:val="4"/>
  </w:num>
  <w:num w:numId="10" w16cid:durableId="122771233">
    <w:abstractNumId w:val="4"/>
  </w:num>
  <w:num w:numId="11" w16cid:durableId="271133408">
    <w:abstractNumId w:val="11"/>
  </w:num>
  <w:num w:numId="12" w16cid:durableId="1817448434">
    <w:abstractNumId w:val="12"/>
  </w:num>
  <w:num w:numId="13" w16cid:durableId="969286780">
    <w:abstractNumId w:val="7"/>
  </w:num>
  <w:num w:numId="14" w16cid:durableId="1268584559">
    <w:abstractNumId w:val="6"/>
  </w:num>
  <w:num w:numId="15" w16cid:durableId="761535818">
    <w:abstractNumId w:val="5"/>
  </w:num>
  <w:num w:numId="16" w16cid:durableId="1287394538">
    <w:abstractNumId w:val="4"/>
  </w:num>
  <w:num w:numId="17" w16cid:durableId="350957869">
    <w:abstractNumId w:val="11"/>
  </w:num>
  <w:num w:numId="18" w16cid:durableId="1886015423">
    <w:abstractNumId w:val="12"/>
  </w:num>
  <w:num w:numId="19" w16cid:durableId="1661499676">
    <w:abstractNumId w:val="7"/>
  </w:num>
  <w:num w:numId="20" w16cid:durableId="772746293">
    <w:abstractNumId w:val="6"/>
  </w:num>
  <w:num w:numId="21" w16cid:durableId="510223286">
    <w:abstractNumId w:val="5"/>
  </w:num>
  <w:num w:numId="22" w16cid:durableId="1035426532">
    <w:abstractNumId w:val="4"/>
  </w:num>
  <w:num w:numId="23" w16cid:durableId="160705860">
    <w:abstractNumId w:val="11"/>
  </w:num>
  <w:num w:numId="24" w16cid:durableId="1270352330">
    <w:abstractNumId w:val="8"/>
  </w:num>
  <w:num w:numId="25" w16cid:durableId="1142961181">
    <w:abstractNumId w:val="3"/>
  </w:num>
  <w:num w:numId="26" w16cid:durableId="1083334712">
    <w:abstractNumId w:val="2"/>
  </w:num>
  <w:num w:numId="27" w16cid:durableId="1152215697">
    <w:abstractNumId w:val="1"/>
  </w:num>
  <w:num w:numId="28" w16cid:durableId="1628854613">
    <w:abstractNumId w:val="0"/>
  </w:num>
  <w:num w:numId="29" w16cid:durableId="2066295857">
    <w:abstractNumId w:val="17"/>
  </w:num>
  <w:num w:numId="30" w16cid:durableId="565264850">
    <w:abstractNumId w:val="14"/>
  </w:num>
  <w:num w:numId="31" w16cid:durableId="1228223620">
    <w:abstractNumId w:val="20"/>
  </w:num>
  <w:num w:numId="32" w16cid:durableId="1072238867">
    <w:abstractNumId w:val="13"/>
  </w:num>
  <w:num w:numId="33" w16cid:durableId="2026200457">
    <w:abstractNumId w:val="15"/>
  </w:num>
  <w:num w:numId="34" w16cid:durableId="502547693">
    <w:abstractNumId w:val="16"/>
  </w:num>
  <w:num w:numId="35" w16cid:durableId="1363750339">
    <w:abstractNumId w:val="19"/>
  </w:num>
  <w:num w:numId="36" w16cid:durableId="887185189">
    <w:abstractNumId w:val="10"/>
  </w:num>
  <w:num w:numId="37" w16cid:durableId="10449081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A4F"/>
    <w:rsid w:val="000000B6"/>
    <w:rsid w:val="0000034B"/>
    <w:rsid w:val="000006B0"/>
    <w:rsid w:val="00000741"/>
    <w:rsid w:val="0000110D"/>
    <w:rsid w:val="00001502"/>
    <w:rsid w:val="000028B7"/>
    <w:rsid w:val="00003957"/>
    <w:rsid w:val="00006EEC"/>
    <w:rsid w:val="00007494"/>
    <w:rsid w:val="00011239"/>
    <w:rsid w:val="000113F6"/>
    <w:rsid w:val="0001173C"/>
    <w:rsid w:val="000118B3"/>
    <w:rsid w:val="00011D2F"/>
    <w:rsid w:val="00011FA2"/>
    <w:rsid w:val="00012046"/>
    <w:rsid w:val="000125F5"/>
    <w:rsid w:val="00014D96"/>
    <w:rsid w:val="0001506A"/>
    <w:rsid w:val="00015540"/>
    <w:rsid w:val="00015554"/>
    <w:rsid w:val="00015CE9"/>
    <w:rsid w:val="000172DA"/>
    <w:rsid w:val="0001749A"/>
    <w:rsid w:val="000174B3"/>
    <w:rsid w:val="00017554"/>
    <w:rsid w:val="00017FF8"/>
    <w:rsid w:val="00020BD5"/>
    <w:rsid w:val="00020F35"/>
    <w:rsid w:val="00020FF4"/>
    <w:rsid w:val="0002128D"/>
    <w:rsid w:val="00021800"/>
    <w:rsid w:val="00021D8B"/>
    <w:rsid w:val="00021F6B"/>
    <w:rsid w:val="00022A6C"/>
    <w:rsid w:val="000243A0"/>
    <w:rsid w:val="000247EA"/>
    <w:rsid w:val="00024AFA"/>
    <w:rsid w:val="000251D7"/>
    <w:rsid w:val="0002520C"/>
    <w:rsid w:val="000256FC"/>
    <w:rsid w:val="00025734"/>
    <w:rsid w:val="00026A5F"/>
    <w:rsid w:val="000275B1"/>
    <w:rsid w:val="0003077F"/>
    <w:rsid w:val="00031A1B"/>
    <w:rsid w:val="0003222B"/>
    <w:rsid w:val="00032A9A"/>
    <w:rsid w:val="0003328C"/>
    <w:rsid w:val="00033761"/>
    <w:rsid w:val="000339C4"/>
    <w:rsid w:val="00033D20"/>
    <w:rsid w:val="00033FC2"/>
    <w:rsid w:val="000343DB"/>
    <w:rsid w:val="000349D1"/>
    <w:rsid w:val="00034CEA"/>
    <w:rsid w:val="00035A52"/>
    <w:rsid w:val="00035B47"/>
    <w:rsid w:val="00036667"/>
    <w:rsid w:val="000372AC"/>
    <w:rsid w:val="000408C9"/>
    <w:rsid w:val="000411DF"/>
    <w:rsid w:val="00041694"/>
    <w:rsid w:val="00041775"/>
    <w:rsid w:val="00041C1B"/>
    <w:rsid w:val="00041DCC"/>
    <w:rsid w:val="00041E11"/>
    <w:rsid w:val="0004320B"/>
    <w:rsid w:val="0004343B"/>
    <w:rsid w:val="00044375"/>
    <w:rsid w:val="000452CE"/>
    <w:rsid w:val="000457EC"/>
    <w:rsid w:val="00045F17"/>
    <w:rsid w:val="00045FDD"/>
    <w:rsid w:val="0004685D"/>
    <w:rsid w:val="000469C2"/>
    <w:rsid w:val="00047744"/>
    <w:rsid w:val="0005104E"/>
    <w:rsid w:val="0005113B"/>
    <w:rsid w:val="00052A0C"/>
    <w:rsid w:val="00052A4A"/>
    <w:rsid w:val="00054189"/>
    <w:rsid w:val="000548EE"/>
    <w:rsid w:val="00055306"/>
    <w:rsid w:val="00055844"/>
    <w:rsid w:val="00055CD5"/>
    <w:rsid w:val="00056453"/>
    <w:rsid w:val="00056ACD"/>
    <w:rsid w:val="00056CAC"/>
    <w:rsid w:val="000579D5"/>
    <w:rsid w:val="00060065"/>
    <w:rsid w:val="000612D6"/>
    <w:rsid w:val="000622D7"/>
    <w:rsid w:val="000624A6"/>
    <w:rsid w:val="00062916"/>
    <w:rsid w:val="00062EDE"/>
    <w:rsid w:val="0006357B"/>
    <w:rsid w:val="00063CA0"/>
    <w:rsid w:val="00064694"/>
    <w:rsid w:val="00065CFB"/>
    <w:rsid w:val="000667A2"/>
    <w:rsid w:val="000672CC"/>
    <w:rsid w:val="00067337"/>
    <w:rsid w:val="0006766F"/>
    <w:rsid w:val="00067AAA"/>
    <w:rsid w:val="0007011D"/>
    <w:rsid w:val="00070313"/>
    <w:rsid w:val="000706BD"/>
    <w:rsid w:val="0007133E"/>
    <w:rsid w:val="0007179E"/>
    <w:rsid w:val="0007195D"/>
    <w:rsid w:val="00071A97"/>
    <w:rsid w:val="00072122"/>
    <w:rsid w:val="00072265"/>
    <w:rsid w:val="00072318"/>
    <w:rsid w:val="00073510"/>
    <w:rsid w:val="00074862"/>
    <w:rsid w:val="00074B30"/>
    <w:rsid w:val="00075B85"/>
    <w:rsid w:val="000760B9"/>
    <w:rsid w:val="0007640C"/>
    <w:rsid w:val="000804E3"/>
    <w:rsid w:val="00080D05"/>
    <w:rsid w:val="00080FD2"/>
    <w:rsid w:val="000819B4"/>
    <w:rsid w:val="00082303"/>
    <w:rsid w:val="000833B6"/>
    <w:rsid w:val="000838AD"/>
    <w:rsid w:val="000839E4"/>
    <w:rsid w:val="00084022"/>
    <w:rsid w:val="000841C3"/>
    <w:rsid w:val="000845F5"/>
    <w:rsid w:val="000867C9"/>
    <w:rsid w:val="00086BDD"/>
    <w:rsid w:val="000873B1"/>
    <w:rsid w:val="000876A5"/>
    <w:rsid w:val="000923B5"/>
    <w:rsid w:val="00092627"/>
    <w:rsid w:val="000927FC"/>
    <w:rsid w:val="00092937"/>
    <w:rsid w:val="00092EE1"/>
    <w:rsid w:val="00094728"/>
    <w:rsid w:val="00095200"/>
    <w:rsid w:val="00097349"/>
    <w:rsid w:val="00097963"/>
    <w:rsid w:val="00097B97"/>
    <w:rsid w:val="000A20D7"/>
    <w:rsid w:val="000A242D"/>
    <w:rsid w:val="000A2903"/>
    <w:rsid w:val="000A2A7A"/>
    <w:rsid w:val="000A3EDB"/>
    <w:rsid w:val="000A47E5"/>
    <w:rsid w:val="000A4BF6"/>
    <w:rsid w:val="000A4E58"/>
    <w:rsid w:val="000A7521"/>
    <w:rsid w:val="000A764A"/>
    <w:rsid w:val="000A7A77"/>
    <w:rsid w:val="000A7DC5"/>
    <w:rsid w:val="000B03B4"/>
    <w:rsid w:val="000B097D"/>
    <w:rsid w:val="000B0A43"/>
    <w:rsid w:val="000B103B"/>
    <w:rsid w:val="000B1293"/>
    <w:rsid w:val="000B1F86"/>
    <w:rsid w:val="000B2166"/>
    <w:rsid w:val="000B2574"/>
    <w:rsid w:val="000B2D50"/>
    <w:rsid w:val="000B3134"/>
    <w:rsid w:val="000B370C"/>
    <w:rsid w:val="000B378E"/>
    <w:rsid w:val="000B3907"/>
    <w:rsid w:val="000B3EC1"/>
    <w:rsid w:val="000B4413"/>
    <w:rsid w:val="000B6AE3"/>
    <w:rsid w:val="000B7410"/>
    <w:rsid w:val="000C06AE"/>
    <w:rsid w:val="000C1BEA"/>
    <w:rsid w:val="000C2A0B"/>
    <w:rsid w:val="000C2C1A"/>
    <w:rsid w:val="000C2C88"/>
    <w:rsid w:val="000C3ADF"/>
    <w:rsid w:val="000C3C84"/>
    <w:rsid w:val="000C3E8A"/>
    <w:rsid w:val="000C40D5"/>
    <w:rsid w:val="000C4D1A"/>
    <w:rsid w:val="000C591C"/>
    <w:rsid w:val="000C5E1E"/>
    <w:rsid w:val="000C5EB5"/>
    <w:rsid w:val="000C7C4F"/>
    <w:rsid w:val="000D028E"/>
    <w:rsid w:val="000D05EC"/>
    <w:rsid w:val="000D0688"/>
    <w:rsid w:val="000D13BE"/>
    <w:rsid w:val="000D24D8"/>
    <w:rsid w:val="000D2A30"/>
    <w:rsid w:val="000D5236"/>
    <w:rsid w:val="000D5F3F"/>
    <w:rsid w:val="000D6C6D"/>
    <w:rsid w:val="000D737A"/>
    <w:rsid w:val="000E03F3"/>
    <w:rsid w:val="000E0961"/>
    <w:rsid w:val="000E16D2"/>
    <w:rsid w:val="000E1828"/>
    <w:rsid w:val="000E1D5C"/>
    <w:rsid w:val="000E405A"/>
    <w:rsid w:val="000E4291"/>
    <w:rsid w:val="000E50C2"/>
    <w:rsid w:val="000E59D1"/>
    <w:rsid w:val="000E5BC0"/>
    <w:rsid w:val="000E5F16"/>
    <w:rsid w:val="000E6366"/>
    <w:rsid w:val="000E6B3B"/>
    <w:rsid w:val="000E6D0F"/>
    <w:rsid w:val="000E7EFA"/>
    <w:rsid w:val="000F06CB"/>
    <w:rsid w:val="000F0711"/>
    <w:rsid w:val="000F1400"/>
    <w:rsid w:val="000F2C69"/>
    <w:rsid w:val="000F33F8"/>
    <w:rsid w:val="000F3C4C"/>
    <w:rsid w:val="000F448E"/>
    <w:rsid w:val="000F47F4"/>
    <w:rsid w:val="000F492F"/>
    <w:rsid w:val="000F4B05"/>
    <w:rsid w:val="000F533B"/>
    <w:rsid w:val="000F5539"/>
    <w:rsid w:val="000F5610"/>
    <w:rsid w:val="000F5990"/>
    <w:rsid w:val="000F5F87"/>
    <w:rsid w:val="000F715A"/>
    <w:rsid w:val="000F73B0"/>
    <w:rsid w:val="000F73C1"/>
    <w:rsid w:val="0010076D"/>
    <w:rsid w:val="001007A6"/>
    <w:rsid w:val="00100D91"/>
    <w:rsid w:val="00101706"/>
    <w:rsid w:val="00101BBF"/>
    <w:rsid w:val="001023C0"/>
    <w:rsid w:val="00102D66"/>
    <w:rsid w:val="00103108"/>
    <w:rsid w:val="00103232"/>
    <w:rsid w:val="00103EEF"/>
    <w:rsid w:val="0010405F"/>
    <w:rsid w:val="00104C47"/>
    <w:rsid w:val="00104F62"/>
    <w:rsid w:val="00105384"/>
    <w:rsid w:val="001057E2"/>
    <w:rsid w:val="00105B81"/>
    <w:rsid w:val="001063AB"/>
    <w:rsid w:val="0010664F"/>
    <w:rsid w:val="00106B79"/>
    <w:rsid w:val="00106E7C"/>
    <w:rsid w:val="0010744C"/>
    <w:rsid w:val="00107B1D"/>
    <w:rsid w:val="00107D8A"/>
    <w:rsid w:val="00110351"/>
    <w:rsid w:val="0011125D"/>
    <w:rsid w:val="00111EC4"/>
    <w:rsid w:val="001125D9"/>
    <w:rsid w:val="001126DB"/>
    <w:rsid w:val="00112A8B"/>
    <w:rsid w:val="00112AB9"/>
    <w:rsid w:val="00113A88"/>
    <w:rsid w:val="00114282"/>
    <w:rsid w:val="00114760"/>
    <w:rsid w:val="0011575D"/>
    <w:rsid w:val="001159FF"/>
    <w:rsid w:val="00115B83"/>
    <w:rsid w:val="001172D0"/>
    <w:rsid w:val="00117377"/>
    <w:rsid w:val="00117379"/>
    <w:rsid w:val="001177CB"/>
    <w:rsid w:val="00117997"/>
    <w:rsid w:val="00117F62"/>
    <w:rsid w:val="00120993"/>
    <w:rsid w:val="00120F64"/>
    <w:rsid w:val="00120FDA"/>
    <w:rsid w:val="00121D41"/>
    <w:rsid w:val="00122B06"/>
    <w:rsid w:val="001236F0"/>
    <w:rsid w:val="001248C5"/>
    <w:rsid w:val="00124B0E"/>
    <w:rsid w:val="001258F1"/>
    <w:rsid w:val="00125F4E"/>
    <w:rsid w:val="0012624D"/>
    <w:rsid w:val="00126710"/>
    <w:rsid w:val="00126DFF"/>
    <w:rsid w:val="00127202"/>
    <w:rsid w:val="00127B75"/>
    <w:rsid w:val="00127E7A"/>
    <w:rsid w:val="00130396"/>
    <w:rsid w:val="001303CD"/>
    <w:rsid w:val="001309A1"/>
    <w:rsid w:val="00130CC2"/>
    <w:rsid w:val="00130F93"/>
    <w:rsid w:val="00130FF8"/>
    <w:rsid w:val="001313CF"/>
    <w:rsid w:val="00132205"/>
    <w:rsid w:val="001327B3"/>
    <w:rsid w:val="001339CB"/>
    <w:rsid w:val="001345E6"/>
    <w:rsid w:val="00134BF6"/>
    <w:rsid w:val="001365F6"/>
    <w:rsid w:val="00136971"/>
    <w:rsid w:val="00136B27"/>
    <w:rsid w:val="00136E1E"/>
    <w:rsid w:val="001401F4"/>
    <w:rsid w:val="00140CBC"/>
    <w:rsid w:val="00140DAE"/>
    <w:rsid w:val="001417DC"/>
    <w:rsid w:val="00141B55"/>
    <w:rsid w:val="00141E8D"/>
    <w:rsid w:val="00141F03"/>
    <w:rsid w:val="001422DE"/>
    <w:rsid w:val="00142D4A"/>
    <w:rsid w:val="00143279"/>
    <w:rsid w:val="00144A15"/>
    <w:rsid w:val="00145677"/>
    <w:rsid w:val="00145C7B"/>
    <w:rsid w:val="0014619B"/>
    <w:rsid w:val="00146554"/>
    <w:rsid w:val="00146E33"/>
    <w:rsid w:val="001472F6"/>
    <w:rsid w:val="00150E37"/>
    <w:rsid w:val="00150ECF"/>
    <w:rsid w:val="00150EEF"/>
    <w:rsid w:val="00151870"/>
    <w:rsid w:val="00151F2C"/>
    <w:rsid w:val="0015260F"/>
    <w:rsid w:val="00153BF1"/>
    <w:rsid w:val="001540B3"/>
    <w:rsid w:val="001548F0"/>
    <w:rsid w:val="00154FFD"/>
    <w:rsid w:val="00155A37"/>
    <w:rsid w:val="00155ABC"/>
    <w:rsid w:val="0015651F"/>
    <w:rsid w:val="00156DA0"/>
    <w:rsid w:val="001575A5"/>
    <w:rsid w:val="0016162C"/>
    <w:rsid w:val="00161D88"/>
    <w:rsid w:val="00161E90"/>
    <w:rsid w:val="001629AF"/>
    <w:rsid w:val="0016381A"/>
    <w:rsid w:val="00164481"/>
    <w:rsid w:val="00164E7D"/>
    <w:rsid w:val="0016569C"/>
    <w:rsid w:val="00165C96"/>
    <w:rsid w:val="00165F31"/>
    <w:rsid w:val="00166EDC"/>
    <w:rsid w:val="001670F3"/>
    <w:rsid w:val="00167A2F"/>
    <w:rsid w:val="00167A74"/>
    <w:rsid w:val="00167A92"/>
    <w:rsid w:val="00167FA8"/>
    <w:rsid w:val="0017047E"/>
    <w:rsid w:val="00171004"/>
    <w:rsid w:val="00171DDD"/>
    <w:rsid w:val="0017229C"/>
    <w:rsid w:val="0017314A"/>
    <w:rsid w:val="001733E8"/>
    <w:rsid w:val="001737D5"/>
    <w:rsid w:val="00173CCE"/>
    <w:rsid w:val="001753AD"/>
    <w:rsid w:val="00176BF9"/>
    <w:rsid w:val="00176CFB"/>
    <w:rsid w:val="00176F6F"/>
    <w:rsid w:val="00177883"/>
    <w:rsid w:val="0017794A"/>
    <w:rsid w:val="00177B70"/>
    <w:rsid w:val="001807C7"/>
    <w:rsid w:val="0018081A"/>
    <w:rsid w:val="00180E29"/>
    <w:rsid w:val="00181308"/>
    <w:rsid w:val="00181674"/>
    <w:rsid w:val="0018374C"/>
    <w:rsid w:val="00183773"/>
    <w:rsid w:val="001838B8"/>
    <w:rsid w:val="00183DEC"/>
    <w:rsid w:val="00183F31"/>
    <w:rsid w:val="00185A3C"/>
    <w:rsid w:val="0018640F"/>
    <w:rsid w:val="0018652D"/>
    <w:rsid w:val="00187BF6"/>
    <w:rsid w:val="00190899"/>
    <w:rsid w:val="00190BD9"/>
    <w:rsid w:val="00190D03"/>
    <w:rsid w:val="00191573"/>
    <w:rsid w:val="00192205"/>
    <w:rsid w:val="0019277B"/>
    <w:rsid w:val="00192CA5"/>
    <w:rsid w:val="00192CC8"/>
    <w:rsid w:val="0019314B"/>
    <w:rsid w:val="0019320F"/>
    <w:rsid w:val="0019349B"/>
    <w:rsid w:val="00194275"/>
    <w:rsid w:val="00194401"/>
    <w:rsid w:val="001959B1"/>
    <w:rsid w:val="00195D59"/>
    <w:rsid w:val="001973D8"/>
    <w:rsid w:val="0019751B"/>
    <w:rsid w:val="0019783B"/>
    <w:rsid w:val="00197859"/>
    <w:rsid w:val="001A0752"/>
    <w:rsid w:val="001A1FFC"/>
    <w:rsid w:val="001A23FE"/>
    <w:rsid w:val="001A24D8"/>
    <w:rsid w:val="001A3947"/>
    <w:rsid w:val="001A3978"/>
    <w:rsid w:val="001A574B"/>
    <w:rsid w:val="001A6413"/>
    <w:rsid w:val="001A658F"/>
    <w:rsid w:val="001A6CE6"/>
    <w:rsid w:val="001A6EF7"/>
    <w:rsid w:val="001A74FA"/>
    <w:rsid w:val="001A7684"/>
    <w:rsid w:val="001A7E19"/>
    <w:rsid w:val="001A7F27"/>
    <w:rsid w:val="001B09C9"/>
    <w:rsid w:val="001B103F"/>
    <w:rsid w:val="001B11A0"/>
    <w:rsid w:val="001B1247"/>
    <w:rsid w:val="001B13E3"/>
    <w:rsid w:val="001B157E"/>
    <w:rsid w:val="001B1775"/>
    <w:rsid w:val="001B1BEF"/>
    <w:rsid w:val="001B1FA0"/>
    <w:rsid w:val="001B2778"/>
    <w:rsid w:val="001B3308"/>
    <w:rsid w:val="001B4B37"/>
    <w:rsid w:val="001B54E6"/>
    <w:rsid w:val="001B58DC"/>
    <w:rsid w:val="001B5B1D"/>
    <w:rsid w:val="001B626B"/>
    <w:rsid w:val="001B6FA9"/>
    <w:rsid w:val="001C1022"/>
    <w:rsid w:val="001C1110"/>
    <w:rsid w:val="001C1A68"/>
    <w:rsid w:val="001C1C14"/>
    <w:rsid w:val="001C2358"/>
    <w:rsid w:val="001C267E"/>
    <w:rsid w:val="001C26E8"/>
    <w:rsid w:val="001C2CA2"/>
    <w:rsid w:val="001C3507"/>
    <w:rsid w:val="001C4F74"/>
    <w:rsid w:val="001C53FA"/>
    <w:rsid w:val="001C5CC1"/>
    <w:rsid w:val="001C5CCC"/>
    <w:rsid w:val="001C5EE4"/>
    <w:rsid w:val="001C6617"/>
    <w:rsid w:val="001C72FF"/>
    <w:rsid w:val="001D25F8"/>
    <w:rsid w:val="001D2611"/>
    <w:rsid w:val="001D2712"/>
    <w:rsid w:val="001D2F09"/>
    <w:rsid w:val="001D2F5C"/>
    <w:rsid w:val="001D2FE2"/>
    <w:rsid w:val="001D38B5"/>
    <w:rsid w:val="001D3928"/>
    <w:rsid w:val="001D3BB0"/>
    <w:rsid w:val="001D40FD"/>
    <w:rsid w:val="001D4465"/>
    <w:rsid w:val="001D4761"/>
    <w:rsid w:val="001D4823"/>
    <w:rsid w:val="001D4AE0"/>
    <w:rsid w:val="001D4E63"/>
    <w:rsid w:val="001D5192"/>
    <w:rsid w:val="001D54E3"/>
    <w:rsid w:val="001D5BE0"/>
    <w:rsid w:val="001D74C4"/>
    <w:rsid w:val="001D7509"/>
    <w:rsid w:val="001E0009"/>
    <w:rsid w:val="001E0388"/>
    <w:rsid w:val="001E128B"/>
    <w:rsid w:val="001E12A2"/>
    <w:rsid w:val="001E19FC"/>
    <w:rsid w:val="001E274B"/>
    <w:rsid w:val="001E2A87"/>
    <w:rsid w:val="001E3ED8"/>
    <w:rsid w:val="001E4291"/>
    <w:rsid w:val="001E51BD"/>
    <w:rsid w:val="001E619D"/>
    <w:rsid w:val="001E6452"/>
    <w:rsid w:val="001E71F9"/>
    <w:rsid w:val="001E7C4A"/>
    <w:rsid w:val="001F0308"/>
    <w:rsid w:val="001F097E"/>
    <w:rsid w:val="001F0CA9"/>
    <w:rsid w:val="001F138F"/>
    <w:rsid w:val="001F15CF"/>
    <w:rsid w:val="001F1ABA"/>
    <w:rsid w:val="001F1B7F"/>
    <w:rsid w:val="001F1C5C"/>
    <w:rsid w:val="001F230E"/>
    <w:rsid w:val="001F28E3"/>
    <w:rsid w:val="001F3C26"/>
    <w:rsid w:val="001F4451"/>
    <w:rsid w:val="001F44DB"/>
    <w:rsid w:val="001F47C8"/>
    <w:rsid w:val="001F4D51"/>
    <w:rsid w:val="001F55C5"/>
    <w:rsid w:val="001F5603"/>
    <w:rsid w:val="001F57EA"/>
    <w:rsid w:val="001F6033"/>
    <w:rsid w:val="001F6404"/>
    <w:rsid w:val="001FE72C"/>
    <w:rsid w:val="00200A66"/>
    <w:rsid w:val="0020121F"/>
    <w:rsid w:val="00201583"/>
    <w:rsid w:val="00201A87"/>
    <w:rsid w:val="00201DE7"/>
    <w:rsid w:val="00202485"/>
    <w:rsid w:val="002024EA"/>
    <w:rsid w:val="002025BD"/>
    <w:rsid w:val="00202784"/>
    <w:rsid w:val="002028FF"/>
    <w:rsid w:val="002030E8"/>
    <w:rsid w:val="0020375E"/>
    <w:rsid w:val="00203AB1"/>
    <w:rsid w:val="00203DBF"/>
    <w:rsid w:val="002061E4"/>
    <w:rsid w:val="00206604"/>
    <w:rsid w:val="00206F60"/>
    <w:rsid w:val="00207CEA"/>
    <w:rsid w:val="00211102"/>
    <w:rsid w:val="00211AF2"/>
    <w:rsid w:val="00211FE9"/>
    <w:rsid w:val="0021216A"/>
    <w:rsid w:val="002125E9"/>
    <w:rsid w:val="00212C6D"/>
    <w:rsid w:val="002144FB"/>
    <w:rsid w:val="00214917"/>
    <w:rsid w:val="00214B49"/>
    <w:rsid w:val="00214D81"/>
    <w:rsid w:val="0021568C"/>
    <w:rsid w:val="00215AE3"/>
    <w:rsid w:val="00215E4A"/>
    <w:rsid w:val="00216442"/>
    <w:rsid w:val="00216E3A"/>
    <w:rsid w:val="00216F12"/>
    <w:rsid w:val="002172D1"/>
    <w:rsid w:val="00217919"/>
    <w:rsid w:val="00217921"/>
    <w:rsid w:val="002200C1"/>
    <w:rsid w:val="00220362"/>
    <w:rsid w:val="00220ED8"/>
    <w:rsid w:val="00220F60"/>
    <w:rsid w:val="002217E4"/>
    <w:rsid w:val="00221AE1"/>
    <w:rsid w:val="0022327B"/>
    <w:rsid w:val="002232D5"/>
    <w:rsid w:val="00223A81"/>
    <w:rsid w:val="00223FA2"/>
    <w:rsid w:val="002241AE"/>
    <w:rsid w:val="00225252"/>
    <w:rsid w:val="00226827"/>
    <w:rsid w:val="00226B9A"/>
    <w:rsid w:val="00232BD3"/>
    <w:rsid w:val="00232CE8"/>
    <w:rsid w:val="002332DD"/>
    <w:rsid w:val="00233F37"/>
    <w:rsid w:val="00233F5C"/>
    <w:rsid w:val="00234619"/>
    <w:rsid w:val="0023492C"/>
    <w:rsid w:val="00234AD3"/>
    <w:rsid w:val="00235284"/>
    <w:rsid w:val="002355F6"/>
    <w:rsid w:val="00236D5F"/>
    <w:rsid w:val="0023746F"/>
    <w:rsid w:val="00237637"/>
    <w:rsid w:val="002404F9"/>
    <w:rsid w:val="002406E7"/>
    <w:rsid w:val="00240746"/>
    <w:rsid w:val="00240991"/>
    <w:rsid w:val="002412CB"/>
    <w:rsid w:val="00241E11"/>
    <w:rsid w:val="00241EFC"/>
    <w:rsid w:val="002421DA"/>
    <w:rsid w:val="00243487"/>
    <w:rsid w:val="002437B7"/>
    <w:rsid w:val="002438E9"/>
    <w:rsid w:val="00244805"/>
    <w:rsid w:val="00245513"/>
    <w:rsid w:val="00245A0B"/>
    <w:rsid w:val="00247430"/>
    <w:rsid w:val="00247556"/>
    <w:rsid w:val="00250757"/>
    <w:rsid w:val="00250C0D"/>
    <w:rsid w:val="00250F00"/>
    <w:rsid w:val="002510AA"/>
    <w:rsid w:val="00251313"/>
    <w:rsid w:val="00251F21"/>
    <w:rsid w:val="00251FE4"/>
    <w:rsid w:val="00252FF0"/>
    <w:rsid w:val="002542F5"/>
    <w:rsid w:val="00254EA1"/>
    <w:rsid w:val="0025553A"/>
    <w:rsid w:val="002555FF"/>
    <w:rsid w:val="002557EB"/>
    <w:rsid w:val="00256384"/>
    <w:rsid w:val="00257438"/>
    <w:rsid w:val="00257471"/>
    <w:rsid w:val="002574CD"/>
    <w:rsid w:val="00257B08"/>
    <w:rsid w:val="00257D9E"/>
    <w:rsid w:val="00257DBA"/>
    <w:rsid w:val="0026044E"/>
    <w:rsid w:val="0026066C"/>
    <w:rsid w:val="002606AD"/>
    <w:rsid w:val="002613D2"/>
    <w:rsid w:val="002617B6"/>
    <w:rsid w:val="00261C3E"/>
    <w:rsid w:val="00261CBA"/>
    <w:rsid w:val="0026229A"/>
    <w:rsid w:val="0026284F"/>
    <w:rsid w:val="00262AB5"/>
    <w:rsid w:val="00264569"/>
    <w:rsid w:val="0026524E"/>
    <w:rsid w:val="0026571C"/>
    <w:rsid w:val="002661C7"/>
    <w:rsid w:val="002669A1"/>
    <w:rsid w:val="00266BA1"/>
    <w:rsid w:val="00266FA0"/>
    <w:rsid w:val="00267557"/>
    <w:rsid w:val="002705D9"/>
    <w:rsid w:val="00270608"/>
    <w:rsid w:val="00270E31"/>
    <w:rsid w:val="0027140B"/>
    <w:rsid w:val="00271C26"/>
    <w:rsid w:val="00271F4E"/>
    <w:rsid w:val="0027225B"/>
    <w:rsid w:val="00272967"/>
    <w:rsid w:val="00273014"/>
    <w:rsid w:val="0027310A"/>
    <w:rsid w:val="00274159"/>
    <w:rsid w:val="002748C6"/>
    <w:rsid w:val="00275E16"/>
    <w:rsid w:val="00276A23"/>
    <w:rsid w:val="00276DB6"/>
    <w:rsid w:val="00277D61"/>
    <w:rsid w:val="00280441"/>
    <w:rsid w:val="0028169E"/>
    <w:rsid w:val="002818A4"/>
    <w:rsid w:val="0028357C"/>
    <w:rsid w:val="00283CAC"/>
    <w:rsid w:val="00283CBA"/>
    <w:rsid w:val="00284989"/>
    <w:rsid w:val="00284AFF"/>
    <w:rsid w:val="00284ED6"/>
    <w:rsid w:val="002855BE"/>
    <w:rsid w:val="00286221"/>
    <w:rsid w:val="002879B7"/>
    <w:rsid w:val="00287C3D"/>
    <w:rsid w:val="00287CF2"/>
    <w:rsid w:val="002907CC"/>
    <w:rsid w:val="002909F6"/>
    <w:rsid w:val="00290CE3"/>
    <w:rsid w:val="00290DD5"/>
    <w:rsid w:val="002910AA"/>
    <w:rsid w:val="00291369"/>
    <w:rsid w:val="00291C70"/>
    <w:rsid w:val="00292080"/>
    <w:rsid w:val="00292085"/>
    <w:rsid w:val="002927FF"/>
    <w:rsid w:val="00292F9C"/>
    <w:rsid w:val="00292FC8"/>
    <w:rsid w:val="002935D0"/>
    <w:rsid w:val="0029434C"/>
    <w:rsid w:val="00294D23"/>
    <w:rsid w:val="00294F0E"/>
    <w:rsid w:val="002957DC"/>
    <w:rsid w:val="002965A5"/>
    <w:rsid w:val="00296A25"/>
    <w:rsid w:val="002972EA"/>
    <w:rsid w:val="00297885"/>
    <w:rsid w:val="00297F04"/>
    <w:rsid w:val="002A070D"/>
    <w:rsid w:val="002A0B07"/>
    <w:rsid w:val="002A1B6F"/>
    <w:rsid w:val="002A1C5D"/>
    <w:rsid w:val="002A255B"/>
    <w:rsid w:val="002A29F9"/>
    <w:rsid w:val="002A29FB"/>
    <w:rsid w:val="002A375F"/>
    <w:rsid w:val="002A3823"/>
    <w:rsid w:val="002A4873"/>
    <w:rsid w:val="002A62C1"/>
    <w:rsid w:val="002A6674"/>
    <w:rsid w:val="002A6A2A"/>
    <w:rsid w:val="002A7B35"/>
    <w:rsid w:val="002A7D22"/>
    <w:rsid w:val="002B05D6"/>
    <w:rsid w:val="002B076F"/>
    <w:rsid w:val="002B1077"/>
    <w:rsid w:val="002B1081"/>
    <w:rsid w:val="002B1381"/>
    <w:rsid w:val="002B1693"/>
    <w:rsid w:val="002B1713"/>
    <w:rsid w:val="002B1C24"/>
    <w:rsid w:val="002B1EBD"/>
    <w:rsid w:val="002B1FD6"/>
    <w:rsid w:val="002B2313"/>
    <w:rsid w:val="002B2349"/>
    <w:rsid w:val="002B25C1"/>
    <w:rsid w:val="002B2685"/>
    <w:rsid w:val="002B4281"/>
    <w:rsid w:val="002B554F"/>
    <w:rsid w:val="002B5833"/>
    <w:rsid w:val="002B58F6"/>
    <w:rsid w:val="002B6104"/>
    <w:rsid w:val="002B65CC"/>
    <w:rsid w:val="002B7359"/>
    <w:rsid w:val="002B77F9"/>
    <w:rsid w:val="002C1590"/>
    <w:rsid w:val="002C182F"/>
    <w:rsid w:val="002C1A6C"/>
    <w:rsid w:val="002C2353"/>
    <w:rsid w:val="002C24C5"/>
    <w:rsid w:val="002C3105"/>
    <w:rsid w:val="002C3F0A"/>
    <w:rsid w:val="002C3FBE"/>
    <w:rsid w:val="002C4C82"/>
    <w:rsid w:val="002C4ECB"/>
    <w:rsid w:val="002C51D0"/>
    <w:rsid w:val="002C55BF"/>
    <w:rsid w:val="002C5CC8"/>
    <w:rsid w:val="002C68C5"/>
    <w:rsid w:val="002C6EC1"/>
    <w:rsid w:val="002C7A2C"/>
    <w:rsid w:val="002C7C4D"/>
    <w:rsid w:val="002C7D3A"/>
    <w:rsid w:val="002C7D80"/>
    <w:rsid w:val="002C7FFD"/>
    <w:rsid w:val="002D0080"/>
    <w:rsid w:val="002D04D9"/>
    <w:rsid w:val="002D2888"/>
    <w:rsid w:val="002D2C3E"/>
    <w:rsid w:val="002D2F63"/>
    <w:rsid w:val="002D30F8"/>
    <w:rsid w:val="002D3102"/>
    <w:rsid w:val="002D34B3"/>
    <w:rsid w:val="002D3697"/>
    <w:rsid w:val="002D36E9"/>
    <w:rsid w:val="002D3716"/>
    <w:rsid w:val="002D4098"/>
    <w:rsid w:val="002D4438"/>
    <w:rsid w:val="002D49C9"/>
    <w:rsid w:val="002D4F76"/>
    <w:rsid w:val="002D57DC"/>
    <w:rsid w:val="002D59EB"/>
    <w:rsid w:val="002D5F66"/>
    <w:rsid w:val="002D6D6B"/>
    <w:rsid w:val="002D727D"/>
    <w:rsid w:val="002D72B8"/>
    <w:rsid w:val="002D738A"/>
    <w:rsid w:val="002D74CF"/>
    <w:rsid w:val="002D7CB2"/>
    <w:rsid w:val="002E0180"/>
    <w:rsid w:val="002E0F8C"/>
    <w:rsid w:val="002E1398"/>
    <w:rsid w:val="002E14D3"/>
    <w:rsid w:val="002E2616"/>
    <w:rsid w:val="002E29B2"/>
    <w:rsid w:val="002E2D2C"/>
    <w:rsid w:val="002E3B20"/>
    <w:rsid w:val="002E4CA0"/>
    <w:rsid w:val="002E4CB3"/>
    <w:rsid w:val="002E57A9"/>
    <w:rsid w:val="002E5A4D"/>
    <w:rsid w:val="002E5F7A"/>
    <w:rsid w:val="002E66BB"/>
    <w:rsid w:val="002E6AF8"/>
    <w:rsid w:val="002E72D0"/>
    <w:rsid w:val="002E7E3A"/>
    <w:rsid w:val="002F0096"/>
    <w:rsid w:val="002F0167"/>
    <w:rsid w:val="002F0E15"/>
    <w:rsid w:val="002F1AE3"/>
    <w:rsid w:val="002F23A1"/>
    <w:rsid w:val="002F24F0"/>
    <w:rsid w:val="002F28D8"/>
    <w:rsid w:val="002F3D9F"/>
    <w:rsid w:val="002F4201"/>
    <w:rsid w:val="002F44EE"/>
    <w:rsid w:val="002F46D0"/>
    <w:rsid w:val="002F4F95"/>
    <w:rsid w:val="002F504F"/>
    <w:rsid w:val="002F5056"/>
    <w:rsid w:val="002F5DDD"/>
    <w:rsid w:val="002F5F67"/>
    <w:rsid w:val="002F607C"/>
    <w:rsid w:val="002F60C7"/>
    <w:rsid w:val="002F641F"/>
    <w:rsid w:val="002F7727"/>
    <w:rsid w:val="00300369"/>
    <w:rsid w:val="00300A66"/>
    <w:rsid w:val="00302136"/>
    <w:rsid w:val="0030240D"/>
    <w:rsid w:val="00302680"/>
    <w:rsid w:val="00302D0C"/>
    <w:rsid w:val="00303F43"/>
    <w:rsid w:val="00304877"/>
    <w:rsid w:val="0030568A"/>
    <w:rsid w:val="00306E29"/>
    <w:rsid w:val="00307E0C"/>
    <w:rsid w:val="00310E03"/>
    <w:rsid w:val="00311865"/>
    <w:rsid w:val="0031208C"/>
    <w:rsid w:val="003125B0"/>
    <w:rsid w:val="00312EB8"/>
    <w:rsid w:val="00314292"/>
    <w:rsid w:val="00314716"/>
    <w:rsid w:val="00314C3A"/>
    <w:rsid w:val="00314E01"/>
    <w:rsid w:val="00314E1F"/>
    <w:rsid w:val="00314E7F"/>
    <w:rsid w:val="00315545"/>
    <w:rsid w:val="00316937"/>
    <w:rsid w:val="00316954"/>
    <w:rsid w:val="00317AC5"/>
    <w:rsid w:val="00320DC4"/>
    <w:rsid w:val="00321D7D"/>
    <w:rsid w:val="00322A68"/>
    <w:rsid w:val="00324495"/>
    <w:rsid w:val="00324F2D"/>
    <w:rsid w:val="00325ADD"/>
    <w:rsid w:val="00326A47"/>
    <w:rsid w:val="00326CFD"/>
    <w:rsid w:val="0032702E"/>
    <w:rsid w:val="00327A50"/>
    <w:rsid w:val="00330044"/>
    <w:rsid w:val="0033145D"/>
    <w:rsid w:val="0033277B"/>
    <w:rsid w:val="0033318A"/>
    <w:rsid w:val="003336C2"/>
    <w:rsid w:val="0033412B"/>
    <w:rsid w:val="003343FB"/>
    <w:rsid w:val="00334589"/>
    <w:rsid w:val="00334E3D"/>
    <w:rsid w:val="0033514F"/>
    <w:rsid w:val="00336809"/>
    <w:rsid w:val="00336B4A"/>
    <w:rsid w:val="00337A4F"/>
    <w:rsid w:val="003403D7"/>
    <w:rsid w:val="003412EB"/>
    <w:rsid w:val="00341859"/>
    <w:rsid w:val="00342A40"/>
    <w:rsid w:val="0034328B"/>
    <w:rsid w:val="003436DE"/>
    <w:rsid w:val="0034562A"/>
    <w:rsid w:val="00345FC6"/>
    <w:rsid w:val="00346937"/>
    <w:rsid w:val="0035183C"/>
    <w:rsid w:val="0035288C"/>
    <w:rsid w:val="00355BA1"/>
    <w:rsid w:val="00356011"/>
    <w:rsid w:val="00356B91"/>
    <w:rsid w:val="003600F2"/>
    <w:rsid w:val="003601C3"/>
    <w:rsid w:val="003605BB"/>
    <w:rsid w:val="00362C23"/>
    <w:rsid w:val="00362CB1"/>
    <w:rsid w:val="00363363"/>
    <w:rsid w:val="0036391F"/>
    <w:rsid w:val="00363DD0"/>
    <w:rsid w:val="00364FEA"/>
    <w:rsid w:val="00365001"/>
    <w:rsid w:val="00365D6B"/>
    <w:rsid w:val="00366DFC"/>
    <w:rsid w:val="00366F1E"/>
    <w:rsid w:val="00366F26"/>
    <w:rsid w:val="0036769D"/>
    <w:rsid w:val="003708E9"/>
    <w:rsid w:val="00370931"/>
    <w:rsid w:val="00371F1E"/>
    <w:rsid w:val="0037279F"/>
    <w:rsid w:val="003730D8"/>
    <w:rsid w:val="003731D1"/>
    <w:rsid w:val="00373371"/>
    <w:rsid w:val="003767D8"/>
    <w:rsid w:val="00376830"/>
    <w:rsid w:val="00377EDA"/>
    <w:rsid w:val="003806B2"/>
    <w:rsid w:val="00380DD6"/>
    <w:rsid w:val="00380EAC"/>
    <w:rsid w:val="003827F5"/>
    <w:rsid w:val="00384128"/>
    <w:rsid w:val="0038423E"/>
    <w:rsid w:val="00384BE1"/>
    <w:rsid w:val="0038633D"/>
    <w:rsid w:val="00386542"/>
    <w:rsid w:val="0038690A"/>
    <w:rsid w:val="00386A97"/>
    <w:rsid w:val="00390133"/>
    <w:rsid w:val="0039073C"/>
    <w:rsid w:val="00390823"/>
    <w:rsid w:val="00390AF5"/>
    <w:rsid w:val="00392EE5"/>
    <w:rsid w:val="00395969"/>
    <w:rsid w:val="00395ABB"/>
    <w:rsid w:val="00396496"/>
    <w:rsid w:val="003967DC"/>
    <w:rsid w:val="0039712D"/>
    <w:rsid w:val="003978AC"/>
    <w:rsid w:val="003978DC"/>
    <w:rsid w:val="00397AF8"/>
    <w:rsid w:val="00397EFC"/>
    <w:rsid w:val="003A175B"/>
    <w:rsid w:val="003A1AD5"/>
    <w:rsid w:val="003A1B2D"/>
    <w:rsid w:val="003A2A43"/>
    <w:rsid w:val="003A2F68"/>
    <w:rsid w:val="003A3F7E"/>
    <w:rsid w:val="003A4EE5"/>
    <w:rsid w:val="003A5178"/>
    <w:rsid w:val="003A5DE2"/>
    <w:rsid w:val="003A5E14"/>
    <w:rsid w:val="003A5EF9"/>
    <w:rsid w:val="003A6235"/>
    <w:rsid w:val="003A6BB9"/>
    <w:rsid w:val="003A7851"/>
    <w:rsid w:val="003B00A9"/>
    <w:rsid w:val="003B0651"/>
    <w:rsid w:val="003B07A4"/>
    <w:rsid w:val="003B0885"/>
    <w:rsid w:val="003B09B6"/>
    <w:rsid w:val="003B0E94"/>
    <w:rsid w:val="003B1968"/>
    <w:rsid w:val="003B1B8E"/>
    <w:rsid w:val="003B2111"/>
    <w:rsid w:val="003B2164"/>
    <w:rsid w:val="003B234C"/>
    <w:rsid w:val="003B297D"/>
    <w:rsid w:val="003B320C"/>
    <w:rsid w:val="003B355E"/>
    <w:rsid w:val="003B5537"/>
    <w:rsid w:val="003B5D0B"/>
    <w:rsid w:val="003B625B"/>
    <w:rsid w:val="003B720B"/>
    <w:rsid w:val="003B73DD"/>
    <w:rsid w:val="003B768A"/>
    <w:rsid w:val="003B78C1"/>
    <w:rsid w:val="003B7A60"/>
    <w:rsid w:val="003C03EE"/>
    <w:rsid w:val="003C0522"/>
    <w:rsid w:val="003C0E57"/>
    <w:rsid w:val="003C0F4A"/>
    <w:rsid w:val="003C17FF"/>
    <w:rsid w:val="003C18FA"/>
    <w:rsid w:val="003C1AC3"/>
    <w:rsid w:val="003C207F"/>
    <w:rsid w:val="003C277E"/>
    <w:rsid w:val="003C3062"/>
    <w:rsid w:val="003C3D1D"/>
    <w:rsid w:val="003C76F0"/>
    <w:rsid w:val="003D005B"/>
    <w:rsid w:val="003D0BE9"/>
    <w:rsid w:val="003D0DC6"/>
    <w:rsid w:val="003D1AB0"/>
    <w:rsid w:val="003D201D"/>
    <w:rsid w:val="003D30F6"/>
    <w:rsid w:val="003D4BAB"/>
    <w:rsid w:val="003D605E"/>
    <w:rsid w:val="003D618D"/>
    <w:rsid w:val="003D681E"/>
    <w:rsid w:val="003D7FA0"/>
    <w:rsid w:val="003E0608"/>
    <w:rsid w:val="003E15E4"/>
    <w:rsid w:val="003E24B1"/>
    <w:rsid w:val="003E2D82"/>
    <w:rsid w:val="003E38BF"/>
    <w:rsid w:val="003E39C8"/>
    <w:rsid w:val="003E3E24"/>
    <w:rsid w:val="003E40C6"/>
    <w:rsid w:val="003E4453"/>
    <w:rsid w:val="003E4AA3"/>
    <w:rsid w:val="003E4B48"/>
    <w:rsid w:val="003E50A9"/>
    <w:rsid w:val="003E6347"/>
    <w:rsid w:val="003E691E"/>
    <w:rsid w:val="003E6C2E"/>
    <w:rsid w:val="003E6FFC"/>
    <w:rsid w:val="003E718B"/>
    <w:rsid w:val="003E778E"/>
    <w:rsid w:val="003E77D0"/>
    <w:rsid w:val="003F071B"/>
    <w:rsid w:val="003F1023"/>
    <w:rsid w:val="003F1A9F"/>
    <w:rsid w:val="003F215C"/>
    <w:rsid w:val="003F23F2"/>
    <w:rsid w:val="003F3170"/>
    <w:rsid w:val="003F46F8"/>
    <w:rsid w:val="003F5C4C"/>
    <w:rsid w:val="003F670C"/>
    <w:rsid w:val="003F6CB2"/>
    <w:rsid w:val="003F6D73"/>
    <w:rsid w:val="003F7609"/>
    <w:rsid w:val="003F769C"/>
    <w:rsid w:val="003F7BF6"/>
    <w:rsid w:val="00401014"/>
    <w:rsid w:val="00401534"/>
    <w:rsid w:val="00401B85"/>
    <w:rsid w:val="00401DFC"/>
    <w:rsid w:val="00402332"/>
    <w:rsid w:val="00402540"/>
    <w:rsid w:val="00402606"/>
    <w:rsid w:val="004030BC"/>
    <w:rsid w:val="00404522"/>
    <w:rsid w:val="00404F14"/>
    <w:rsid w:val="00405338"/>
    <w:rsid w:val="00405F5A"/>
    <w:rsid w:val="00407BEF"/>
    <w:rsid w:val="00407EC8"/>
    <w:rsid w:val="00410FF0"/>
    <w:rsid w:val="00411DC9"/>
    <w:rsid w:val="00412E6E"/>
    <w:rsid w:val="00412F36"/>
    <w:rsid w:val="00413729"/>
    <w:rsid w:val="00414EA0"/>
    <w:rsid w:val="00415D9A"/>
    <w:rsid w:val="0041712D"/>
    <w:rsid w:val="00417EFE"/>
    <w:rsid w:val="0042012A"/>
    <w:rsid w:val="004216D3"/>
    <w:rsid w:val="00421A94"/>
    <w:rsid w:val="00422860"/>
    <w:rsid w:val="0042299C"/>
    <w:rsid w:val="004235C2"/>
    <w:rsid w:val="00424FE3"/>
    <w:rsid w:val="00425F37"/>
    <w:rsid w:val="00426035"/>
    <w:rsid w:val="0043101E"/>
    <w:rsid w:val="00431648"/>
    <w:rsid w:val="00431B47"/>
    <w:rsid w:val="00431C36"/>
    <w:rsid w:val="00431C41"/>
    <w:rsid w:val="004321F6"/>
    <w:rsid w:val="00432358"/>
    <w:rsid w:val="00432570"/>
    <w:rsid w:val="0043363A"/>
    <w:rsid w:val="004336ED"/>
    <w:rsid w:val="00434215"/>
    <w:rsid w:val="00434C78"/>
    <w:rsid w:val="00436252"/>
    <w:rsid w:val="00436FB1"/>
    <w:rsid w:val="004402EF"/>
    <w:rsid w:val="004404C4"/>
    <w:rsid w:val="00440556"/>
    <w:rsid w:val="00441097"/>
    <w:rsid w:val="00442484"/>
    <w:rsid w:val="0044259A"/>
    <w:rsid w:val="0044261B"/>
    <w:rsid w:val="00443231"/>
    <w:rsid w:val="00443400"/>
    <w:rsid w:val="004434F6"/>
    <w:rsid w:val="00443547"/>
    <w:rsid w:val="00443938"/>
    <w:rsid w:val="00443FB7"/>
    <w:rsid w:val="0044451F"/>
    <w:rsid w:val="004447D5"/>
    <w:rsid w:val="004450EF"/>
    <w:rsid w:val="00445686"/>
    <w:rsid w:val="00445C6B"/>
    <w:rsid w:val="00446E62"/>
    <w:rsid w:val="00447365"/>
    <w:rsid w:val="00447552"/>
    <w:rsid w:val="0044756F"/>
    <w:rsid w:val="00450395"/>
    <w:rsid w:val="004503C5"/>
    <w:rsid w:val="004507D3"/>
    <w:rsid w:val="00451DA2"/>
    <w:rsid w:val="0045245A"/>
    <w:rsid w:val="00452C40"/>
    <w:rsid w:val="00452D5D"/>
    <w:rsid w:val="004532E2"/>
    <w:rsid w:val="00453AD2"/>
    <w:rsid w:val="00454B2C"/>
    <w:rsid w:val="00455C1D"/>
    <w:rsid w:val="00457328"/>
    <w:rsid w:val="004574DA"/>
    <w:rsid w:val="00457643"/>
    <w:rsid w:val="004579D8"/>
    <w:rsid w:val="00457DA2"/>
    <w:rsid w:val="00457DA9"/>
    <w:rsid w:val="0046024E"/>
    <w:rsid w:val="00460F2B"/>
    <w:rsid w:val="00461A9E"/>
    <w:rsid w:val="00462C11"/>
    <w:rsid w:val="00463C64"/>
    <w:rsid w:val="00464191"/>
    <w:rsid w:val="00464B82"/>
    <w:rsid w:val="004652F7"/>
    <w:rsid w:val="00465526"/>
    <w:rsid w:val="00465A7D"/>
    <w:rsid w:val="00465B62"/>
    <w:rsid w:val="00466DC1"/>
    <w:rsid w:val="004701EC"/>
    <w:rsid w:val="004710BC"/>
    <w:rsid w:val="0047158C"/>
    <w:rsid w:val="00471D83"/>
    <w:rsid w:val="00472121"/>
    <w:rsid w:val="0047251B"/>
    <w:rsid w:val="004725A7"/>
    <w:rsid w:val="00472DDA"/>
    <w:rsid w:val="0047309E"/>
    <w:rsid w:val="00473791"/>
    <w:rsid w:val="0047431E"/>
    <w:rsid w:val="0047458A"/>
    <w:rsid w:val="00474872"/>
    <w:rsid w:val="00474DA3"/>
    <w:rsid w:val="00475107"/>
    <w:rsid w:val="00475C37"/>
    <w:rsid w:val="00476D19"/>
    <w:rsid w:val="00476DE5"/>
    <w:rsid w:val="00477C69"/>
    <w:rsid w:val="0048051E"/>
    <w:rsid w:val="0048098C"/>
    <w:rsid w:val="004821BF"/>
    <w:rsid w:val="00482379"/>
    <w:rsid w:val="0048355C"/>
    <w:rsid w:val="004837A6"/>
    <w:rsid w:val="00483B8E"/>
    <w:rsid w:val="00483D94"/>
    <w:rsid w:val="004840C3"/>
    <w:rsid w:val="004843EE"/>
    <w:rsid w:val="00484DE3"/>
    <w:rsid w:val="004857E4"/>
    <w:rsid w:val="004862A7"/>
    <w:rsid w:val="0048693F"/>
    <w:rsid w:val="00486E74"/>
    <w:rsid w:val="00490BC6"/>
    <w:rsid w:val="00490F32"/>
    <w:rsid w:val="004924DF"/>
    <w:rsid w:val="004933E7"/>
    <w:rsid w:val="00493BA1"/>
    <w:rsid w:val="00495251"/>
    <w:rsid w:val="00497036"/>
    <w:rsid w:val="0049717E"/>
    <w:rsid w:val="00497414"/>
    <w:rsid w:val="0049775F"/>
    <w:rsid w:val="00497D96"/>
    <w:rsid w:val="00497F1A"/>
    <w:rsid w:val="004A0433"/>
    <w:rsid w:val="004A0C70"/>
    <w:rsid w:val="004A17C8"/>
    <w:rsid w:val="004A190B"/>
    <w:rsid w:val="004A19FD"/>
    <w:rsid w:val="004A1AF7"/>
    <w:rsid w:val="004A25BB"/>
    <w:rsid w:val="004A3C70"/>
    <w:rsid w:val="004A4100"/>
    <w:rsid w:val="004A42C1"/>
    <w:rsid w:val="004A442A"/>
    <w:rsid w:val="004A4DAC"/>
    <w:rsid w:val="004A753F"/>
    <w:rsid w:val="004A7B16"/>
    <w:rsid w:val="004A7B32"/>
    <w:rsid w:val="004B0578"/>
    <w:rsid w:val="004B13B9"/>
    <w:rsid w:val="004B18B5"/>
    <w:rsid w:val="004B18FF"/>
    <w:rsid w:val="004B3376"/>
    <w:rsid w:val="004B423D"/>
    <w:rsid w:val="004B43E1"/>
    <w:rsid w:val="004B5138"/>
    <w:rsid w:val="004B5A45"/>
    <w:rsid w:val="004B784C"/>
    <w:rsid w:val="004C0694"/>
    <w:rsid w:val="004C09E4"/>
    <w:rsid w:val="004C0B4E"/>
    <w:rsid w:val="004C0C90"/>
    <w:rsid w:val="004C1564"/>
    <w:rsid w:val="004C2C53"/>
    <w:rsid w:val="004C2C87"/>
    <w:rsid w:val="004C4F1D"/>
    <w:rsid w:val="004C5018"/>
    <w:rsid w:val="004C5465"/>
    <w:rsid w:val="004C6962"/>
    <w:rsid w:val="004C6A16"/>
    <w:rsid w:val="004C715F"/>
    <w:rsid w:val="004C75ED"/>
    <w:rsid w:val="004C7851"/>
    <w:rsid w:val="004D008F"/>
    <w:rsid w:val="004D0B9E"/>
    <w:rsid w:val="004D1028"/>
    <w:rsid w:val="004D2229"/>
    <w:rsid w:val="004D3439"/>
    <w:rsid w:val="004D3A76"/>
    <w:rsid w:val="004D3AFF"/>
    <w:rsid w:val="004D40FB"/>
    <w:rsid w:val="004D43FD"/>
    <w:rsid w:val="004D59DD"/>
    <w:rsid w:val="004D6189"/>
    <w:rsid w:val="004D6E9E"/>
    <w:rsid w:val="004D6EE4"/>
    <w:rsid w:val="004D756A"/>
    <w:rsid w:val="004D759A"/>
    <w:rsid w:val="004D7866"/>
    <w:rsid w:val="004E05F1"/>
    <w:rsid w:val="004E071D"/>
    <w:rsid w:val="004E4A56"/>
    <w:rsid w:val="004E4B8C"/>
    <w:rsid w:val="004E4F5C"/>
    <w:rsid w:val="004E5775"/>
    <w:rsid w:val="004E5975"/>
    <w:rsid w:val="004E5E53"/>
    <w:rsid w:val="004E6180"/>
    <w:rsid w:val="004E635A"/>
    <w:rsid w:val="004E697F"/>
    <w:rsid w:val="004E6D80"/>
    <w:rsid w:val="004E799C"/>
    <w:rsid w:val="004E7BC3"/>
    <w:rsid w:val="004F008B"/>
    <w:rsid w:val="004F01A1"/>
    <w:rsid w:val="004F030C"/>
    <w:rsid w:val="004F08A9"/>
    <w:rsid w:val="004F1C5D"/>
    <w:rsid w:val="004F1DF8"/>
    <w:rsid w:val="004F248D"/>
    <w:rsid w:val="004F24DD"/>
    <w:rsid w:val="004F2563"/>
    <w:rsid w:val="004F2615"/>
    <w:rsid w:val="004F324C"/>
    <w:rsid w:val="004F377C"/>
    <w:rsid w:val="004F3AFE"/>
    <w:rsid w:val="004F4259"/>
    <w:rsid w:val="004F53A6"/>
    <w:rsid w:val="004F5CF3"/>
    <w:rsid w:val="005008F9"/>
    <w:rsid w:val="00501767"/>
    <w:rsid w:val="005018A5"/>
    <w:rsid w:val="00501A6A"/>
    <w:rsid w:val="00501B96"/>
    <w:rsid w:val="00502CC7"/>
    <w:rsid w:val="00502F17"/>
    <w:rsid w:val="005030BF"/>
    <w:rsid w:val="00503C68"/>
    <w:rsid w:val="00503EC8"/>
    <w:rsid w:val="0050449F"/>
    <w:rsid w:val="00504ADA"/>
    <w:rsid w:val="00504C15"/>
    <w:rsid w:val="00504D22"/>
    <w:rsid w:val="0050539B"/>
    <w:rsid w:val="0050609E"/>
    <w:rsid w:val="005061EF"/>
    <w:rsid w:val="00506650"/>
    <w:rsid w:val="00506CC8"/>
    <w:rsid w:val="0050772B"/>
    <w:rsid w:val="005079A5"/>
    <w:rsid w:val="00510CFC"/>
    <w:rsid w:val="00510E97"/>
    <w:rsid w:val="005119A5"/>
    <w:rsid w:val="00511CA0"/>
    <w:rsid w:val="0051274D"/>
    <w:rsid w:val="00512A9E"/>
    <w:rsid w:val="00513C8B"/>
    <w:rsid w:val="00514183"/>
    <w:rsid w:val="005142B2"/>
    <w:rsid w:val="0051487E"/>
    <w:rsid w:val="00514911"/>
    <w:rsid w:val="00514E6E"/>
    <w:rsid w:val="00514F12"/>
    <w:rsid w:val="0051537B"/>
    <w:rsid w:val="005166F3"/>
    <w:rsid w:val="00517870"/>
    <w:rsid w:val="00517BBB"/>
    <w:rsid w:val="005204A4"/>
    <w:rsid w:val="00520612"/>
    <w:rsid w:val="0052124C"/>
    <w:rsid w:val="005215B3"/>
    <w:rsid w:val="00521792"/>
    <w:rsid w:val="00521CB4"/>
    <w:rsid w:val="005225B2"/>
    <w:rsid w:val="005251F3"/>
    <w:rsid w:val="005253F2"/>
    <w:rsid w:val="00525594"/>
    <w:rsid w:val="005259F9"/>
    <w:rsid w:val="00526006"/>
    <w:rsid w:val="0052600F"/>
    <w:rsid w:val="0052618C"/>
    <w:rsid w:val="005267F7"/>
    <w:rsid w:val="00526B81"/>
    <w:rsid w:val="00527C6A"/>
    <w:rsid w:val="0053013D"/>
    <w:rsid w:val="0053053A"/>
    <w:rsid w:val="0053061D"/>
    <w:rsid w:val="0053098A"/>
    <w:rsid w:val="00530CB2"/>
    <w:rsid w:val="005322CE"/>
    <w:rsid w:val="005324B3"/>
    <w:rsid w:val="00533225"/>
    <w:rsid w:val="00533991"/>
    <w:rsid w:val="00533C4F"/>
    <w:rsid w:val="0053439E"/>
    <w:rsid w:val="00534DDE"/>
    <w:rsid w:val="00535304"/>
    <w:rsid w:val="005361ED"/>
    <w:rsid w:val="00537155"/>
    <w:rsid w:val="00537728"/>
    <w:rsid w:val="00537931"/>
    <w:rsid w:val="00537B6A"/>
    <w:rsid w:val="005404AC"/>
    <w:rsid w:val="0054142D"/>
    <w:rsid w:val="00541C71"/>
    <w:rsid w:val="00541C87"/>
    <w:rsid w:val="005426FB"/>
    <w:rsid w:val="00542BAE"/>
    <w:rsid w:val="00542DD0"/>
    <w:rsid w:val="00543228"/>
    <w:rsid w:val="0054360B"/>
    <w:rsid w:val="0054361F"/>
    <w:rsid w:val="00543EB9"/>
    <w:rsid w:val="0054493C"/>
    <w:rsid w:val="00545BA0"/>
    <w:rsid w:val="0054690B"/>
    <w:rsid w:val="00546A56"/>
    <w:rsid w:val="00547013"/>
    <w:rsid w:val="005473E9"/>
    <w:rsid w:val="00547BB9"/>
    <w:rsid w:val="0055011F"/>
    <w:rsid w:val="005509CB"/>
    <w:rsid w:val="00551085"/>
    <w:rsid w:val="0055127C"/>
    <w:rsid w:val="0055225B"/>
    <w:rsid w:val="005529A7"/>
    <w:rsid w:val="00552F8C"/>
    <w:rsid w:val="00553F28"/>
    <w:rsid w:val="00554577"/>
    <w:rsid w:val="0055482F"/>
    <w:rsid w:val="0055507C"/>
    <w:rsid w:val="005552D0"/>
    <w:rsid w:val="00555558"/>
    <w:rsid w:val="0055564F"/>
    <w:rsid w:val="00555CEF"/>
    <w:rsid w:val="00556634"/>
    <w:rsid w:val="005567FA"/>
    <w:rsid w:val="0055689A"/>
    <w:rsid w:val="005569D3"/>
    <w:rsid w:val="00556BA7"/>
    <w:rsid w:val="00556C1E"/>
    <w:rsid w:val="005573A6"/>
    <w:rsid w:val="00557653"/>
    <w:rsid w:val="005576EA"/>
    <w:rsid w:val="00561220"/>
    <w:rsid w:val="005617CE"/>
    <w:rsid w:val="00561E0C"/>
    <w:rsid w:val="0056203F"/>
    <w:rsid w:val="00563570"/>
    <w:rsid w:val="0056385C"/>
    <w:rsid w:val="005640DE"/>
    <w:rsid w:val="0056449B"/>
    <w:rsid w:val="00564AC5"/>
    <w:rsid w:val="00564B63"/>
    <w:rsid w:val="00564FC6"/>
    <w:rsid w:val="00566450"/>
    <w:rsid w:val="005665E4"/>
    <w:rsid w:val="00566BF0"/>
    <w:rsid w:val="00567CFD"/>
    <w:rsid w:val="00570605"/>
    <w:rsid w:val="0057064D"/>
    <w:rsid w:val="00570F3C"/>
    <w:rsid w:val="00571234"/>
    <w:rsid w:val="005718A8"/>
    <w:rsid w:val="00571DD5"/>
    <w:rsid w:val="00571FC7"/>
    <w:rsid w:val="005721A2"/>
    <w:rsid w:val="005726C4"/>
    <w:rsid w:val="005728AD"/>
    <w:rsid w:val="00573E39"/>
    <w:rsid w:val="005746A4"/>
    <w:rsid w:val="00574E3B"/>
    <w:rsid w:val="00574EC1"/>
    <w:rsid w:val="0057694F"/>
    <w:rsid w:val="005769FE"/>
    <w:rsid w:val="00576FD8"/>
    <w:rsid w:val="005779A8"/>
    <w:rsid w:val="00577AAF"/>
    <w:rsid w:val="00580390"/>
    <w:rsid w:val="0058088E"/>
    <w:rsid w:val="00580C6B"/>
    <w:rsid w:val="00580F77"/>
    <w:rsid w:val="0058137C"/>
    <w:rsid w:val="00581AE4"/>
    <w:rsid w:val="0058259E"/>
    <w:rsid w:val="00582E0A"/>
    <w:rsid w:val="00582F6C"/>
    <w:rsid w:val="005839F1"/>
    <w:rsid w:val="005842F8"/>
    <w:rsid w:val="00584380"/>
    <w:rsid w:val="00584A63"/>
    <w:rsid w:val="00584C06"/>
    <w:rsid w:val="00585330"/>
    <w:rsid w:val="00585832"/>
    <w:rsid w:val="00585B14"/>
    <w:rsid w:val="00585C8A"/>
    <w:rsid w:val="00585DAC"/>
    <w:rsid w:val="00586211"/>
    <w:rsid w:val="005865BA"/>
    <w:rsid w:val="005909CD"/>
    <w:rsid w:val="00590B1A"/>
    <w:rsid w:val="005911D6"/>
    <w:rsid w:val="00592311"/>
    <w:rsid w:val="0059349D"/>
    <w:rsid w:val="005934B9"/>
    <w:rsid w:val="00593D68"/>
    <w:rsid w:val="005940F3"/>
    <w:rsid w:val="0059460E"/>
    <w:rsid w:val="00595545"/>
    <w:rsid w:val="0059567B"/>
    <w:rsid w:val="005958B0"/>
    <w:rsid w:val="00595943"/>
    <w:rsid w:val="00596A4F"/>
    <w:rsid w:val="00597B07"/>
    <w:rsid w:val="00597DDD"/>
    <w:rsid w:val="005A19CF"/>
    <w:rsid w:val="005A1BFE"/>
    <w:rsid w:val="005A2859"/>
    <w:rsid w:val="005A2E27"/>
    <w:rsid w:val="005A2FD4"/>
    <w:rsid w:val="005A3AF0"/>
    <w:rsid w:val="005A4017"/>
    <w:rsid w:val="005A4243"/>
    <w:rsid w:val="005A436B"/>
    <w:rsid w:val="005A4B42"/>
    <w:rsid w:val="005A568E"/>
    <w:rsid w:val="005A5919"/>
    <w:rsid w:val="005A60B1"/>
    <w:rsid w:val="005B0D8C"/>
    <w:rsid w:val="005B18C0"/>
    <w:rsid w:val="005B2529"/>
    <w:rsid w:val="005B2F01"/>
    <w:rsid w:val="005B3232"/>
    <w:rsid w:val="005B4805"/>
    <w:rsid w:val="005B5427"/>
    <w:rsid w:val="005B5E7F"/>
    <w:rsid w:val="005B689E"/>
    <w:rsid w:val="005C00D8"/>
    <w:rsid w:val="005C0586"/>
    <w:rsid w:val="005C05A4"/>
    <w:rsid w:val="005C0908"/>
    <w:rsid w:val="005C09AA"/>
    <w:rsid w:val="005C15C8"/>
    <w:rsid w:val="005C16B0"/>
    <w:rsid w:val="005C1814"/>
    <w:rsid w:val="005C1F3A"/>
    <w:rsid w:val="005C282E"/>
    <w:rsid w:val="005C2B16"/>
    <w:rsid w:val="005C3C18"/>
    <w:rsid w:val="005C4089"/>
    <w:rsid w:val="005C4101"/>
    <w:rsid w:val="005C49DD"/>
    <w:rsid w:val="005C4B83"/>
    <w:rsid w:val="005C562E"/>
    <w:rsid w:val="005C5A8F"/>
    <w:rsid w:val="005C68F1"/>
    <w:rsid w:val="005C6FEE"/>
    <w:rsid w:val="005C736F"/>
    <w:rsid w:val="005C7B8E"/>
    <w:rsid w:val="005C7DDB"/>
    <w:rsid w:val="005C7E39"/>
    <w:rsid w:val="005D084D"/>
    <w:rsid w:val="005D08BC"/>
    <w:rsid w:val="005D1482"/>
    <w:rsid w:val="005D2299"/>
    <w:rsid w:val="005D392B"/>
    <w:rsid w:val="005D444E"/>
    <w:rsid w:val="005D4DDA"/>
    <w:rsid w:val="005D54BE"/>
    <w:rsid w:val="005D56B9"/>
    <w:rsid w:val="005D6C11"/>
    <w:rsid w:val="005D6E93"/>
    <w:rsid w:val="005E07BC"/>
    <w:rsid w:val="005E09B8"/>
    <w:rsid w:val="005E1246"/>
    <w:rsid w:val="005E1D79"/>
    <w:rsid w:val="005E1E3D"/>
    <w:rsid w:val="005E21E7"/>
    <w:rsid w:val="005E22B5"/>
    <w:rsid w:val="005E2643"/>
    <w:rsid w:val="005E2896"/>
    <w:rsid w:val="005E2FB4"/>
    <w:rsid w:val="005E3BA8"/>
    <w:rsid w:val="005E5749"/>
    <w:rsid w:val="005E588D"/>
    <w:rsid w:val="005E5CBB"/>
    <w:rsid w:val="005E5CF4"/>
    <w:rsid w:val="005E60B9"/>
    <w:rsid w:val="005E6F46"/>
    <w:rsid w:val="005F063C"/>
    <w:rsid w:val="005F14BD"/>
    <w:rsid w:val="005F1B8B"/>
    <w:rsid w:val="005F1D1F"/>
    <w:rsid w:val="005F1FBE"/>
    <w:rsid w:val="005F2790"/>
    <w:rsid w:val="005F3C95"/>
    <w:rsid w:val="005F571E"/>
    <w:rsid w:val="005F69A3"/>
    <w:rsid w:val="005F6BA7"/>
    <w:rsid w:val="00600B76"/>
    <w:rsid w:val="00602371"/>
    <w:rsid w:val="0060298F"/>
    <w:rsid w:val="00604499"/>
    <w:rsid w:val="0060464E"/>
    <w:rsid w:val="0060675B"/>
    <w:rsid w:val="00607146"/>
    <w:rsid w:val="0060717B"/>
    <w:rsid w:val="006111B1"/>
    <w:rsid w:val="006114B5"/>
    <w:rsid w:val="00611F93"/>
    <w:rsid w:val="00613376"/>
    <w:rsid w:val="006138D7"/>
    <w:rsid w:val="006142C9"/>
    <w:rsid w:val="006144BB"/>
    <w:rsid w:val="00614B7F"/>
    <w:rsid w:val="00615710"/>
    <w:rsid w:val="00615B26"/>
    <w:rsid w:val="00616C48"/>
    <w:rsid w:val="00616F5D"/>
    <w:rsid w:val="006171A5"/>
    <w:rsid w:val="00620049"/>
    <w:rsid w:val="00620203"/>
    <w:rsid w:val="006209B5"/>
    <w:rsid w:val="00621592"/>
    <w:rsid w:val="0062160A"/>
    <w:rsid w:val="00621638"/>
    <w:rsid w:val="00621A8C"/>
    <w:rsid w:val="00621C12"/>
    <w:rsid w:val="006222C7"/>
    <w:rsid w:val="006233A4"/>
    <w:rsid w:val="00623680"/>
    <w:rsid w:val="00623C86"/>
    <w:rsid w:val="0062417C"/>
    <w:rsid w:val="00624259"/>
    <w:rsid w:val="00624D8B"/>
    <w:rsid w:val="00625386"/>
    <w:rsid w:val="006268D0"/>
    <w:rsid w:val="006301CC"/>
    <w:rsid w:val="006303D5"/>
    <w:rsid w:val="0063041E"/>
    <w:rsid w:val="00630AEA"/>
    <w:rsid w:val="006318EF"/>
    <w:rsid w:val="00631AC5"/>
    <w:rsid w:val="00633D5F"/>
    <w:rsid w:val="00633DED"/>
    <w:rsid w:val="00634150"/>
    <w:rsid w:val="00634350"/>
    <w:rsid w:val="00635A13"/>
    <w:rsid w:val="00635F2C"/>
    <w:rsid w:val="0063606B"/>
    <w:rsid w:val="00636885"/>
    <w:rsid w:val="00637084"/>
    <w:rsid w:val="0063708A"/>
    <w:rsid w:val="00637A79"/>
    <w:rsid w:val="00637BDF"/>
    <w:rsid w:val="00641B35"/>
    <w:rsid w:val="00642022"/>
    <w:rsid w:val="0064215D"/>
    <w:rsid w:val="00643678"/>
    <w:rsid w:val="00643999"/>
    <w:rsid w:val="00643AA7"/>
    <w:rsid w:val="00643F59"/>
    <w:rsid w:val="0064466C"/>
    <w:rsid w:val="00644D21"/>
    <w:rsid w:val="00644D7E"/>
    <w:rsid w:val="00644DBE"/>
    <w:rsid w:val="00645F8A"/>
    <w:rsid w:val="006463B5"/>
    <w:rsid w:val="0064777E"/>
    <w:rsid w:val="00650221"/>
    <w:rsid w:val="00650FA7"/>
    <w:rsid w:val="00650FBB"/>
    <w:rsid w:val="00651188"/>
    <w:rsid w:val="00651396"/>
    <w:rsid w:val="006514DC"/>
    <w:rsid w:val="00651C53"/>
    <w:rsid w:val="00652B4A"/>
    <w:rsid w:val="00652F33"/>
    <w:rsid w:val="00653A90"/>
    <w:rsid w:val="00653C00"/>
    <w:rsid w:val="00653E40"/>
    <w:rsid w:val="0065592E"/>
    <w:rsid w:val="00656753"/>
    <w:rsid w:val="00656F68"/>
    <w:rsid w:val="00657438"/>
    <w:rsid w:val="00660755"/>
    <w:rsid w:val="00660D58"/>
    <w:rsid w:val="006612C0"/>
    <w:rsid w:val="00661672"/>
    <w:rsid w:val="00661977"/>
    <w:rsid w:val="0066255C"/>
    <w:rsid w:val="00662A87"/>
    <w:rsid w:val="00662B42"/>
    <w:rsid w:val="00662D9D"/>
    <w:rsid w:val="0066338A"/>
    <w:rsid w:val="00664625"/>
    <w:rsid w:val="006647E0"/>
    <w:rsid w:val="00664D6A"/>
    <w:rsid w:val="006654B1"/>
    <w:rsid w:val="00665825"/>
    <w:rsid w:val="00665925"/>
    <w:rsid w:val="006666A3"/>
    <w:rsid w:val="00667658"/>
    <w:rsid w:val="006677A8"/>
    <w:rsid w:val="006677C3"/>
    <w:rsid w:val="00667EC7"/>
    <w:rsid w:val="00670705"/>
    <w:rsid w:val="006711EB"/>
    <w:rsid w:val="00671BA1"/>
    <w:rsid w:val="00672243"/>
    <w:rsid w:val="00672345"/>
    <w:rsid w:val="00672DCE"/>
    <w:rsid w:val="00672FE7"/>
    <w:rsid w:val="00673616"/>
    <w:rsid w:val="0067370E"/>
    <w:rsid w:val="006744AC"/>
    <w:rsid w:val="00674C19"/>
    <w:rsid w:val="00674E72"/>
    <w:rsid w:val="00675775"/>
    <w:rsid w:val="00675890"/>
    <w:rsid w:val="00675A72"/>
    <w:rsid w:val="0068057D"/>
    <w:rsid w:val="006805B1"/>
    <w:rsid w:val="00680834"/>
    <w:rsid w:val="00680EAE"/>
    <w:rsid w:val="0068172A"/>
    <w:rsid w:val="00681F8D"/>
    <w:rsid w:val="0068201D"/>
    <w:rsid w:val="00682F9F"/>
    <w:rsid w:val="00683223"/>
    <w:rsid w:val="0068364E"/>
    <w:rsid w:val="00685170"/>
    <w:rsid w:val="00685ADA"/>
    <w:rsid w:val="006868D6"/>
    <w:rsid w:val="00686A4F"/>
    <w:rsid w:val="00686B28"/>
    <w:rsid w:val="00687B0B"/>
    <w:rsid w:val="00690CFC"/>
    <w:rsid w:val="0069117D"/>
    <w:rsid w:val="00691D1E"/>
    <w:rsid w:val="00692E44"/>
    <w:rsid w:val="00693127"/>
    <w:rsid w:val="006932C1"/>
    <w:rsid w:val="00693710"/>
    <w:rsid w:val="00694209"/>
    <w:rsid w:val="00694529"/>
    <w:rsid w:val="006949CC"/>
    <w:rsid w:val="00694D71"/>
    <w:rsid w:val="00694E30"/>
    <w:rsid w:val="0069562F"/>
    <w:rsid w:val="006956EB"/>
    <w:rsid w:val="00695C7E"/>
    <w:rsid w:val="0069631F"/>
    <w:rsid w:val="006965F2"/>
    <w:rsid w:val="006971A6"/>
    <w:rsid w:val="006A0059"/>
    <w:rsid w:val="006A052C"/>
    <w:rsid w:val="006A061C"/>
    <w:rsid w:val="006A1580"/>
    <w:rsid w:val="006A1B97"/>
    <w:rsid w:val="006A1C05"/>
    <w:rsid w:val="006A1E2E"/>
    <w:rsid w:val="006A23EF"/>
    <w:rsid w:val="006A2C45"/>
    <w:rsid w:val="006A540B"/>
    <w:rsid w:val="006A5F9D"/>
    <w:rsid w:val="006A61A3"/>
    <w:rsid w:val="006A7C1A"/>
    <w:rsid w:val="006B1292"/>
    <w:rsid w:val="006B15F5"/>
    <w:rsid w:val="006B2BE2"/>
    <w:rsid w:val="006B332C"/>
    <w:rsid w:val="006B4F44"/>
    <w:rsid w:val="006B50A9"/>
    <w:rsid w:val="006B5296"/>
    <w:rsid w:val="006B5497"/>
    <w:rsid w:val="006B6526"/>
    <w:rsid w:val="006B6EA9"/>
    <w:rsid w:val="006B734F"/>
    <w:rsid w:val="006B7963"/>
    <w:rsid w:val="006B7A0C"/>
    <w:rsid w:val="006B7BCE"/>
    <w:rsid w:val="006C08AD"/>
    <w:rsid w:val="006C397B"/>
    <w:rsid w:val="006C49CC"/>
    <w:rsid w:val="006C4FDC"/>
    <w:rsid w:val="006C53C1"/>
    <w:rsid w:val="006C54EA"/>
    <w:rsid w:val="006C5A5C"/>
    <w:rsid w:val="006C633D"/>
    <w:rsid w:val="006C7A54"/>
    <w:rsid w:val="006D00A5"/>
    <w:rsid w:val="006D038E"/>
    <w:rsid w:val="006D181D"/>
    <w:rsid w:val="006D1B69"/>
    <w:rsid w:val="006D24A4"/>
    <w:rsid w:val="006D2BBB"/>
    <w:rsid w:val="006D356E"/>
    <w:rsid w:val="006D3FAD"/>
    <w:rsid w:val="006D45CE"/>
    <w:rsid w:val="006D4BC7"/>
    <w:rsid w:val="006D4E1C"/>
    <w:rsid w:val="006D4E56"/>
    <w:rsid w:val="006D5D6E"/>
    <w:rsid w:val="006D6FE7"/>
    <w:rsid w:val="006D72A9"/>
    <w:rsid w:val="006D740F"/>
    <w:rsid w:val="006D750F"/>
    <w:rsid w:val="006D7A0F"/>
    <w:rsid w:val="006E03ED"/>
    <w:rsid w:val="006E0446"/>
    <w:rsid w:val="006E0F00"/>
    <w:rsid w:val="006E1A17"/>
    <w:rsid w:val="006E212B"/>
    <w:rsid w:val="006E2A9F"/>
    <w:rsid w:val="006E2AB3"/>
    <w:rsid w:val="006E307A"/>
    <w:rsid w:val="006E30C6"/>
    <w:rsid w:val="006E3331"/>
    <w:rsid w:val="006E430F"/>
    <w:rsid w:val="006E4AD4"/>
    <w:rsid w:val="006E4CDA"/>
    <w:rsid w:val="006E4D79"/>
    <w:rsid w:val="006E540C"/>
    <w:rsid w:val="006E56B3"/>
    <w:rsid w:val="006E57B1"/>
    <w:rsid w:val="006E5894"/>
    <w:rsid w:val="006E5933"/>
    <w:rsid w:val="006E6338"/>
    <w:rsid w:val="006E6BC3"/>
    <w:rsid w:val="006F02C5"/>
    <w:rsid w:val="006F0818"/>
    <w:rsid w:val="006F0F5E"/>
    <w:rsid w:val="006F1F43"/>
    <w:rsid w:val="006F212A"/>
    <w:rsid w:val="006F2945"/>
    <w:rsid w:val="006F4BFD"/>
    <w:rsid w:val="006F4C1D"/>
    <w:rsid w:val="006F56CE"/>
    <w:rsid w:val="006F5CE4"/>
    <w:rsid w:val="006F606D"/>
    <w:rsid w:val="006F63A3"/>
    <w:rsid w:val="006F656F"/>
    <w:rsid w:val="006F6684"/>
    <w:rsid w:val="006F69FD"/>
    <w:rsid w:val="006F70A9"/>
    <w:rsid w:val="00700782"/>
    <w:rsid w:val="007008D0"/>
    <w:rsid w:val="00701272"/>
    <w:rsid w:val="007014B2"/>
    <w:rsid w:val="007017EF"/>
    <w:rsid w:val="007027C2"/>
    <w:rsid w:val="0070283B"/>
    <w:rsid w:val="0070290C"/>
    <w:rsid w:val="00703773"/>
    <w:rsid w:val="00704289"/>
    <w:rsid w:val="00704382"/>
    <w:rsid w:val="0070496F"/>
    <w:rsid w:val="00704DE5"/>
    <w:rsid w:val="007066AB"/>
    <w:rsid w:val="00706E6A"/>
    <w:rsid w:val="007103BC"/>
    <w:rsid w:val="00710681"/>
    <w:rsid w:val="00710855"/>
    <w:rsid w:val="00710A9B"/>
    <w:rsid w:val="00711BD6"/>
    <w:rsid w:val="00711D2D"/>
    <w:rsid w:val="007122F2"/>
    <w:rsid w:val="007126F0"/>
    <w:rsid w:val="00713504"/>
    <w:rsid w:val="00713A96"/>
    <w:rsid w:val="0071447F"/>
    <w:rsid w:val="00715799"/>
    <w:rsid w:val="00716244"/>
    <w:rsid w:val="00716DD3"/>
    <w:rsid w:val="00716FDD"/>
    <w:rsid w:val="00717CD2"/>
    <w:rsid w:val="00720F15"/>
    <w:rsid w:val="007211D8"/>
    <w:rsid w:val="007212B2"/>
    <w:rsid w:val="007212CE"/>
    <w:rsid w:val="00721A57"/>
    <w:rsid w:val="00721ED5"/>
    <w:rsid w:val="00722884"/>
    <w:rsid w:val="00723145"/>
    <w:rsid w:val="00723717"/>
    <w:rsid w:val="007238DF"/>
    <w:rsid w:val="007239AF"/>
    <w:rsid w:val="00725292"/>
    <w:rsid w:val="00725735"/>
    <w:rsid w:val="00726BD2"/>
    <w:rsid w:val="00726C06"/>
    <w:rsid w:val="007276F6"/>
    <w:rsid w:val="007278DD"/>
    <w:rsid w:val="00727927"/>
    <w:rsid w:val="00727B0A"/>
    <w:rsid w:val="00727BC6"/>
    <w:rsid w:val="00730696"/>
    <w:rsid w:val="00730F70"/>
    <w:rsid w:val="00731E52"/>
    <w:rsid w:val="007328F4"/>
    <w:rsid w:val="00732F56"/>
    <w:rsid w:val="00733AF7"/>
    <w:rsid w:val="007342F8"/>
    <w:rsid w:val="00735015"/>
    <w:rsid w:val="00735F38"/>
    <w:rsid w:val="00736763"/>
    <w:rsid w:val="007368E1"/>
    <w:rsid w:val="0073771E"/>
    <w:rsid w:val="00737BDB"/>
    <w:rsid w:val="00737C79"/>
    <w:rsid w:val="00737E15"/>
    <w:rsid w:val="00740E88"/>
    <w:rsid w:val="007414C8"/>
    <w:rsid w:val="00742595"/>
    <w:rsid w:val="007426CC"/>
    <w:rsid w:val="007433BD"/>
    <w:rsid w:val="00744177"/>
    <w:rsid w:val="0074436A"/>
    <w:rsid w:val="0074458C"/>
    <w:rsid w:val="007445A1"/>
    <w:rsid w:val="0074497F"/>
    <w:rsid w:val="00744C0A"/>
    <w:rsid w:val="00744C25"/>
    <w:rsid w:val="00745353"/>
    <w:rsid w:val="00745834"/>
    <w:rsid w:val="00746E97"/>
    <w:rsid w:val="0074749F"/>
    <w:rsid w:val="007479A1"/>
    <w:rsid w:val="00747DCF"/>
    <w:rsid w:val="007504E4"/>
    <w:rsid w:val="00750AB7"/>
    <w:rsid w:val="00750B1A"/>
    <w:rsid w:val="0075194D"/>
    <w:rsid w:val="00751BA4"/>
    <w:rsid w:val="007522EA"/>
    <w:rsid w:val="00752647"/>
    <w:rsid w:val="00753263"/>
    <w:rsid w:val="00753BE6"/>
    <w:rsid w:val="00753E48"/>
    <w:rsid w:val="007540D0"/>
    <w:rsid w:val="0075443E"/>
    <w:rsid w:val="00756241"/>
    <w:rsid w:val="00756506"/>
    <w:rsid w:val="007578F1"/>
    <w:rsid w:val="007602AD"/>
    <w:rsid w:val="00761226"/>
    <w:rsid w:val="007613BC"/>
    <w:rsid w:val="007619E1"/>
    <w:rsid w:val="00762090"/>
    <w:rsid w:val="007620B3"/>
    <w:rsid w:val="007631F7"/>
    <w:rsid w:val="0076470D"/>
    <w:rsid w:val="0076575E"/>
    <w:rsid w:val="00765C20"/>
    <w:rsid w:val="007663CD"/>
    <w:rsid w:val="0076671C"/>
    <w:rsid w:val="00766CEE"/>
    <w:rsid w:val="00767469"/>
    <w:rsid w:val="0076784A"/>
    <w:rsid w:val="00767D2A"/>
    <w:rsid w:val="00767E2D"/>
    <w:rsid w:val="00770742"/>
    <w:rsid w:val="00770B69"/>
    <w:rsid w:val="0077121A"/>
    <w:rsid w:val="0077124C"/>
    <w:rsid w:val="00771ABF"/>
    <w:rsid w:val="00771C9F"/>
    <w:rsid w:val="00772097"/>
    <w:rsid w:val="00773283"/>
    <w:rsid w:val="00774EA2"/>
    <w:rsid w:val="00775321"/>
    <w:rsid w:val="00775708"/>
    <w:rsid w:val="00775983"/>
    <w:rsid w:val="00775B1C"/>
    <w:rsid w:val="007762A2"/>
    <w:rsid w:val="0077648E"/>
    <w:rsid w:val="00777BDF"/>
    <w:rsid w:val="0078061F"/>
    <w:rsid w:val="00781493"/>
    <w:rsid w:val="007817DF"/>
    <w:rsid w:val="00782720"/>
    <w:rsid w:val="00783100"/>
    <w:rsid w:val="0078314E"/>
    <w:rsid w:val="007831F5"/>
    <w:rsid w:val="00783448"/>
    <w:rsid w:val="00783460"/>
    <w:rsid w:val="00783C1A"/>
    <w:rsid w:val="00783C7B"/>
    <w:rsid w:val="00785A2F"/>
    <w:rsid w:val="00786C20"/>
    <w:rsid w:val="00786F7B"/>
    <w:rsid w:val="00787231"/>
    <w:rsid w:val="00787FF3"/>
    <w:rsid w:val="00790EB0"/>
    <w:rsid w:val="00791BF5"/>
    <w:rsid w:val="00791C57"/>
    <w:rsid w:val="00793035"/>
    <w:rsid w:val="00793510"/>
    <w:rsid w:val="00793B5E"/>
    <w:rsid w:val="00793D90"/>
    <w:rsid w:val="00793E00"/>
    <w:rsid w:val="00795255"/>
    <w:rsid w:val="00796A3E"/>
    <w:rsid w:val="00796BFB"/>
    <w:rsid w:val="00796D1C"/>
    <w:rsid w:val="00796E88"/>
    <w:rsid w:val="00797222"/>
    <w:rsid w:val="007976EC"/>
    <w:rsid w:val="007A002B"/>
    <w:rsid w:val="007A05E1"/>
    <w:rsid w:val="007A16ED"/>
    <w:rsid w:val="007A1DE9"/>
    <w:rsid w:val="007A20E7"/>
    <w:rsid w:val="007A2548"/>
    <w:rsid w:val="007A32D6"/>
    <w:rsid w:val="007A462A"/>
    <w:rsid w:val="007A49CA"/>
    <w:rsid w:val="007A4DAE"/>
    <w:rsid w:val="007A5602"/>
    <w:rsid w:val="007A63AF"/>
    <w:rsid w:val="007A64D6"/>
    <w:rsid w:val="007A6C55"/>
    <w:rsid w:val="007A72A4"/>
    <w:rsid w:val="007A7591"/>
    <w:rsid w:val="007A772E"/>
    <w:rsid w:val="007B074D"/>
    <w:rsid w:val="007B0A29"/>
    <w:rsid w:val="007B0BA1"/>
    <w:rsid w:val="007B1093"/>
    <w:rsid w:val="007B139F"/>
    <w:rsid w:val="007B2439"/>
    <w:rsid w:val="007B2646"/>
    <w:rsid w:val="007B3FB6"/>
    <w:rsid w:val="007B4E98"/>
    <w:rsid w:val="007B6058"/>
    <w:rsid w:val="007B6514"/>
    <w:rsid w:val="007B69E3"/>
    <w:rsid w:val="007B6A48"/>
    <w:rsid w:val="007B6BF0"/>
    <w:rsid w:val="007B6E3A"/>
    <w:rsid w:val="007B6FE2"/>
    <w:rsid w:val="007B7164"/>
    <w:rsid w:val="007B71C8"/>
    <w:rsid w:val="007C0B92"/>
    <w:rsid w:val="007C171F"/>
    <w:rsid w:val="007C2AC2"/>
    <w:rsid w:val="007C41C7"/>
    <w:rsid w:val="007C420C"/>
    <w:rsid w:val="007C4C98"/>
    <w:rsid w:val="007C4EDF"/>
    <w:rsid w:val="007C503B"/>
    <w:rsid w:val="007C574C"/>
    <w:rsid w:val="007C5CEB"/>
    <w:rsid w:val="007C5EB9"/>
    <w:rsid w:val="007C6FA7"/>
    <w:rsid w:val="007C725E"/>
    <w:rsid w:val="007C739E"/>
    <w:rsid w:val="007D0204"/>
    <w:rsid w:val="007D052D"/>
    <w:rsid w:val="007D0EB5"/>
    <w:rsid w:val="007D145F"/>
    <w:rsid w:val="007D1690"/>
    <w:rsid w:val="007D18F7"/>
    <w:rsid w:val="007D19FC"/>
    <w:rsid w:val="007D1ED0"/>
    <w:rsid w:val="007D1F8D"/>
    <w:rsid w:val="007D2104"/>
    <w:rsid w:val="007D21F1"/>
    <w:rsid w:val="007D28F2"/>
    <w:rsid w:val="007D2D2F"/>
    <w:rsid w:val="007D42E4"/>
    <w:rsid w:val="007D567F"/>
    <w:rsid w:val="007D59A2"/>
    <w:rsid w:val="007D5DA8"/>
    <w:rsid w:val="007D6973"/>
    <w:rsid w:val="007D6E53"/>
    <w:rsid w:val="007E07DC"/>
    <w:rsid w:val="007E0CA1"/>
    <w:rsid w:val="007E0F62"/>
    <w:rsid w:val="007E1C17"/>
    <w:rsid w:val="007E1F11"/>
    <w:rsid w:val="007E24E0"/>
    <w:rsid w:val="007E25C9"/>
    <w:rsid w:val="007E297E"/>
    <w:rsid w:val="007E2CC4"/>
    <w:rsid w:val="007E2FE9"/>
    <w:rsid w:val="007E32AF"/>
    <w:rsid w:val="007E36F6"/>
    <w:rsid w:val="007E45D2"/>
    <w:rsid w:val="007E47AA"/>
    <w:rsid w:val="007E4845"/>
    <w:rsid w:val="007E4905"/>
    <w:rsid w:val="007E6BC2"/>
    <w:rsid w:val="007E716C"/>
    <w:rsid w:val="007E7CD9"/>
    <w:rsid w:val="007E7E00"/>
    <w:rsid w:val="007E7E6F"/>
    <w:rsid w:val="007F0142"/>
    <w:rsid w:val="007F107D"/>
    <w:rsid w:val="007F109E"/>
    <w:rsid w:val="007F2256"/>
    <w:rsid w:val="007F2AE7"/>
    <w:rsid w:val="007F3DC5"/>
    <w:rsid w:val="007F4560"/>
    <w:rsid w:val="007F4778"/>
    <w:rsid w:val="007F5750"/>
    <w:rsid w:val="007F5DA8"/>
    <w:rsid w:val="007F6169"/>
    <w:rsid w:val="007F69B0"/>
    <w:rsid w:val="007F69C8"/>
    <w:rsid w:val="007F6E51"/>
    <w:rsid w:val="007F7252"/>
    <w:rsid w:val="0080003E"/>
    <w:rsid w:val="0080065A"/>
    <w:rsid w:val="008015CA"/>
    <w:rsid w:val="008017B2"/>
    <w:rsid w:val="00801C35"/>
    <w:rsid w:val="00801D39"/>
    <w:rsid w:val="00801E87"/>
    <w:rsid w:val="008024DE"/>
    <w:rsid w:val="00802831"/>
    <w:rsid w:val="00802864"/>
    <w:rsid w:val="008035DB"/>
    <w:rsid w:val="00803F84"/>
    <w:rsid w:val="0080416F"/>
    <w:rsid w:val="008052F3"/>
    <w:rsid w:val="00805AD6"/>
    <w:rsid w:val="00806156"/>
    <w:rsid w:val="0080617D"/>
    <w:rsid w:val="00806CA5"/>
    <w:rsid w:val="008070AC"/>
    <w:rsid w:val="00807386"/>
    <w:rsid w:val="00807404"/>
    <w:rsid w:val="0080743D"/>
    <w:rsid w:val="00810330"/>
    <w:rsid w:val="00810A66"/>
    <w:rsid w:val="00810F13"/>
    <w:rsid w:val="008124DB"/>
    <w:rsid w:val="00812646"/>
    <w:rsid w:val="008134A6"/>
    <w:rsid w:val="00813E1D"/>
    <w:rsid w:val="00814F99"/>
    <w:rsid w:val="00815133"/>
    <w:rsid w:val="0081682F"/>
    <w:rsid w:val="00817156"/>
    <w:rsid w:val="00817276"/>
    <w:rsid w:val="0081740B"/>
    <w:rsid w:val="00817B24"/>
    <w:rsid w:val="00817F57"/>
    <w:rsid w:val="0082007C"/>
    <w:rsid w:val="008201F4"/>
    <w:rsid w:val="00820AAB"/>
    <w:rsid w:val="008216DF"/>
    <w:rsid w:val="0082210B"/>
    <w:rsid w:val="0082241D"/>
    <w:rsid w:val="008234EB"/>
    <w:rsid w:val="008249FB"/>
    <w:rsid w:val="00825448"/>
    <w:rsid w:val="00825569"/>
    <w:rsid w:val="00826085"/>
    <w:rsid w:val="00826B42"/>
    <w:rsid w:val="008273C2"/>
    <w:rsid w:val="008275AC"/>
    <w:rsid w:val="0082783A"/>
    <w:rsid w:val="00827AD1"/>
    <w:rsid w:val="00830824"/>
    <w:rsid w:val="00830A76"/>
    <w:rsid w:val="00830F5C"/>
    <w:rsid w:val="00831D00"/>
    <w:rsid w:val="008321E1"/>
    <w:rsid w:val="00833483"/>
    <w:rsid w:val="00833E63"/>
    <w:rsid w:val="00833E7E"/>
    <w:rsid w:val="00834DE6"/>
    <w:rsid w:val="00835C32"/>
    <w:rsid w:val="00837BA0"/>
    <w:rsid w:val="00837E4A"/>
    <w:rsid w:val="00837F4C"/>
    <w:rsid w:val="0084030B"/>
    <w:rsid w:val="0084094B"/>
    <w:rsid w:val="00841117"/>
    <w:rsid w:val="00841138"/>
    <w:rsid w:val="00841783"/>
    <w:rsid w:val="00842F9D"/>
    <w:rsid w:val="00843581"/>
    <w:rsid w:val="008439F2"/>
    <w:rsid w:val="00844308"/>
    <w:rsid w:val="00844484"/>
    <w:rsid w:val="00844DFF"/>
    <w:rsid w:val="0084528F"/>
    <w:rsid w:val="00846ACC"/>
    <w:rsid w:val="00846CD5"/>
    <w:rsid w:val="00846EE0"/>
    <w:rsid w:val="00847869"/>
    <w:rsid w:val="008506C6"/>
    <w:rsid w:val="00850941"/>
    <w:rsid w:val="00850DEF"/>
    <w:rsid w:val="00851988"/>
    <w:rsid w:val="0085209D"/>
    <w:rsid w:val="00852478"/>
    <w:rsid w:val="0085339C"/>
    <w:rsid w:val="00853A39"/>
    <w:rsid w:val="00853BB0"/>
    <w:rsid w:val="00853CAE"/>
    <w:rsid w:val="0085437A"/>
    <w:rsid w:val="0085451D"/>
    <w:rsid w:val="00854AF4"/>
    <w:rsid w:val="0085531C"/>
    <w:rsid w:val="008557D0"/>
    <w:rsid w:val="00855C38"/>
    <w:rsid w:val="0085640E"/>
    <w:rsid w:val="00856FC4"/>
    <w:rsid w:val="008574FC"/>
    <w:rsid w:val="00860452"/>
    <w:rsid w:val="00861A53"/>
    <w:rsid w:val="00861DFA"/>
    <w:rsid w:val="008633C4"/>
    <w:rsid w:val="008636B2"/>
    <w:rsid w:val="00863D8C"/>
    <w:rsid w:val="0086461C"/>
    <w:rsid w:val="0086547C"/>
    <w:rsid w:val="008662AD"/>
    <w:rsid w:val="00866B83"/>
    <w:rsid w:val="0086752E"/>
    <w:rsid w:val="008705C0"/>
    <w:rsid w:val="00870784"/>
    <w:rsid w:val="008710CF"/>
    <w:rsid w:val="008730CE"/>
    <w:rsid w:val="00873EF0"/>
    <w:rsid w:val="00873F3E"/>
    <w:rsid w:val="008758FA"/>
    <w:rsid w:val="008768AC"/>
    <w:rsid w:val="00877005"/>
    <w:rsid w:val="0087717C"/>
    <w:rsid w:val="00877E0E"/>
    <w:rsid w:val="00880DE6"/>
    <w:rsid w:val="00881141"/>
    <w:rsid w:val="008817E4"/>
    <w:rsid w:val="00881A70"/>
    <w:rsid w:val="00882CF0"/>
    <w:rsid w:val="008831C7"/>
    <w:rsid w:val="00883598"/>
    <w:rsid w:val="00883A63"/>
    <w:rsid w:val="008848C2"/>
    <w:rsid w:val="00884B7D"/>
    <w:rsid w:val="00884E1A"/>
    <w:rsid w:val="00885069"/>
    <w:rsid w:val="008859C3"/>
    <w:rsid w:val="00886447"/>
    <w:rsid w:val="00886962"/>
    <w:rsid w:val="00886BBB"/>
    <w:rsid w:val="008876A5"/>
    <w:rsid w:val="00887E77"/>
    <w:rsid w:val="00890210"/>
    <w:rsid w:val="00890A7D"/>
    <w:rsid w:val="00892381"/>
    <w:rsid w:val="00893E2E"/>
    <w:rsid w:val="00894920"/>
    <w:rsid w:val="00894ADE"/>
    <w:rsid w:val="00894DDA"/>
    <w:rsid w:val="008960D0"/>
    <w:rsid w:val="00896994"/>
    <w:rsid w:val="008972B5"/>
    <w:rsid w:val="0089736C"/>
    <w:rsid w:val="008975A6"/>
    <w:rsid w:val="008978FC"/>
    <w:rsid w:val="008A05E7"/>
    <w:rsid w:val="008A197F"/>
    <w:rsid w:val="008A1CFD"/>
    <w:rsid w:val="008A20E1"/>
    <w:rsid w:val="008A21A3"/>
    <w:rsid w:val="008A2596"/>
    <w:rsid w:val="008A4091"/>
    <w:rsid w:val="008A51D1"/>
    <w:rsid w:val="008A5B8F"/>
    <w:rsid w:val="008A631F"/>
    <w:rsid w:val="008A6357"/>
    <w:rsid w:val="008A63F5"/>
    <w:rsid w:val="008A6DFC"/>
    <w:rsid w:val="008A7957"/>
    <w:rsid w:val="008A7B9C"/>
    <w:rsid w:val="008B013F"/>
    <w:rsid w:val="008B037D"/>
    <w:rsid w:val="008B04F4"/>
    <w:rsid w:val="008B0D1D"/>
    <w:rsid w:val="008B30F5"/>
    <w:rsid w:val="008B369C"/>
    <w:rsid w:val="008B4065"/>
    <w:rsid w:val="008B58FD"/>
    <w:rsid w:val="008B5F34"/>
    <w:rsid w:val="008B61DC"/>
    <w:rsid w:val="008B651E"/>
    <w:rsid w:val="008B66A4"/>
    <w:rsid w:val="008B6A47"/>
    <w:rsid w:val="008B6D4A"/>
    <w:rsid w:val="008C023B"/>
    <w:rsid w:val="008C0386"/>
    <w:rsid w:val="008C0796"/>
    <w:rsid w:val="008C1375"/>
    <w:rsid w:val="008C185B"/>
    <w:rsid w:val="008C1E12"/>
    <w:rsid w:val="008C25C4"/>
    <w:rsid w:val="008C26B6"/>
    <w:rsid w:val="008C2E90"/>
    <w:rsid w:val="008C3317"/>
    <w:rsid w:val="008C37C1"/>
    <w:rsid w:val="008C3E1F"/>
    <w:rsid w:val="008C4305"/>
    <w:rsid w:val="008C4BD9"/>
    <w:rsid w:val="008C56E0"/>
    <w:rsid w:val="008C6457"/>
    <w:rsid w:val="008C672C"/>
    <w:rsid w:val="008C6885"/>
    <w:rsid w:val="008C6939"/>
    <w:rsid w:val="008C6A99"/>
    <w:rsid w:val="008C70D3"/>
    <w:rsid w:val="008C737D"/>
    <w:rsid w:val="008D007B"/>
    <w:rsid w:val="008D02AB"/>
    <w:rsid w:val="008D064E"/>
    <w:rsid w:val="008D0978"/>
    <w:rsid w:val="008D1066"/>
    <w:rsid w:val="008D1D8E"/>
    <w:rsid w:val="008D1EE9"/>
    <w:rsid w:val="008D2A51"/>
    <w:rsid w:val="008D2C1C"/>
    <w:rsid w:val="008D30FE"/>
    <w:rsid w:val="008D324D"/>
    <w:rsid w:val="008D3CA5"/>
    <w:rsid w:val="008D3D45"/>
    <w:rsid w:val="008D4487"/>
    <w:rsid w:val="008D472F"/>
    <w:rsid w:val="008D4879"/>
    <w:rsid w:val="008D4A67"/>
    <w:rsid w:val="008D4FEC"/>
    <w:rsid w:val="008D5547"/>
    <w:rsid w:val="008D5610"/>
    <w:rsid w:val="008D6A52"/>
    <w:rsid w:val="008D7222"/>
    <w:rsid w:val="008D757F"/>
    <w:rsid w:val="008E087D"/>
    <w:rsid w:val="008E1844"/>
    <w:rsid w:val="008E1AAB"/>
    <w:rsid w:val="008E2985"/>
    <w:rsid w:val="008E2D11"/>
    <w:rsid w:val="008E2EBD"/>
    <w:rsid w:val="008E3410"/>
    <w:rsid w:val="008E4C37"/>
    <w:rsid w:val="008E5546"/>
    <w:rsid w:val="008E5FBD"/>
    <w:rsid w:val="008E671F"/>
    <w:rsid w:val="008E6A51"/>
    <w:rsid w:val="008E6C65"/>
    <w:rsid w:val="008E7143"/>
    <w:rsid w:val="008E7AFB"/>
    <w:rsid w:val="008F076A"/>
    <w:rsid w:val="008F0ADD"/>
    <w:rsid w:val="008F13C7"/>
    <w:rsid w:val="008F199C"/>
    <w:rsid w:val="008F2326"/>
    <w:rsid w:val="008F268E"/>
    <w:rsid w:val="008F28C2"/>
    <w:rsid w:val="008F2A20"/>
    <w:rsid w:val="008F3666"/>
    <w:rsid w:val="008F403C"/>
    <w:rsid w:val="008F48CC"/>
    <w:rsid w:val="008F56CC"/>
    <w:rsid w:val="008F60CD"/>
    <w:rsid w:val="008F6309"/>
    <w:rsid w:val="008F7EBC"/>
    <w:rsid w:val="00900357"/>
    <w:rsid w:val="009006A2"/>
    <w:rsid w:val="00900A80"/>
    <w:rsid w:val="00900D09"/>
    <w:rsid w:val="0090165C"/>
    <w:rsid w:val="00901734"/>
    <w:rsid w:val="00901819"/>
    <w:rsid w:val="00901DC2"/>
    <w:rsid w:val="00902405"/>
    <w:rsid w:val="0090252E"/>
    <w:rsid w:val="0090381D"/>
    <w:rsid w:val="00904138"/>
    <w:rsid w:val="009057E8"/>
    <w:rsid w:val="00905A04"/>
    <w:rsid w:val="00906E70"/>
    <w:rsid w:val="00907151"/>
    <w:rsid w:val="00907825"/>
    <w:rsid w:val="00907B00"/>
    <w:rsid w:val="00912505"/>
    <w:rsid w:val="00912A53"/>
    <w:rsid w:val="00912CE7"/>
    <w:rsid w:val="0091324F"/>
    <w:rsid w:val="00913536"/>
    <w:rsid w:val="00913A28"/>
    <w:rsid w:val="009141F5"/>
    <w:rsid w:val="00915169"/>
    <w:rsid w:val="009154F5"/>
    <w:rsid w:val="0091592D"/>
    <w:rsid w:val="0091636D"/>
    <w:rsid w:val="00916603"/>
    <w:rsid w:val="0091672E"/>
    <w:rsid w:val="009171FF"/>
    <w:rsid w:val="00917368"/>
    <w:rsid w:val="0091754B"/>
    <w:rsid w:val="00917DB3"/>
    <w:rsid w:val="00920E28"/>
    <w:rsid w:val="009214B2"/>
    <w:rsid w:val="00921584"/>
    <w:rsid w:val="00921ACA"/>
    <w:rsid w:val="00921FCF"/>
    <w:rsid w:val="00922681"/>
    <w:rsid w:val="00923081"/>
    <w:rsid w:val="00923D04"/>
    <w:rsid w:val="00923DDC"/>
    <w:rsid w:val="00924F32"/>
    <w:rsid w:val="00924FF8"/>
    <w:rsid w:val="00925354"/>
    <w:rsid w:val="00925438"/>
    <w:rsid w:val="00925D34"/>
    <w:rsid w:val="00925E0F"/>
    <w:rsid w:val="00926768"/>
    <w:rsid w:val="00926861"/>
    <w:rsid w:val="00926894"/>
    <w:rsid w:val="00926A62"/>
    <w:rsid w:val="00926FE9"/>
    <w:rsid w:val="00930606"/>
    <w:rsid w:val="009306E6"/>
    <w:rsid w:val="00930B1F"/>
    <w:rsid w:val="00930BEB"/>
    <w:rsid w:val="00931129"/>
    <w:rsid w:val="00931EED"/>
    <w:rsid w:val="00934683"/>
    <w:rsid w:val="00935930"/>
    <w:rsid w:val="00935C9E"/>
    <w:rsid w:val="0093771B"/>
    <w:rsid w:val="00937AAD"/>
    <w:rsid w:val="0094129B"/>
    <w:rsid w:val="00942B8B"/>
    <w:rsid w:val="00943555"/>
    <w:rsid w:val="00943561"/>
    <w:rsid w:val="00944DAF"/>
    <w:rsid w:val="0094546B"/>
    <w:rsid w:val="009457C4"/>
    <w:rsid w:val="00946140"/>
    <w:rsid w:val="00946313"/>
    <w:rsid w:val="00947567"/>
    <w:rsid w:val="009477E2"/>
    <w:rsid w:val="00947E8F"/>
    <w:rsid w:val="00950021"/>
    <w:rsid w:val="0095074D"/>
    <w:rsid w:val="0095171D"/>
    <w:rsid w:val="00951A1E"/>
    <w:rsid w:val="0095254B"/>
    <w:rsid w:val="009526B3"/>
    <w:rsid w:val="009529AE"/>
    <w:rsid w:val="0095323A"/>
    <w:rsid w:val="009532A3"/>
    <w:rsid w:val="00953880"/>
    <w:rsid w:val="00953EAA"/>
    <w:rsid w:val="009544C7"/>
    <w:rsid w:val="00954E61"/>
    <w:rsid w:val="0095527D"/>
    <w:rsid w:val="0095539E"/>
    <w:rsid w:val="0095681B"/>
    <w:rsid w:val="00956D66"/>
    <w:rsid w:val="00957A45"/>
    <w:rsid w:val="009609A8"/>
    <w:rsid w:val="00961DCB"/>
    <w:rsid w:val="0096276D"/>
    <w:rsid w:val="00963325"/>
    <w:rsid w:val="00964F8A"/>
    <w:rsid w:val="00965091"/>
    <w:rsid w:val="009664F3"/>
    <w:rsid w:val="009678E0"/>
    <w:rsid w:val="009702C3"/>
    <w:rsid w:val="00970B68"/>
    <w:rsid w:val="00972101"/>
    <w:rsid w:val="009731A4"/>
    <w:rsid w:val="00973289"/>
    <w:rsid w:val="009738FA"/>
    <w:rsid w:val="00973ADE"/>
    <w:rsid w:val="009747A3"/>
    <w:rsid w:val="0097557D"/>
    <w:rsid w:val="0097559D"/>
    <w:rsid w:val="009756EA"/>
    <w:rsid w:val="009758C5"/>
    <w:rsid w:val="00976258"/>
    <w:rsid w:val="009775AB"/>
    <w:rsid w:val="00977BE4"/>
    <w:rsid w:val="0098040A"/>
    <w:rsid w:val="00980F60"/>
    <w:rsid w:val="00983452"/>
    <w:rsid w:val="00983604"/>
    <w:rsid w:val="00983E08"/>
    <w:rsid w:val="00984909"/>
    <w:rsid w:val="00985B27"/>
    <w:rsid w:val="00987CA6"/>
    <w:rsid w:val="00990401"/>
    <w:rsid w:val="00991E9A"/>
    <w:rsid w:val="0099216D"/>
    <w:rsid w:val="009922BF"/>
    <w:rsid w:val="00993EF0"/>
    <w:rsid w:val="00994A94"/>
    <w:rsid w:val="00994C7D"/>
    <w:rsid w:val="00994EB8"/>
    <w:rsid w:val="00995640"/>
    <w:rsid w:val="00995B90"/>
    <w:rsid w:val="00995E05"/>
    <w:rsid w:val="00996304"/>
    <w:rsid w:val="009965C8"/>
    <w:rsid w:val="009968F2"/>
    <w:rsid w:val="00996DA9"/>
    <w:rsid w:val="00997452"/>
    <w:rsid w:val="009975F4"/>
    <w:rsid w:val="00997ACB"/>
    <w:rsid w:val="009A067D"/>
    <w:rsid w:val="009A0A4E"/>
    <w:rsid w:val="009A15D2"/>
    <w:rsid w:val="009A2234"/>
    <w:rsid w:val="009A2B76"/>
    <w:rsid w:val="009A3BA1"/>
    <w:rsid w:val="009A4F7C"/>
    <w:rsid w:val="009A53A3"/>
    <w:rsid w:val="009A5F4A"/>
    <w:rsid w:val="009A60F0"/>
    <w:rsid w:val="009A770D"/>
    <w:rsid w:val="009A7B44"/>
    <w:rsid w:val="009B0257"/>
    <w:rsid w:val="009B1201"/>
    <w:rsid w:val="009B151E"/>
    <w:rsid w:val="009B181F"/>
    <w:rsid w:val="009B2B4E"/>
    <w:rsid w:val="009B2FB1"/>
    <w:rsid w:val="009B328F"/>
    <w:rsid w:val="009B5227"/>
    <w:rsid w:val="009B68D4"/>
    <w:rsid w:val="009B6CC8"/>
    <w:rsid w:val="009B7D83"/>
    <w:rsid w:val="009C0C7B"/>
    <w:rsid w:val="009C0FB2"/>
    <w:rsid w:val="009C10A2"/>
    <w:rsid w:val="009C16BC"/>
    <w:rsid w:val="009C1794"/>
    <w:rsid w:val="009C1B1A"/>
    <w:rsid w:val="009C228C"/>
    <w:rsid w:val="009C2B99"/>
    <w:rsid w:val="009C307C"/>
    <w:rsid w:val="009C32A5"/>
    <w:rsid w:val="009C4004"/>
    <w:rsid w:val="009C4215"/>
    <w:rsid w:val="009C4D3F"/>
    <w:rsid w:val="009C50C1"/>
    <w:rsid w:val="009C538D"/>
    <w:rsid w:val="009C5D4A"/>
    <w:rsid w:val="009C6A90"/>
    <w:rsid w:val="009C6BC0"/>
    <w:rsid w:val="009C6F56"/>
    <w:rsid w:val="009C7009"/>
    <w:rsid w:val="009C7272"/>
    <w:rsid w:val="009C7BDE"/>
    <w:rsid w:val="009D00D2"/>
    <w:rsid w:val="009D069F"/>
    <w:rsid w:val="009D0C1A"/>
    <w:rsid w:val="009D1A55"/>
    <w:rsid w:val="009D266E"/>
    <w:rsid w:val="009D2B73"/>
    <w:rsid w:val="009D2C96"/>
    <w:rsid w:val="009D314A"/>
    <w:rsid w:val="009D3B7A"/>
    <w:rsid w:val="009D46F6"/>
    <w:rsid w:val="009D4E67"/>
    <w:rsid w:val="009D51CF"/>
    <w:rsid w:val="009D5B06"/>
    <w:rsid w:val="009D5D51"/>
    <w:rsid w:val="009D71A2"/>
    <w:rsid w:val="009D7AEE"/>
    <w:rsid w:val="009E01EC"/>
    <w:rsid w:val="009E0D6F"/>
    <w:rsid w:val="009E0DFB"/>
    <w:rsid w:val="009E10C5"/>
    <w:rsid w:val="009E2866"/>
    <w:rsid w:val="009E2892"/>
    <w:rsid w:val="009E28FE"/>
    <w:rsid w:val="009E34E0"/>
    <w:rsid w:val="009E3577"/>
    <w:rsid w:val="009E3812"/>
    <w:rsid w:val="009E3B78"/>
    <w:rsid w:val="009E3E44"/>
    <w:rsid w:val="009E3E81"/>
    <w:rsid w:val="009E4178"/>
    <w:rsid w:val="009E4A4E"/>
    <w:rsid w:val="009E53D3"/>
    <w:rsid w:val="009E622A"/>
    <w:rsid w:val="009E6AC6"/>
    <w:rsid w:val="009E6BB7"/>
    <w:rsid w:val="009E6E09"/>
    <w:rsid w:val="009E76B3"/>
    <w:rsid w:val="009E77E6"/>
    <w:rsid w:val="009E7CB3"/>
    <w:rsid w:val="009E7FCB"/>
    <w:rsid w:val="009F0508"/>
    <w:rsid w:val="009F0C92"/>
    <w:rsid w:val="009F0CA6"/>
    <w:rsid w:val="009F0EAF"/>
    <w:rsid w:val="009F123F"/>
    <w:rsid w:val="009F2277"/>
    <w:rsid w:val="009F2284"/>
    <w:rsid w:val="009F2819"/>
    <w:rsid w:val="009F2924"/>
    <w:rsid w:val="009F2D1F"/>
    <w:rsid w:val="009F31C2"/>
    <w:rsid w:val="009F3291"/>
    <w:rsid w:val="009F3ACE"/>
    <w:rsid w:val="009F3D5E"/>
    <w:rsid w:val="009F4193"/>
    <w:rsid w:val="009F5AAF"/>
    <w:rsid w:val="009F5B29"/>
    <w:rsid w:val="009F5BD2"/>
    <w:rsid w:val="009F5ED3"/>
    <w:rsid w:val="009F6355"/>
    <w:rsid w:val="009F6E4B"/>
    <w:rsid w:val="00A00236"/>
    <w:rsid w:val="00A00D38"/>
    <w:rsid w:val="00A00FC6"/>
    <w:rsid w:val="00A016CC"/>
    <w:rsid w:val="00A019E7"/>
    <w:rsid w:val="00A03127"/>
    <w:rsid w:val="00A04182"/>
    <w:rsid w:val="00A04728"/>
    <w:rsid w:val="00A04FC7"/>
    <w:rsid w:val="00A05CD1"/>
    <w:rsid w:val="00A062AB"/>
    <w:rsid w:val="00A06E1F"/>
    <w:rsid w:val="00A074C8"/>
    <w:rsid w:val="00A07C4F"/>
    <w:rsid w:val="00A10A22"/>
    <w:rsid w:val="00A10C7C"/>
    <w:rsid w:val="00A10E19"/>
    <w:rsid w:val="00A10FA8"/>
    <w:rsid w:val="00A111EB"/>
    <w:rsid w:val="00A117DF"/>
    <w:rsid w:val="00A11812"/>
    <w:rsid w:val="00A12D3C"/>
    <w:rsid w:val="00A13118"/>
    <w:rsid w:val="00A13B7B"/>
    <w:rsid w:val="00A143A0"/>
    <w:rsid w:val="00A1496F"/>
    <w:rsid w:val="00A14D2A"/>
    <w:rsid w:val="00A153D0"/>
    <w:rsid w:val="00A1578B"/>
    <w:rsid w:val="00A157AA"/>
    <w:rsid w:val="00A15C47"/>
    <w:rsid w:val="00A1610B"/>
    <w:rsid w:val="00A1660E"/>
    <w:rsid w:val="00A169CB"/>
    <w:rsid w:val="00A16F55"/>
    <w:rsid w:val="00A16F91"/>
    <w:rsid w:val="00A17018"/>
    <w:rsid w:val="00A17917"/>
    <w:rsid w:val="00A209F8"/>
    <w:rsid w:val="00A20DA9"/>
    <w:rsid w:val="00A2134E"/>
    <w:rsid w:val="00A21CFE"/>
    <w:rsid w:val="00A225E0"/>
    <w:rsid w:val="00A23375"/>
    <w:rsid w:val="00A23F5A"/>
    <w:rsid w:val="00A23FD8"/>
    <w:rsid w:val="00A24327"/>
    <w:rsid w:val="00A24508"/>
    <w:rsid w:val="00A255D3"/>
    <w:rsid w:val="00A2645B"/>
    <w:rsid w:val="00A270A2"/>
    <w:rsid w:val="00A2741E"/>
    <w:rsid w:val="00A27588"/>
    <w:rsid w:val="00A313E1"/>
    <w:rsid w:val="00A31CF3"/>
    <w:rsid w:val="00A31EC7"/>
    <w:rsid w:val="00A3210E"/>
    <w:rsid w:val="00A329B9"/>
    <w:rsid w:val="00A3303C"/>
    <w:rsid w:val="00A33868"/>
    <w:rsid w:val="00A33DF9"/>
    <w:rsid w:val="00A342D5"/>
    <w:rsid w:val="00A34E9F"/>
    <w:rsid w:val="00A35AB3"/>
    <w:rsid w:val="00A3711D"/>
    <w:rsid w:val="00A37425"/>
    <w:rsid w:val="00A37510"/>
    <w:rsid w:val="00A37EA1"/>
    <w:rsid w:val="00A4040C"/>
    <w:rsid w:val="00A40538"/>
    <w:rsid w:val="00A41508"/>
    <w:rsid w:val="00A424D7"/>
    <w:rsid w:val="00A42A9D"/>
    <w:rsid w:val="00A43796"/>
    <w:rsid w:val="00A4495D"/>
    <w:rsid w:val="00A44CE3"/>
    <w:rsid w:val="00A4517E"/>
    <w:rsid w:val="00A452DD"/>
    <w:rsid w:val="00A458D2"/>
    <w:rsid w:val="00A45930"/>
    <w:rsid w:val="00A45D00"/>
    <w:rsid w:val="00A46359"/>
    <w:rsid w:val="00A46938"/>
    <w:rsid w:val="00A46BD3"/>
    <w:rsid w:val="00A47E7B"/>
    <w:rsid w:val="00A47E86"/>
    <w:rsid w:val="00A51559"/>
    <w:rsid w:val="00A51CD0"/>
    <w:rsid w:val="00A53B45"/>
    <w:rsid w:val="00A5429D"/>
    <w:rsid w:val="00A545C2"/>
    <w:rsid w:val="00A54884"/>
    <w:rsid w:val="00A54E1D"/>
    <w:rsid w:val="00A552B9"/>
    <w:rsid w:val="00A560A1"/>
    <w:rsid w:val="00A56105"/>
    <w:rsid w:val="00A567D2"/>
    <w:rsid w:val="00A56989"/>
    <w:rsid w:val="00A57CFE"/>
    <w:rsid w:val="00A57DE6"/>
    <w:rsid w:val="00A601B8"/>
    <w:rsid w:val="00A613BC"/>
    <w:rsid w:val="00A61A42"/>
    <w:rsid w:val="00A61A7F"/>
    <w:rsid w:val="00A61EA4"/>
    <w:rsid w:val="00A6227C"/>
    <w:rsid w:val="00A62377"/>
    <w:rsid w:val="00A62AC7"/>
    <w:rsid w:val="00A62F25"/>
    <w:rsid w:val="00A6333C"/>
    <w:rsid w:val="00A6395F"/>
    <w:rsid w:val="00A6463F"/>
    <w:rsid w:val="00A65560"/>
    <w:rsid w:val="00A65B31"/>
    <w:rsid w:val="00A65CE4"/>
    <w:rsid w:val="00A65DE7"/>
    <w:rsid w:val="00A6631F"/>
    <w:rsid w:val="00A66B6F"/>
    <w:rsid w:val="00A671E4"/>
    <w:rsid w:val="00A67269"/>
    <w:rsid w:val="00A674C3"/>
    <w:rsid w:val="00A677F4"/>
    <w:rsid w:val="00A67CE0"/>
    <w:rsid w:val="00A67EFE"/>
    <w:rsid w:val="00A70D60"/>
    <w:rsid w:val="00A717C0"/>
    <w:rsid w:val="00A71A73"/>
    <w:rsid w:val="00A72435"/>
    <w:rsid w:val="00A72647"/>
    <w:rsid w:val="00A72944"/>
    <w:rsid w:val="00A745A9"/>
    <w:rsid w:val="00A7572D"/>
    <w:rsid w:val="00A758DA"/>
    <w:rsid w:val="00A75BAD"/>
    <w:rsid w:val="00A7678C"/>
    <w:rsid w:val="00A76831"/>
    <w:rsid w:val="00A77389"/>
    <w:rsid w:val="00A777C9"/>
    <w:rsid w:val="00A77DF5"/>
    <w:rsid w:val="00A77EFA"/>
    <w:rsid w:val="00A801E1"/>
    <w:rsid w:val="00A81116"/>
    <w:rsid w:val="00A82920"/>
    <w:rsid w:val="00A83112"/>
    <w:rsid w:val="00A8348D"/>
    <w:rsid w:val="00A847C9"/>
    <w:rsid w:val="00A84B69"/>
    <w:rsid w:val="00A8538C"/>
    <w:rsid w:val="00A856CA"/>
    <w:rsid w:val="00A85765"/>
    <w:rsid w:val="00A85EF1"/>
    <w:rsid w:val="00A86996"/>
    <w:rsid w:val="00A86E09"/>
    <w:rsid w:val="00A87533"/>
    <w:rsid w:val="00A9015B"/>
    <w:rsid w:val="00A905ED"/>
    <w:rsid w:val="00A9073F"/>
    <w:rsid w:val="00A90B97"/>
    <w:rsid w:val="00A919A1"/>
    <w:rsid w:val="00A920E8"/>
    <w:rsid w:val="00A92378"/>
    <w:rsid w:val="00A92C77"/>
    <w:rsid w:val="00A9392D"/>
    <w:rsid w:val="00A93A40"/>
    <w:rsid w:val="00A93DC9"/>
    <w:rsid w:val="00A95711"/>
    <w:rsid w:val="00A95C24"/>
    <w:rsid w:val="00A95C47"/>
    <w:rsid w:val="00A96201"/>
    <w:rsid w:val="00A973D8"/>
    <w:rsid w:val="00A9740F"/>
    <w:rsid w:val="00A9759E"/>
    <w:rsid w:val="00A97CBF"/>
    <w:rsid w:val="00A97FDD"/>
    <w:rsid w:val="00AA03E9"/>
    <w:rsid w:val="00AA0CD0"/>
    <w:rsid w:val="00AA1278"/>
    <w:rsid w:val="00AA2DB7"/>
    <w:rsid w:val="00AA3AB4"/>
    <w:rsid w:val="00AA48E4"/>
    <w:rsid w:val="00AA49D3"/>
    <w:rsid w:val="00AA4CA0"/>
    <w:rsid w:val="00AA5391"/>
    <w:rsid w:val="00AA5629"/>
    <w:rsid w:val="00AA5AF3"/>
    <w:rsid w:val="00AA625E"/>
    <w:rsid w:val="00AA7239"/>
    <w:rsid w:val="00AA76D2"/>
    <w:rsid w:val="00AA76D5"/>
    <w:rsid w:val="00AB094D"/>
    <w:rsid w:val="00AB145F"/>
    <w:rsid w:val="00AB21EA"/>
    <w:rsid w:val="00AB2453"/>
    <w:rsid w:val="00AB33A5"/>
    <w:rsid w:val="00AB471B"/>
    <w:rsid w:val="00AB5587"/>
    <w:rsid w:val="00AB5783"/>
    <w:rsid w:val="00AB5FC0"/>
    <w:rsid w:val="00AB75A5"/>
    <w:rsid w:val="00AB7BA7"/>
    <w:rsid w:val="00AC105C"/>
    <w:rsid w:val="00AC1B59"/>
    <w:rsid w:val="00AC1C9B"/>
    <w:rsid w:val="00AC1E7C"/>
    <w:rsid w:val="00AC2881"/>
    <w:rsid w:val="00AC2972"/>
    <w:rsid w:val="00AC2BD5"/>
    <w:rsid w:val="00AC45F4"/>
    <w:rsid w:val="00AC4647"/>
    <w:rsid w:val="00AC4F7F"/>
    <w:rsid w:val="00AC6B08"/>
    <w:rsid w:val="00AC6F2B"/>
    <w:rsid w:val="00AD01EA"/>
    <w:rsid w:val="00AD0C34"/>
    <w:rsid w:val="00AD14F1"/>
    <w:rsid w:val="00AD1CDE"/>
    <w:rsid w:val="00AD1F69"/>
    <w:rsid w:val="00AD1FD9"/>
    <w:rsid w:val="00AD2579"/>
    <w:rsid w:val="00AD2CAC"/>
    <w:rsid w:val="00AD38FE"/>
    <w:rsid w:val="00AD3A53"/>
    <w:rsid w:val="00AD3D8A"/>
    <w:rsid w:val="00AD4CE6"/>
    <w:rsid w:val="00AD5590"/>
    <w:rsid w:val="00AD5A16"/>
    <w:rsid w:val="00AD6029"/>
    <w:rsid w:val="00AD7597"/>
    <w:rsid w:val="00AE0133"/>
    <w:rsid w:val="00AE0980"/>
    <w:rsid w:val="00AE0B98"/>
    <w:rsid w:val="00AE12EA"/>
    <w:rsid w:val="00AE197E"/>
    <w:rsid w:val="00AE25D6"/>
    <w:rsid w:val="00AE3170"/>
    <w:rsid w:val="00AE4099"/>
    <w:rsid w:val="00AE41AE"/>
    <w:rsid w:val="00AE43EB"/>
    <w:rsid w:val="00AE4496"/>
    <w:rsid w:val="00AE4AF6"/>
    <w:rsid w:val="00AE5839"/>
    <w:rsid w:val="00AE6C3B"/>
    <w:rsid w:val="00AE6E96"/>
    <w:rsid w:val="00AE71D5"/>
    <w:rsid w:val="00AE79AD"/>
    <w:rsid w:val="00AE7BA6"/>
    <w:rsid w:val="00AF02E2"/>
    <w:rsid w:val="00AF14AF"/>
    <w:rsid w:val="00AF170D"/>
    <w:rsid w:val="00AF1D42"/>
    <w:rsid w:val="00AF2C85"/>
    <w:rsid w:val="00AF32AA"/>
    <w:rsid w:val="00AF4E30"/>
    <w:rsid w:val="00AF50AE"/>
    <w:rsid w:val="00AF5818"/>
    <w:rsid w:val="00AF58A5"/>
    <w:rsid w:val="00AF5C5D"/>
    <w:rsid w:val="00AF6FE4"/>
    <w:rsid w:val="00AF7054"/>
    <w:rsid w:val="00AF7331"/>
    <w:rsid w:val="00AF743B"/>
    <w:rsid w:val="00B00B97"/>
    <w:rsid w:val="00B00D18"/>
    <w:rsid w:val="00B00EE1"/>
    <w:rsid w:val="00B01545"/>
    <w:rsid w:val="00B03635"/>
    <w:rsid w:val="00B0387D"/>
    <w:rsid w:val="00B038E2"/>
    <w:rsid w:val="00B03C40"/>
    <w:rsid w:val="00B042E9"/>
    <w:rsid w:val="00B063F3"/>
    <w:rsid w:val="00B0696B"/>
    <w:rsid w:val="00B06BDB"/>
    <w:rsid w:val="00B07071"/>
    <w:rsid w:val="00B07D33"/>
    <w:rsid w:val="00B07E62"/>
    <w:rsid w:val="00B1103A"/>
    <w:rsid w:val="00B1146E"/>
    <w:rsid w:val="00B11A2B"/>
    <w:rsid w:val="00B11CB2"/>
    <w:rsid w:val="00B127B3"/>
    <w:rsid w:val="00B13ACE"/>
    <w:rsid w:val="00B13CD0"/>
    <w:rsid w:val="00B13D04"/>
    <w:rsid w:val="00B143CF"/>
    <w:rsid w:val="00B160A7"/>
    <w:rsid w:val="00B16CB6"/>
    <w:rsid w:val="00B16D88"/>
    <w:rsid w:val="00B20216"/>
    <w:rsid w:val="00B20909"/>
    <w:rsid w:val="00B21674"/>
    <w:rsid w:val="00B21E4C"/>
    <w:rsid w:val="00B21F94"/>
    <w:rsid w:val="00B22D8C"/>
    <w:rsid w:val="00B239E2"/>
    <w:rsid w:val="00B244ED"/>
    <w:rsid w:val="00B24C70"/>
    <w:rsid w:val="00B24FF8"/>
    <w:rsid w:val="00B2526C"/>
    <w:rsid w:val="00B25C33"/>
    <w:rsid w:val="00B262FF"/>
    <w:rsid w:val="00B26D57"/>
    <w:rsid w:val="00B27EE2"/>
    <w:rsid w:val="00B304A9"/>
    <w:rsid w:val="00B30A31"/>
    <w:rsid w:val="00B31081"/>
    <w:rsid w:val="00B3111F"/>
    <w:rsid w:val="00B329EA"/>
    <w:rsid w:val="00B32FD1"/>
    <w:rsid w:val="00B33932"/>
    <w:rsid w:val="00B33A6E"/>
    <w:rsid w:val="00B33B60"/>
    <w:rsid w:val="00B3465F"/>
    <w:rsid w:val="00B35209"/>
    <w:rsid w:val="00B359CB"/>
    <w:rsid w:val="00B35E51"/>
    <w:rsid w:val="00B36288"/>
    <w:rsid w:val="00B36374"/>
    <w:rsid w:val="00B376F4"/>
    <w:rsid w:val="00B40133"/>
    <w:rsid w:val="00B4199C"/>
    <w:rsid w:val="00B42146"/>
    <w:rsid w:val="00B4367D"/>
    <w:rsid w:val="00B4372B"/>
    <w:rsid w:val="00B43A0E"/>
    <w:rsid w:val="00B44033"/>
    <w:rsid w:val="00B44922"/>
    <w:rsid w:val="00B45134"/>
    <w:rsid w:val="00B45502"/>
    <w:rsid w:val="00B46014"/>
    <w:rsid w:val="00B46124"/>
    <w:rsid w:val="00B46448"/>
    <w:rsid w:val="00B464EB"/>
    <w:rsid w:val="00B46579"/>
    <w:rsid w:val="00B46C4F"/>
    <w:rsid w:val="00B47260"/>
    <w:rsid w:val="00B47B3F"/>
    <w:rsid w:val="00B506B1"/>
    <w:rsid w:val="00B50C69"/>
    <w:rsid w:val="00B50F98"/>
    <w:rsid w:val="00B51166"/>
    <w:rsid w:val="00B524EF"/>
    <w:rsid w:val="00B52976"/>
    <w:rsid w:val="00B52F1C"/>
    <w:rsid w:val="00B53003"/>
    <w:rsid w:val="00B548EF"/>
    <w:rsid w:val="00B54CA5"/>
    <w:rsid w:val="00B54FAF"/>
    <w:rsid w:val="00B5700E"/>
    <w:rsid w:val="00B578FA"/>
    <w:rsid w:val="00B579A8"/>
    <w:rsid w:val="00B60AB1"/>
    <w:rsid w:val="00B61100"/>
    <w:rsid w:val="00B61448"/>
    <w:rsid w:val="00B62302"/>
    <w:rsid w:val="00B629B8"/>
    <w:rsid w:val="00B6351E"/>
    <w:rsid w:val="00B64DCF"/>
    <w:rsid w:val="00B6502A"/>
    <w:rsid w:val="00B65053"/>
    <w:rsid w:val="00B6534C"/>
    <w:rsid w:val="00B658D1"/>
    <w:rsid w:val="00B70BED"/>
    <w:rsid w:val="00B70F49"/>
    <w:rsid w:val="00B7185D"/>
    <w:rsid w:val="00B71C45"/>
    <w:rsid w:val="00B7255D"/>
    <w:rsid w:val="00B72E72"/>
    <w:rsid w:val="00B733FE"/>
    <w:rsid w:val="00B74D06"/>
    <w:rsid w:val="00B75078"/>
    <w:rsid w:val="00B7511A"/>
    <w:rsid w:val="00B75563"/>
    <w:rsid w:val="00B75CB9"/>
    <w:rsid w:val="00B76439"/>
    <w:rsid w:val="00B76940"/>
    <w:rsid w:val="00B76A01"/>
    <w:rsid w:val="00B77CF3"/>
    <w:rsid w:val="00B80433"/>
    <w:rsid w:val="00B807F6"/>
    <w:rsid w:val="00B80F3B"/>
    <w:rsid w:val="00B81764"/>
    <w:rsid w:val="00B81938"/>
    <w:rsid w:val="00B8199B"/>
    <w:rsid w:val="00B81B7E"/>
    <w:rsid w:val="00B82CC4"/>
    <w:rsid w:val="00B837FB"/>
    <w:rsid w:val="00B83A82"/>
    <w:rsid w:val="00B8496A"/>
    <w:rsid w:val="00B84A26"/>
    <w:rsid w:val="00B84B6B"/>
    <w:rsid w:val="00B84EF9"/>
    <w:rsid w:val="00B84F72"/>
    <w:rsid w:val="00B86083"/>
    <w:rsid w:val="00B86958"/>
    <w:rsid w:val="00B8741D"/>
    <w:rsid w:val="00B87A86"/>
    <w:rsid w:val="00B87C36"/>
    <w:rsid w:val="00B903A6"/>
    <w:rsid w:val="00B90713"/>
    <w:rsid w:val="00B921C2"/>
    <w:rsid w:val="00B92816"/>
    <w:rsid w:val="00B9284C"/>
    <w:rsid w:val="00B92AF0"/>
    <w:rsid w:val="00B93A44"/>
    <w:rsid w:val="00B93FCA"/>
    <w:rsid w:val="00B941B8"/>
    <w:rsid w:val="00B945B7"/>
    <w:rsid w:val="00B949C5"/>
    <w:rsid w:val="00B94E8C"/>
    <w:rsid w:val="00B9552E"/>
    <w:rsid w:val="00B95D7C"/>
    <w:rsid w:val="00B9618B"/>
    <w:rsid w:val="00B961E0"/>
    <w:rsid w:val="00B96505"/>
    <w:rsid w:val="00B96578"/>
    <w:rsid w:val="00B973ED"/>
    <w:rsid w:val="00BA2719"/>
    <w:rsid w:val="00BA288E"/>
    <w:rsid w:val="00BA3C88"/>
    <w:rsid w:val="00BA4373"/>
    <w:rsid w:val="00BA462A"/>
    <w:rsid w:val="00BA4823"/>
    <w:rsid w:val="00BA4977"/>
    <w:rsid w:val="00BA50EB"/>
    <w:rsid w:val="00BA5731"/>
    <w:rsid w:val="00BA6896"/>
    <w:rsid w:val="00BA70BD"/>
    <w:rsid w:val="00BA73C0"/>
    <w:rsid w:val="00BB016B"/>
    <w:rsid w:val="00BB0415"/>
    <w:rsid w:val="00BB069A"/>
    <w:rsid w:val="00BB0941"/>
    <w:rsid w:val="00BB1644"/>
    <w:rsid w:val="00BB25E2"/>
    <w:rsid w:val="00BB39BE"/>
    <w:rsid w:val="00BB4001"/>
    <w:rsid w:val="00BB44F7"/>
    <w:rsid w:val="00BB502E"/>
    <w:rsid w:val="00BB5071"/>
    <w:rsid w:val="00BB574D"/>
    <w:rsid w:val="00BB6C87"/>
    <w:rsid w:val="00BB76C1"/>
    <w:rsid w:val="00BC06C0"/>
    <w:rsid w:val="00BC0A22"/>
    <w:rsid w:val="00BC1017"/>
    <w:rsid w:val="00BC1954"/>
    <w:rsid w:val="00BC2FA2"/>
    <w:rsid w:val="00BC310E"/>
    <w:rsid w:val="00BC39F5"/>
    <w:rsid w:val="00BC3CE1"/>
    <w:rsid w:val="00BC4022"/>
    <w:rsid w:val="00BC494F"/>
    <w:rsid w:val="00BC4CF8"/>
    <w:rsid w:val="00BC564A"/>
    <w:rsid w:val="00BC5AEF"/>
    <w:rsid w:val="00BC5E50"/>
    <w:rsid w:val="00BC617E"/>
    <w:rsid w:val="00BC679B"/>
    <w:rsid w:val="00BC708B"/>
    <w:rsid w:val="00BC7252"/>
    <w:rsid w:val="00BC7723"/>
    <w:rsid w:val="00BC7D2B"/>
    <w:rsid w:val="00BD03EE"/>
    <w:rsid w:val="00BD1080"/>
    <w:rsid w:val="00BD1965"/>
    <w:rsid w:val="00BD1DB3"/>
    <w:rsid w:val="00BD266C"/>
    <w:rsid w:val="00BD2D2D"/>
    <w:rsid w:val="00BD446F"/>
    <w:rsid w:val="00BD4559"/>
    <w:rsid w:val="00BD46A0"/>
    <w:rsid w:val="00BD484E"/>
    <w:rsid w:val="00BD4A2D"/>
    <w:rsid w:val="00BD4D37"/>
    <w:rsid w:val="00BD4FB5"/>
    <w:rsid w:val="00BD6143"/>
    <w:rsid w:val="00BD65E7"/>
    <w:rsid w:val="00BD66A4"/>
    <w:rsid w:val="00BE00EE"/>
    <w:rsid w:val="00BE08C0"/>
    <w:rsid w:val="00BE0A83"/>
    <w:rsid w:val="00BE14C1"/>
    <w:rsid w:val="00BE1538"/>
    <w:rsid w:val="00BE1675"/>
    <w:rsid w:val="00BE1683"/>
    <w:rsid w:val="00BE1CC4"/>
    <w:rsid w:val="00BE27E9"/>
    <w:rsid w:val="00BE35AE"/>
    <w:rsid w:val="00BE35D4"/>
    <w:rsid w:val="00BE4E0F"/>
    <w:rsid w:val="00BE50A9"/>
    <w:rsid w:val="00BE529A"/>
    <w:rsid w:val="00BE5559"/>
    <w:rsid w:val="00BE56E8"/>
    <w:rsid w:val="00BE5D31"/>
    <w:rsid w:val="00BE66ED"/>
    <w:rsid w:val="00BE681F"/>
    <w:rsid w:val="00BE6C61"/>
    <w:rsid w:val="00BE7114"/>
    <w:rsid w:val="00BE7DAA"/>
    <w:rsid w:val="00BE7DEE"/>
    <w:rsid w:val="00BF0882"/>
    <w:rsid w:val="00BF08EE"/>
    <w:rsid w:val="00BF0BC0"/>
    <w:rsid w:val="00BF21CD"/>
    <w:rsid w:val="00BF3BDB"/>
    <w:rsid w:val="00BF3E2C"/>
    <w:rsid w:val="00BF46AF"/>
    <w:rsid w:val="00BF49AA"/>
    <w:rsid w:val="00BF4B20"/>
    <w:rsid w:val="00BF540C"/>
    <w:rsid w:val="00BF5A97"/>
    <w:rsid w:val="00BF6152"/>
    <w:rsid w:val="00BF65B9"/>
    <w:rsid w:val="00BF7C82"/>
    <w:rsid w:val="00C00ABD"/>
    <w:rsid w:val="00C00AC1"/>
    <w:rsid w:val="00C00E0E"/>
    <w:rsid w:val="00C00F82"/>
    <w:rsid w:val="00C02113"/>
    <w:rsid w:val="00C02127"/>
    <w:rsid w:val="00C026A6"/>
    <w:rsid w:val="00C02967"/>
    <w:rsid w:val="00C0361E"/>
    <w:rsid w:val="00C046D4"/>
    <w:rsid w:val="00C04B5D"/>
    <w:rsid w:val="00C050CC"/>
    <w:rsid w:val="00C063FD"/>
    <w:rsid w:val="00C06C7B"/>
    <w:rsid w:val="00C06F38"/>
    <w:rsid w:val="00C06F47"/>
    <w:rsid w:val="00C10926"/>
    <w:rsid w:val="00C10B12"/>
    <w:rsid w:val="00C11437"/>
    <w:rsid w:val="00C1153D"/>
    <w:rsid w:val="00C121D7"/>
    <w:rsid w:val="00C13548"/>
    <w:rsid w:val="00C13FDB"/>
    <w:rsid w:val="00C142C3"/>
    <w:rsid w:val="00C14468"/>
    <w:rsid w:val="00C16D6D"/>
    <w:rsid w:val="00C17EE6"/>
    <w:rsid w:val="00C20134"/>
    <w:rsid w:val="00C20887"/>
    <w:rsid w:val="00C20A45"/>
    <w:rsid w:val="00C21248"/>
    <w:rsid w:val="00C2161A"/>
    <w:rsid w:val="00C21BAE"/>
    <w:rsid w:val="00C21E71"/>
    <w:rsid w:val="00C221E6"/>
    <w:rsid w:val="00C24CF1"/>
    <w:rsid w:val="00C262D8"/>
    <w:rsid w:val="00C264A7"/>
    <w:rsid w:val="00C266AD"/>
    <w:rsid w:val="00C268B2"/>
    <w:rsid w:val="00C26C78"/>
    <w:rsid w:val="00C2782E"/>
    <w:rsid w:val="00C30496"/>
    <w:rsid w:val="00C31C5D"/>
    <w:rsid w:val="00C31E40"/>
    <w:rsid w:val="00C33B84"/>
    <w:rsid w:val="00C33BB0"/>
    <w:rsid w:val="00C3402C"/>
    <w:rsid w:val="00C342FF"/>
    <w:rsid w:val="00C34E08"/>
    <w:rsid w:val="00C35389"/>
    <w:rsid w:val="00C35713"/>
    <w:rsid w:val="00C35745"/>
    <w:rsid w:val="00C35FFD"/>
    <w:rsid w:val="00C36292"/>
    <w:rsid w:val="00C36541"/>
    <w:rsid w:val="00C3763A"/>
    <w:rsid w:val="00C37876"/>
    <w:rsid w:val="00C37BBE"/>
    <w:rsid w:val="00C37D83"/>
    <w:rsid w:val="00C401AD"/>
    <w:rsid w:val="00C40228"/>
    <w:rsid w:val="00C402A8"/>
    <w:rsid w:val="00C40A49"/>
    <w:rsid w:val="00C41588"/>
    <w:rsid w:val="00C42BA7"/>
    <w:rsid w:val="00C43218"/>
    <w:rsid w:val="00C43E2E"/>
    <w:rsid w:val="00C43FAA"/>
    <w:rsid w:val="00C44131"/>
    <w:rsid w:val="00C447F9"/>
    <w:rsid w:val="00C448E9"/>
    <w:rsid w:val="00C44D8B"/>
    <w:rsid w:val="00C46030"/>
    <w:rsid w:val="00C460BF"/>
    <w:rsid w:val="00C4671C"/>
    <w:rsid w:val="00C470C0"/>
    <w:rsid w:val="00C47B01"/>
    <w:rsid w:val="00C47DFB"/>
    <w:rsid w:val="00C50BD4"/>
    <w:rsid w:val="00C51713"/>
    <w:rsid w:val="00C52450"/>
    <w:rsid w:val="00C5269C"/>
    <w:rsid w:val="00C5329C"/>
    <w:rsid w:val="00C53387"/>
    <w:rsid w:val="00C5354D"/>
    <w:rsid w:val="00C53BF6"/>
    <w:rsid w:val="00C53E06"/>
    <w:rsid w:val="00C54CF2"/>
    <w:rsid w:val="00C55129"/>
    <w:rsid w:val="00C55A52"/>
    <w:rsid w:val="00C55CB6"/>
    <w:rsid w:val="00C56161"/>
    <w:rsid w:val="00C56ECC"/>
    <w:rsid w:val="00C57750"/>
    <w:rsid w:val="00C60A0E"/>
    <w:rsid w:val="00C611F7"/>
    <w:rsid w:val="00C61C9C"/>
    <w:rsid w:val="00C61D5E"/>
    <w:rsid w:val="00C62532"/>
    <w:rsid w:val="00C625C9"/>
    <w:rsid w:val="00C62B6E"/>
    <w:rsid w:val="00C62CE2"/>
    <w:rsid w:val="00C649F5"/>
    <w:rsid w:val="00C65F95"/>
    <w:rsid w:val="00C67BFD"/>
    <w:rsid w:val="00C67F28"/>
    <w:rsid w:val="00C7068E"/>
    <w:rsid w:val="00C713BC"/>
    <w:rsid w:val="00C71569"/>
    <w:rsid w:val="00C73EEA"/>
    <w:rsid w:val="00C74950"/>
    <w:rsid w:val="00C74F80"/>
    <w:rsid w:val="00C758FB"/>
    <w:rsid w:val="00C76591"/>
    <w:rsid w:val="00C76A45"/>
    <w:rsid w:val="00C76CFD"/>
    <w:rsid w:val="00C774EB"/>
    <w:rsid w:val="00C77DAB"/>
    <w:rsid w:val="00C77DF2"/>
    <w:rsid w:val="00C8059D"/>
    <w:rsid w:val="00C80D37"/>
    <w:rsid w:val="00C81513"/>
    <w:rsid w:val="00C81E3D"/>
    <w:rsid w:val="00C8218F"/>
    <w:rsid w:val="00C825B0"/>
    <w:rsid w:val="00C840A8"/>
    <w:rsid w:val="00C843C8"/>
    <w:rsid w:val="00C846D8"/>
    <w:rsid w:val="00C84BA6"/>
    <w:rsid w:val="00C856DA"/>
    <w:rsid w:val="00C859D2"/>
    <w:rsid w:val="00C85AA2"/>
    <w:rsid w:val="00C862D4"/>
    <w:rsid w:val="00C86822"/>
    <w:rsid w:val="00C87649"/>
    <w:rsid w:val="00C90963"/>
    <w:rsid w:val="00C912C0"/>
    <w:rsid w:val="00C92497"/>
    <w:rsid w:val="00C926E8"/>
    <w:rsid w:val="00C92B80"/>
    <w:rsid w:val="00C93016"/>
    <w:rsid w:val="00C946D0"/>
    <w:rsid w:val="00C95701"/>
    <w:rsid w:val="00C95878"/>
    <w:rsid w:val="00C962EE"/>
    <w:rsid w:val="00C96FB0"/>
    <w:rsid w:val="00C972CA"/>
    <w:rsid w:val="00C97768"/>
    <w:rsid w:val="00C9790F"/>
    <w:rsid w:val="00C97C29"/>
    <w:rsid w:val="00CA0134"/>
    <w:rsid w:val="00CA02BB"/>
    <w:rsid w:val="00CA03BE"/>
    <w:rsid w:val="00CA27D5"/>
    <w:rsid w:val="00CA386C"/>
    <w:rsid w:val="00CA5447"/>
    <w:rsid w:val="00CA5812"/>
    <w:rsid w:val="00CA59F7"/>
    <w:rsid w:val="00CA6596"/>
    <w:rsid w:val="00CA6802"/>
    <w:rsid w:val="00CA7574"/>
    <w:rsid w:val="00CB04DA"/>
    <w:rsid w:val="00CB19A4"/>
    <w:rsid w:val="00CB1BFE"/>
    <w:rsid w:val="00CB2E69"/>
    <w:rsid w:val="00CB2F2F"/>
    <w:rsid w:val="00CB3262"/>
    <w:rsid w:val="00CB334B"/>
    <w:rsid w:val="00CB40A5"/>
    <w:rsid w:val="00CB4A87"/>
    <w:rsid w:val="00CB604F"/>
    <w:rsid w:val="00CB716E"/>
    <w:rsid w:val="00CB74F1"/>
    <w:rsid w:val="00CB757A"/>
    <w:rsid w:val="00CC09FB"/>
    <w:rsid w:val="00CC19C6"/>
    <w:rsid w:val="00CC1F9A"/>
    <w:rsid w:val="00CC39CE"/>
    <w:rsid w:val="00CC3B6B"/>
    <w:rsid w:val="00CC3C04"/>
    <w:rsid w:val="00CC3DE8"/>
    <w:rsid w:val="00CC4471"/>
    <w:rsid w:val="00CC47DD"/>
    <w:rsid w:val="00CC5169"/>
    <w:rsid w:val="00CC618B"/>
    <w:rsid w:val="00CC6994"/>
    <w:rsid w:val="00CC7488"/>
    <w:rsid w:val="00CC77FE"/>
    <w:rsid w:val="00CC7D63"/>
    <w:rsid w:val="00CD09E0"/>
    <w:rsid w:val="00CD0A60"/>
    <w:rsid w:val="00CD0B0E"/>
    <w:rsid w:val="00CD0C8F"/>
    <w:rsid w:val="00CD0CAF"/>
    <w:rsid w:val="00CD12DE"/>
    <w:rsid w:val="00CD1543"/>
    <w:rsid w:val="00CD1693"/>
    <w:rsid w:val="00CD210D"/>
    <w:rsid w:val="00CD3C42"/>
    <w:rsid w:val="00CD3D53"/>
    <w:rsid w:val="00CD404E"/>
    <w:rsid w:val="00CD4A18"/>
    <w:rsid w:val="00CD4F27"/>
    <w:rsid w:val="00CD5037"/>
    <w:rsid w:val="00CD50F9"/>
    <w:rsid w:val="00CD52C1"/>
    <w:rsid w:val="00CD53E8"/>
    <w:rsid w:val="00CD5D99"/>
    <w:rsid w:val="00CD5E04"/>
    <w:rsid w:val="00CD79B2"/>
    <w:rsid w:val="00CE0C63"/>
    <w:rsid w:val="00CE0DB2"/>
    <w:rsid w:val="00CE1328"/>
    <w:rsid w:val="00CE134A"/>
    <w:rsid w:val="00CE1359"/>
    <w:rsid w:val="00CE142B"/>
    <w:rsid w:val="00CE23F0"/>
    <w:rsid w:val="00CE2542"/>
    <w:rsid w:val="00CE38D6"/>
    <w:rsid w:val="00CE3D22"/>
    <w:rsid w:val="00CE5A59"/>
    <w:rsid w:val="00CE66D8"/>
    <w:rsid w:val="00CE693C"/>
    <w:rsid w:val="00CE6E44"/>
    <w:rsid w:val="00CE6F4A"/>
    <w:rsid w:val="00CE7645"/>
    <w:rsid w:val="00CF0682"/>
    <w:rsid w:val="00CF0E3D"/>
    <w:rsid w:val="00CF21D2"/>
    <w:rsid w:val="00CF2464"/>
    <w:rsid w:val="00CF2C1A"/>
    <w:rsid w:val="00CF44D8"/>
    <w:rsid w:val="00CF4965"/>
    <w:rsid w:val="00CF4BFD"/>
    <w:rsid w:val="00CF513A"/>
    <w:rsid w:val="00CF6813"/>
    <w:rsid w:val="00CF6AAD"/>
    <w:rsid w:val="00CF6BFB"/>
    <w:rsid w:val="00CF7A01"/>
    <w:rsid w:val="00CF7F23"/>
    <w:rsid w:val="00D00E62"/>
    <w:rsid w:val="00D01483"/>
    <w:rsid w:val="00D0280E"/>
    <w:rsid w:val="00D03A8C"/>
    <w:rsid w:val="00D03C46"/>
    <w:rsid w:val="00D03ED0"/>
    <w:rsid w:val="00D045BC"/>
    <w:rsid w:val="00D04989"/>
    <w:rsid w:val="00D05482"/>
    <w:rsid w:val="00D05589"/>
    <w:rsid w:val="00D05C75"/>
    <w:rsid w:val="00D06483"/>
    <w:rsid w:val="00D067BD"/>
    <w:rsid w:val="00D06D33"/>
    <w:rsid w:val="00D1002F"/>
    <w:rsid w:val="00D11382"/>
    <w:rsid w:val="00D11F96"/>
    <w:rsid w:val="00D123FF"/>
    <w:rsid w:val="00D12990"/>
    <w:rsid w:val="00D131C0"/>
    <w:rsid w:val="00D13265"/>
    <w:rsid w:val="00D132B0"/>
    <w:rsid w:val="00D13436"/>
    <w:rsid w:val="00D13DFB"/>
    <w:rsid w:val="00D14542"/>
    <w:rsid w:val="00D153C8"/>
    <w:rsid w:val="00D15C48"/>
    <w:rsid w:val="00D15D72"/>
    <w:rsid w:val="00D1634A"/>
    <w:rsid w:val="00D163D4"/>
    <w:rsid w:val="00D16573"/>
    <w:rsid w:val="00D1768D"/>
    <w:rsid w:val="00D17725"/>
    <w:rsid w:val="00D17B1C"/>
    <w:rsid w:val="00D17B33"/>
    <w:rsid w:val="00D20A7F"/>
    <w:rsid w:val="00D20B33"/>
    <w:rsid w:val="00D21219"/>
    <w:rsid w:val="00D21420"/>
    <w:rsid w:val="00D21C04"/>
    <w:rsid w:val="00D21FE6"/>
    <w:rsid w:val="00D225D8"/>
    <w:rsid w:val="00D22E32"/>
    <w:rsid w:val="00D230C7"/>
    <w:rsid w:val="00D23AB8"/>
    <w:rsid w:val="00D24370"/>
    <w:rsid w:val="00D24979"/>
    <w:rsid w:val="00D24F07"/>
    <w:rsid w:val="00D2655D"/>
    <w:rsid w:val="00D27F59"/>
    <w:rsid w:val="00D27FC3"/>
    <w:rsid w:val="00D30B82"/>
    <w:rsid w:val="00D31610"/>
    <w:rsid w:val="00D316DC"/>
    <w:rsid w:val="00D32A0D"/>
    <w:rsid w:val="00D331BF"/>
    <w:rsid w:val="00D3361C"/>
    <w:rsid w:val="00D33BD6"/>
    <w:rsid w:val="00D353F4"/>
    <w:rsid w:val="00D358E3"/>
    <w:rsid w:val="00D35E73"/>
    <w:rsid w:val="00D35EB5"/>
    <w:rsid w:val="00D36943"/>
    <w:rsid w:val="00D36A6F"/>
    <w:rsid w:val="00D37694"/>
    <w:rsid w:val="00D37A79"/>
    <w:rsid w:val="00D37D8C"/>
    <w:rsid w:val="00D401C5"/>
    <w:rsid w:val="00D4032E"/>
    <w:rsid w:val="00D404A8"/>
    <w:rsid w:val="00D4120A"/>
    <w:rsid w:val="00D41E79"/>
    <w:rsid w:val="00D429B8"/>
    <w:rsid w:val="00D42A8A"/>
    <w:rsid w:val="00D43073"/>
    <w:rsid w:val="00D435A4"/>
    <w:rsid w:val="00D43AE3"/>
    <w:rsid w:val="00D44579"/>
    <w:rsid w:val="00D44B92"/>
    <w:rsid w:val="00D44E04"/>
    <w:rsid w:val="00D4527B"/>
    <w:rsid w:val="00D45B9F"/>
    <w:rsid w:val="00D46FFB"/>
    <w:rsid w:val="00D47070"/>
    <w:rsid w:val="00D47127"/>
    <w:rsid w:val="00D4773D"/>
    <w:rsid w:val="00D50FC9"/>
    <w:rsid w:val="00D50FCE"/>
    <w:rsid w:val="00D510E2"/>
    <w:rsid w:val="00D51292"/>
    <w:rsid w:val="00D51D29"/>
    <w:rsid w:val="00D5346E"/>
    <w:rsid w:val="00D53838"/>
    <w:rsid w:val="00D53E13"/>
    <w:rsid w:val="00D54915"/>
    <w:rsid w:val="00D55DA1"/>
    <w:rsid w:val="00D57A57"/>
    <w:rsid w:val="00D60549"/>
    <w:rsid w:val="00D613C4"/>
    <w:rsid w:val="00D62024"/>
    <w:rsid w:val="00D630BA"/>
    <w:rsid w:val="00D639B0"/>
    <w:rsid w:val="00D64497"/>
    <w:rsid w:val="00D6487B"/>
    <w:rsid w:val="00D64ACF"/>
    <w:rsid w:val="00D6511A"/>
    <w:rsid w:val="00D65157"/>
    <w:rsid w:val="00D65616"/>
    <w:rsid w:val="00D663B9"/>
    <w:rsid w:val="00D66B6F"/>
    <w:rsid w:val="00D67EB6"/>
    <w:rsid w:val="00D67F1C"/>
    <w:rsid w:val="00D708FA"/>
    <w:rsid w:val="00D709E0"/>
    <w:rsid w:val="00D71CA3"/>
    <w:rsid w:val="00D71DA3"/>
    <w:rsid w:val="00D731E4"/>
    <w:rsid w:val="00D743B4"/>
    <w:rsid w:val="00D75024"/>
    <w:rsid w:val="00D755ED"/>
    <w:rsid w:val="00D7673D"/>
    <w:rsid w:val="00D768DA"/>
    <w:rsid w:val="00D76949"/>
    <w:rsid w:val="00D77F08"/>
    <w:rsid w:val="00D802DD"/>
    <w:rsid w:val="00D812CB"/>
    <w:rsid w:val="00D814F8"/>
    <w:rsid w:val="00D825C0"/>
    <w:rsid w:val="00D8321A"/>
    <w:rsid w:val="00D832FB"/>
    <w:rsid w:val="00D835A5"/>
    <w:rsid w:val="00D83C04"/>
    <w:rsid w:val="00D8494D"/>
    <w:rsid w:val="00D85768"/>
    <w:rsid w:val="00D85DE9"/>
    <w:rsid w:val="00D86299"/>
    <w:rsid w:val="00D86630"/>
    <w:rsid w:val="00D8772F"/>
    <w:rsid w:val="00D877FA"/>
    <w:rsid w:val="00D90C18"/>
    <w:rsid w:val="00D912C1"/>
    <w:rsid w:val="00D9133E"/>
    <w:rsid w:val="00D914FB"/>
    <w:rsid w:val="00D91A18"/>
    <w:rsid w:val="00D92513"/>
    <w:rsid w:val="00D93302"/>
    <w:rsid w:val="00D93AAF"/>
    <w:rsid w:val="00D93D3D"/>
    <w:rsid w:val="00D93F48"/>
    <w:rsid w:val="00D948BF"/>
    <w:rsid w:val="00D94D89"/>
    <w:rsid w:val="00D95131"/>
    <w:rsid w:val="00D959A5"/>
    <w:rsid w:val="00D95F6A"/>
    <w:rsid w:val="00D97017"/>
    <w:rsid w:val="00D97103"/>
    <w:rsid w:val="00D97227"/>
    <w:rsid w:val="00D974E4"/>
    <w:rsid w:val="00D97552"/>
    <w:rsid w:val="00DA109E"/>
    <w:rsid w:val="00DA1178"/>
    <w:rsid w:val="00DA162E"/>
    <w:rsid w:val="00DA1BB3"/>
    <w:rsid w:val="00DA376D"/>
    <w:rsid w:val="00DA39A6"/>
    <w:rsid w:val="00DA46D7"/>
    <w:rsid w:val="00DA4EE9"/>
    <w:rsid w:val="00DA62DA"/>
    <w:rsid w:val="00DB0014"/>
    <w:rsid w:val="00DB041E"/>
    <w:rsid w:val="00DB13FD"/>
    <w:rsid w:val="00DB176D"/>
    <w:rsid w:val="00DB2318"/>
    <w:rsid w:val="00DB3EA5"/>
    <w:rsid w:val="00DB4A29"/>
    <w:rsid w:val="00DB4CAF"/>
    <w:rsid w:val="00DB5833"/>
    <w:rsid w:val="00DB5A6C"/>
    <w:rsid w:val="00DB5AA0"/>
    <w:rsid w:val="00DB5B13"/>
    <w:rsid w:val="00DB6F58"/>
    <w:rsid w:val="00DB7142"/>
    <w:rsid w:val="00DB7816"/>
    <w:rsid w:val="00DC0650"/>
    <w:rsid w:val="00DC10EB"/>
    <w:rsid w:val="00DC1528"/>
    <w:rsid w:val="00DC1F13"/>
    <w:rsid w:val="00DC2105"/>
    <w:rsid w:val="00DC305C"/>
    <w:rsid w:val="00DC35A7"/>
    <w:rsid w:val="00DC3870"/>
    <w:rsid w:val="00DC40F5"/>
    <w:rsid w:val="00DC4244"/>
    <w:rsid w:val="00DC47B3"/>
    <w:rsid w:val="00DC4AFA"/>
    <w:rsid w:val="00DC4F01"/>
    <w:rsid w:val="00DC5005"/>
    <w:rsid w:val="00DC5176"/>
    <w:rsid w:val="00DC5188"/>
    <w:rsid w:val="00DC5AB0"/>
    <w:rsid w:val="00DC64A8"/>
    <w:rsid w:val="00DC6D66"/>
    <w:rsid w:val="00DC7346"/>
    <w:rsid w:val="00DD13F6"/>
    <w:rsid w:val="00DD1705"/>
    <w:rsid w:val="00DD1F60"/>
    <w:rsid w:val="00DD21A2"/>
    <w:rsid w:val="00DD2890"/>
    <w:rsid w:val="00DD315B"/>
    <w:rsid w:val="00DD31C1"/>
    <w:rsid w:val="00DD358C"/>
    <w:rsid w:val="00DD388B"/>
    <w:rsid w:val="00DD3BC4"/>
    <w:rsid w:val="00DD3E32"/>
    <w:rsid w:val="00DD4692"/>
    <w:rsid w:val="00DD4C9A"/>
    <w:rsid w:val="00DD68B7"/>
    <w:rsid w:val="00DD6922"/>
    <w:rsid w:val="00DD69E4"/>
    <w:rsid w:val="00DD6C77"/>
    <w:rsid w:val="00DD75E3"/>
    <w:rsid w:val="00DD768D"/>
    <w:rsid w:val="00DD7E12"/>
    <w:rsid w:val="00DE00DD"/>
    <w:rsid w:val="00DE08F0"/>
    <w:rsid w:val="00DE0DAC"/>
    <w:rsid w:val="00DE0E87"/>
    <w:rsid w:val="00DE1514"/>
    <w:rsid w:val="00DE1EFE"/>
    <w:rsid w:val="00DE28C4"/>
    <w:rsid w:val="00DE335D"/>
    <w:rsid w:val="00DE3F3F"/>
    <w:rsid w:val="00DE48E6"/>
    <w:rsid w:val="00DE4A3A"/>
    <w:rsid w:val="00DE4EC8"/>
    <w:rsid w:val="00DE5209"/>
    <w:rsid w:val="00DE5BF6"/>
    <w:rsid w:val="00DE600C"/>
    <w:rsid w:val="00DE622D"/>
    <w:rsid w:val="00DE66C2"/>
    <w:rsid w:val="00DE6784"/>
    <w:rsid w:val="00DE6A62"/>
    <w:rsid w:val="00DE6EDA"/>
    <w:rsid w:val="00DE7569"/>
    <w:rsid w:val="00DF02AD"/>
    <w:rsid w:val="00DF0460"/>
    <w:rsid w:val="00DF0470"/>
    <w:rsid w:val="00DF0833"/>
    <w:rsid w:val="00DF1D35"/>
    <w:rsid w:val="00DF2394"/>
    <w:rsid w:val="00DF25CB"/>
    <w:rsid w:val="00DF2899"/>
    <w:rsid w:val="00DF2E35"/>
    <w:rsid w:val="00DF3E88"/>
    <w:rsid w:val="00DF467D"/>
    <w:rsid w:val="00DF5014"/>
    <w:rsid w:val="00DF5875"/>
    <w:rsid w:val="00DF7016"/>
    <w:rsid w:val="00DF7097"/>
    <w:rsid w:val="00DF7365"/>
    <w:rsid w:val="00DF797B"/>
    <w:rsid w:val="00DF79FC"/>
    <w:rsid w:val="00E000EA"/>
    <w:rsid w:val="00E00170"/>
    <w:rsid w:val="00E00F18"/>
    <w:rsid w:val="00E0152A"/>
    <w:rsid w:val="00E0165D"/>
    <w:rsid w:val="00E01933"/>
    <w:rsid w:val="00E020F9"/>
    <w:rsid w:val="00E03A53"/>
    <w:rsid w:val="00E04568"/>
    <w:rsid w:val="00E04934"/>
    <w:rsid w:val="00E056B0"/>
    <w:rsid w:val="00E07FDE"/>
    <w:rsid w:val="00E103D3"/>
    <w:rsid w:val="00E11F97"/>
    <w:rsid w:val="00E12787"/>
    <w:rsid w:val="00E12DC3"/>
    <w:rsid w:val="00E134B3"/>
    <w:rsid w:val="00E13EE8"/>
    <w:rsid w:val="00E14C0B"/>
    <w:rsid w:val="00E15BD3"/>
    <w:rsid w:val="00E1613C"/>
    <w:rsid w:val="00E16CD7"/>
    <w:rsid w:val="00E20228"/>
    <w:rsid w:val="00E20803"/>
    <w:rsid w:val="00E2170D"/>
    <w:rsid w:val="00E21C91"/>
    <w:rsid w:val="00E23078"/>
    <w:rsid w:val="00E23B7E"/>
    <w:rsid w:val="00E23EEF"/>
    <w:rsid w:val="00E24A41"/>
    <w:rsid w:val="00E26244"/>
    <w:rsid w:val="00E26623"/>
    <w:rsid w:val="00E27631"/>
    <w:rsid w:val="00E27C01"/>
    <w:rsid w:val="00E300FD"/>
    <w:rsid w:val="00E30365"/>
    <w:rsid w:val="00E30EF9"/>
    <w:rsid w:val="00E3102A"/>
    <w:rsid w:val="00E31279"/>
    <w:rsid w:val="00E31528"/>
    <w:rsid w:val="00E3154E"/>
    <w:rsid w:val="00E31B83"/>
    <w:rsid w:val="00E31EB9"/>
    <w:rsid w:val="00E32F42"/>
    <w:rsid w:val="00E33A0D"/>
    <w:rsid w:val="00E33C44"/>
    <w:rsid w:val="00E33F26"/>
    <w:rsid w:val="00E3413C"/>
    <w:rsid w:val="00E346CD"/>
    <w:rsid w:val="00E34836"/>
    <w:rsid w:val="00E34847"/>
    <w:rsid w:val="00E34884"/>
    <w:rsid w:val="00E34C91"/>
    <w:rsid w:val="00E34D99"/>
    <w:rsid w:val="00E3523C"/>
    <w:rsid w:val="00E356D5"/>
    <w:rsid w:val="00E36E4E"/>
    <w:rsid w:val="00E4037B"/>
    <w:rsid w:val="00E40DE6"/>
    <w:rsid w:val="00E40E93"/>
    <w:rsid w:val="00E414B1"/>
    <w:rsid w:val="00E42AA2"/>
    <w:rsid w:val="00E42C11"/>
    <w:rsid w:val="00E42F32"/>
    <w:rsid w:val="00E4302C"/>
    <w:rsid w:val="00E43553"/>
    <w:rsid w:val="00E43A12"/>
    <w:rsid w:val="00E4418C"/>
    <w:rsid w:val="00E4433D"/>
    <w:rsid w:val="00E443CC"/>
    <w:rsid w:val="00E44478"/>
    <w:rsid w:val="00E4447F"/>
    <w:rsid w:val="00E4454C"/>
    <w:rsid w:val="00E4475B"/>
    <w:rsid w:val="00E44E60"/>
    <w:rsid w:val="00E45824"/>
    <w:rsid w:val="00E45B05"/>
    <w:rsid w:val="00E460D5"/>
    <w:rsid w:val="00E46A06"/>
    <w:rsid w:val="00E46CE4"/>
    <w:rsid w:val="00E473AF"/>
    <w:rsid w:val="00E47852"/>
    <w:rsid w:val="00E50C29"/>
    <w:rsid w:val="00E52209"/>
    <w:rsid w:val="00E52239"/>
    <w:rsid w:val="00E52886"/>
    <w:rsid w:val="00E53EBD"/>
    <w:rsid w:val="00E544A3"/>
    <w:rsid w:val="00E555E3"/>
    <w:rsid w:val="00E55C7F"/>
    <w:rsid w:val="00E56B93"/>
    <w:rsid w:val="00E56DF5"/>
    <w:rsid w:val="00E57674"/>
    <w:rsid w:val="00E57808"/>
    <w:rsid w:val="00E57DD9"/>
    <w:rsid w:val="00E60A36"/>
    <w:rsid w:val="00E614E9"/>
    <w:rsid w:val="00E62895"/>
    <w:rsid w:val="00E62CDC"/>
    <w:rsid w:val="00E63230"/>
    <w:rsid w:val="00E63316"/>
    <w:rsid w:val="00E63450"/>
    <w:rsid w:val="00E63EE7"/>
    <w:rsid w:val="00E64196"/>
    <w:rsid w:val="00E642A7"/>
    <w:rsid w:val="00E64656"/>
    <w:rsid w:val="00E6483B"/>
    <w:rsid w:val="00E64954"/>
    <w:rsid w:val="00E64993"/>
    <w:rsid w:val="00E65143"/>
    <w:rsid w:val="00E65A40"/>
    <w:rsid w:val="00E65EBB"/>
    <w:rsid w:val="00E66426"/>
    <w:rsid w:val="00E665AD"/>
    <w:rsid w:val="00E670B0"/>
    <w:rsid w:val="00E670FC"/>
    <w:rsid w:val="00E674E5"/>
    <w:rsid w:val="00E67529"/>
    <w:rsid w:val="00E67912"/>
    <w:rsid w:val="00E67938"/>
    <w:rsid w:val="00E67D15"/>
    <w:rsid w:val="00E70FD8"/>
    <w:rsid w:val="00E7133E"/>
    <w:rsid w:val="00E7164A"/>
    <w:rsid w:val="00E717DD"/>
    <w:rsid w:val="00E71875"/>
    <w:rsid w:val="00E730F7"/>
    <w:rsid w:val="00E73886"/>
    <w:rsid w:val="00E749B3"/>
    <w:rsid w:val="00E74A86"/>
    <w:rsid w:val="00E74AE0"/>
    <w:rsid w:val="00E74B6E"/>
    <w:rsid w:val="00E74D64"/>
    <w:rsid w:val="00E7545C"/>
    <w:rsid w:val="00E755A5"/>
    <w:rsid w:val="00E75BF0"/>
    <w:rsid w:val="00E75EA2"/>
    <w:rsid w:val="00E75F9C"/>
    <w:rsid w:val="00E773A3"/>
    <w:rsid w:val="00E7754B"/>
    <w:rsid w:val="00E778E2"/>
    <w:rsid w:val="00E8100F"/>
    <w:rsid w:val="00E825BC"/>
    <w:rsid w:val="00E82AD4"/>
    <w:rsid w:val="00E8339C"/>
    <w:rsid w:val="00E84BA5"/>
    <w:rsid w:val="00E84E55"/>
    <w:rsid w:val="00E85B5E"/>
    <w:rsid w:val="00E8689C"/>
    <w:rsid w:val="00E9097C"/>
    <w:rsid w:val="00E90D9F"/>
    <w:rsid w:val="00E9277A"/>
    <w:rsid w:val="00E92E52"/>
    <w:rsid w:val="00E93735"/>
    <w:rsid w:val="00E939C6"/>
    <w:rsid w:val="00E93A81"/>
    <w:rsid w:val="00E9415A"/>
    <w:rsid w:val="00E94716"/>
    <w:rsid w:val="00E94EF0"/>
    <w:rsid w:val="00E956F2"/>
    <w:rsid w:val="00E959BE"/>
    <w:rsid w:val="00E964BF"/>
    <w:rsid w:val="00E969E4"/>
    <w:rsid w:val="00E96E5E"/>
    <w:rsid w:val="00E96F61"/>
    <w:rsid w:val="00E9765E"/>
    <w:rsid w:val="00E978A5"/>
    <w:rsid w:val="00E97BDD"/>
    <w:rsid w:val="00EA0131"/>
    <w:rsid w:val="00EA1137"/>
    <w:rsid w:val="00EA2AFF"/>
    <w:rsid w:val="00EA322F"/>
    <w:rsid w:val="00EA3B35"/>
    <w:rsid w:val="00EA4650"/>
    <w:rsid w:val="00EA4849"/>
    <w:rsid w:val="00EA4A8C"/>
    <w:rsid w:val="00EA51D7"/>
    <w:rsid w:val="00EA5433"/>
    <w:rsid w:val="00EA5F94"/>
    <w:rsid w:val="00EA658E"/>
    <w:rsid w:val="00EA6CFB"/>
    <w:rsid w:val="00EA6EFD"/>
    <w:rsid w:val="00EB1278"/>
    <w:rsid w:val="00EB1760"/>
    <w:rsid w:val="00EB2454"/>
    <w:rsid w:val="00EB32A0"/>
    <w:rsid w:val="00EB357C"/>
    <w:rsid w:val="00EB3C1A"/>
    <w:rsid w:val="00EB438B"/>
    <w:rsid w:val="00EB43C9"/>
    <w:rsid w:val="00EB4A91"/>
    <w:rsid w:val="00EB5F33"/>
    <w:rsid w:val="00EB62CF"/>
    <w:rsid w:val="00EB6C9E"/>
    <w:rsid w:val="00EB6CCA"/>
    <w:rsid w:val="00EB7AF5"/>
    <w:rsid w:val="00EB7D5D"/>
    <w:rsid w:val="00EC008C"/>
    <w:rsid w:val="00EC03B5"/>
    <w:rsid w:val="00EC0546"/>
    <w:rsid w:val="00EC0896"/>
    <w:rsid w:val="00EC135E"/>
    <w:rsid w:val="00EC195B"/>
    <w:rsid w:val="00EC1D62"/>
    <w:rsid w:val="00EC21F2"/>
    <w:rsid w:val="00EC25DC"/>
    <w:rsid w:val="00EC2CC8"/>
    <w:rsid w:val="00EC3EF9"/>
    <w:rsid w:val="00EC40DC"/>
    <w:rsid w:val="00EC453C"/>
    <w:rsid w:val="00EC535E"/>
    <w:rsid w:val="00EC5A07"/>
    <w:rsid w:val="00EC649C"/>
    <w:rsid w:val="00EC65B7"/>
    <w:rsid w:val="00EC7940"/>
    <w:rsid w:val="00EC7B28"/>
    <w:rsid w:val="00EC7BA5"/>
    <w:rsid w:val="00EC7DC2"/>
    <w:rsid w:val="00ED022B"/>
    <w:rsid w:val="00ED0373"/>
    <w:rsid w:val="00ED0690"/>
    <w:rsid w:val="00ED1420"/>
    <w:rsid w:val="00ED1452"/>
    <w:rsid w:val="00ED1A0A"/>
    <w:rsid w:val="00ED2826"/>
    <w:rsid w:val="00ED2AB5"/>
    <w:rsid w:val="00ED447D"/>
    <w:rsid w:val="00ED4646"/>
    <w:rsid w:val="00ED4DB3"/>
    <w:rsid w:val="00ED52DF"/>
    <w:rsid w:val="00ED5882"/>
    <w:rsid w:val="00ED5CFF"/>
    <w:rsid w:val="00ED717F"/>
    <w:rsid w:val="00ED779A"/>
    <w:rsid w:val="00ED7A60"/>
    <w:rsid w:val="00EE07AF"/>
    <w:rsid w:val="00EE15D9"/>
    <w:rsid w:val="00EE17EB"/>
    <w:rsid w:val="00EE33F9"/>
    <w:rsid w:val="00EE34DE"/>
    <w:rsid w:val="00EE3B07"/>
    <w:rsid w:val="00EE3CF4"/>
    <w:rsid w:val="00EE43D6"/>
    <w:rsid w:val="00EE4E39"/>
    <w:rsid w:val="00EE54AD"/>
    <w:rsid w:val="00EE599B"/>
    <w:rsid w:val="00EE628A"/>
    <w:rsid w:val="00EE6B66"/>
    <w:rsid w:val="00EE6DD5"/>
    <w:rsid w:val="00EE722E"/>
    <w:rsid w:val="00EE75D3"/>
    <w:rsid w:val="00EE775E"/>
    <w:rsid w:val="00EE7894"/>
    <w:rsid w:val="00EE78A4"/>
    <w:rsid w:val="00EE7EFC"/>
    <w:rsid w:val="00EF0B2C"/>
    <w:rsid w:val="00EF1A1B"/>
    <w:rsid w:val="00EF1FBD"/>
    <w:rsid w:val="00EF20D1"/>
    <w:rsid w:val="00EF25A9"/>
    <w:rsid w:val="00EF264C"/>
    <w:rsid w:val="00EF326B"/>
    <w:rsid w:val="00EF384E"/>
    <w:rsid w:val="00EF3EEC"/>
    <w:rsid w:val="00EF438A"/>
    <w:rsid w:val="00EF4BD9"/>
    <w:rsid w:val="00EF4D35"/>
    <w:rsid w:val="00EF4D4E"/>
    <w:rsid w:val="00EF4DCC"/>
    <w:rsid w:val="00EF6056"/>
    <w:rsid w:val="00EF717E"/>
    <w:rsid w:val="00EF7863"/>
    <w:rsid w:val="00F00359"/>
    <w:rsid w:val="00F004BC"/>
    <w:rsid w:val="00F0054D"/>
    <w:rsid w:val="00F0058E"/>
    <w:rsid w:val="00F00872"/>
    <w:rsid w:val="00F00896"/>
    <w:rsid w:val="00F00C5F"/>
    <w:rsid w:val="00F01378"/>
    <w:rsid w:val="00F0145B"/>
    <w:rsid w:val="00F01D49"/>
    <w:rsid w:val="00F02C47"/>
    <w:rsid w:val="00F045BA"/>
    <w:rsid w:val="00F0482B"/>
    <w:rsid w:val="00F055D1"/>
    <w:rsid w:val="00F063D7"/>
    <w:rsid w:val="00F06841"/>
    <w:rsid w:val="00F06B6B"/>
    <w:rsid w:val="00F07B84"/>
    <w:rsid w:val="00F104AB"/>
    <w:rsid w:val="00F112EA"/>
    <w:rsid w:val="00F112F7"/>
    <w:rsid w:val="00F11686"/>
    <w:rsid w:val="00F11E51"/>
    <w:rsid w:val="00F1212B"/>
    <w:rsid w:val="00F13D42"/>
    <w:rsid w:val="00F1411D"/>
    <w:rsid w:val="00F146CE"/>
    <w:rsid w:val="00F14AC9"/>
    <w:rsid w:val="00F1517C"/>
    <w:rsid w:val="00F15439"/>
    <w:rsid w:val="00F15D72"/>
    <w:rsid w:val="00F15D9F"/>
    <w:rsid w:val="00F15DF2"/>
    <w:rsid w:val="00F15F4D"/>
    <w:rsid w:val="00F162A3"/>
    <w:rsid w:val="00F16A89"/>
    <w:rsid w:val="00F17452"/>
    <w:rsid w:val="00F17BA7"/>
    <w:rsid w:val="00F20FA2"/>
    <w:rsid w:val="00F216BB"/>
    <w:rsid w:val="00F21AF8"/>
    <w:rsid w:val="00F21B28"/>
    <w:rsid w:val="00F21DBB"/>
    <w:rsid w:val="00F22674"/>
    <w:rsid w:val="00F22E10"/>
    <w:rsid w:val="00F2316C"/>
    <w:rsid w:val="00F23653"/>
    <w:rsid w:val="00F23EE1"/>
    <w:rsid w:val="00F24013"/>
    <w:rsid w:val="00F2412A"/>
    <w:rsid w:val="00F24D2B"/>
    <w:rsid w:val="00F24F06"/>
    <w:rsid w:val="00F2515A"/>
    <w:rsid w:val="00F257FE"/>
    <w:rsid w:val="00F25CAA"/>
    <w:rsid w:val="00F26476"/>
    <w:rsid w:val="00F272DD"/>
    <w:rsid w:val="00F27A03"/>
    <w:rsid w:val="00F308C4"/>
    <w:rsid w:val="00F310A9"/>
    <w:rsid w:val="00F312F1"/>
    <w:rsid w:val="00F31930"/>
    <w:rsid w:val="00F32837"/>
    <w:rsid w:val="00F33C8E"/>
    <w:rsid w:val="00F33EA6"/>
    <w:rsid w:val="00F34623"/>
    <w:rsid w:val="00F34C34"/>
    <w:rsid w:val="00F34EBE"/>
    <w:rsid w:val="00F350E5"/>
    <w:rsid w:val="00F352F9"/>
    <w:rsid w:val="00F37A52"/>
    <w:rsid w:val="00F37D95"/>
    <w:rsid w:val="00F40522"/>
    <w:rsid w:val="00F40736"/>
    <w:rsid w:val="00F40E19"/>
    <w:rsid w:val="00F41052"/>
    <w:rsid w:val="00F41311"/>
    <w:rsid w:val="00F41506"/>
    <w:rsid w:val="00F417F8"/>
    <w:rsid w:val="00F432AB"/>
    <w:rsid w:val="00F44BF8"/>
    <w:rsid w:val="00F4670D"/>
    <w:rsid w:val="00F46947"/>
    <w:rsid w:val="00F47E99"/>
    <w:rsid w:val="00F50313"/>
    <w:rsid w:val="00F50B57"/>
    <w:rsid w:val="00F521D6"/>
    <w:rsid w:val="00F52A79"/>
    <w:rsid w:val="00F52F3A"/>
    <w:rsid w:val="00F53008"/>
    <w:rsid w:val="00F53540"/>
    <w:rsid w:val="00F53BB8"/>
    <w:rsid w:val="00F5422D"/>
    <w:rsid w:val="00F550C8"/>
    <w:rsid w:val="00F5511C"/>
    <w:rsid w:val="00F5564A"/>
    <w:rsid w:val="00F558ED"/>
    <w:rsid w:val="00F5648E"/>
    <w:rsid w:val="00F56675"/>
    <w:rsid w:val="00F56965"/>
    <w:rsid w:val="00F57304"/>
    <w:rsid w:val="00F57E65"/>
    <w:rsid w:val="00F60191"/>
    <w:rsid w:val="00F601D3"/>
    <w:rsid w:val="00F60560"/>
    <w:rsid w:val="00F608AD"/>
    <w:rsid w:val="00F60913"/>
    <w:rsid w:val="00F60E6D"/>
    <w:rsid w:val="00F61C17"/>
    <w:rsid w:val="00F61C59"/>
    <w:rsid w:val="00F629FC"/>
    <w:rsid w:val="00F62A99"/>
    <w:rsid w:val="00F62C50"/>
    <w:rsid w:val="00F62D29"/>
    <w:rsid w:val="00F640F2"/>
    <w:rsid w:val="00F6445A"/>
    <w:rsid w:val="00F64AC5"/>
    <w:rsid w:val="00F64B37"/>
    <w:rsid w:val="00F65309"/>
    <w:rsid w:val="00F65606"/>
    <w:rsid w:val="00F658BF"/>
    <w:rsid w:val="00F65C3C"/>
    <w:rsid w:val="00F66A02"/>
    <w:rsid w:val="00F66AC1"/>
    <w:rsid w:val="00F70172"/>
    <w:rsid w:val="00F70A73"/>
    <w:rsid w:val="00F721F4"/>
    <w:rsid w:val="00F729BB"/>
    <w:rsid w:val="00F738D6"/>
    <w:rsid w:val="00F74449"/>
    <w:rsid w:val="00F74473"/>
    <w:rsid w:val="00F74524"/>
    <w:rsid w:val="00F75545"/>
    <w:rsid w:val="00F75691"/>
    <w:rsid w:val="00F7630B"/>
    <w:rsid w:val="00F800C7"/>
    <w:rsid w:val="00F80669"/>
    <w:rsid w:val="00F815E7"/>
    <w:rsid w:val="00F8237A"/>
    <w:rsid w:val="00F8332B"/>
    <w:rsid w:val="00F83B3D"/>
    <w:rsid w:val="00F83CA0"/>
    <w:rsid w:val="00F84F64"/>
    <w:rsid w:val="00F85CC5"/>
    <w:rsid w:val="00F861E4"/>
    <w:rsid w:val="00F86200"/>
    <w:rsid w:val="00F8746F"/>
    <w:rsid w:val="00F9054B"/>
    <w:rsid w:val="00F90CE2"/>
    <w:rsid w:val="00F926DC"/>
    <w:rsid w:val="00F93ECD"/>
    <w:rsid w:val="00F942B0"/>
    <w:rsid w:val="00F945C7"/>
    <w:rsid w:val="00F957EC"/>
    <w:rsid w:val="00F958FA"/>
    <w:rsid w:val="00F95D1A"/>
    <w:rsid w:val="00F96561"/>
    <w:rsid w:val="00F96E21"/>
    <w:rsid w:val="00F96E7C"/>
    <w:rsid w:val="00F972DF"/>
    <w:rsid w:val="00F97ADA"/>
    <w:rsid w:val="00F97E88"/>
    <w:rsid w:val="00FA02BC"/>
    <w:rsid w:val="00FA0812"/>
    <w:rsid w:val="00FA1108"/>
    <w:rsid w:val="00FA16E8"/>
    <w:rsid w:val="00FA1C70"/>
    <w:rsid w:val="00FA2316"/>
    <w:rsid w:val="00FA2B22"/>
    <w:rsid w:val="00FA2D06"/>
    <w:rsid w:val="00FA4048"/>
    <w:rsid w:val="00FA4EEC"/>
    <w:rsid w:val="00FA5CA1"/>
    <w:rsid w:val="00FA6427"/>
    <w:rsid w:val="00FA6A22"/>
    <w:rsid w:val="00FA700B"/>
    <w:rsid w:val="00FA77D0"/>
    <w:rsid w:val="00FB0155"/>
    <w:rsid w:val="00FB0BBA"/>
    <w:rsid w:val="00FB0C5D"/>
    <w:rsid w:val="00FB19AF"/>
    <w:rsid w:val="00FB1BD4"/>
    <w:rsid w:val="00FB1F28"/>
    <w:rsid w:val="00FB3B81"/>
    <w:rsid w:val="00FB400B"/>
    <w:rsid w:val="00FB41BE"/>
    <w:rsid w:val="00FB4BD0"/>
    <w:rsid w:val="00FB4FE1"/>
    <w:rsid w:val="00FB51FB"/>
    <w:rsid w:val="00FB52EF"/>
    <w:rsid w:val="00FB5CB7"/>
    <w:rsid w:val="00FB65D4"/>
    <w:rsid w:val="00FB6B95"/>
    <w:rsid w:val="00FB7394"/>
    <w:rsid w:val="00FB7848"/>
    <w:rsid w:val="00FB7979"/>
    <w:rsid w:val="00FC08CA"/>
    <w:rsid w:val="00FC1191"/>
    <w:rsid w:val="00FC1669"/>
    <w:rsid w:val="00FC1D04"/>
    <w:rsid w:val="00FC28CB"/>
    <w:rsid w:val="00FC2D93"/>
    <w:rsid w:val="00FC302C"/>
    <w:rsid w:val="00FC54CC"/>
    <w:rsid w:val="00FC583C"/>
    <w:rsid w:val="00FC5A94"/>
    <w:rsid w:val="00FC6686"/>
    <w:rsid w:val="00FC706A"/>
    <w:rsid w:val="00FC7103"/>
    <w:rsid w:val="00FC7A5A"/>
    <w:rsid w:val="00FD0D8F"/>
    <w:rsid w:val="00FD248A"/>
    <w:rsid w:val="00FD2C8F"/>
    <w:rsid w:val="00FD5575"/>
    <w:rsid w:val="00FD6B14"/>
    <w:rsid w:val="00FD7441"/>
    <w:rsid w:val="00FD7B34"/>
    <w:rsid w:val="00FD7EA3"/>
    <w:rsid w:val="00FE069C"/>
    <w:rsid w:val="00FE080A"/>
    <w:rsid w:val="00FE1491"/>
    <w:rsid w:val="00FE1CB6"/>
    <w:rsid w:val="00FE1EDD"/>
    <w:rsid w:val="00FE2346"/>
    <w:rsid w:val="00FE2EC2"/>
    <w:rsid w:val="00FE3750"/>
    <w:rsid w:val="00FE3FC2"/>
    <w:rsid w:val="00FE442F"/>
    <w:rsid w:val="00FE4D9E"/>
    <w:rsid w:val="00FE584F"/>
    <w:rsid w:val="00FE5904"/>
    <w:rsid w:val="00FE6809"/>
    <w:rsid w:val="00FE78D8"/>
    <w:rsid w:val="00FE7977"/>
    <w:rsid w:val="00FF0AB1"/>
    <w:rsid w:val="00FF0DC9"/>
    <w:rsid w:val="00FF107E"/>
    <w:rsid w:val="00FF1419"/>
    <w:rsid w:val="00FF1480"/>
    <w:rsid w:val="00FF175B"/>
    <w:rsid w:val="00FF358C"/>
    <w:rsid w:val="00FF4771"/>
    <w:rsid w:val="00FF4BFE"/>
    <w:rsid w:val="00FF5653"/>
    <w:rsid w:val="00FF76E7"/>
    <w:rsid w:val="0822D9B5"/>
    <w:rsid w:val="0A9D68F4"/>
    <w:rsid w:val="12A08ACA"/>
    <w:rsid w:val="273B13B7"/>
    <w:rsid w:val="2C687FDE"/>
    <w:rsid w:val="2C7E83FD"/>
    <w:rsid w:val="2E2F839D"/>
    <w:rsid w:val="2FAF9C84"/>
    <w:rsid w:val="30D10918"/>
    <w:rsid w:val="37E04F63"/>
    <w:rsid w:val="38257923"/>
    <w:rsid w:val="3B210C9B"/>
    <w:rsid w:val="3D6ACD0E"/>
    <w:rsid w:val="41EB17C3"/>
    <w:rsid w:val="47E5CFCE"/>
    <w:rsid w:val="496B6D2A"/>
    <w:rsid w:val="4A52CAE9"/>
    <w:rsid w:val="4B80B9E0"/>
    <w:rsid w:val="75B13CF3"/>
    <w:rsid w:val="7CB425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D8151"/>
  <w15:docId w15:val="{B7A86533-EF2D-46FD-831E-250B41385FB2}"/>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ajorBidi"/>
        <w:color w:val="2A3C50" w:themeColor="text2"/>
        <w:kern w:val="24"/>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2D7"/>
    <w:pPr>
      <w:spacing w:after="160" w:line="264" w:lineRule="auto"/>
    </w:pPr>
    <w:rPr>
      <w:rFonts w:ascii="Garamond" w:hAnsi="Garamond" w:cs="Times New Roman (Headings CS)"/>
      <w:color w:val="auto"/>
      <w:sz w:val="24"/>
    </w:rPr>
  </w:style>
  <w:style w:type="paragraph" w:styleId="Heading1">
    <w:name w:val="heading 1"/>
    <w:basedOn w:val="Title"/>
    <w:next w:val="Subtitle"/>
    <w:link w:val="Heading1Char"/>
    <w:uiPriority w:val="9"/>
    <w:qFormat/>
    <w:rsid w:val="00B53003"/>
    <w:pPr>
      <w:pageBreakBefore/>
      <w:spacing w:after="80"/>
      <w:outlineLvl w:val="0"/>
    </w:pPr>
    <w:rPr>
      <w:sz w:val="56"/>
    </w:rPr>
  </w:style>
  <w:style w:type="paragraph" w:styleId="Heading2">
    <w:name w:val="heading 2"/>
    <w:basedOn w:val="Normal"/>
    <w:next w:val="Normal"/>
    <w:link w:val="Heading2Char"/>
    <w:uiPriority w:val="9"/>
    <w:unhideWhenUsed/>
    <w:qFormat/>
    <w:rsid w:val="002F46D0"/>
    <w:pPr>
      <w:pBdr>
        <w:bottom w:val="single" w:sz="8" w:space="1" w:color="3F5A78" w:themeColor="accent2"/>
      </w:pBdr>
      <w:spacing w:before="240"/>
      <w:contextualSpacing/>
      <w:outlineLvl w:val="1"/>
    </w:pPr>
    <w:rPr>
      <w:rFonts w:ascii="Century Gothic" w:hAnsi="Century Gothic"/>
      <w:color w:val="284A70" w:themeColor="accent1" w:themeShade="80"/>
      <w:spacing w:val="20"/>
      <w:sz w:val="28"/>
      <w:szCs w:val="28"/>
    </w:rPr>
  </w:style>
  <w:style w:type="paragraph" w:styleId="Heading3">
    <w:name w:val="heading 3"/>
    <w:basedOn w:val="Normal"/>
    <w:next w:val="Normal"/>
    <w:link w:val="Heading3Char"/>
    <w:uiPriority w:val="9"/>
    <w:unhideWhenUsed/>
    <w:qFormat/>
    <w:rsid w:val="002F46D0"/>
    <w:pPr>
      <w:spacing w:before="240" w:after="60"/>
      <w:contextualSpacing/>
      <w:outlineLvl w:val="2"/>
    </w:pPr>
    <w:rPr>
      <w:rFonts w:asciiTheme="minorHAnsi" w:hAnsiTheme="minorHAnsi"/>
      <w:color w:val="284A70" w:themeColor="accent1" w:themeShade="80"/>
      <w:spacing w:val="20"/>
      <w:szCs w:val="24"/>
    </w:rPr>
  </w:style>
  <w:style w:type="paragraph" w:styleId="Heading4">
    <w:name w:val="heading 4"/>
    <w:basedOn w:val="Normal"/>
    <w:next w:val="Normal"/>
    <w:link w:val="Heading4Char"/>
    <w:uiPriority w:val="9"/>
    <w:unhideWhenUsed/>
    <w:qFormat/>
    <w:rsid w:val="000A764A"/>
    <w:pPr>
      <w:spacing w:before="240"/>
      <w:outlineLvl w:val="3"/>
    </w:pPr>
    <w:rPr>
      <w:caps/>
      <w:spacing w:val="14"/>
      <w:szCs w:val="22"/>
    </w:rPr>
  </w:style>
  <w:style w:type="paragraph" w:styleId="Heading5">
    <w:name w:val="heading 5"/>
    <w:basedOn w:val="Normal"/>
    <w:next w:val="Normal"/>
    <w:link w:val="Heading5Char"/>
    <w:uiPriority w:val="9"/>
    <w:semiHidden/>
    <w:unhideWhenUsed/>
    <w:qFormat/>
    <w:rsid w:val="000A764A"/>
    <w:pPr>
      <w:spacing w:before="200"/>
      <w:outlineLvl w:val="4"/>
    </w:pPr>
    <w:rPr>
      <w:b/>
      <w:spacing w:val="10"/>
      <w:szCs w:val="26"/>
    </w:rPr>
  </w:style>
  <w:style w:type="paragraph" w:styleId="Heading6">
    <w:name w:val="heading 6"/>
    <w:basedOn w:val="Normal"/>
    <w:next w:val="Normal"/>
    <w:link w:val="Heading6Char"/>
    <w:uiPriority w:val="9"/>
    <w:semiHidden/>
    <w:unhideWhenUsed/>
    <w:qFormat/>
    <w:rsid w:val="003E38BF"/>
    <w:pPr>
      <w:outlineLvl w:val="5"/>
    </w:pPr>
    <w:rPr>
      <w:rFonts w:asciiTheme="majorHAnsi" w:hAnsiTheme="majorHAnsi"/>
      <w:b/>
      <w:color w:val="2F4359" w:themeColor="accent2" w:themeShade="BF"/>
      <w:spacing w:val="10"/>
    </w:rPr>
  </w:style>
  <w:style w:type="paragraph" w:styleId="Heading7">
    <w:name w:val="heading 7"/>
    <w:basedOn w:val="Normal"/>
    <w:next w:val="Normal"/>
    <w:link w:val="Heading7Char"/>
    <w:uiPriority w:val="9"/>
    <w:semiHidden/>
    <w:unhideWhenUsed/>
    <w:qFormat/>
    <w:rsid w:val="003E38BF"/>
    <w:pPr>
      <w:outlineLvl w:val="6"/>
    </w:pPr>
    <w:rPr>
      <w:rFonts w:asciiTheme="majorHAnsi" w:hAnsiTheme="majorHAnsi"/>
      <w:smallCaps/>
      <w:color w:val="4C4C4C" w:themeColor="text1"/>
      <w:spacing w:val="10"/>
    </w:rPr>
  </w:style>
  <w:style w:type="paragraph" w:styleId="Heading8">
    <w:name w:val="heading 8"/>
    <w:basedOn w:val="Normal"/>
    <w:next w:val="Normal"/>
    <w:link w:val="Heading8Char"/>
    <w:uiPriority w:val="9"/>
    <w:semiHidden/>
    <w:unhideWhenUsed/>
    <w:qFormat/>
    <w:rsid w:val="003E38BF"/>
    <w:pPr>
      <w:outlineLvl w:val="7"/>
    </w:pPr>
    <w:rPr>
      <w:rFonts w:asciiTheme="majorHAnsi" w:hAnsiTheme="majorHAnsi"/>
      <w:b/>
      <w:i/>
      <w:color w:val="284A70" w:themeColor="accent1" w:themeShade="80"/>
      <w:spacing w:val="10"/>
      <w:sz w:val="22"/>
    </w:rPr>
  </w:style>
  <w:style w:type="paragraph" w:styleId="Heading9">
    <w:name w:val="heading 9"/>
    <w:basedOn w:val="Normal"/>
    <w:next w:val="Normal"/>
    <w:link w:val="Heading9Char"/>
    <w:uiPriority w:val="9"/>
    <w:semiHidden/>
    <w:unhideWhenUsed/>
    <w:qFormat/>
    <w:rsid w:val="003E38BF"/>
    <w:pPr>
      <w:outlineLvl w:val="8"/>
    </w:pPr>
    <w:rPr>
      <w:rFonts w:asciiTheme="majorHAnsi" w:hAnsiTheme="majorHAnsi"/>
      <w:b/>
      <w:caps/>
      <w:color w:val="3B6BA6"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003"/>
    <w:rPr>
      <w:rFonts w:cs="Times New Roman (Headings CS)"/>
      <w:color w:val="auto"/>
      <w:sz w:val="56"/>
      <w:szCs w:val="48"/>
    </w:rPr>
  </w:style>
  <w:style w:type="character" w:customStyle="1" w:styleId="Heading2Char">
    <w:name w:val="Heading 2 Char"/>
    <w:basedOn w:val="DefaultParagraphFont"/>
    <w:link w:val="Heading2"/>
    <w:uiPriority w:val="9"/>
    <w:rsid w:val="002F46D0"/>
    <w:rPr>
      <w:rFonts w:cs="Times New Roman (Headings CS)"/>
      <w:color w:val="284A70" w:themeColor="accent1" w:themeShade="80"/>
      <w:spacing w:val="20"/>
      <w:sz w:val="28"/>
      <w:szCs w:val="28"/>
    </w:rPr>
  </w:style>
  <w:style w:type="character" w:customStyle="1" w:styleId="Heading3Char">
    <w:name w:val="Heading 3 Char"/>
    <w:basedOn w:val="DefaultParagraphFont"/>
    <w:link w:val="Heading3"/>
    <w:uiPriority w:val="9"/>
    <w:rsid w:val="002F46D0"/>
    <w:rPr>
      <w:rFonts w:asciiTheme="minorHAnsi" w:hAnsiTheme="minorHAnsi" w:cs="Times New Roman (Headings CS)"/>
      <w:color w:val="284A70" w:themeColor="accent1" w:themeShade="80"/>
      <w:spacing w:val="20"/>
      <w:sz w:val="24"/>
      <w:szCs w:val="24"/>
    </w:rPr>
  </w:style>
  <w:style w:type="paragraph" w:styleId="Footer">
    <w:name w:val="footer"/>
    <w:basedOn w:val="Normal"/>
    <w:link w:val="FooterChar"/>
    <w:uiPriority w:val="99"/>
    <w:unhideWhenUsed/>
    <w:rsid w:val="00247556"/>
    <w:pPr>
      <w:jc w:val="right"/>
    </w:pPr>
    <w:rPr>
      <w:rFonts w:asciiTheme="minorHAnsi" w:hAnsiTheme="minorHAnsi"/>
      <w:color w:val="6996C9" w:themeColor="accent1"/>
      <w:sz w:val="18"/>
    </w:rPr>
  </w:style>
  <w:style w:type="character" w:customStyle="1" w:styleId="FooterChar">
    <w:name w:val="Footer Char"/>
    <w:basedOn w:val="DefaultParagraphFont"/>
    <w:link w:val="Footer"/>
    <w:uiPriority w:val="99"/>
    <w:rsid w:val="00247556"/>
    <w:rPr>
      <w:rFonts w:asciiTheme="minorHAnsi" w:hAnsiTheme="minorHAnsi" w:cs="Times New Roman (Headings CS)"/>
      <w:color w:val="6996C9" w:themeColor="accent1"/>
      <w:sz w:val="18"/>
    </w:rPr>
  </w:style>
  <w:style w:type="paragraph" w:styleId="Header">
    <w:name w:val="header"/>
    <w:basedOn w:val="Normal"/>
    <w:link w:val="HeaderChar"/>
    <w:uiPriority w:val="99"/>
    <w:unhideWhenUsed/>
    <w:rsid w:val="00A65CE4"/>
    <w:rPr>
      <w:rFonts w:asciiTheme="minorHAnsi" w:hAnsiTheme="minorHAnsi"/>
      <w:caps/>
      <w:color w:val="6996C9" w:themeColor="accent1"/>
      <w:spacing w:val="26"/>
      <w:sz w:val="18"/>
    </w:rPr>
  </w:style>
  <w:style w:type="character" w:customStyle="1" w:styleId="HeaderChar">
    <w:name w:val="Header Char"/>
    <w:basedOn w:val="DefaultParagraphFont"/>
    <w:link w:val="Header"/>
    <w:uiPriority w:val="99"/>
    <w:rsid w:val="00A65CE4"/>
    <w:rPr>
      <w:rFonts w:asciiTheme="minorHAnsi" w:hAnsiTheme="minorHAnsi" w:cs="Times New Roman (Headings CS)"/>
      <w:caps/>
      <w:color w:val="6996C9" w:themeColor="accent1"/>
      <w:spacing w:val="26"/>
      <w:sz w:val="18"/>
    </w:rPr>
  </w:style>
  <w:style w:type="paragraph" w:styleId="IntenseQuote">
    <w:name w:val="Intense Quote"/>
    <w:basedOn w:val="Normal"/>
    <w:link w:val="IntenseQuoteChar"/>
    <w:uiPriority w:val="30"/>
    <w:qFormat/>
    <w:rsid w:val="000A764A"/>
    <w:pPr>
      <w:pBdr>
        <w:top w:val="double" w:sz="12" w:space="10" w:color="2F4359" w:themeColor="accent2" w:themeShade="BF"/>
        <w:bottom w:val="double" w:sz="12" w:space="10" w:color="2F4359" w:themeColor="accent2" w:themeShade="BF"/>
      </w:pBdr>
      <w:shd w:val="clear" w:color="auto" w:fill="FFFFFF" w:themeFill="background1"/>
      <w:spacing w:before="300" w:after="300"/>
      <w:ind w:left="720" w:right="720"/>
      <w:contextualSpacing/>
      <w:jc w:val="center"/>
    </w:pPr>
    <w:rPr>
      <w:color w:val="2F4359" w:themeColor="accent2" w:themeShade="BF"/>
    </w:rPr>
  </w:style>
  <w:style w:type="character" w:customStyle="1" w:styleId="IntenseQuoteChar">
    <w:name w:val="Intense Quote Char"/>
    <w:basedOn w:val="DefaultParagraphFont"/>
    <w:link w:val="IntenseQuote"/>
    <w:uiPriority w:val="30"/>
    <w:rsid w:val="000A764A"/>
    <w:rPr>
      <w:color w:val="2F4359" w:themeColor="accent2" w:themeShade="BF"/>
      <w:shd w:val="clear" w:color="auto" w:fill="FFFFFF" w:themeFill="background1"/>
    </w:rPr>
  </w:style>
  <w:style w:type="paragraph" w:styleId="Subtitle">
    <w:name w:val="Subtitle"/>
    <w:basedOn w:val="Normal"/>
    <w:next w:val="Normal"/>
    <w:link w:val="SubtitleChar"/>
    <w:uiPriority w:val="7"/>
    <w:qFormat/>
    <w:rsid w:val="00674E72"/>
    <w:pPr>
      <w:spacing w:after="360"/>
      <w:contextualSpacing/>
    </w:pPr>
    <w:rPr>
      <w:rFonts w:ascii="Century Gothic" w:hAnsi="Century Gothic"/>
      <w:caps/>
      <w:color w:val="A5C0DE" w:themeColor="accent4"/>
      <w:spacing w:val="50"/>
      <w:szCs w:val="22"/>
    </w:rPr>
  </w:style>
  <w:style w:type="character" w:customStyle="1" w:styleId="SubtitleChar">
    <w:name w:val="Subtitle Char"/>
    <w:basedOn w:val="DefaultParagraphFont"/>
    <w:link w:val="Subtitle"/>
    <w:uiPriority w:val="7"/>
    <w:rsid w:val="00674E72"/>
    <w:rPr>
      <w:rFonts w:cs="Times New Roman (Headings CS)"/>
      <w:caps/>
      <w:color w:val="A5C0DE" w:themeColor="accent4"/>
      <w:spacing w:val="50"/>
      <w:sz w:val="24"/>
      <w:szCs w:val="22"/>
    </w:rPr>
  </w:style>
  <w:style w:type="paragraph" w:styleId="Title">
    <w:name w:val="Title"/>
    <w:basedOn w:val="Normal"/>
    <w:link w:val="TitleChar"/>
    <w:uiPriority w:val="6"/>
    <w:qFormat/>
    <w:rsid w:val="00E8339C"/>
    <w:pPr>
      <w:contextualSpacing/>
    </w:pPr>
    <w:rPr>
      <w:rFonts w:ascii="Century Gothic" w:hAnsi="Century Gothic"/>
      <w:sz w:val="72"/>
      <w:szCs w:val="48"/>
    </w:rPr>
  </w:style>
  <w:style w:type="character" w:customStyle="1" w:styleId="TitleChar">
    <w:name w:val="Title Char"/>
    <w:basedOn w:val="DefaultParagraphFont"/>
    <w:link w:val="Title"/>
    <w:uiPriority w:val="6"/>
    <w:rsid w:val="00E8339C"/>
    <w:rPr>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rsid w:val="000A764A"/>
    <w:rPr>
      <w:caps/>
      <w:spacing w:val="14"/>
      <w:szCs w:val="22"/>
    </w:rPr>
  </w:style>
  <w:style w:type="character" w:customStyle="1" w:styleId="Heading5Char">
    <w:name w:val="Heading 5 Char"/>
    <w:basedOn w:val="DefaultParagraphFont"/>
    <w:link w:val="Heading5"/>
    <w:uiPriority w:val="9"/>
    <w:semiHidden/>
    <w:rsid w:val="000A764A"/>
    <w:rPr>
      <w:b/>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2F4359"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4C4C4C"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284A70"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3B6BA6" w:themeColor="accent3" w:themeShade="80"/>
      <w:sz w:val="22"/>
    </w:rPr>
  </w:style>
  <w:style w:type="character" w:styleId="Hyperlink">
    <w:name w:val="Hyperlink"/>
    <w:basedOn w:val="DefaultParagraphFont"/>
    <w:uiPriority w:val="99"/>
    <w:unhideWhenUsed/>
    <w:rPr>
      <w:color w:val="0A0AE6"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rsid w:val="00443400"/>
    <w:pPr>
      <w:tabs>
        <w:tab w:val="right" w:leader="dot" w:pos="10080"/>
      </w:tabs>
      <w:spacing w:before="180" w:after="40"/>
    </w:pPr>
    <w:rPr>
      <w:rFonts w:ascii="Century Gothic" w:hAnsi="Century Gothic"/>
      <w:caps/>
      <w:noProof/>
      <w:color w:val="393939" w:themeColor="background2" w:themeShade="40"/>
      <w:spacing w:val="20"/>
    </w:rPr>
  </w:style>
  <w:style w:type="paragraph" w:styleId="TOC2">
    <w:name w:val="toc 2"/>
    <w:basedOn w:val="Normal"/>
    <w:next w:val="Normal"/>
    <w:autoRedefine/>
    <w:uiPriority w:val="39"/>
    <w:unhideWhenUsed/>
    <w:rsid w:val="00E2170D"/>
    <w:pPr>
      <w:tabs>
        <w:tab w:val="right" w:leader="dot" w:pos="8630"/>
      </w:tabs>
      <w:spacing w:after="40"/>
      <w:ind w:left="144"/>
    </w:pPr>
    <w:rPr>
      <w:rFonts w:asciiTheme="minorHAnsi" w:hAnsiTheme="minorHAnsi"/>
      <w:noProof/>
      <w:spacing w:val="10"/>
      <w:sz w:val="20"/>
    </w:rPr>
  </w:style>
  <w:style w:type="paragraph" w:styleId="TOC3">
    <w:name w:val="toc 3"/>
    <w:basedOn w:val="Normal"/>
    <w:next w:val="Normal"/>
    <w:autoRedefine/>
    <w:uiPriority w:val="39"/>
    <w:unhideWhenUsed/>
    <w:qFormat/>
    <w:rsid w:val="00326A47"/>
    <w:pPr>
      <w:tabs>
        <w:tab w:val="right" w:leader="dot" w:pos="8630"/>
      </w:tabs>
      <w:spacing w:after="40"/>
      <w:ind w:left="288"/>
    </w:pPr>
    <w:rPr>
      <w:rFonts w:asciiTheme="minorHAnsi" w:hAnsiTheme="minorHAnsi"/>
      <w:noProof/>
      <w:spacing w:val="10"/>
      <w:sz w:val="20"/>
    </w:rPr>
  </w:style>
  <w:style w:type="paragraph" w:styleId="TOC4">
    <w:name w:val="toc 4"/>
    <w:basedOn w:val="Normal"/>
    <w:next w:val="Normal"/>
    <w:autoRedefine/>
    <w:uiPriority w:val="99"/>
    <w:semiHidden/>
    <w:unhideWhenUsed/>
    <w:qFormat/>
    <w:pPr>
      <w:tabs>
        <w:tab w:val="right" w:leader="dot" w:pos="8630"/>
      </w:tabs>
      <w:spacing w:after="40"/>
      <w:ind w:left="432"/>
    </w:pPr>
    <w:rPr>
      <w:noProof/>
    </w:rPr>
  </w:style>
  <w:style w:type="paragraph" w:styleId="TOC5">
    <w:name w:val="toc 5"/>
    <w:basedOn w:val="Normal"/>
    <w:next w:val="Normal"/>
    <w:autoRedefine/>
    <w:uiPriority w:val="99"/>
    <w:semiHidden/>
    <w:unhideWhenUsed/>
    <w:qFormat/>
    <w:pPr>
      <w:tabs>
        <w:tab w:val="right" w:leader="dot" w:pos="8630"/>
      </w:tabs>
      <w:spacing w:after="40"/>
      <w:ind w:left="576"/>
    </w:pPr>
    <w:rPr>
      <w:noProof/>
    </w:rPr>
  </w:style>
  <w:style w:type="paragraph" w:styleId="TOC6">
    <w:name w:val="toc 6"/>
    <w:basedOn w:val="Normal"/>
    <w:next w:val="Normal"/>
    <w:autoRedefine/>
    <w:uiPriority w:val="99"/>
    <w:semiHidden/>
    <w:unhideWhenUsed/>
    <w:qFormat/>
    <w:pPr>
      <w:tabs>
        <w:tab w:val="right" w:leader="dot" w:pos="8630"/>
      </w:tabs>
      <w:spacing w:after="40"/>
      <w:ind w:left="720"/>
    </w:pPr>
    <w:rPr>
      <w:noProof/>
    </w:rPr>
  </w:style>
  <w:style w:type="paragraph" w:styleId="TOC7">
    <w:name w:val="toc 7"/>
    <w:basedOn w:val="Normal"/>
    <w:next w:val="Normal"/>
    <w:autoRedefine/>
    <w:uiPriority w:val="99"/>
    <w:semiHidden/>
    <w:unhideWhenUsed/>
    <w:qFormat/>
    <w:pPr>
      <w:tabs>
        <w:tab w:val="right" w:leader="dot" w:pos="8630"/>
      </w:tabs>
      <w:spacing w:after="40"/>
      <w:ind w:left="864"/>
    </w:pPr>
    <w:rPr>
      <w:noProof/>
    </w:rPr>
  </w:style>
  <w:style w:type="paragraph" w:styleId="TOC8">
    <w:name w:val="toc 8"/>
    <w:basedOn w:val="Normal"/>
    <w:next w:val="Normal"/>
    <w:autoRedefine/>
    <w:uiPriority w:val="99"/>
    <w:semiHidden/>
    <w:unhideWhenUsed/>
    <w:qFormat/>
    <w:pPr>
      <w:tabs>
        <w:tab w:val="right" w:leader="dot" w:pos="8630"/>
      </w:tabs>
      <w:spacing w:after="40"/>
      <w:ind w:left="1008"/>
    </w:pPr>
    <w:rPr>
      <w:noProof/>
    </w:rPr>
  </w:style>
  <w:style w:type="paragraph" w:styleId="TOC9">
    <w:name w:val="toc 9"/>
    <w:basedOn w:val="Normal"/>
    <w:next w:val="Normal"/>
    <w:autoRedefine/>
    <w:uiPriority w:val="99"/>
    <w:semiHidden/>
    <w:unhideWhenUsed/>
    <w:qFormat/>
    <w:pPr>
      <w:tabs>
        <w:tab w:val="right" w:leader="dot" w:pos="8630"/>
      </w:tabs>
      <w:spacing w:after="40"/>
      <w:ind w:left="1152"/>
    </w:pPr>
    <w:rPr>
      <w:noProof/>
    </w:rPr>
  </w:style>
  <w:style w:type="paragraph" w:customStyle="1" w:styleId="FooterEven">
    <w:name w:val="Footer Even"/>
    <w:basedOn w:val="Normal"/>
    <w:uiPriority w:val="49"/>
    <w:unhideWhenUsed/>
    <w:pPr>
      <w:pBdr>
        <w:top w:val="single" w:sz="4" w:space="1" w:color="6996C9" w:themeColor="accent1"/>
      </w:pBdr>
    </w:pPr>
    <w:rPr>
      <w:sz w:val="22"/>
    </w:rPr>
  </w:style>
  <w:style w:type="paragraph" w:customStyle="1" w:styleId="FooterOdd">
    <w:name w:val="Footer Odd"/>
    <w:basedOn w:val="Normal"/>
    <w:uiPriority w:val="49"/>
    <w:unhideWhenUsed/>
    <w:pPr>
      <w:pBdr>
        <w:top w:val="single" w:sz="4" w:space="1" w:color="6996C9" w:themeColor="accent1"/>
      </w:pBdr>
      <w:jc w:val="right"/>
    </w:pPr>
    <w:rPr>
      <w:sz w:val="22"/>
    </w:rPr>
  </w:style>
  <w:style w:type="paragraph" w:customStyle="1" w:styleId="HeaderEven">
    <w:name w:val="Header Even"/>
    <w:basedOn w:val="Normal"/>
    <w:uiPriority w:val="49"/>
    <w:unhideWhenUsed/>
    <w:pPr>
      <w:pBdr>
        <w:bottom w:val="single" w:sz="4" w:space="1" w:color="6996C9" w:themeColor="accent1"/>
      </w:pBdr>
    </w:pPr>
    <w:rPr>
      <w:rFonts w:eastAsia="Times New Roman"/>
      <w:b/>
      <w:sz w:val="22"/>
      <w:szCs w:val="24"/>
      <w:lang w:eastAsia="ko-KR"/>
    </w:rPr>
  </w:style>
  <w:style w:type="paragraph" w:customStyle="1" w:styleId="HeaderOdd">
    <w:name w:val="Header Odd"/>
    <w:basedOn w:val="Normal"/>
    <w:uiPriority w:val="49"/>
    <w:unhideWhenUsed/>
    <w:rsid w:val="005B2529"/>
    <w:pPr>
      <w:pBdr>
        <w:bottom w:val="single" w:sz="4" w:space="1" w:color="6996C9" w:themeColor="accent1"/>
      </w:pBdr>
    </w:pPr>
    <w:rPr>
      <w:rFonts w:eastAsia="Times New Roman"/>
      <w:b/>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E36E4E"/>
    <w:rPr>
      <w:rFonts w:asciiTheme="minorHAnsi" w:hAnsiTheme="minorHAnsi"/>
      <w:color w:val="FFFFFF" w:themeColor="background1"/>
      <w:spacing w:val="20"/>
      <w:sz w:val="28"/>
    </w:rPr>
  </w:style>
  <w:style w:type="character" w:customStyle="1" w:styleId="DateChar">
    <w:name w:val="Date Char"/>
    <w:basedOn w:val="DefaultParagraphFont"/>
    <w:link w:val="Date"/>
    <w:uiPriority w:val="2"/>
    <w:rsid w:val="00E36E4E"/>
    <w:rPr>
      <w:rFonts w:asciiTheme="minorHAnsi" w:hAnsiTheme="minorHAnsi" w:cs="Times New Roman (Headings CS)"/>
      <w:color w:val="FFFFFF" w:themeColor="background1"/>
      <w:spacing w:val="20"/>
      <w:sz w:val="28"/>
    </w:rPr>
  </w:style>
  <w:style w:type="paragraph" w:customStyle="1" w:styleId="Abstract">
    <w:name w:val="Abstract"/>
    <w:basedOn w:val="Normal"/>
    <w:uiPriority w:val="5"/>
    <w:qFormat/>
    <w:rsid w:val="009D5D51"/>
    <w:pPr>
      <w:spacing w:line="360" w:lineRule="auto"/>
    </w:pPr>
    <w:rPr>
      <w:color w:val="FFFFFF" w:themeColor="background1"/>
      <w:sz w:val="28"/>
    </w:rPr>
  </w:style>
  <w:style w:type="paragraph" w:customStyle="1" w:styleId="CoverPageTitle">
    <w:name w:val="Cover Page Title"/>
    <w:basedOn w:val="Normal"/>
    <w:uiPriority w:val="1"/>
    <w:qFormat/>
    <w:rsid w:val="005C49DD"/>
    <w:rPr>
      <w:rFonts w:ascii="Century Gothic" w:eastAsiaTheme="majorEastAsia" w:hAnsi="Century Gothic"/>
      <w:color w:val="FFFFFF" w:themeColor="background1"/>
      <w:sz w:val="96"/>
      <w:szCs w:val="110"/>
    </w:rPr>
  </w:style>
  <w:style w:type="paragraph" w:customStyle="1" w:styleId="CoverPageSubtitle">
    <w:name w:val="Cover Page Subtitle"/>
    <w:basedOn w:val="Normal"/>
    <w:uiPriority w:val="3"/>
    <w:qFormat/>
    <w:rsid w:val="00E36E4E"/>
    <w:rPr>
      <w:rFonts w:asciiTheme="minorHAnsi" w:hAnsiTheme="minorHAnsi"/>
      <w:caps/>
      <w:color w:val="FFFFFF" w:themeColor="background1"/>
      <w:spacing w:val="50"/>
      <w:sz w:val="32"/>
      <w:szCs w:val="28"/>
    </w:rPr>
  </w:style>
  <w:style w:type="paragraph" w:styleId="BlockText">
    <w:name w:val="Block Text"/>
    <w:basedOn w:val="Normal"/>
    <w:uiPriority w:val="99"/>
    <w:semiHidden/>
    <w:unhideWhenUsed/>
    <w:rsid w:val="008662AD"/>
    <w:pPr>
      <w:pBdr>
        <w:top w:val="single" w:sz="2" w:space="10" w:color="284A70" w:themeColor="accent1" w:themeShade="80"/>
        <w:left w:val="single" w:sz="2" w:space="10" w:color="284A70" w:themeColor="accent1" w:themeShade="80"/>
        <w:bottom w:val="single" w:sz="2" w:space="10" w:color="284A70" w:themeColor="accent1" w:themeShade="80"/>
        <w:right w:val="single" w:sz="2" w:space="10" w:color="284A70" w:themeColor="accent1" w:themeShade="80"/>
      </w:pBdr>
      <w:ind w:left="1152" w:right="1152"/>
    </w:pPr>
    <w:rPr>
      <w:rFonts w:eastAsiaTheme="minorEastAsia" w:cstheme="minorBidi"/>
      <w:i/>
      <w:iCs/>
      <w:color w:val="284A70"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BDBDB" w:themeFill="text1" w:themeFillTint="33"/>
    </w:tcPr>
    <w:tblStylePr w:type="firstRow">
      <w:rPr>
        <w:b/>
        <w:bCs/>
      </w:rPr>
      <w:tblPr/>
      <w:tcPr>
        <w:shd w:val="clear" w:color="auto" w:fill="B7B7B7" w:themeFill="text1" w:themeFillTint="66"/>
      </w:tcPr>
    </w:tblStylePr>
    <w:tblStylePr w:type="lastRow">
      <w:rPr>
        <w:b/>
        <w:bCs/>
        <w:color w:val="4C4C4C" w:themeColor="text1"/>
      </w:rPr>
      <w:tblPr/>
      <w:tcPr>
        <w:shd w:val="clear" w:color="auto" w:fill="B7B7B7" w:themeFill="text1" w:themeFillTint="66"/>
      </w:tcPr>
    </w:tblStylePr>
    <w:tblStylePr w:type="firstCol">
      <w:rPr>
        <w:color w:val="FFFFFF" w:themeColor="background1"/>
      </w:rPr>
      <w:tblPr/>
      <w:tcPr>
        <w:shd w:val="clear" w:color="auto" w:fill="383838" w:themeFill="text1" w:themeFillShade="BF"/>
      </w:tcPr>
    </w:tblStylePr>
    <w:tblStylePr w:type="lastCol">
      <w:rPr>
        <w:color w:val="FFFFFF" w:themeColor="background1"/>
      </w:rPr>
      <w:tblPr/>
      <w:tcPr>
        <w:shd w:val="clear" w:color="auto" w:fill="383838" w:themeFill="text1" w:themeFillShade="BF"/>
      </w:tcPr>
    </w:tblStylePr>
    <w:tblStylePr w:type="band1Vert">
      <w:tblPr/>
      <w:tcPr>
        <w:shd w:val="clear" w:color="auto" w:fill="A5A5A5" w:themeFill="text1" w:themeFillTint="7F"/>
      </w:tcPr>
    </w:tblStylePr>
    <w:tblStylePr w:type="band1Horz">
      <w:tblPr/>
      <w:tcPr>
        <w:shd w:val="clear" w:color="auto" w:fill="A5A5A5"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0E9F4" w:themeFill="accent1" w:themeFillTint="33"/>
    </w:tcPr>
    <w:tblStylePr w:type="firstRow">
      <w:rPr>
        <w:b/>
        <w:bCs/>
      </w:rPr>
      <w:tblPr/>
      <w:tcPr>
        <w:shd w:val="clear" w:color="auto" w:fill="C2D4E9" w:themeFill="accent1" w:themeFillTint="66"/>
      </w:tcPr>
    </w:tblStylePr>
    <w:tblStylePr w:type="lastRow">
      <w:rPr>
        <w:b/>
        <w:bCs/>
        <w:color w:val="4C4C4C" w:themeColor="text1"/>
      </w:rPr>
      <w:tblPr/>
      <w:tcPr>
        <w:shd w:val="clear" w:color="auto" w:fill="C2D4E9" w:themeFill="accent1" w:themeFillTint="66"/>
      </w:tcPr>
    </w:tblStylePr>
    <w:tblStylePr w:type="firstCol">
      <w:rPr>
        <w:color w:val="FFFFFF" w:themeColor="background1"/>
      </w:rPr>
      <w:tblPr/>
      <w:tcPr>
        <w:shd w:val="clear" w:color="auto" w:fill="3C6EA8" w:themeFill="accent1" w:themeFillShade="BF"/>
      </w:tcPr>
    </w:tblStylePr>
    <w:tblStylePr w:type="lastCol">
      <w:rPr>
        <w:color w:val="FFFFFF" w:themeColor="background1"/>
      </w:rPr>
      <w:tblPr/>
      <w:tcPr>
        <w:shd w:val="clear" w:color="auto" w:fill="3C6EA8" w:themeFill="accent1" w:themeFillShade="BF"/>
      </w:tcPr>
    </w:tblStylePr>
    <w:tblStylePr w:type="band1Vert">
      <w:tblPr/>
      <w:tcPr>
        <w:shd w:val="clear" w:color="auto" w:fill="B4CAE4" w:themeFill="accent1" w:themeFillTint="7F"/>
      </w:tcPr>
    </w:tblStylePr>
    <w:tblStylePr w:type="band1Horz">
      <w:tblPr/>
      <w:tcPr>
        <w:shd w:val="clear" w:color="auto" w:fill="B4CAE4"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3DDE8" w:themeFill="accent2" w:themeFillTint="33"/>
    </w:tcPr>
    <w:tblStylePr w:type="firstRow">
      <w:rPr>
        <w:b/>
        <w:bCs/>
      </w:rPr>
      <w:tblPr/>
      <w:tcPr>
        <w:shd w:val="clear" w:color="auto" w:fill="A9BCD2" w:themeFill="accent2" w:themeFillTint="66"/>
      </w:tcPr>
    </w:tblStylePr>
    <w:tblStylePr w:type="lastRow">
      <w:rPr>
        <w:b/>
        <w:bCs/>
        <w:color w:val="4C4C4C" w:themeColor="text1"/>
      </w:rPr>
      <w:tblPr/>
      <w:tcPr>
        <w:shd w:val="clear" w:color="auto" w:fill="A9BCD2" w:themeFill="accent2" w:themeFillTint="66"/>
      </w:tcPr>
    </w:tblStylePr>
    <w:tblStylePr w:type="firstCol">
      <w:rPr>
        <w:color w:val="FFFFFF" w:themeColor="background1"/>
      </w:rPr>
      <w:tblPr/>
      <w:tcPr>
        <w:shd w:val="clear" w:color="auto" w:fill="2F4359" w:themeFill="accent2" w:themeFillShade="BF"/>
      </w:tcPr>
    </w:tblStylePr>
    <w:tblStylePr w:type="lastCol">
      <w:rPr>
        <w:color w:val="FFFFFF" w:themeColor="background1"/>
      </w:rPr>
      <w:tblPr/>
      <w:tcPr>
        <w:shd w:val="clear" w:color="auto" w:fill="2F4359" w:themeFill="accent2" w:themeFillShade="BF"/>
      </w:tcPr>
    </w:tblStylePr>
    <w:tblStylePr w:type="band1Vert">
      <w:tblPr/>
      <w:tcPr>
        <w:shd w:val="clear" w:color="auto" w:fill="94ACC7" w:themeFill="accent2" w:themeFillTint="7F"/>
      </w:tcPr>
    </w:tblStylePr>
    <w:tblStylePr w:type="band1Horz">
      <w:tblPr/>
      <w:tcPr>
        <w:shd w:val="clear" w:color="auto" w:fill="94ACC7"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F5F8FB" w:themeFill="accent3" w:themeFillTint="33"/>
    </w:tcPr>
    <w:tblStylePr w:type="firstRow">
      <w:rPr>
        <w:b/>
        <w:bCs/>
      </w:rPr>
      <w:tblPr/>
      <w:tcPr>
        <w:shd w:val="clear" w:color="auto" w:fill="ECF2F8" w:themeFill="accent3" w:themeFillTint="66"/>
      </w:tcPr>
    </w:tblStylePr>
    <w:tblStylePr w:type="lastRow">
      <w:rPr>
        <w:b/>
        <w:bCs/>
        <w:color w:val="4C4C4C" w:themeColor="text1"/>
      </w:rPr>
      <w:tblPr/>
      <w:tcPr>
        <w:shd w:val="clear" w:color="auto" w:fill="ECF2F8" w:themeFill="accent3" w:themeFillTint="66"/>
      </w:tcPr>
    </w:tblStylePr>
    <w:tblStylePr w:type="firstCol">
      <w:rPr>
        <w:color w:val="FFFFFF" w:themeColor="background1"/>
      </w:rPr>
      <w:tblPr/>
      <w:tcPr>
        <w:shd w:val="clear" w:color="auto" w:fill="7EA3D1" w:themeFill="accent3" w:themeFillShade="BF"/>
      </w:tcPr>
    </w:tblStylePr>
    <w:tblStylePr w:type="lastCol">
      <w:rPr>
        <w:color w:val="FFFFFF" w:themeColor="background1"/>
      </w:rPr>
      <w:tblPr/>
      <w:tcPr>
        <w:shd w:val="clear" w:color="auto" w:fill="7EA3D1" w:themeFill="accent3" w:themeFillShade="BF"/>
      </w:tcPr>
    </w:tblStylePr>
    <w:tblStylePr w:type="band1Vert">
      <w:tblPr/>
      <w:tcPr>
        <w:shd w:val="clear" w:color="auto" w:fill="E8EEF7" w:themeFill="accent3" w:themeFillTint="7F"/>
      </w:tcPr>
    </w:tblStylePr>
    <w:tblStylePr w:type="band1Horz">
      <w:tblPr/>
      <w:tcPr>
        <w:shd w:val="clear" w:color="auto" w:fill="E8EEF7"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CF2F8" w:themeFill="accent4" w:themeFillTint="33"/>
    </w:tcPr>
    <w:tblStylePr w:type="firstRow">
      <w:rPr>
        <w:b/>
        <w:bCs/>
      </w:rPr>
      <w:tblPr/>
      <w:tcPr>
        <w:shd w:val="clear" w:color="auto" w:fill="DAE5F1" w:themeFill="accent4" w:themeFillTint="66"/>
      </w:tcPr>
    </w:tblStylePr>
    <w:tblStylePr w:type="lastRow">
      <w:rPr>
        <w:b/>
        <w:bCs/>
        <w:color w:val="4C4C4C" w:themeColor="text1"/>
      </w:rPr>
      <w:tblPr/>
      <w:tcPr>
        <w:shd w:val="clear" w:color="auto" w:fill="DAE5F1" w:themeFill="accent4" w:themeFillTint="66"/>
      </w:tcPr>
    </w:tblStylePr>
    <w:tblStylePr w:type="firstCol">
      <w:rPr>
        <w:color w:val="FFFFFF" w:themeColor="background1"/>
      </w:rPr>
      <w:tblPr/>
      <w:tcPr>
        <w:shd w:val="clear" w:color="auto" w:fill="5D8DC4" w:themeFill="accent4" w:themeFillShade="BF"/>
      </w:tcPr>
    </w:tblStylePr>
    <w:tblStylePr w:type="lastCol">
      <w:rPr>
        <w:color w:val="FFFFFF" w:themeColor="background1"/>
      </w:rPr>
      <w:tblPr/>
      <w:tcPr>
        <w:shd w:val="clear" w:color="auto" w:fill="5D8DC4" w:themeFill="accent4" w:themeFillShade="BF"/>
      </w:tcPr>
    </w:tblStylePr>
    <w:tblStylePr w:type="band1Vert">
      <w:tblPr/>
      <w:tcPr>
        <w:shd w:val="clear" w:color="auto" w:fill="D2DFEE" w:themeFill="accent4" w:themeFillTint="7F"/>
      </w:tcPr>
    </w:tblStylePr>
    <w:tblStylePr w:type="band1Horz">
      <w:tblPr/>
      <w:tcPr>
        <w:shd w:val="clear" w:color="auto" w:fill="D2DFEE"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E7EEF6" w:themeFill="accent5" w:themeFillTint="33"/>
    </w:tcPr>
    <w:tblStylePr w:type="firstRow">
      <w:rPr>
        <w:b/>
        <w:bCs/>
      </w:rPr>
      <w:tblPr/>
      <w:tcPr>
        <w:shd w:val="clear" w:color="auto" w:fill="CFDDED" w:themeFill="accent5" w:themeFillTint="66"/>
      </w:tcPr>
    </w:tblStylePr>
    <w:tblStylePr w:type="lastRow">
      <w:rPr>
        <w:b/>
        <w:bCs/>
        <w:color w:val="4C4C4C" w:themeColor="text1"/>
      </w:rPr>
      <w:tblPr/>
      <w:tcPr>
        <w:shd w:val="clear" w:color="auto" w:fill="CFDDED" w:themeFill="accent5" w:themeFillTint="66"/>
      </w:tcPr>
    </w:tblStylePr>
    <w:tblStylePr w:type="firstCol">
      <w:rPr>
        <w:color w:val="FFFFFF" w:themeColor="background1"/>
      </w:rPr>
      <w:tblPr/>
      <w:tcPr>
        <w:shd w:val="clear" w:color="auto" w:fill="487DBB" w:themeFill="accent5" w:themeFillShade="BF"/>
      </w:tcPr>
    </w:tblStylePr>
    <w:tblStylePr w:type="lastCol">
      <w:rPr>
        <w:color w:val="FFFFFF" w:themeColor="background1"/>
      </w:rPr>
      <w:tblPr/>
      <w:tcPr>
        <w:shd w:val="clear" w:color="auto" w:fill="487DBB" w:themeFill="accent5" w:themeFillShade="BF"/>
      </w:tcPr>
    </w:tblStylePr>
    <w:tblStylePr w:type="band1Vert">
      <w:tblPr/>
      <w:tcPr>
        <w:shd w:val="clear" w:color="auto" w:fill="C3D5E9" w:themeFill="accent5" w:themeFillTint="7F"/>
      </w:tcPr>
    </w:tblStylePr>
    <w:tblStylePr w:type="band1Horz">
      <w:tblPr/>
      <w:tcPr>
        <w:shd w:val="clear" w:color="auto" w:fill="C3D5E9"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4C4C4C" w:themeColor="text1"/>
    </w:rPr>
    <w:tblPr>
      <w:tblStyleRowBandSize w:val="1"/>
      <w:tblStyleColBandSize w:val="1"/>
      <w:tblBorders>
        <w:insideH w:val="single" w:sz="4" w:space="0" w:color="FFFFFF" w:themeColor="background1"/>
      </w:tblBorders>
    </w:tblPr>
    <w:tcPr>
      <w:shd w:val="clear" w:color="auto" w:fill="DCE3EC" w:themeFill="accent6" w:themeFillTint="33"/>
    </w:tcPr>
    <w:tblStylePr w:type="firstRow">
      <w:rPr>
        <w:b/>
        <w:bCs/>
      </w:rPr>
      <w:tblPr/>
      <w:tcPr>
        <w:shd w:val="clear" w:color="auto" w:fill="B9C8DA" w:themeFill="accent6" w:themeFillTint="66"/>
      </w:tcPr>
    </w:tblStylePr>
    <w:tblStylePr w:type="lastRow">
      <w:rPr>
        <w:b/>
        <w:bCs/>
        <w:color w:val="4C4C4C" w:themeColor="text1"/>
      </w:rPr>
      <w:tblPr/>
      <w:tcPr>
        <w:shd w:val="clear" w:color="auto" w:fill="B9C8DA" w:themeFill="accent6" w:themeFillTint="66"/>
      </w:tcPr>
    </w:tblStylePr>
    <w:tblStylePr w:type="firstCol">
      <w:rPr>
        <w:color w:val="FFFFFF" w:themeColor="background1"/>
      </w:rPr>
      <w:tblPr/>
      <w:tcPr>
        <w:shd w:val="clear" w:color="auto" w:fill="3F5977" w:themeFill="accent6" w:themeFillShade="BF"/>
      </w:tcPr>
    </w:tblStylePr>
    <w:tblStylePr w:type="lastCol">
      <w:rPr>
        <w:color w:val="FFFFFF" w:themeColor="background1"/>
      </w:rPr>
      <w:tblPr/>
      <w:tcPr>
        <w:shd w:val="clear" w:color="auto" w:fill="3F5977" w:themeFill="accent6" w:themeFillShade="BF"/>
      </w:tcPr>
    </w:tblStylePr>
    <w:tblStylePr w:type="band1Vert">
      <w:tblPr/>
      <w:tcPr>
        <w:shd w:val="clear" w:color="auto" w:fill="A8BBD1" w:themeFill="accent6" w:themeFillTint="7F"/>
      </w:tcPr>
    </w:tblStylePr>
    <w:tblStylePr w:type="band1Horz">
      <w:tblPr/>
      <w:tcPr>
        <w:shd w:val="clear" w:color="auto" w:fill="A8BBD1"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4C4C4C" w:themeColor="text1"/>
    </w:rPr>
    <w:tblPr>
      <w:tblStyleRowBandSize w:val="1"/>
      <w:tblStyleColBandSize w:val="1"/>
    </w:tblPr>
    <w:tcPr>
      <w:shd w:val="clear" w:color="auto" w:fill="EDEDED" w:themeFill="text1"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2" w:themeFill="text1" w:themeFillTint="3F"/>
      </w:tcPr>
    </w:tblStylePr>
    <w:tblStylePr w:type="band1Horz">
      <w:tblPr/>
      <w:tcPr>
        <w:shd w:val="clear" w:color="auto" w:fill="DBDBDB"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4C4C4C" w:themeColor="text1"/>
    </w:rPr>
    <w:tblPr>
      <w:tblStyleRowBandSize w:val="1"/>
      <w:tblStyleColBandSize w:val="1"/>
    </w:tblPr>
    <w:tcPr>
      <w:shd w:val="clear" w:color="auto" w:fill="F0F4F9" w:themeFill="accent1"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F1" w:themeFill="accent1" w:themeFillTint="3F"/>
      </w:tcPr>
    </w:tblStylePr>
    <w:tblStylePr w:type="band1Horz">
      <w:tblPr/>
      <w:tcPr>
        <w:shd w:val="clear" w:color="auto" w:fill="E0E9F4"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4C4C4C" w:themeColor="text1"/>
    </w:rPr>
    <w:tblPr>
      <w:tblStyleRowBandSize w:val="1"/>
      <w:tblStyleColBandSize w:val="1"/>
    </w:tblPr>
    <w:tcPr>
      <w:shd w:val="clear" w:color="auto" w:fill="E9EEF4" w:themeFill="accent2" w:themeFillTint="19"/>
    </w:tcPr>
    <w:tblStylePr w:type="firstRow">
      <w:rPr>
        <w:b/>
        <w:bCs/>
        <w:color w:val="FFFFFF" w:themeColor="background1"/>
      </w:rPr>
      <w:tblPr/>
      <w:tcPr>
        <w:tcBorders>
          <w:bottom w:val="single" w:sz="12" w:space="0" w:color="FFFFFF" w:themeColor="background1"/>
        </w:tcBorders>
        <w:shd w:val="clear" w:color="auto" w:fill="32475F" w:themeFill="accent2" w:themeFillShade="CC"/>
      </w:tcPr>
    </w:tblStylePr>
    <w:tblStylePr w:type="lastRow">
      <w:rPr>
        <w:b/>
        <w:bCs/>
        <w:color w:val="32475F" w:themeColor="accent2"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5E3" w:themeFill="accent2" w:themeFillTint="3F"/>
      </w:tcPr>
    </w:tblStylePr>
    <w:tblStylePr w:type="band1Horz">
      <w:tblPr/>
      <w:tcPr>
        <w:shd w:val="clear" w:color="auto" w:fill="D3DDE8"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4C4C4C" w:themeColor="text1"/>
    </w:rPr>
    <w:tblPr>
      <w:tblStyleRowBandSize w:val="1"/>
      <w:tblStyleColBandSize w:val="1"/>
    </w:tblPr>
    <w:tcPr>
      <w:shd w:val="clear" w:color="auto" w:fill="FAFBFD" w:themeFill="accent3" w:themeFillTint="19"/>
    </w:tcPr>
    <w:tblStylePr w:type="firstRow">
      <w:rPr>
        <w:b/>
        <w:bCs/>
        <w:color w:val="FFFFFF" w:themeColor="background1"/>
      </w:rPr>
      <w:tblPr/>
      <w:tcPr>
        <w:tcBorders>
          <w:bottom w:val="single" w:sz="12" w:space="0" w:color="FFFFFF" w:themeColor="background1"/>
        </w:tcBorders>
        <w:shd w:val="clear" w:color="auto" w:fill="6C97C9" w:themeFill="accent4" w:themeFillShade="CC"/>
      </w:tcPr>
    </w:tblStylePr>
    <w:tblStylePr w:type="lastRow">
      <w:rPr>
        <w:b/>
        <w:bCs/>
        <w:color w:val="6C97C9" w:themeColor="accent4"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FB" w:themeFill="accent3" w:themeFillTint="3F"/>
      </w:tcPr>
    </w:tblStylePr>
    <w:tblStylePr w:type="band1Horz">
      <w:tblPr/>
      <w:tcPr>
        <w:shd w:val="clear" w:color="auto" w:fill="F5F8FB"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4C4C4C" w:themeColor="text1"/>
    </w:rPr>
    <w:tblPr>
      <w:tblStyleRowBandSize w:val="1"/>
      <w:tblStyleColBandSize w:val="1"/>
    </w:tblPr>
    <w:tcPr>
      <w:shd w:val="clear" w:color="auto" w:fill="F5F8FB" w:themeFill="accent4" w:themeFillTint="19"/>
    </w:tcPr>
    <w:tblStylePr w:type="firstRow">
      <w:rPr>
        <w:b/>
        <w:bCs/>
        <w:color w:val="FFFFFF" w:themeColor="background1"/>
      </w:rPr>
      <w:tblPr/>
      <w:tcPr>
        <w:tcBorders>
          <w:bottom w:val="single" w:sz="12" w:space="0" w:color="FFFFFF" w:themeColor="background1"/>
        </w:tcBorders>
        <w:shd w:val="clear" w:color="auto" w:fill="8FAFD7" w:themeFill="accent3" w:themeFillShade="CC"/>
      </w:tcPr>
    </w:tblStylePr>
    <w:tblStylePr w:type="lastRow">
      <w:rPr>
        <w:b/>
        <w:bCs/>
        <w:color w:val="8FAFD7" w:themeColor="accent3"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FF6" w:themeFill="accent4" w:themeFillTint="3F"/>
      </w:tcPr>
    </w:tblStylePr>
    <w:tblStylePr w:type="band1Horz">
      <w:tblPr/>
      <w:tcPr>
        <w:shd w:val="clear" w:color="auto" w:fill="ECF2F8"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4C4C4C" w:themeColor="text1"/>
    </w:rPr>
    <w:tblPr>
      <w:tblStyleRowBandSize w:val="1"/>
      <w:tblStyleColBandSize w:val="1"/>
    </w:tblPr>
    <w:tcPr>
      <w:shd w:val="clear" w:color="auto" w:fill="F3F6FA" w:themeFill="accent5" w:themeFillTint="19"/>
    </w:tcPr>
    <w:tblStylePr w:type="firstRow">
      <w:rPr>
        <w:b/>
        <w:bCs/>
        <w:color w:val="FFFFFF" w:themeColor="background1"/>
      </w:rPr>
      <w:tblPr/>
      <w:tcPr>
        <w:tcBorders>
          <w:bottom w:val="single" w:sz="12" w:space="0" w:color="FFFFFF" w:themeColor="background1"/>
        </w:tcBorders>
        <w:shd w:val="clear" w:color="auto" w:fill="44607F" w:themeFill="accent6" w:themeFillShade="CC"/>
      </w:tcPr>
    </w:tblStylePr>
    <w:tblStylePr w:type="lastRow">
      <w:rPr>
        <w:b/>
        <w:bCs/>
        <w:color w:val="44607F" w:themeColor="accent6"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AF4" w:themeFill="accent5" w:themeFillTint="3F"/>
      </w:tcPr>
    </w:tblStylePr>
    <w:tblStylePr w:type="band1Horz">
      <w:tblPr/>
      <w:tcPr>
        <w:shd w:val="clear" w:color="auto" w:fill="E7EEF6"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4C4C4C" w:themeColor="text1"/>
    </w:rPr>
    <w:tblPr>
      <w:tblStyleRowBandSize w:val="1"/>
      <w:tblStyleColBandSize w:val="1"/>
    </w:tblPr>
    <w:tcPr>
      <w:shd w:val="clear" w:color="auto" w:fill="EEF1F6" w:themeFill="accent6" w:themeFillTint="19"/>
    </w:tcPr>
    <w:tblStylePr w:type="firstRow">
      <w:rPr>
        <w:b/>
        <w:bCs/>
        <w:color w:val="FFFFFF" w:themeColor="background1"/>
      </w:rPr>
      <w:tblPr/>
      <w:tcPr>
        <w:tcBorders>
          <w:bottom w:val="single" w:sz="12" w:space="0" w:color="FFFFFF" w:themeColor="background1"/>
        </w:tcBorders>
        <w:shd w:val="clear" w:color="auto" w:fill="5587C0" w:themeFill="accent5" w:themeFillShade="CC"/>
      </w:tcPr>
    </w:tblStylePr>
    <w:tblStylePr w:type="lastRow">
      <w:rPr>
        <w:b/>
        <w:bCs/>
        <w:color w:val="5587C0" w:themeColor="accent5" w:themeShade="CC"/>
      </w:rPr>
      <w:tblPr/>
      <w:tcPr>
        <w:tcBorders>
          <w:top w:val="single" w:sz="12" w:space="0" w:color="4C4C4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DE8" w:themeFill="accent6" w:themeFillTint="3F"/>
      </w:tcPr>
    </w:tblStylePr>
    <w:tblStylePr w:type="band1Horz">
      <w:tblPr/>
      <w:tcPr>
        <w:shd w:val="clear" w:color="auto" w:fill="DCE3EC"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4C4C4C" w:themeColor="text1"/>
        <w:bottom w:val="single" w:sz="4" w:space="0" w:color="4C4C4C" w:themeColor="text1"/>
        <w:right w:val="single" w:sz="4" w:space="0" w:color="4C4C4C" w:themeColor="text1"/>
        <w:insideH w:val="single" w:sz="4" w:space="0" w:color="FFFFFF" w:themeColor="background1"/>
        <w:insideV w:val="single" w:sz="4" w:space="0" w:color="FFFFFF" w:themeColor="background1"/>
      </w:tblBorders>
    </w:tblPr>
    <w:tcPr>
      <w:shd w:val="clear" w:color="auto" w:fill="EDEDED" w:themeFill="text1"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2D2D" w:themeFill="text1" w:themeFillShade="99"/>
      </w:tcPr>
    </w:tblStylePr>
    <w:tblStylePr w:type="firstCol">
      <w:rPr>
        <w:color w:val="FFFFFF" w:themeColor="background1"/>
      </w:rPr>
      <w:tblPr/>
      <w:tcPr>
        <w:tcBorders>
          <w:top w:val="nil"/>
          <w:left w:val="nil"/>
          <w:bottom w:val="nil"/>
          <w:right w:val="nil"/>
          <w:insideH w:val="single" w:sz="4" w:space="0" w:color="2D2D2D" w:themeColor="text1" w:themeShade="99"/>
          <w:insideV w:val="nil"/>
        </w:tcBorders>
        <w:shd w:val="clear" w:color="auto" w:fill="2D2D2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83838" w:themeFill="text1" w:themeFillShade="BF"/>
      </w:tcPr>
    </w:tblStylePr>
    <w:tblStylePr w:type="band1Vert">
      <w:tblPr/>
      <w:tcPr>
        <w:shd w:val="clear" w:color="auto" w:fill="B7B7B7" w:themeFill="text1" w:themeFillTint="66"/>
      </w:tcPr>
    </w:tblStylePr>
    <w:tblStylePr w:type="band1Horz">
      <w:tblPr/>
      <w:tcPr>
        <w:shd w:val="clear" w:color="auto" w:fill="A5A5A5" w:themeFill="text1" w:themeFillTint="7F"/>
      </w:tcPr>
    </w:tblStylePr>
    <w:tblStylePr w:type="neCell">
      <w:rPr>
        <w:color w:val="4C4C4C" w:themeColor="text1"/>
      </w:rPr>
    </w:tblStylePr>
    <w:tblStylePr w:type="nwCell">
      <w:rPr>
        <w:color w:val="4C4C4C"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6996C9" w:themeColor="accent1"/>
        <w:bottom w:val="single" w:sz="4" w:space="0" w:color="6996C9" w:themeColor="accent1"/>
        <w:right w:val="single" w:sz="4" w:space="0" w:color="6996C9" w:themeColor="accent1"/>
        <w:insideH w:val="single" w:sz="4" w:space="0" w:color="FFFFFF" w:themeColor="background1"/>
        <w:insideV w:val="single" w:sz="4" w:space="0" w:color="FFFFFF" w:themeColor="background1"/>
      </w:tblBorders>
    </w:tblPr>
    <w:tcPr>
      <w:shd w:val="clear" w:color="auto" w:fill="F0F4F9" w:themeFill="accent1"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886" w:themeFill="accent1" w:themeFillShade="99"/>
      </w:tcPr>
    </w:tblStylePr>
    <w:tblStylePr w:type="firstCol">
      <w:rPr>
        <w:color w:val="FFFFFF" w:themeColor="background1"/>
      </w:rPr>
      <w:tblPr/>
      <w:tcPr>
        <w:tcBorders>
          <w:top w:val="nil"/>
          <w:left w:val="nil"/>
          <w:bottom w:val="nil"/>
          <w:right w:val="nil"/>
          <w:insideH w:val="single" w:sz="4" w:space="0" w:color="305886" w:themeColor="accent1" w:themeShade="99"/>
          <w:insideV w:val="nil"/>
        </w:tcBorders>
        <w:shd w:val="clear" w:color="auto" w:fill="30588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886" w:themeFill="accent1" w:themeFillShade="99"/>
      </w:tcPr>
    </w:tblStylePr>
    <w:tblStylePr w:type="band1Vert">
      <w:tblPr/>
      <w:tcPr>
        <w:shd w:val="clear" w:color="auto" w:fill="C2D4E9" w:themeFill="accent1" w:themeFillTint="66"/>
      </w:tcPr>
    </w:tblStylePr>
    <w:tblStylePr w:type="band1Horz">
      <w:tblPr/>
      <w:tcPr>
        <w:shd w:val="clear" w:color="auto" w:fill="B4CAE4" w:themeFill="accent1" w:themeFillTint="7F"/>
      </w:tcPr>
    </w:tblStylePr>
    <w:tblStylePr w:type="neCell">
      <w:rPr>
        <w:color w:val="4C4C4C" w:themeColor="text1"/>
      </w:rPr>
    </w:tblStylePr>
    <w:tblStylePr w:type="nwCell">
      <w:rPr>
        <w:color w:val="4C4C4C"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4C4C4C" w:themeColor="text1"/>
    </w:rPr>
    <w:tblPr>
      <w:tblStyleRowBandSize w:val="1"/>
      <w:tblStyleColBandSize w:val="1"/>
      <w:tblBorders>
        <w:top w:val="single" w:sz="24" w:space="0" w:color="3F5A78" w:themeColor="accent2"/>
        <w:left w:val="single" w:sz="4" w:space="0" w:color="3F5A78" w:themeColor="accent2"/>
        <w:bottom w:val="single" w:sz="4" w:space="0" w:color="3F5A78" w:themeColor="accent2"/>
        <w:right w:val="single" w:sz="4" w:space="0" w:color="3F5A78" w:themeColor="accent2"/>
        <w:insideH w:val="single" w:sz="4" w:space="0" w:color="FFFFFF" w:themeColor="background1"/>
        <w:insideV w:val="single" w:sz="4" w:space="0" w:color="FFFFFF" w:themeColor="background1"/>
      </w:tblBorders>
    </w:tblPr>
    <w:tcPr>
      <w:shd w:val="clear" w:color="auto" w:fill="E9EEF4" w:themeFill="accent2" w:themeFillTint="19"/>
    </w:tcPr>
    <w:tblStylePr w:type="firstRow">
      <w:rPr>
        <w:b/>
        <w:bCs/>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547" w:themeFill="accent2" w:themeFillShade="99"/>
      </w:tcPr>
    </w:tblStylePr>
    <w:tblStylePr w:type="firstCol">
      <w:rPr>
        <w:color w:val="FFFFFF" w:themeColor="background1"/>
      </w:rPr>
      <w:tblPr/>
      <w:tcPr>
        <w:tcBorders>
          <w:top w:val="nil"/>
          <w:left w:val="nil"/>
          <w:bottom w:val="nil"/>
          <w:right w:val="nil"/>
          <w:insideH w:val="single" w:sz="4" w:space="0" w:color="253547" w:themeColor="accent2" w:themeShade="99"/>
          <w:insideV w:val="nil"/>
        </w:tcBorders>
        <w:shd w:val="clear" w:color="auto" w:fill="25354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547" w:themeFill="accent2" w:themeFillShade="99"/>
      </w:tcPr>
    </w:tblStylePr>
    <w:tblStylePr w:type="band1Vert">
      <w:tblPr/>
      <w:tcPr>
        <w:shd w:val="clear" w:color="auto" w:fill="A9BCD2" w:themeFill="accent2" w:themeFillTint="66"/>
      </w:tcPr>
    </w:tblStylePr>
    <w:tblStylePr w:type="band1Horz">
      <w:tblPr/>
      <w:tcPr>
        <w:shd w:val="clear" w:color="auto" w:fill="94ACC7" w:themeFill="accent2" w:themeFillTint="7F"/>
      </w:tcPr>
    </w:tblStylePr>
    <w:tblStylePr w:type="neCell">
      <w:rPr>
        <w:color w:val="4C4C4C" w:themeColor="text1"/>
      </w:rPr>
    </w:tblStylePr>
    <w:tblStylePr w:type="nwCell">
      <w:rPr>
        <w:color w:val="4C4C4C"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4C4C4C" w:themeColor="text1"/>
    </w:rPr>
    <w:tblPr>
      <w:tblStyleRowBandSize w:val="1"/>
      <w:tblStyleColBandSize w:val="1"/>
      <w:tblBorders>
        <w:top w:val="single" w:sz="24" w:space="0" w:color="A5C0DE" w:themeColor="accent4"/>
        <w:left w:val="single" w:sz="4" w:space="0" w:color="D2DFEF" w:themeColor="accent3"/>
        <w:bottom w:val="single" w:sz="4" w:space="0" w:color="D2DFEF" w:themeColor="accent3"/>
        <w:right w:val="single" w:sz="4" w:space="0" w:color="D2DFEF" w:themeColor="accent3"/>
        <w:insideH w:val="single" w:sz="4" w:space="0" w:color="FFFFFF" w:themeColor="background1"/>
        <w:insideV w:val="single" w:sz="4" w:space="0" w:color="FFFFFF" w:themeColor="background1"/>
      </w:tblBorders>
    </w:tblPr>
    <w:tcPr>
      <w:shd w:val="clear" w:color="auto" w:fill="FAFBFD" w:themeFill="accent3" w:themeFillTint="19"/>
    </w:tcPr>
    <w:tblStylePr w:type="firstRow">
      <w:rPr>
        <w:b/>
        <w:bCs/>
      </w:rPr>
      <w:tblPr/>
      <w:tcPr>
        <w:tcBorders>
          <w:top w:val="nil"/>
          <w:left w:val="nil"/>
          <w:bottom w:val="single" w:sz="24" w:space="0" w:color="A5C0D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0C0" w:themeFill="accent3" w:themeFillShade="99"/>
      </w:tcPr>
    </w:tblStylePr>
    <w:tblStylePr w:type="firstCol">
      <w:rPr>
        <w:color w:val="FFFFFF" w:themeColor="background1"/>
      </w:rPr>
      <w:tblPr/>
      <w:tcPr>
        <w:tcBorders>
          <w:top w:val="nil"/>
          <w:left w:val="nil"/>
          <w:bottom w:val="nil"/>
          <w:right w:val="nil"/>
          <w:insideH w:val="single" w:sz="4" w:space="0" w:color="4D80C0" w:themeColor="accent3" w:themeShade="99"/>
          <w:insideV w:val="nil"/>
        </w:tcBorders>
        <w:shd w:val="clear" w:color="auto" w:fill="4D80C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D80C0" w:themeFill="accent3" w:themeFillShade="99"/>
      </w:tcPr>
    </w:tblStylePr>
    <w:tblStylePr w:type="band1Vert">
      <w:tblPr/>
      <w:tcPr>
        <w:shd w:val="clear" w:color="auto" w:fill="ECF2F8" w:themeFill="accent3" w:themeFillTint="66"/>
      </w:tcPr>
    </w:tblStylePr>
    <w:tblStylePr w:type="band1Horz">
      <w:tblPr/>
      <w:tcPr>
        <w:shd w:val="clear" w:color="auto" w:fill="E8EEF7"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4C4C4C" w:themeColor="text1"/>
    </w:rPr>
    <w:tblPr>
      <w:tblStyleRowBandSize w:val="1"/>
      <w:tblStyleColBandSize w:val="1"/>
      <w:tblBorders>
        <w:top w:val="single" w:sz="24" w:space="0" w:color="D2DFEF" w:themeColor="accent3"/>
        <w:left w:val="single" w:sz="4" w:space="0" w:color="A5C0DE" w:themeColor="accent4"/>
        <w:bottom w:val="single" w:sz="4" w:space="0" w:color="A5C0DE" w:themeColor="accent4"/>
        <w:right w:val="single" w:sz="4" w:space="0" w:color="A5C0DE" w:themeColor="accent4"/>
        <w:insideH w:val="single" w:sz="4" w:space="0" w:color="FFFFFF" w:themeColor="background1"/>
        <w:insideV w:val="single" w:sz="4" w:space="0" w:color="FFFFFF" w:themeColor="background1"/>
      </w:tblBorders>
    </w:tblPr>
    <w:tcPr>
      <w:shd w:val="clear" w:color="auto" w:fill="F5F8FB" w:themeFill="accent4" w:themeFillTint="19"/>
    </w:tcPr>
    <w:tblStylePr w:type="firstRow">
      <w:rPr>
        <w:b/>
        <w:bCs/>
      </w:rPr>
      <w:tblPr/>
      <w:tcPr>
        <w:tcBorders>
          <w:top w:val="nil"/>
          <w:left w:val="nil"/>
          <w:bottom w:val="single" w:sz="24" w:space="0" w:color="D2DF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0A9" w:themeFill="accent4" w:themeFillShade="99"/>
      </w:tcPr>
    </w:tblStylePr>
    <w:tblStylePr w:type="firstCol">
      <w:rPr>
        <w:color w:val="FFFFFF" w:themeColor="background1"/>
      </w:rPr>
      <w:tblPr/>
      <w:tcPr>
        <w:tcBorders>
          <w:top w:val="nil"/>
          <w:left w:val="nil"/>
          <w:bottom w:val="nil"/>
          <w:right w:val="nil"/>
          <w:insideH w:val="single" w:sz="4" w:space="0" w:color="3E70A9" w:themeColor="accent4" w:themeShade="99"/>
          <w:insideV w:val="nil"/>
        </w:tcBorders>
        <w:shd w:val="clear" w:color="auto" w:fill="3E70A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E70A9" w:themeFill="accent4" w:themeFillShade="99"/>
      </w:tcPr>
    </w:tblStylePr>
    <w:tblStylePr w:type="band1Vert">
      <w:tblPr/>
      <w:tcPr>
        <w:shd w:val="clear" w:color="auto" w:fill="DAE5F1" w:themeFill="accent4" w:themeFillTint="66"/>
      </w:tcPr>
    </w:tblStylePr>
    <w:tblStylePr w:type="band1Horz">
      <w:tblPr/>
      <w:tcPr>
        <w:shd w:val="clear" w:color="auto" w:fill="D2DFEE" w:themeFill="accent4" w:themeFillTint="7F"/>
      </w:tcPr>
    </w:tblStylePr>
    <w:tblStylePr w:type="neCell">
      <w:rPr>
        <w:color w:val="4C4C4C" w:themeColor="text1"/>
      </w:rPr>
    </w:tblStylePr>
    <w:tblStylePr w:type="nwCell">
      <w:rPr>
        <w:color w:val="4C4C4C"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4C4C4C" w:themeColor="text1"/>
    </w:rPr>
    <w:tblPr>
      <w:tblStyleRowBandSize w:val="1"/>
      <w:tblStyleColBandSize w:val="1"/>
      <w:tblBorders>
        <w:top w:val="single" w:sz="24" w:space="0" w:color="5578A0" w:themeColor="accent6"/>
        <w:left w:val="single" w:sz="4" w:space="0" w:color="88ABD3" w:themeColor="accent5"/>
        <w:bottom w:val="single" w:sz="4" w:space="0" w:color="88ABD3" w:themeColor="accent5"/>
        <w:right w:val="single" w:sz="4" w:space="0" w:color="88ABD3" w:themeColor="accent5"/>
        <w:insideH w:val="single" w:sz="4" w:space="0" w:color="FFFFFF" w:themeColor="background1"/>
        <w:insideV w:val="single" w:sz="4" w:space="0" w:color="FFFFFF" w:themeColor="background1"/>
      </w:tblBorders>
    </w:tblPr>
    <w:tcPr>
      <w:shd w:val="clear" w:color="auto" w:fill="F3F6FA" w:themeFill="accent5" w:themeFillTint="19"/>
    </w:tcPr>
    <w:tblStylePr w:type="firstRow">
      <w:rPr>
        <w:b/>
        <w:bCs/>
      </w:rPr>
      <w:tblPr/>
      <w:tcPr>
        <w:tcBorders>
          <w:top w:val="nil"/>
          <w:left w:val="nil"/>
          <w:bottom w:val="single" w:sz="24" w:space="0" w:color="5578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497" w:themeFill="accent5" w:themeFillShade="99"/>
      </w:tcPr>
    </w:tblStylePr>
    <w:tblStylePr w:type="firstCol">
      <w:rPr>
        <w:color w:val="FFFFFF" w:themeColor="background1"/>
      </w:rPr>
      <w:tblPr/>
      <w:tcPr>
        <w:tcBorders>
          <w:top w:val="nil"/>
          <w:left w:val="nil"/>
          <w:bottom w:val="nil"/>
          <w:right w:val="nil"/>
          <w:insideH w:val="single" w:sz="4" w:space="0" w:color="386497" w:themeColor="accent5" w:themeShade="99"/>
          <w:insideV w:val="nil"/>
        </w:tcBorders>
        <w:shd w:val="clear" w:color="auto" w:fill="38649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6497" w:themeFill="accent5" w:themeFillShade="99"/>
      </w:tcPr>
    </w:tblStylePr>
    <w:tblStylePr w:type="band1Vert">
      <w:tblPr/>
      <w:tcPr>
        <w:shd w:val="clear" w:color="auto" w:fill="CFDDED" w:themeFill="accent5" w:themeFillTint="66"/>
      </w:tcPr>
    </w:tblStylePr>
    <w:tblStylePr w:type="band1Horz">
      <w:tblPr/>
      <w:tcPr>
        <w:shd w:val="clear" w:color="auto" w:fill="C3D5E9" w:themeFill="accent5" w:themeFillTint="7F"/>
      </w:tcPr>
    </w:tblStylePr>
    <w:tblStylePr w:type="neCell">
      <w:rPr>
        <w:color w:val="4C4C4C" w:themeColor="text1"/>
      </w:rPr>
    </w:tblStylePr>
    <w:tblStylePr w:type="nwCell">
      <w:rPr>
        <w:color w:val="4C4C4C"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4C4C4C" w:themeColor="text1"/>
    </w:rPr>
    <w:tblPr>
      <w:tblStyleRowBandSize w:val="1"/>
      <w:tblStyleColBandSize w:val="1"/>
      <w:tblBorders>
        <w:top w:val="single" w:sz="24" w:space="0" w:color="88ABD3" w:themeColor="accent5"/>
        <w:left w:val="single" w:sz="4" w:space="0" w:color="5578A0" w:themeColor="accent6"/>
        <w:bottom w:val="single" w:sz="4" w:space="0" w:color="5578A0" w:themeColor="accent6"/>
        <w:right w:val="single" w:sz="4" w:space="0" w:color="5578A0" w:themeColor="accent6"/>
        <w:insideH w:val="single" w:sz="4" w:space="0" w:color="FFFFFF" w:themeColor="background1"/>
        <w:insideV w:val="single" w:sz="4" w:space="0" w:color="FFFFFF" w:themeColor="background1"/>
      </w:tblBorders>
    </w:tblPr>
    <w:tcPr>
      <w:shd w:val="clear" w:color="auto" w:fill="EEF1F6" w:themeFill="accent6" w:themeFillTint="19"/>
    </w:tcPr>
    <w:tblStylePr w:type="firstRow">
      <w:rPr>
        <w:b/>
        <w:bCs/>
      </w:rPr>
      <w:tblPr/>
      <w:tcPr>
        <w:tcBorders>
          <w:top w:val="nil"/>
          <w:left w:val="nil"/>
          <w:bottom w:val="single" w:sz="24" w:space="0" w:color="88AB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85F" w:themeFill="accent6" w:themeFillShade="99"/>
      </w:tcPr>
    </w:tblStylePr>
    <w:tblStylePr w:type="firstCol">
      <w:rPr>
        <w:color w:val="FFFFFF" w:themeColor="background1"/>
      </w:rPr>
      <w:tblPr/>
      <w:tcPr>
        <w:tcBorders>
          <w:top w:val="nil"/>
          <w:left w:val="nil"/>
          <w:bottom w:val="nil"/>
          <w:right w:val="nil"/>
          <w:insideH w:val="single" w:sz="4" w:space="0" w:color="33485F" w:themeColor="accent6" w:themeShade="99"/>
          <w:insideV w:val="nil"/>
        </w:tcBorders>
        <w:shd w:val="clear" w:color="auto" w:fill="3348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485F" w:themeFill="accent6" w:themeFillShade="99"/>
      </w:tcPr>
    </w:tblStylePr>
    <w:tblStylePr w:type="band1Vert">
      <w:tblPr/>
      <w:tcPr>
        <w:shd w:val="clear" w:color="auto" w:fill="B9C8DA" w:themeFill="accent6" w:themeFillTint="66"/>
      </w:tcPr>
    </w:tblStylePr>
    <w:tblStylePr w:type="band1Horz">
      <w:tblPr/>
      <w:tcPr>
        <w:shd w:val="clear" w:color="auto" w:fill="A8BBD1" w:themeFill="accent6" w:themeFillTint="7F"/>
      </w:tcPr>
    </w:tblStylePr>
    <w:tblStylePr w:type="neCell">
      <w:rPr>
        <w:color w:val="4C4C4C" w:themeColor="text1"/>
      </w:rPr>
    </w:tblStylePr>
    <w:tblStylePr w:type="nwCell">
      <w:rPr>
        <w:color w:val="4C4C4C"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rPr>
      <w:sz w:val="22"/>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4C4C4C" w:themeFill="text1"/>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5252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8383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83838" w:themeFill="text1" w:themeFillShade="BF"/>
      </w:tcPr>
    </w:tblStylePr>
    <w:tblStylePr w:type="band1Vert">
      <w:tblPr/>
      <w:tcPr>
        <w:tcBorders>
          <w:top w:val="nil"/>
          <w:left w:val="nil"/>
          <w:bottom w:val="nil"/>
          <w:right w:val="nil"/>
          <w:insideH w:val="nil"/>
          <w:insideV w:val="nil"/>
        </w:tcBorders>
        <w:shd w:val="clear" w:color="auto" w:fill="383838" w:themeFill="text1" w:themeFillShade="BF"/>
      </w:tcPr>
    </w:tblStylePr>
    <w:tblStylePr w:type="band1Horz">
      <w:tblPr/>
      <w:tcPr>
        <w:tcBorders>
          <w:top w:val="nil"/>
          <w:left w:val="nil"/>
          <w:bottom w:val="nil"/>
          <w:right w:val="nil"/>
          <w:insideH w:val="nil"/>
          <w:insideV w:val="nil"/>
        </w:tcBorders>
        <w:shd w:val="clear" w:color="auto" w:fill="383838"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6996C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84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6E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6EA8" w:themeFill="accent1" w:themeFillShade="BF"/>
      </w:tcPr>
    </w:tblStylePr>
    <w:tblStylePr w:type="band1Vert">
      <w:tblPr/>
      <w:tcPr>
        <w:tcBorders>
          <w:top w:val="nil"/>
          <w:left w:val="nil"/>
          <w:bottom w:val="nil"/>
          <w:right w:val="nil"/>
          <w:insideH w:val="nil"/>
          <w:insideV w:val="nil"/>
        </w:tcBorders>
        <w:shd w:val="clear" w:color="auto" w:fill="3C6EA8" w:themeFill="accent1" w:themeFillShade="BF"/>
      </w:tcPr>
    </w:tblStylePr>
    <w:tblStylePr w:type="band1Horz">
      <w:tblPr/>
      <w:tcPr>
        <w:tcBorders>
          <w:top w:val="nil"/>
          <w:left w:val="nil"/>
          <w:bottom w:val="nil"/>
          <w:right w:val="nil"/>
          <w:insideH w:val="nil"/>
          <w:insideV w:val="nil"/>
        </w:tcBorders>
        <w:shd w:val="clear" w:color="auto" w:fill="3C6EA8"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3F5A7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1F2C3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435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4359" w:themeFill="accent2" w:themeFillShade="BF"/>
      </w:tcPr>
    </w:tblStylePr>
    <w:tblStylePr w:type="band1Vert">
      <w:tblPr/>
      <w:tcPr>
        <w:tcBorders>
          <w:top w:val="nil"/>
          <w:left w:val="nil"/>
          <w:bottom w:val="nil"/>
          <w:right w:val="nil"/>
          <w:insideH w:val="nil"/>
          <w:insideV w:val="nil"/>
        </w:tcBorders>
        <w:shd w:val="clear" w:color="auto" w:fill="2F4359" w:themeFill="accent2" w:themeFillShade="BF"/>
      </w:tcPr>
    </w:tblStylePr>
    <w:tblStylePr w:type="band1Horz">
      <w:tblPr/>
      <w:tcPr>
        <w:tcBorders>
          <w:top w:val="nil"/>
          <w:left w:val="nil"/>
          <w:bottom w:val="nil"/>
          <w:right w:val="nil"/>
          <w:insideH w:val="nil"/>
          <w:insideV w:val="nil"/>
        </w:tcBorders>
        <w:shd w:val="clear" w:color="auto" w:fill="2F4359"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D2DF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3A6AA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A3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A3D1" w:themeFill="accent3" w:themeFillShade="BF"/>
      </w:tcPr>
    </w:tblStylePr>
    <w:tblStylePr w:type="band1Vert">
      <w:tblPr/>
      <w:tcPr>
        <w:tcBorders>
          <w:top w:val="nil"/>
          <w:left w:val="nil"/>
          <w:bottom w:val="nil"/>
          <w:right w:val="nil"/>
          <w:insideH w:val="nil"/>
          <w:insideV w:val="nil"/>
        </w:tcBorders>
        <w:shd w:val="clear" w:color="auto" w:fill="7EA3D1" w:themeFill="accent3" w:themeFillShade="BF"/>
      </w:tcPr>
    </w:tblStylePr>
    <w:tblStylePr w:type="band1Horz">
      <w:tblPr/>
      <w:tcPr>
        <w:tcBorders>
          <w:top w:val="nil"/>
          <w:left w:val="nil"/>
          <w:bottom w:val="nil"/>
          <w:right w:val="nil"/>
          <w:insideH w:val="nil"/>
          <w:insideV w:val="nil"/>
        </w:tcBorders>
        <w:shd w:val="clear" w:color="auto" w:fill="7EA3D1"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A5C0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335D8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D8D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D8DC4" w:themeFill="accent4" w:themeFillShade="BF"/>
      </w:tcPr>
    </w:tblStylePr>
    <w:tblStylePr w:type="band1Vert">
      <w:tblPr/>
      <w:tcPr>
        <w:tcBorders>
          <w:top w:val="nil"/>
          <w:left w:val="nil"/>
          <w:bottom w:val="nil"/>
          <w:right w:val="nil"/>
          <w:insideH w:val="nil"/>
          <w:insideV w:val="nil"/>
        </w:tcBorders>
        <w:shd w:val="clear" w:color="auto" w:fill="5D8DC4" w:themeFill="accent4" w:themeFillShade="BF"/>
      </w:tcPr>
    </w:tblStylePr>
    <w:tblStylePr w:type="band1Horz">
      <w:tblPr/>
      <w:tcPr>
        <w:tcBorders>
          <w:top w:val="nil"/>
          <w:left w:val="nil"/>
          <w:bottom w:val="nil"/>
          <w:right w:val="nil"/>
          <w:insideH w:val="nil"/>
          <w:insideV w:val="nil"/>
        </w:tcBorders>
        <w:shd w:val="clear" w:color="auto" w:fill="5D8DC4"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88AB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E537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7DB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7DBB" w:themeFill="accent5" w:themeFillShade="BF"/>
      </w:tcPr>
    </w:tblStylePr>
    <w:tblStylePr w:type="band1Vert">
      <w:tblPr/>
      <w:tcPr>
        <w:tcBorders>
          <w:top w:val="nil"/>
          <w:left w:val="nil"/>
          <w:bottom w:val="nil"/>
          <w:right w:val="nil"/>
          <w:insideH w:val="nil"/>
          <w:insideV w:val="nil"/>
        </w:tcBorders>
        <w:shd w:val="clear" w:color="auto" w:fill="487DBB" w:themeFill="accent5" w:themeFillShade="BF"/>
      </w:tcPr>
    </w:tblStylePr>
    <w:tblStylePr w:type="band1Horz">
      <w:tblPr/>
      <w:tcPr>
        <w:tcBorders>
          <w:top w:val="nil"/>
          <w:left w:val="nil"/>
          <w:bottom w:val="nil"/>
          <w:right w:val="nil"/>
          <w:insideH w:val="nil"/>
          <w:insideV w:val="nil"/>
        </w:tcBorders>
        <w:shd w:val="clear" w:color="auto" w:fill="487DBB"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5578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C4C4C" w:themeFill="text1"/>
      </w:tcPr>
    </w:tblStylePr>
    <w:tblStylePr w:type="lastRow">
      <w:tblPr/>
      <w:tcPr>
        <w:tcBorders>
          <w:top w:val="single" w:sz="18" w:space="0" w:color="FFFFFF" w:themeColor="background1"/>
          <w:left w:val="nil"/>
          <w:bottom w:val="nil"/>
          <w:right w:val="nil"/>
          <w:insideH w:val="nil"/>
          <w:insideV w:val="nil"/>
        </w:tcBorders>
        <w:shd w:val="clear" w:color="auto" w:fill="2A3B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5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5977" w:themeFill="accent6" w:themeFillShade="BF"/>
      </w:tcPr>
    </w:tblStylePr>
    <w:tblStylePr w:type="band1Vert">
      <w:tblPr/>
      <w:tcPr>
        <w:tcBorders>
          <w:top w:val="nil"/>
          <w:left w:val="nil"/>
          <w:bottom w:val="nil"/>
          <w:right w:val="nil"/>
          <w:insideH w:val="nil"/>
          <w:insideV w:val="nil"/>
        </w:tcBorders>
        <w:shd w:val="clear" w:color="auto" w:fill="3F5977" w:themeFill="accent6" w:themeFillShade="BF"/>
      </w:tcPr>
    </w:tblStylePr>
    <w:tblStylePr w:type="band1Horz">
      <w:tblPr/>
      <w:tcPr>
        <w:tcBorders>
          <w:top w:val="nil"/>
          <w:left w:val="nil"/>
          <w:bottom w:val="nil"/>
          <w:right w:val="nil"/>
          <w:insideH w:val="nil"/>
          <w:insideV w:val="nil"/>
        </w:tcBorders>
        <w:shd w:val="clear" w:color="auto" w:fill="3F5977" w:themeFill="accent6" w:themeFillShade="BF"/>
      </w:tcPr>
    </w:tblStylePr>
  </w:style>
  <w:style w:type="paragraph" w:styleId="DocumentMap">
    <w:name w:val="Document Map"/>
    <w:basedOn w:val="Normal"/>
    <w:link w:val="DocumentMapChar"/>
    <w:uiPriority w:val="99"/>
    <w:semiHidden/>
    <w:unhideWhenUsed/>
    <w:rsid w:val="005225B2"/>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rPr>
      <w:sz w:val="22"/>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ind w:left="2880"/>
    </w:pPr>
    <w:rPr>
      <w:rFonts w:asciiTheme="majorHAnsi" w:eastAsiaTheme="majorEastAsia" w:hAnsiTheme="majorHAnsi"/>
      <w:szCs w:val="24"/>
    </w:rPr>
  </w:style>
  <w:style w:type="paragraph" w:styleId="EnvelopeReturn">
    <w:name w:val="envelope return"/>
    <w:basedOn w:val="Normal"/>
    <w:uiPriority w:val="99"/>
    <w:semiHidden/>
    <w:unhideWhenUsed/>
    <w:rsid w:val="005225B2"/>
    <w:rPr>
      <w:rFonts w:asciiTheme="majorHAnsi" w:eastAsiaTheme="majorEastAsia" w:hAnsiTheme="majorHAnsi"/>
      <w:sz w:val="22"/>
    </w:rPr>
  </w:style>
  <w:style w:type="character" w:styleId="FollowedHyperlink">
    <w:name w:val="FollowedHyperlink"/>
    <w:basedOn w:val="DefaultParagraphFont"/>
    <w:uiPriority w:val="99"/>
    <w:semiHidden/>
    <w:unhideWhenUsed/>
    <w:rsid w:val="005225B2"/>
    <w:rPr>
      <w:color w:val="0A0AE6"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qFormat/>
    <w:rsid w:val="00461A9E"/>
    <w:rPr>
      <w:sz w:val="20"/>
    </w:rPr>
  </w:style>
  <w:style w:type="character" w:customStyle="1" w:styleId="FootnoteTextChar">
    <w:name w:val="Footnote Text Char"/>
    <w:basedOn w:val="DefaultParagraphFont"/>
    <w:link w:val="FootnoteText"/>
    <w:uiPriority w:val="99"/>
    <w:semiHidden/>
    <w:rsid w:val="00461A9E"/>
    <w:rPr>
      <w:rFonts w:ascii="Garamond" w:hAnsi="Garamond" w:cs="Times New Roman (Headings CS)"/>
      <w:color w:val="auto"/>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B7B7B7" w:themeColor="text1" w:themeTint="66"/>
        <w:left w:val="single" w:sz="4" w:space="0" w:color="B7B7B7" w:themeColor="text1" w:themeTint="66"/>
        <w:bottom w:val="single" w:sz="4" w:space="0" w:color="B7B7B7" w:themeColor="text1" w:themeTint="66"/>
        <w:right w:val="single" w:sz="4" w:space="0" w:color="B7B7B7" w:themeColor="text1" w:themeTint="66"/>
        <w:insideH w:val="single" w:sz="4" w:space="0" w:color="B7B7B7" w:themeColor="text1" w:themeTint="66"/>
        <w:insideV w:val="single" w:sz="4" w:space="0" w:color="B7B7B7" w:themeColor="text1" w:themeTint="66"/>
      </w:tblBorders>
    </w:tblPr>
    <w:tblStylePr w:type="firstRow">
      <w:rPr>
        <w:b/>
        <w:bCs/>
      </w:rPr>
      <w:tblPr/>
      <w:tcPr>
        <w:tcBorders>
          <w:bottom w:val="single" w:sz="12" w:space="0" w:color="939393" w:themeColor="text1" w:themeTint="99"/>
        </w:tcBorders>
      </w:tcPr>
    </w:tblStylePr>
    <w:tblStylePr w:type="lastRow">
      <w:rPr>
        <w:b/>
        <w:bCs/>
      </w:rPr>
      <w:tblPr/>
      <w:tcPr>
        <w:tcBorders>
          <w:top w:val="double" w:sz="2" w:space="0" w:color="93939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C2D4E9" w:themeColor="accent1" w:themeTint="66"/>
        <w:left w:val="single" w:sz="4" w:space="0" w:color="C2D4E9" w:themeColor="accent1" w:themeTint="66"/>
        <w:bottom w:val="single" w:sz="4" w:space="0" w:color="C2D4E9" w:themeColor="accent1" w:themeTint="66"/>
        <w:right w:val="single" w:sz="4" w:space="0" w:color="C2D4E9" w:themeColor="accent1" w:themeTint="66"/>
        <w:insideH w:val="single" w:sz="4" w:space="0" w:color="C2D4E9" w:themeColor="accent1" w:themeTint="66"/>
        <w:insideV w:val="single" w:sz="4" w:space="0" w:color="C2D4E9" w:themeColor="accent1" w:themeTint="66"/>
      </w:tblBorders>
    </w:tblPr>
    <w:tblStylePr w:type="firstRow">
      <w:rPr>
        <w:b/>
        <w:bCs/>
      </w:rPr>
      <w:tblPr/>
      <w:tcPr>
        <w:tcBorders>
          <w:bottom w:val="single" w:sz="12" w:space="0" w:color="A4BFDE" w:themeColor="accent1" w:themeTint="99"/>
        </w:tcBorders>
      </w:tcPr>
    </w:tblStylePr>
    <w:tblStylePr w:type="lastRow">
      <w:rPr>
        <w:b/>
        <w:bCs/>
      </w:rPr>
      <w:tblPr/>
      <w:tcPr>
        <w:tcBorders>
          <w:top w:val="double" w:sz="2" w:space="0" w:color="A4BF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A9BCD2" w:themeColor="accent2" w:themeTint="66"/>
        <w:left w:val="single" w:sz="4" w:space="0" w:color="A9BCD2" w:themeColor="accent2" w:themeTint="66"/>
        <w:bottom w:val="single" w:sz="4" w:space="0" w:color="A9BCD2" w:themeColor="accent2" w:themeTint="66"/>
        <w:right w:val="single" w:sz="4" w:space="0" w:color="A9BCD2" w:themeColor="accent2" w:themeTint="66"/>
        <w:insideH w:val="single" w:sz="4" w:space="0" w:color="A9BCD2" w:themeColor="accent2" w:themeTint="66"/>
        <w:insideV w:val="single" w:sz="4" w:space="0" w:color="A9BCD2" w:themeColor="accent2" w:themeTint="66"/>
      </w:tblBorders>
    </w:tblPr>
    <w:tblStylePr w:type="firstRow">
      <w:rPr>
        <w:b/>
        <w:bCs/>
      </w:rPr>
      <w:tblPr/>
      <w:tcPr>
        <w:tcBorders>
          <w:bottom w:val="single" w:sz="12" w:space="0" w:color="7E9BBB" w:themeColor="accent2" w:themeTint="99"/>
        </w:tcBorders>
      </w:tcPr>
    </w:tblStylePr>
    <w:tblStylePr w:type="lastRow">
      <w:rPr>
        <w:b/>
        <w:bCs/>
      </w:rPr>
      <w:tblPr/>
      <w:tcPr>
        <w:tcBorders>
          <w:top w:val="double" w:sz="2" w:space="0" w:color="7E9BB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ECF2F8" w:themeColor="accent3" w:themeTint="66"/>
        <w:left w:val="single" w:sz="4" w:space="0" w:color="ECF2F8" w:themeColor="accent3" w:themeTint="66"/>
        <w:bottom w:val="single" w:sz="4" w:space="0" w:color="ECF2F8" w:themeColor="accent3" w:themeTint="66"/>
        <w:right w:val="single" w:sz="4" w:space="0" w:color="ECF2F8" w:themeColor="accent3" w:themeTint="66"/>
        <w:insideH w:val="single" w:sz="4" w:space="0" w:color="ECF2F8" w:themeColor="accent3" w:themeTint="66"/>
        <w:insideV w:val="single" w:sz="4" w:space="0" w:color="ECF2F8" w:themeColor="accent3" w:themeTint="66"/>
      </w:tblBorders>
    </w:tblPr>
    <w:tblStylePr w:type="firstRow">
      <w:rPr>
        <w:b/>
        <w:bCs/>
      </w:rPr>
      <w:tblPr/>
      <w:tcPr>
        <w:tcBorders>
          <w:bottom w:val="single" w:sz="12" w:space="0" w:color="E3EBF5" w:themeColor="accent3" w:themeTint="99"/>
        </w:tcBorders>
      </w:tcPr>
    </w:tblStylePr>
    <w:tblStylePr w:type="lastRow">
      <w:rPr>
        <w:b/>
        <w:bCs/>
      </w:rPr>
      <w:tblPr/>
      <w:tcPr>
        <w:tcBorders>
          <w:top w:val="double" w:sz="2" w:space="0" w:color="E3EBF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DAE5F1" w:themeColor="accent4" w:themeTint="66"/>
        <w:left w:val="single" w:sz="4" w:space="0" w:color="DAE5F1" w:themeColor="accent4" w:themeTint="66"/>
        <w:bottom w:val="single" w:sz="4" w:space="0" w:color="DAE5F1" w:themeColor="accent4" w:themeTint="66"/>
        <w:right w:val="single" w:sz="4" w:space="0" w:color="DAE5F1" w:themeColor="accent4" w:themeTint="66"/>
        <w:insideH w:val="single" w:sz="4" w:space="0" w:color="DAE5F1" w:themeColor="accent4" w:themeTint="66"/>
        <w:insideV w:val="single" w:sz="4" w:space="0" w:color="DAE5F1" w:themeColor="accent4" w:themeTint="66"/>
      </w:tblBorders>
    </w:tblPr>
    <w:tblStylePr w:type="firstRow">
      <w:rPr>
        <w:b/>
        <w:bCs/>
      </w:rPr>
      <w:tblPr/>
      <w:tcPr>
        <w:tcBorders>
          <w:bottom w:val="single" w:sz="12" w:space="0" w:color="C8D8EB" w:themeColor="accent4" w:themeTint="99"/>
        </w:tcBorders>
      </w:tcPr>
    </w:tblStylePr>
    <w:tblStylePr w:type="lastRow">
      <w:rPr>
        <w:b/>
        <w:bCs/>
      </w:rPr>
      <w:tblPr/>
      <w:tcPr>
        <w:tcBorders>
          <w:top w:val="double" w:sz="2" w:space="0" w:color="C8D8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FDDED" w:themeColor="accent5" w:themeTint="66"/>
        <w:left w:val="single" w:sz="4" w:space="0" w:color="CFDDED" w:themeColor="accent5" w:themeTint="66"/>
        <w:bottom w:val="single" w:sz="4" w:space="0" w:color="CFDDED" w:themeColor="accent5" w:themeTint="66"/>
        <w:right w:val="single" w:sz="4" w:space="0" w:color="CFDDED" w:themeColor="accent5" w:themeTint="66"/>
        <w:insideH w:val="single" w:sz="4" w:space="0" w:color="CFDDED" w:themeColor="accent5" w:themeTint="66"/>
        <w:insideV w:val="single" w:sz="4" w:space="0" w:color="CFDDED" w:themeColor="accent5" w:themeTint="66"/>
      </w:tblBorders>
    </w:tblPr>
    <w:tblStylePr w:type="firstRow">
      <w:rPr>
        <w:b/>
        <w:bCs/>
      </w:rPr>
      <w:tblPr/>
      <w:tcPr>
        <w:tcBorders>
          <w:bottom w:val="single" w:sz="12" w:space="0" w:color="B7CCE4" w:themeColor="accent5" w:themeTint="99"/>
        </w:tcBorders>
      </w:tcPr>
    </w:tblStylePr>
    <w:tblStylePr w:type="lastRow">
      <w:rPr>
        <w:b/>
        <w:bCs/>
      </w:rPr>
      <w:tblPr/>
      <w:tcPr>
        <w:tcBorders>
          <w:top w:val="double" w:sz="2" w:space="0" w:color="B7CCE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B9C8DA" w:themeColor="accent6" w:themeTint="66"/>
        <w:left w:val="single" w:sz="4" w:space="0" w:color="B9C8DA" w:themeColor="accent6" w:themeTint="66"/>
        <w:bottom w:val="single" w:sz="4" w:space="0" w:color="B9C8DA" w:themeColor="accent6" w:themeTint="66"/>
        <w:right w:val="single" w:sz="4" w:space="0" w:color="B9C8DA" w:themeColor="accent6" w:themeTint="66"/>
        <w:insideH w:val="single" w:sz="4" w:space="0" w:color="B9C8DA" w:themeColor="accent6" w:themeTint="66"/>
        <w:insideV w:val="single" w:sz="4" w:space="0" w:color="B9C8DA" w:themeColor="accent6" w:themeTint="66"/>
      </w:tblBorders>
    </w:tblPr>
    <w:tblStylePr w:type="firstRow">
      <w:rPr>
        <w:b/>
        <w:bCs/>
      </w:rPr>
      <w:tblPr/>
      <w:tcPr>
        <w:tcBorders>
          <w:bottom w:val="single" w:sz="12" w:space="0" w:color="97ADC7" w:themeColor="accent6" w:themeTint="99"/>
        </w:tcBorders>
      </w:tcPr>
    </w:tblStylePr>
    <w:tblStylePr w:type="lastRow">
      <w:rPr>
        <w:b/>
        <w:bCs/>
      </w:rPr>
      <w:tblPr/>
      <w:tcPr>
        <w:tcBorders>
          <w:top w:val="double" w:sz="2" w:space="0" w:color="97ADC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939393" w:themeColor="text1" w:themeTint="99"/>
        <w:bottom w:val="single" w:sz="2" w:space="0" w:color="939393" w:themeColor="text1" w:themeTint="99"/>
        <w:insideH w:val="single" w:sz="2" w:space="0" w:color="939393" w:themeColor="text1" w:themeTint="99"/>
        <w:insideV w:val="single" w:sz="2" w:space="0" w:color="939393" w:themeColor="text1" w:themeTint="99"/>
      </w:tblBorders>
    </w:tblPr>
    <w:tblStylePr w:type="firstRow">
      <w:rPr>
        <w:b/>
        <w:bCs/>
      </w:rPr>
      <w:tblPr/>
      <w:tcPr>
        <w:tcBorders>
          <w:top w:val="nil"/>
          <w:bottom w:val="single" w:sz="12" w:space="0" w:color="939393" w:themeColor="text1" w:themeTint="99"/>
          <w:insideH w:val="nil"/>
          <w:insideV w:val="nil"/>
        </w:tcBorders>
        <w:shd w:val="clear" w:color="auto" w:fill="FFFFFF" w:themeFill="background1"/>
      </w:tcPr>
    </w:tblStylePr>
    <w:tblStylePr w:type="lastRow">
      <w:rPr>
        <w:b/>
        <w:bCs/>
      </w:rPr>
      <w:tblPr/>
      <w:tcPr>
        <w:tcBorders>
          <w:top w:val="double" w:sz="2" w:space="0" w:color="93939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A4BFDE" w:themeColor="accent1" w:themeTint="99"/>
        <w:bottom w:val="single" w:sz="2" w:space="0" w:color="A4BFDE" w:themeColor="accent1" w:themeTint="99"/>
        <w:insideH w:val="single" w:sz="2" w:space="0" w:color="A4BFDE" w:themeColor="accent1" w:themeTint="99"/>
        <w:insideV w:val="single" w:sz="2" w:space="0" w:color="A4BFDE" w:themeColor="accent1" w:themeTint="99"/>
      </w:tblBorders>
    </w:tblPr>
    <w:tblStylePr w:type="firstRow">
      <w:rPr>
        <w:b/>
        <w:bCs/>
      </w:rPr>
      <w:tblPr/>
      <w:tcPr>
        <w:tcBorders>
          <w:top w:val="nil"/>
          <w:bottom w:val="single" w:sz="12" w:space="0" w:color="A4BFDE" w:themeColor="accent1" w:themeTint="99"/>
          <w:insideH w:val="nil"/>
          <w:insideV w:val="nil"/>
        </w:tcBorders>
        <w:shd w:val="clear" w:color="auto" w:fill="FFFFFF" w:themeFill="background1"/>
      </w:tcPr>
    </w:tblStylePr>
    <w:tblStylePr w:type="lastRow">
      <w:rPr>
        <w:b/>
        <w:bCs/>
      </w:rPr>
      <w:tblPr/>
      <w:tcPr>
        <w:tcBorders>
          <w:top w:val="double" w:sz="2" w:space="0" w:color="A4BF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7E9BBB" w:themeColor="accent2" w:themeTint="99"/>
        <w:bottom w:val="single" w:sz="2" w:space="0" w:color="7E9BBB" w:themeColor="accent2" w:themeTint="99"/>
        <w:insideH w:val="single" w:sz="2" w:space="0" w:color="7E9BBB" w:themeColor="accent2" w:themeTint="99"/>
        <w:insideV w:val="single" w:sz="2" w:space="0" w:color="7E9BBB" w:themeColor="accent2" w:themeTint="99"/>
      </w:tblBorders>
    </w:tblPr>
    <w:tblStylePr w:type="firstRow">
      <w:rPr>
        <w:b/>
        <w:bCs/>
      </w:rPr>
      <w:tblPr/>
      <w:tcPr>
        <w:tcBorders>
          <w:top w:val="nil"/>
          <w:bottom w:val="single" w:sz="12" w:space="0" w:color="7E9BBB" w:themeColor="accent2" w:themeTint="99"/>
          <w:insideH w:val="nil"/>
          <w:insideV w:val="nil"/>
        </w:tcBorders>
        <w:shd w:val="clear" w:color="auto" w:fill="FFFFFF" w:themeFill="background1"/>
      </w:tcPr>
    </w:tblStylePr>
    <w:tblStylePr w:type="lastRow">
      <w:rPr>
        <w:b/>
        <w:bCs/>
      </w:rPr>
      <w:tblPr/>
      <w:tcPr>
        <w:tcBorders>
          <w:top w:val="double" w:sz="2" w:space="0" w:color="7E9B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E3EBF5" w:themeColor="accent3" w:themeTint="99"/>
        <w:bottom w:val="single" w:sz="2" w:space="0" w:color="E3EBF5" w:themeColor="accent3" w:themeTint="99"/>
        <w:insideH w:val="single" w:sz="2" w:space="0" w:color="E3EBF5" w:themeColor="accent3" w:themeTint="99"/>
        <w:insideV w:val="single" w:sz="2" w:space="0" w:color="E3EBF5" w:themeColor="accent3" w:themeTint="99"/>
      </w:tblBorders>
    </w:tblPr>
    <w:tblStylePr w:type="firstRow">
      <w:rPr>
        <w:b/>
        <w:bCs/>
      </w:rPr>
      <w:tblPr/>
      <w:tcPr>
        <w:tcBorders>
          <w:top w:val="nil"/>
          <w:bottom w:val="single" w:sz="12" w:space="0" w:color="E3EBF5" w:themeColor="accent3" w:themeTint="99"/>
          <w:insideH w:val="nil"/>
          <w:insideV w:val="nil"/>
        </w:tcBorders>
        <w:shd w:val="clear" w:color="auto" w:fill="FFFFFF" w:themeFill="background1"/>
      </w:tcPr>
    </w:tblStylePr>
    <w:tblStylePr w:type="lastRow">
      <w:rPr>
        <w:b/>
        <w:bCs/>
      </w:rPr>
      <w:tblPr/>
      <w:tcPr>
        <w:tcBorders>
          <w:top w:val="double" w:sz="2" w:space="0" w:color="E3EBF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C8D8EB" w:themeColor="accent4" w:themeTint="99"/>
        <w:bottom w:val="single" w:sz="2" w:space="0" w:color="C8D8EB" w:themeColor="accent4" w:themeTint="99"/>
        <w:insideH w:val="single" w:sz="2" w:space="0" w:color="C8D8EB" w:themeColor="accent4" w:themeTint="99"/>
        <w:insideV w:val="single" w:sz="2" w:space="0" w:color="C8D8EB" w:themeColor="accent4" w:themeTint="99"/>
      </w:tblBorders>
    </w:tblPr>
    <w:tblStylePr w:type="firstRow">
      <w:rPr>
        <w:b/>
        <w:bCs/>
      </w:rPr>
      <w:tblPr/>
      <w:tcPr>
        <w:tcBorders>
          <w:top w:val="nil"/>
          <w:bottom w:val="single" w:sz="12" w:space="0" w:color="C8D8EB" w:themeColor="accent4" w:themeTint="99"/>
          <w:insideH w:val="nil"/>
          <w:insideV w:val="nil"/>
        </w:tcBorders>
        <w:shd w:val="clear" w:color="auto" w:fill="FFFFFF" w:themeFill="background1"/>
      </w:tcPr>
    </w:tblStylePr>
    <w:tblStylePr w:type="lastRow">
      <w:rPr>
        <w:b/>
        <w:bCs/>
      </w:rPr>
      <w:tblPr/>
      <w:tcPr>
        <w:tcBorders>
          <w:top w:val="double" w:sz="2" w:space="0" w:color="C8D8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B7CCE4" w:themeColor="accent5" w:themeTint="99"/>
        <w:bottom w:val="single" w:sz="2" w:space="0" w:color="B7CCE4" w:themeColor="accent5" w:themeTint="99"/>
        <w:insideH w:val="single" w:sz="2" w:space="0" w:color="B7CCE4" w:themeColor="accent5" w:themeTint="99"/>
        <w:insideV w:val="single" w:sz="2" w:space="0" w:color="B7CCE4" w:themeColor="accent5" w:themeTint="99"/>
      </w:tblBorders>
    </w:tblPr>
    <w:tblStylePr w:type="firstRow">
      <w:rPr>
        <w:b/>
        <w:bCs/>
      </w:rPr>
      <w:tblPr/>
      <w:tcPr>
        <w:tcBorders>
          <w:top w:val="nil"/>
          <w:bottom w:val="single" w:sz="12" w:space="0" w:color="B7CCE4" w:themeColor="accent5" w:themeTint="99"/>
          <w:insideH w:val="nil"/>
          <w:insideV w:val="nil"/>
        </w:tcBorders>
        <w:shd w:val="clear" w:color="auto" w:fill="FFFFFF" w:themeFill="background1"/>
      </w:tcPr>
    </w:tblStylePr>
    <w:tblStylePr w:type="lastRow">
      <w:rPr>
        <w:b/>
        <w:bCs/>
      </w:rPr>
      <w:tblPr/>
      <w:tcPr>
        <w:tcBorders>
          <w:top w:val="double" w:sz="2" w:space="0" w:color="B7CC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97ADC7" w:themeColor="accent6" w:themeTint="99"/>
        <w:bottom w:val="single" w:sz="2" w:space="0" w:color="97ADC7" w:themeColor="accent6" w:themeTint="99"/>
        <w:insideH w:val="single" w:sz="2" w:space="0" w:color="97ADC7" w:themeColor="accent6" w:themeTint="99"/>
        <w:insideV w:val="single" w:sz="2" w:space="0" w:color="97ADC7" w:themeColor="accent6" w:themeTint="99"/>
      </w:tblBorders>
    </w:tblPr>
    <w:tblStylePr w:type="firstRow">
      <w:rPr>
        <w:b/>
        <w:bCs/>
      </w:rPr>
      <w:tblPr/>
      <w:tcPr>
        <w:tcBorders>
          <w:top w:val="nil"/>
          <w:bottom w:val="single" w:sz="12" w:space="0" w:color="97ADC7" w:themeColor="accent6" w:themeTint="99"/>
          <w:insideH w:val="nil"/>
          <w:insideV w:val="nil"/>
        </w:tcBorders>
        <w:shd w:val="clear" w:color="auto" w:fill="FFFFFF" w:themeFill="background1"/>
      </w:tcPr>
    </w:tblStylePr>
    <w:tblStylePr w:type="lastRow">
      <w:rPr>
        <w:b/>
        <w:bCs/>
      </w:rPr>
      <w:tblPr/>
      <w:tcPr>
        <w:tcBorders>
          <w:top w:val="double" w:sz="2" w:space="0" w:color="97ADC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bottom w:val="single" w:sz="4" w:space="0" w:color="939393" w:themeColor="text1" w:themeTint="99"/>
        </w:tcBorders>
      </w:tcPr>
    </w:tblStylePr>
    <w:tblStylePr w:type="nwCell">
      <w:tblPr/>
      <w:tcPr>
        <w:tcBorders>
          <w:bottom w:val="single" w:sz="4" w:space="0" w:color="939393" w:themeColor="text1" w:themeTint="99"/>
        </w:tcBorders>
      </w:tcPr>
    </w:tblStylePr>
    <w:tblStylePr w:type="seCell">
      <w:tblPr/>
      <w:tcPr>
        <w:tcBorders>
          <w:top w:val="single" w:sz="4" w:space="0" w:color="939393" w:themeColor="text1" w:themeTint="99"/>
        </w:tcBorders>
      </w:tcPr>
    </w:tblStylePr>
    <w:tblStylePr w:type="swCell">
      <w:tblPr/>
      <w:tcPr>
        <w:tcBorders>
          <w:top w:val="single" w:sz="4" w:space="0" w:color="939393"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bottom w:val="single" w:sz="4" w:space="0" w:color="A4BFDE" w:themeColor="accent1" w:themeTint="99"/>
        </w:tcBorders>
      </w:tcPr>
    </w:tblStylePr>
    <w:tblStylePr w:type="nwCell">
      <w:tblPr/>
      <w:tcPr>
        <w:tcBorders>
          <w:bottom w:val="single" w:sz="4" w:space="0" w:color="A4BFDE" w:themeColor="accent1" w:themeTint="99"/>
        </w:tcBorders>
      </w:tcPr>
    </w:tblStylePr>
    <w:tblStylePr w:type="seCell">
      <w:tblPr/>
      <w:tcPr>
        <w:tcBorders>
          <w:top w:val="single" w:sz="4" w:space="0" w:color="A4BFDE" w:themeColor="accent1" w:themeTint="99"/>
        </w:tcBorders>
      </w:tcPr>
    </w:tblStylePr>
    <w:tblStylePr w:type="swCell">
      <w:tblPr/>
      <w:tcPr>
        <w:tcBorders>
          <w:top w:val="single" w:sz="4" w:space="0" w:color="A4BFDE"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bottom w:val="single" w:sz="4" w:space="0" w:color="7E9BBB" w:themeColor="accent2" w:themeTint="99"/>
        </w:tcBorders>
      </w:tcPr>
    </w:tblStylePr>
    <w:tblStylePr w:type="nwCell">
      <w:tblPr/>
      <w:tcPr>
        <w:tcBorders>
          <w:bottom w:val="single" w:sz="4" w:space="0" w:color="7E9BBB" w:themeColor="accent2" w:themeTint="99"/>
        </w:tcBorders>
      </w:tcPr>
    </w:tblStylePr>
    <w:tblStylePr w:type="seCell">
      <w:tblPr/>
      <w:tcPr>
        <w:tcBorders>
          <w:top w:val="single" w:sz="4" w:space="0" w:color="7E9BBB" w:themeColor="accent2" w:themeTint="99"/>
        </w:tcBorders>
      </w:tcPr>
    </w:tblStylePr>
    <w:tblStylePr w:type="swCell">
      <w:tblPr/>
      <w:tcPr>
        <w:tcBorders>
          <w:top w:val="single" w:sz="4" w:space="0" w:color="7E9BBB"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bottom w:val="single" w:sz="4" w:space="0" w:color="E3EBF5" w:themeColor="accent3" w:themeTint="99"/>
        </w:tcBorders>
      </w:tcPr>
    </w:tblStylePr>
    <w:tblStylePr w:type="nwCell">
      <w:tblPr/>
      <w:tcPr>
        <w:tcBorders>
          <w:bottom w:val="single" w:sz="4" w:space="0" w:color="E3EBF5" w:themeColor="accent3" w:themeTint="99"/>
        </w:tcBorders>
      </w:tcPr>
    </w:tblStylePr>
    <w:tblStylePr w:type="seCell">
      <w:tblPr/>
      <w:tcPr>
        <w:tcBorders>
          <w:top w:val="single" w:sz="4" w:space="0" w:color="E3EBF5" w:themeColor="accent3" w:themeTint="99"/>
        </w:tcBorders>
      </w:tcPr>
    </w:tblStylePr>
    <w:tblStylePr w:type="swCell">
      <w:tblPr/>
      <w:tcPr>
        <w:tcBorders>
          <w:top w:val="single" w:sz="4" w:space="0" w:color="E3EBF5"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bottom w:val="single" w:sz="4" w:space="0" w:color="C8D8EB" w:themeColor="accent4" w:themeTint="99"/>
        </w:tcBorders>
      </w:tcPr>
    </w:tblStylePr>
    <w:tblStylePr w:type="nwCell">
      <w:tblPr/>
      <w:tcPr>
        <w:tcBorders>
          <w:bottom w:val="single" w:sz="4" w:space="0" w:color="C8D8EB" w:themeColor="accent4" w:themeTint="99"/>
        </w:tcBorders>
      </w:tcPr>
    </w:tblStylePr>
    <w:tblStylePr w:type="seCell">
      <w:tblPr/>
      <w:tcPr>
        <w:tcBorders>
          <w:top w:val="single" w:sz="4" w:space="0" w:color="C8D8EB" w:themeColor="accent4" w:themeTint="99"/>
        </w:tcBorders>
      </w:tcPr>
    </w:tblStylePr>
    <w:tblStylePr w:type="swCell">
      <w:tblPr/>
      <w:tcPr>
        <w:tcBorders>
          <w:top w:val="single" w:sz="4" w:space="0" w:color="C8D8EB"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7CCE4" w:themeColor="accent5" w:themeTint="99"/>
        </w:tcBorders>
      </w:tcPr>
    </w:tblStylePr>
    <w:tblStylePr w:type="nwCell">
      <w:tblPr/>
      <w:tcPr>
        <w:tcBorders>
          <w:bottom w:val="single" w:sz="4" w:space="0" w:color="B7CCE4" w:themeColor="accent5" w:themeTint="99"/>
        </w:tcBorders>
      </w:tcPr>
    </w:tblStylePr>
    <w:tblStylePr w:type="seCell">
      <w:tblPr/>
      <w:tcPr>
        <w:tcBorders>
          <w:top w:val="single" w:sz="4" w:space="0" w:color="B7CCE4" w:themeColor="accent5" w:themeTint="99"/>
        </w:tcBorders>
      </w:tcPr>
    </w:tblStylePr>
    <w:tblStylePr w:type="swCell">
      <w:tblPr/>
      <w:tcPr>
        <w:tcBorders>
          <w:top w:val="single" w:sz="4" w:space="0" w:color="B7CCE4"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bottom w:val="single" w:sz="4" w:space="0" w:color="97ADC7" w:themeColor="accent6" w:themeTint="99"/>
        </w:tcBorders>
      </w:tcPr>
    </w:tblStylePr>
    <w:tblStylePr w:type="nwCell">
      <w:tblPr/>
      <w:tcPr>
        <w:tcBorders>
          <w:bottom w:val="single" w:sz="4" w:space="0" w:color="97ADC7" w:themeColor="accent6" w:themeTint="99"/>
        </w:tcBorders>
      </w:tcPr>
    </w:tblStylePr>
    <w:tblStylePr w:type="seCell">
      <w:tblPr/>
      <w:tcPr>
        <w:tcBorders>
          <w:top w:val="single" w:sz="4" w:space="0" w:color="97ADC7" w:themeColor="accent6" w:themeTint="99"/>
        </w:tcBorders>
      </w:tcPr>
    </w:tblStylePr>
    <w:tblStylePr w:type="swCell">
      <w:tblPr/>
      <w:tcPr>
        <w:tcBorders>
          <w:top w:val="single" w:sz="4" w:space="0" w:color="97ADC7"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color w:val="FFFFFF" w:themeColor="background1"/>
      </w:rPr>
      <w:tblPr/>
      <w:tcPr>
        <w:tcBorders>
          <w:top w:val="single" w:sz="4" w:space="0" w:color="4C4C4C" w:themeColor="text1"/>
          <w:left w:val="single" w:sz="4" w:space="0" w:color="4C4C4C" w:themeColor="text1"/>
          <w:bottom w:val="single" w:sz="4" w:space="0" w:color="4C4C4C" w:themeColor="text1"/>
          <w:right w:val="single" w:sz="4" w:space="0" w:color="4C4C4C" w:themeColor="text1"/>
          <w:insideH w:val="nil"/>
          <w:insideV w:val="nil"/>
        </w:tcBorders>
        <w:shd w:val="clear" w:color="auto" w:fill="4C4C4C" w:themeFill="text1"/>
      </w:tcPr>
    </w:tblStylePr>
    <w:tblStylePr w:type="lastRow">
      <w:rPr>
        <w:b/>
        <w:bCs/>
      </w:rPr>
      <w:tblPr/>
      <w:tcPr>
        <w:tcBorders>
          <w:top w:val="double" w:sz="4" w:space="0" w:color="4C4C4C" w:themeColor="text1"/>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color w:val="FFFFFF" w:themeColor="background1"/>
      </w:rPr>
      <w:tblPr/>
      <w:tcPr>
        <w:tcBorders>
          <w:top w:val="single" w:sz="4" w:space="0" w:color="6996C9" w:themeColor="accent1"/>
          <w:left w:val="single" w:sz="4" w:space="0" w:color="6996C9" w:themeColor="accent1"/>
          <w:bottom w:val="single" w:sz="4" w:space="0" w:color="6996C9" w:themeColor="accent1"/>
          <w:right w:val="single" w:sz="4" w:space="0" w:color="6996C9" w:themeColor="accent1"/>
          <w:insideH w:val="nil"/>
          <w:insideV w:val="nil"/>
        </w:tcBorders>
        <w:shd w:val="clear" w:color="auto" w:fill="6996C9" w:themeFill="accent1"/>
      </w:tcPr>
    </w:tblStylePr>
    <w:tblStylePr w:type="lastRow">
      <w:rPr>
        <w:b/>
        <w:bCs/>
      </w:rPr>
      <w:tblPr/>
      <w:tcPr>
        <w:tcBorders>
          <w:top w:val="double" w:sz="4" w:space="0" w:color="6996C9" w:themeColor="accent1"/>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color w:val="FFFFFF" w:themeColor="background1"/>
      </w:rPr>
      <w:tblPr/>
      <w:tcPr>
        <w:tcBorders>
          <w:top w:val="single" w:sz="4" w:space="0" w:color="3F5A78" w:themeColor="accent2"/>
          <w:left w:val="single" w:sz="4" w:space="0" w:color="3F5A78" w:themeColor="accent2"/>
          <w:bottom w:val="single" w:sz="4" w:space="0" w:color="3F5A78" w:themeColor="accent2"/>
          <w:right w:val="single" w:sz="4" w:space="0" w:color="3F5A78" w:themeColor="accent2"/>
          <w:insideH w:val="nil"/>
          <w:insideV w:val="nil"/>
        </w:tcBorders>
        <w:shd w:val="clear" w:color="auto" w:fill="3F5A78" w:themeFill="accent2"/>
      </w:tcPr>
    </w:tblStylePr>
    <w:tblStylePr w:type="lastRow">
      <w:rPr>
        <w:b/>
        <w:bCs/>
      </w:rPr>
      <w:tblPr/>
      <w:tcPr>
        <w:tcBorders>
          <w:top w:val="double" w:sz="4" w:space="0" w:color="3F5A78" w:themeColor="accent2"/>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color w:val="FFFFFF" w:themeColor="background1"/>
      </w:rPr>
      <w:tblPr/>
      <w:tcPr>
        <w:tcBorders>
          <w:top w:val="single" w:sz="4" w:space="0" w:color="D2DFEF" w:themeColor="accent3"/>
          <w:left w:val="single" w:sz="4" w:space="0" w:color="D2DFEF" w:themeColor="accent3"/>
          <w:bottom w:val="single" w:sz="4" w:space="0" w:color="D2DFEF" w:themeColor="accent3"/>
          <w:right w:val="single" w:sz="4" w:space="0" w:color="D2DFEF" w:themeColor="accent3"/>
          <w:insideH w:val="nil"/>
          <w:insideV w:val="nil"/>
        </w:tcBorders>
        <w:shd w:val="clear" w:color="auto" w:fill="D2DFEF" w:themeFill="accent3"/>
      </w:tcPr>
    </w:tblStylePr>
    <w:tblStylePr w:type="lastRow">
      <w:rPr>
        <w:b/>
        <w:bCs/>
      </w:rPr>
      <w:tblPr/>
      <w:tcPr>
        <w:tcBorders>
          <w:top w:val="double" w:sz="4" w:space="0" w:color="D2DFEF" w:themeColor="accent3"/>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4-Accent4">
    <w:name w:val="Grid Table 4 Accent 4"/>
    <w:aliases w:val="CPUC table 1"/>
    <w:basedOn w:val="TableNormal"/>
    <w:uiPriority w:val="49"/>
    <w:rsid w:val="00F417F8"/>
    <w:pPr>
      <w:spacing w:after="0" w:line="240" w:lineRule="auto"/>
    </w:pPr>
    <w:rPr>
      <w:rFonts w:ascii="Garamond" w:hAnsi="Garamond"/>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cPr>
      <w:tcMar>
        <w:top w:w="58" w:type="dxa"/>
        <w:left w:w="115" w:type="dxa"/>
        <w:right w:w="115" w:type="dxa"/>
      </w:tcMar>
    </w:tcPr>
    <w:tblStylePr w:type="firstRow">
      <w:rPr>
        <w:rFonts w:asciiTheme="minorHAnsi" w:hAnsiTheme="minorHAnsi"/>
        <w:b/>
        <w:bCs/>
        <w:i w:val="0"/>
        <w:color w:val="0C1521" w:themeColor="accent3" w:themeShade="1A"/>
        <w:sz w:val="20"/>
      </w:rPr>
      <w:tblPr/>
      <w:tcPr>
        <w:tcBorders>
          <w:top w:val="single" w:sz="4" w:space="0" w:color="A5C0DE" w:themeColor="accent4"/>
          <w:left w:val="single" w:sz="4" w:space="0" w:color="A5C0DE" w:themeColor="accent4"/>
          <w:bottom w:val="single" w:sz="4" w:space="0" w:color="A5C0DE" w:themeColor="accent4"/>
          <w:right w:val="single" w:sz="4" w:space="0" w:color="A5C0DE" w:themeColor="accent4"/>
          <w:insideH w:val="nil"/>
          <w:insideV w:val="nil"/>
        </w:tcBorders>
        <w:shd w:val="clear" w:color="auto" w:fill="A5C0DE" w:themeFill="accent4"/>
      </w:tcPr>
    </w:tblStylePr>
    <w:tblStylePr w:type="lastRow">
      <w:rPr>
        <w:b/>
        <w:bCs/>
      </w:rPr>
      <w:tblPr/>
      <w:tcPr>
        <w:tcBorders>
          <w:top w:val="double" w:sz="4" w:space="0" w:color="A5C0DE" w:themeColor="accent4"/>
        </w:tcBorders>
      </w:tcPr>
    </w:tblStylePr>
    <w:tblStylePr w:type="firstCol">
      <w:rPr>
        <w:b w:val="0"/>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color w:val="FFFFFF" w:themeColor="background1"/>
      </w:rPr>
      <w:tblPr/>
      <w:tcPr>
        <w:tcBorders>
          <w:top w:val="single" w:sz="4" w:space="0" w:color="88ABD3" w:themeColor="accent5"/>
          <w:left w:val="single" w:sz="4" w:space="0" w:color="88ABD3" w:themeColor="accent5"/>
          <w:bottom w:val="single" w:sz="4" w:space="0" w:color="88ABD3" w:themeColor="accent5"/>
          <w:right w:val="single" w:sz="4" w:space="0" w:color="88ABD3" w:themeColor="accent5"/>
          <w:insideH w:val="nil"/>
          <w:insideV w:val="nil"/>
        </w:tcBorders>
        <w:shd w:val="clear" w:color="auto" w:fill="88ABD3" w:themeFill="accent5"/>
      </w:tcPr>
    </w:tblStylePr>
    <w:tblStylePr w:type="lastRow">
      <w:rPr>
        <w:b/>
        <w:bCs/>
      </w:rPr>
      <w:tblPr/>
      <w:tcPr>
        <w:tcBorders>
          <w:top w:val="double" w:sz="4" w:space="0" w:color="88ABD3"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insideV w:val="nil"/>
        </w:tcBorders>
        <w:shd w:val="clear" w:color="auto" w:fill="5578A0" w:themeFill="accent6"/>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4C4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4C4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4C4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4C4C" w:themeFill="text1"/>
      </w:tcPr>
    </w:tblStylePr>
    <w:tblStylePr w:type="band1Vert">
      <w:tblPr/>
      <w:tcPr>
        <w:shd w:val="clear" w:color="auto" w:fill="B7B7B7" w:themeFill="text1" w:themeFillTint="66"/>
      </w:tcPr>
    </w:tblStylePr>
    <w:tblStylePr w:type="band1Horz">
      <w:tblPr/>
      <w:tcPr>
        <w:shd w:val="clear" w:color="auto" w:fill="B7B7B7"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96C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96C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96C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96C9" w:themeFill="accent1"/>
      </w:tcPr>
    </w:tblStylePr>
    <w:tblStylePr w:type="band1Vert">
      <w:tblPr/>
      <w:tcPr>
        <w:shd w:val="clear" w:color="auto" w:fill="C2D4E9" w:themeFill="accent1" w:themeFillTint="66"/>
      </w:tcPr>
    </w:tblStylePr>
    <w:tblStylePr w:type="band1Horz">
      <w:tblPr/>
      <w:tcPr>
        <w:shd w:val="clear" w:color="auto" w:fill="C2D4E9"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D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A7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A7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A7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A78" w:themeFill="accent2"/>
      </w:tcPr>
    </w:tblStylePr>
    <w:tblStylePr w:type="band1Vert">
      <w:tblPr/>
      <w:tcPr>
        <w:shd w:val="clear" w:color="auto" w:fill="A9BCD2" w:themeFill="accent2" w:themeFillTint="66"/>
      </w:tcPr>
    </w:tblStylePr>
    <w:tblStylePr w:type="band1Horz">
      <w:tblPr/>
      <w:tcPr>
        <w:shd w:val="clear" w:color="auto" w:fill="A9BCD2"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DFE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DFE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DFE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DFEF" w:themeFill="accent3"/>
      </w:tcPr>
    </w:tblStylePr>
    <w:tblStylePr w:type="band1Vert">
      <w:tblPr/>
      <w:tcPr>
        <w:shd w:val="clear" w:color="auto" w:fill="ECF2F8" w:themeFill="accent3" w:themeFillTint="66"/>
      </w:tcPr>
    </w:tblStylePr>
    <w:tblStylePr w:type="band1Horz">
      <w:tblPr/>
      <w:tcPr>
        <w:shd w:val="clear" w:color="auto" w:fill="ECF2F8"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0D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0D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0D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0DE" w:themeFill="accent4"/>
      </w:tcPr>
    </w:tblStylePr>
    <w:tblStylePr w:type="band1Vert">
      <w:tblPr/>
      <w:tcPr>
        <w:shd w:val="clear" w:color="auto" w:fill="DAE5F1" w:themeFill="accent4" w:themeFillTint="66"/>
      </w:tcPr>
    </w:tblStylePr>
    <w:tblStylePr w:type="band1Horz">
      <w:tblPr/>
      <w:tcPr>
        <w:shd w:val="clear" w:color="auto" w:fill="DAE5F1"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AB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AB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AB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ABD3" w:themeFill="accent5"/>
      </w:tcPr>
    </w:tblStylePr>
    <w:tblStylePr w:type="band1Vert">
      <w:tblPr/>
      <w:tcPr>
        <w:shd w:val="clear" w:color="auto" w:fill="CFDDED" w:themeFill="accent5" w:themeFillTint="66"/>
      </w:tcPr>
    </w:tblStylePr>
    <w:tblStylePr w:type="band1Horz">
      <w:tblPr/>
      <w:tcPr>
        <w:shd w:val="clear" w:color="auto" w:fill="CFDDED"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3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78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78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78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78A0" w:themeFill="accent6"/>
      </w:tcPr>
    </w:tblStylePr>
    <w:tblStylePr w:type="band1Vert">
      <w:tblPr/>
      <w:tcPr>
        <w:shd w:val="clear" w:color="auto" w:fill="B9C8DA" w:themeFill="accent6" w:themeFillTint="66"/>
      </w:tcPr>
    </w:tblStylePr>
    <w:tblStylePr w:type="band1Horz">
      <w:tblPr/>
      <w:tcPr>
        <w:shd w:val="clear" w:color="auto" w:fill="B9C8DA" w:themeFill="accent6" w:themeFillTint="66"/>
      </w:tcPr>
    </w:tblStylePr>
  </w:style>
  <w:style w:type="table" w:styleId="GridTable6Colorful">
    <w:name w:val="Grid Table 6 Colorful"/>
    <w:basedOn w:val="TableNormal"/>
    <w:uiPriority w:val="51"/>
    <w:rsid w:val="005225B2"/>
    <w:pPr>
      <w:spacing w:after="0" w:line="240" w:lineRule="auto"/>
    </w:pPr>
    <w:rPr>
      <w:color w:val="4C4C4C" w:themeColor="text1"/>
    </w:r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bottom w:val="single" w:sz="12" w:space="0" w:color="939393" w:themeColor="text1" w:themeTint="99"/>
        </w:tcBorders>
      </w:tcPr>
    </w:tblStylePr>
    <w:tblStylePr w:type="lastRow">
      <w:rPr>
        <w:b/>
        <w:bCs/>
      </w:rPr>
      <w:tblPr/>
      <w:tcPr>
        <w:tcBorders>
          <w:top w:val="doub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3C6EA8" w:themeColor="accent1" w:themeShade="BF"/>
    </w:r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bottom w:val="single" w:sz="12" w:space="0" w:color="A4BFDE" w:themeColor="accent1" w:themeTint="99"/>
        </w:tcBorders>
      </w:tcPr>
    </w:tblStylePr>
    <w:tblStylePr w:type="lastRow">
      <w:rPr>
        <w:b/>
        <w:bCs/>
      </w:rPr>
      <w:tblPr/>
      <w:tcPr>
        <w:tcBorders>
          <w:top w:val="doub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2F4359" w:themeColor="accent2" w:themeShade="BF"/>
    </w:r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bottom w:val="single" w:sz="12" w:space="0" w:color="7E9BBB" w:themeColor="accent2" w:themeTint="99"/>
        </w:tcBorders>
      </w:tcPr>
    </w:tblStylePr>
    <w:tblStylePr w:type="lastRow">
      <w:rPr>
        <w:b/>
        <w:bCs/>
      </w:rPr>
      <w:tblPr/>
      <w:tcPr>
        <w:tcBorders>
          <w:top w:val="doub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7EA3D1" w:themeColor="accent3" w:themeShade="BF"/>
    </w:r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bottom w:val="single" w:sz="12" w:space="0" w:color="E3EBF5" w:themeColor="accent3" w:themeTint="99"/>
        </w:tcBorders>
      </w:tcPr>
    </w:tblStylePr>
    <w:tblStylePr w:type="lastRow">
      <w:rPr>
        <w:b/>
        <w:bCs/>
      </w:rPr>
      <w:tblPr/>
      <w:tcPr>
        <w:tcBorders>
          <w:top w:val="doub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5D8DC4" w:themeColor="accent4" w:themeShade="BF"/>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bottom w:val="single" w:sz="12" w:space="0" w:color="C8D8EB" w:themeColor="accent4" w:themeTint="99"/>
        </w:tcBorders>
      </w:tcPr>
    </w:tblStylePr>
    <w:tblStylePr w:type="lastRow">
      <w:rPr>
        <w:b/>
        <w:bCs/>
      </w:rPr>
      <w:tblPr/>
      <w:tcPr>
        <w:tcBorders>
          <w:top w:val="doub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487DBB" w:themeColor="accent5" w:themeShade="BF"/>
    </w:r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bottom w:val="single" w:sz="12" w:space="0" w:color="B7CCE4" w:themeColor="accent5" w:themeTint="99"/>
        </w:tcBorders>
      </w:tcPr>
    </w:tblStylePr>
    <w:tblStylePr w:type="lastRow">
      <w:rPr>
        <w:b/>
        <w:bCs/>
      </w:rPr>
      <w:tblPr/>
      <w:tcPr>
        <w:tcBorders>
          <w:top w:val="doub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3F5977" w:themeColor="accent6" w:themeShade="BF"/>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bottom w:val="single" w:sz="12" w:space="0" w:color="97ADC7" w:themeColor="accent6" w:themeTint="99"/>
        </w:tcBorders>
      </w:tcPr>
    </w:tblStylePr>
    <w:tblStylePr w:type="lastRow">
      <w:rPr>
        <w:b/>
        <w:bCs/>
      </w:rPr>
      <w:tblPr/>
      <w:tcPr>
        <w:tcBorders>
          <w:top w:val="doub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GridTable7Colorful">
    <w:name w:val="Grid Table 7 Colorful"/>
    <w:basedOn w:val="TableNormal"/>
    <w:uiPriority w:val="52"/>
    <w:rsid w:val="005225B2"/>
    <w:pPr>
      <w:spacing w:after="0" w:line="240" w:lineRule="auto"/>
    </w:pPr>
    <w:rPr>
      <w:color w:val="4C4C4C" w:themeColor="text1"/>
    </w:r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insideV w:val="single" w:sz="4" w:space="0" w:color="93939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bottom w:val="single" w:sz="4" w:space="0" w:color="939393" w:themeColor="text1" w:themeTint="99"/>
        </w:tcBorders>
      </w:tcPr>
    </w:tblStylePr>
    <w:tblStylePr w:type="nwCell">
      <w:tblPr/>
      <w:tcPr>
        <w:tcBorders>
          <w:bottom w:val="single" w:sz="4" w:space="0" w:color="939393" w:themeColor="text1" w:themeTint="99"/>
        </w:tcBorders>
      </w:tcPr>
    </w:tblStylePr>
    <w:tblStylePr w:type="seCell">
      <w:tblPr/>
      <w:tcPr>
        <w:tcBorders>
          <w:top w:val="single" w:sz="4" w:space="0" w:color="939393" w:themeColor="text1" w:themeTint="99"/>
        </w:tcBorders>
      </w:tcPr>
    </w:tblStylePr>
    <w:tblStylePr w:type="swCell">
      <w:tblPr/>
      <w:tcPr>
        <w:tcBorders>
          <w:top w:val="single" w:sz="4" w:space="0" w:color="939393"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3C6EA8" w:themeColor="accent1" w:themeShade="BF"/>
    </w:r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insideV w:val="single" w:sz="4" w:space="0" w:color="A4BF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bottom w:val="single" w:sz="4" w:space="0" w:color="A4BFDE" w:themeColor="accent1" w:themeTint="99"/>
        </w:tcBorders>
      </w:tcPr>
    </w:tblStylePr>
    <w:tblStylePr w:type="nwCell">
      <w:tblPr/>
      <w:tcPr>
        <w:tcBorders>
          <w:bottom w:val="single" w:sz="4" w:space="0" w:color="A4BFDE" w:themeColor="accent1" w:themeTint="99"/>
        </w:tcBorders>
      </w:tcPr>
    </w:tblStylePr>
    <w:tblStylePr w:type="seCell">
      <w:tblPr/>
      <w:tcPr>
        <w:tcBorders>
          <w:top w:val="single" w:sz="4" w:space="0" w:color="A4BFDE" w:themeColor="accent1" w:themeTint="99"/>
        </w:tcBorders>
      </w:tcPr>
    </w:tblStylePr>
    <w:tblStylePr w:type="swCell">
      <w:tblPr/>
      <w:tcPr>
        <w:tcBorders>
          <w:top w:val="single" w:sz="4" w:space="0" w:color="A4BFDE"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2F4359" w:themeColor="accent2" w:themeShade="BF"/>
    </w:r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insideV w:val="single" w:sz="4" w:space="0" w:color="7E9B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bottom w:val="single" w:sz="4" w:space="0" w:color="7E9BBB" w:themeColor="accent2" w:themeTint="99"/>
        </w:tcBorders>
      </w:tcPr>
    </w:tblStylePr>
    <w:tblStylePr w:type="nwCell">
      <w:tblPr/>
      <w:tcPr>
        <w:tcBorders>
          <w:bottom w:val="single" w:sz="4" w:space="0" w:color="7E9BBB" w:themeColor="accent2" w:themeTint="99"/>
        </w:tcBorders>
      </w:tcPr>
    </w:tblStylePr>
    <w:tblStylePr w:type="seCell">
      <w:tblPr/>
      <w:tcPr>
        <w:tcBorders>
          <w:top w:val="single" w:sz="4" w:space="0" w:color="7E9BBB" w:themeColor="accent2" w:themeTint="99"/>
        </w:tcBorders>
      </w:tcPr>
    </w:tblStylePr>
    <w:tblStylePr w:type="swCell">
      <w:tblPr/>
      <w:tcPr>
        <w:tcBorders>
          <w:top w:val="single" w:sz="4" w:space="0" w:color="7E9BBB"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7EA3D1" w:themeColor="accent3" w:themeShade="BF"/>
    </w:r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insideV w:val="single" w:sz="4" w:space="0" w:color="E3EB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bottom w:val="single" w:sz="4" w:space="0" w:color="E3EBF5" w:themeColor="accent3" w:themeTint="99"/>
        </w:tcBorders>
      </w:tcPr>
    </w:tblStylePr>
    <w:tblStylePr w:type="nwCell">
      <w:tblPr/>
      <w:tcPr>
        <w:tcBorders>
          <w:bottom w:val="single" w:sz="4" w:space="0" w:color="E3EBF5" w:themeColor="accent3" w:themeTint="99"/>
        </w:tcBorders>
      </w:tcPr>
    </w:tblStylePr>
    <w:tblStylePr w:type="seCell">
      <w:tblPr/>
      <w:tcPr>
        <w:tcBorders>
          <w:top w:val="single" w:sz="4" w:space="0" w:color="E3EBF5" w:themeColor="accent3" w:themeTint="99"/>
        </w:tcBorders>
      </w:tcPr>
    </w:tblStylePr>
    <w:tblStylePr w:type="swCell">
      <w:tblPr/>
      <w:tcPr>
        <w:tcBorders>
          <w:top w:val="single" w:sz="4" w:space="0" w:color="E3EBF5"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5D8DC4" w:themeColor="accent4" w:themeShade="BF"/>
    </w:r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insideV w:val="single" w:sz="4" w:space="0" w:color="C8D8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bottom w:val="single" w:sz="4" w:space="0" w:color="C8D8EB" w:themeColor="accent4" w:themeTint="99"/>
        </w:tcBorders>
      </w:tcPr>
    </w:tblStylePr>
    <w:tblStylePr w:type="nwCell">
      <w:tblPr/>
      <w:tcPr>
        <w:tcBorders>
          <w:bottom w:val="single" w:sz="4" w:space="0" w:color="C8D8EB" w:themeColor="accent4" w:themeTint="99"/>
        </w:tcBorders>
      </w:tcPr>
    </w:tblStylePr>
    <w:tblStylePr w:type="seCell">
      <w:tblPr/>
      <w:tcPr>
        <w:tcBorders>
          <w:top w:val="single" w:sz="4" w:space="0" w:color="C8D8EB" w:themeColor="accent4" w:themeTint="99"/>
        </w:tcBorders>
      </w:tcPr>
    </w:tblStylePr>
    <w:tblStylePr w:type="swCell">
      <w:tblPr/>
      <w:tcPr>
        <w:tcBorders>
          <w:top w:val="single" w:sz="4" w:space="0" w:color="C8D8EB"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487DBB" w:themeColor="accent5" w:themeShade="BF"/>
    </w:r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insideV w:val="single" w:sz="4" w:space="0" w:color="B7CC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7CCE4" w:themeColor="accent5" w:themeTint="99"/>
        </w:tcBorders>
      </w:tcPr>
    </w:tblStylePr>
    <w:tblStylePr w:type="nwCell">
      <w:tblPr/>
      <w:tcPr>
        <w:tcBorders>
          <w:bottom w:val="single" w:sz="4" w:space="0" w:color="B7CCE4" w:themeColor="accent5" w:themeTint="99"/>
        </w:tcBorders>
      </w:tcPr>
    </w:tblStylePr>
    <w:tblStylePr w:type="seCell">
      <w:tblPr/>
      <w:tcPr>
        <w:tcBorders>
          <w:top w:val="single" w:sz="4" w:space="0" w:color="B7CCE4" w:themeColor="accent5" w:themeTint="99"/>
        </w:tcBorders>
      </w:tcPr>
    </w:tblStylePr>
    <w:tblStylePr w:type="swCell">
      <w:tblPr/>
      <w:tcPr>
        <w:tcBorders>
          <w:top w:val="single" w:sz="4" w:space="0" w:color="B7CCE4"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3F5977" w:themeColor="accent6" w:themeShade="BF"/>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bottom w:val="single" w:sz="4" w:space="0" w:color="97ADC7" w:themeColor="accent6" w:themeTint="99"/>
        </w:tcBorders>
      </w:tcPr>
    </w:tblStylePr>
    <w:tblStylePr w:type="nwCell">
      <w:tblPr/>
      <w:tcPr>
        <w:tcBorders>
          <w:bottom w:val="single" w:sz="4" w:space="0" w:color="97ADC7" w:themeColor="accent6" w:themeTint="99"/>
        </w:tcBorders>
      </w:tcPr>
    </w:tblStylePr>
    <w:tblStylePr w:type="seCell">
      <w:tblPr/>
      <w:tcPr>
        <w:tcBorders>
          <w:top w:val="single" w:sz="4" w:space="0" w:color="97ADC7" w:themeColor="accent6" w:themeTint="99"/>
        </w:tcBorders>
      </w:tcPr>
    </w:tblStylePr>
    <w:tblStylePr w:type="swCell">
      <w:tblPr/>
      <w:tcPr>
        <w:tcBorders>
          <w:top w:val="single" w:sz="4" w:space="0" w:color="97ADC7" w:themeColor="accent6" w:themeTint="99"/>
        </w:tcBorders>
      </w:tcPr>
    </w:tblStylePr>
  </w:style>
  <w:style w:type="character" w:customStyle="1" w:styleId="Hashtag1">
    <w:name w:val="Hashtag1"/>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rPr>
      <w:rFonts w:ascii="Consolas" w:hAnsi="Consolas"/>
      <w:sz w:val="22"/>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ind w:left="230" w:hanging="230"/>
    </w:pPr>
  </w:style>
  <w:style w:type="paragraph" w:styleId="Index2">
    <w:name w:val="index 2"/>
    <w:basedOn w:val="Normal"/>
    <w:next w:val="Normal"/>
    <w:autoRedefine/>
    <w:uiPriority w:val="99"/>
    <w:semiHidden/>
    <w:unhideWhenUsed/>
    <w:rsid w:val="005225B2"/>
    <w:pPr>
      <w:ind w:left="460" w:hanging="230"/>
    </w:pPr>
  </w:style>
  <w:style w:type="paragraph" w:styleId="Index3">
    <w:name w:val="index 3"/>
    <w:basedOn w:val="Normal"/>
    <w:next w:val="Normal"/>
    <w:autoRedefine/>
    <w:uiPriority w:val="99"/>
    <w:semiHidden/>
    <w:unhideWhenUsed/>
    <w:rsid w:val="005225B2"/>
    <w:pPr>
      <w:ind w:left="690" w:hanging="230"/>
    </w:pPr>
  </w:style>
  <w:style w:type="paragraph" w:styleId="Index4">
    <w:name w:val="index 4"/>
    <w:basedOn w:val="Normal"/>
    <w:next w:val="Normal"/>
    <w:autoRedefine/>
    <w:uiPriority w:val="99"/>
    <w:semiHidden/>
    <w:unhideWhenUsed/>
    <w:rsid w:val="005225B2"/>
    <w:pPr>
      <w:ind w:left="920" w:hanging="230"/>
    </w:pPr>
  </w:style>
  <w:style w:type="paragraph" w:styleId="Index5">
    <w:name w:val="index 5"/>
    <w:basedOn w:val="Normal"/>
    <w:next w:val="Normal"/>
    <w:autoRedefine/>
    <w:uiPriority w:val="99"/>
    <w:semiHidden/>
    <w:unhideWhenUsed/>
    <w:rsid w:val="005225B2"/>
    <w:pPr>
      <w:ind w:left="1150" w:hanging="230"/>
    </w:pPr>
  </w:style>
  <w:style w:type="paragraph" w:styleId="Index6">
    <w:name w:val="index 6"/>
    <w:basedOn w:val="Normal"/>
    <w:next w:val="Normal"/>
    <w:autoRedefine/>
    <w:uiPriority w:val="99"/>
    <w:semiHidden/>
    <w:unhideWhenUsed/>
    <w:rsid w:val="005225B2"/>
    <w:pPr>
      <w:ind w:left="1380" w:hanging="230"/>
    </w:pPr>
  </w:style>
  <w:style w:type="paragraph" w:styleId="Index7">
    <w:name w:val="index 7"/>
    <w:basedOn w:val="Normal"/>
    <w:next w:val="Normal"/>
    <w:autoRedefine/>
    <w:uiPriority w:val="99"/>
    <w:semiHidden/>
    <w:unhideWhenUsed/>
    <w:rsid w:val="005225B2"/>
    <w:pPr>
      <w:ind w:left="1610" w:hanging="230"/>
    </w:pPr>
  </w:style>
  <w:style w:type="paragraph" w:styleId="Index8">
    <w:name w:val="index 8"/>
    <w:basedOn w:val="Normal"/>
    <w:next w:val="Normal"/>
    <w:autoRedefine/>
    <w:uiPriority w:val="99"/>
    <w:semiHidden/>
    <w:unhideWhenUsed/>
    <w:rsid w:val="005225B2"/>
    <w:pPr>
      <w:ind w:left="1840" w:hanging="230"/>
    </w:pPr>
  </w:style>
  <w:style w:type="paragraph" w:styleId="Index9">
    <w:name w:val="index 9"/>
    <w:basedOn w:val="Normal"/>
    <w:next w:val="Normal"/>
    <w:autoRedefine/>
    <w:uiPriority w:val="99"/>
    <w:semiHidden/>
    <w:unhideWhenUsed/>
    <w:rsid w:val="005225B2"/>
    <w:pPr>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insideH w:val="single" w:sz="8" w:space="0" w:color="4C4C4C" w:themeColor="text1"/>
        <w:insideV w:val="single" w:sz="8" w:space="0" w:color="4C4C4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4C4C" w:themeColor="text1"/>
          <w:left w:val="single" w:sz="8" w:space="0" w:color="4C4C4C" w:themeColor="text1"/>
          <w:bottom w:val="single" w:sz="18" w:space="0" w:color="4C4C4C" w:themeColor="text1"/>
          <w:right w:val="single" w:sz="8" w:space="0" w:color="4C4C4C" w:themeColor="text1"/>
          <w:insideH w:val="nil"/>
          <w:insideV w:val="single" w:sz="8" w:space="0" w:color="4C4C4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4C4C" w:themeColor="text1"/>
          <w:left w:val="single" w:sz="8" w:space="0" w:color="4C4C4C" w:themeColor="text1"/>
          <w:bottom w:val="single" w:sz="8" w:space="0" w:color="4C4C4C" w:themeColor="text1"/>
          <w:right w:val="single" w:sz="8" w:space="0" w:color="4C4C4C" w:themeColor="text1"/>
          <w:insideH w:val="nil"/>
          <w:insideV w:val="single" w:sz="8" w:space="0" w:color="4C4C4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tblStylePr w:type="band1Vert">
      <w:tblPr/>
      <w:tcPr>
        <w:tcBorders>
          <w:top w:val="single" w:sz="8" w:space="0" w:color="4C4C4C" w:themeColor="text1"/>
          <w:left w:val="single" w:sz="8" w:space="0" w:color="4C4C4C" w:themeColor="text1"/>
          <w:bottom w:val="single" w:sz="8" w:space="0" w:color="4C4C4C" w:themeColor="text1"/>
          <w:right w:val="single" w:sz="8" w:space="0" w:color="4C4C4C" w:themeColor="text1"/>
        </w:tcBorders>
        <w:shd w:val="clear" w:color="auto" w:fill="D2D2D2" w:themeFill="text1" w:themeFillTint="3F"/>
      </w:tcPr>
    </w:tblStylePr>
    <w:tblStylePr w:type="band1Horz">
      <w:tblPr/>
      <w:tcPr>
        <w:tcBorders>
          <w:top w:val="single" w:sz="8" w:space="0" w:color="4C4C4C" w:themeColor="text1"/>
          <w:left w:val="single" w:sz="8" w:space="0" w:color="4C4C4C" w:themeColor="text1"/>
          <w:bottom w:val="single" w:sz="8" w:space="0" w:color="4C4C4C" w:themeColor="text1"/>
          <w:right w:val="single" w:sz="8" w:space="0" w:color="4C4C4C" w:themeColor="text1"/>
          <w:insideV w:val="single" w:sz="8" w:space="0" w:color="4C4C4C" w:themeColor="text1"/>
        </w:tcBorders>
        <w:shd w:val="clear" w:color="auto" w:fill="D2D2D2" w:themeFill="text1" w:themeFillTint="3F"/>
      </w:tcPr>
    </w:tblStylePr>
    <w:tblStylePr w:type="band2Horz">
      <w:tblPr/>
      <w:tcPr>
        <w:tcBorders>
          <w:top w:val="single" w:sz="8" w:space="0" w:color="4C4C4C" w:themeColor="text1"/>
          <w:left w:val="single" w:sz="8" w:space="0" w:color="4C4C4C" w:themeColor="text1"/>
          <w:bottom w:val="single" w:sz="8" w:space="0" w:color="4C4C4C" w:themeColor="text1"/>
          <w:right w:val="single" w:sz="8" w:space="0" w:color="4C4C4C" w:themeColor="text1"/>
          <w:insideV w:val="single" w:sz="8" w:space="0" w:color="4C4C4C"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insideH w:val="single" w:sz="8" w:space="0" w:color="6996C9" w:themeColor="accent1"/>
        <w:insideV w:val="single" w:sz="8" w:space="0" w:color="6996C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6C9" w:themeColor="accent1"/>
          <w:left w:val="single" w:sz="8" w:space="0" w:color="6996C9" w:themeColor="accent1"/>
          <w:bottom w:val="single" w:sz="18" w:space="0" w:color="6996C9" w:themeColor="accent1"/>
          <w:right w:val="single" w:sz="8" w:space="0" w:color="6996C9" w:themeColor="accent1"/>
          <w:insideH w:val="nil"/>
          <w:insideV w:val="single" w:sz="8" w:space="0" w:color="6996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6C9" w:themeColor="accent1"/>
          <w:left w:val="single" w:sz="8" w:space="0" w:color="6996C9" w:themeColor="accent1"/>
          <w:bottom w:val="single" w:sz="8" w:space="0" w:color="6996C9" w:themeColor="accent1"/>
          <w:right w:val="single" w:sz="8" w:space="0" w:color="6996C9" w:themeColor="accent1"/>
          <w:insideH w:val="nil"/>
          <w:insideV w:val="single" w:sz="8" w:space="0" w:color="6996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tblStylePr w:type="band1Vert">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shd w:val="clear" w:color="auto" w:fill="D9E4F1" w:themeFill="accent1" w:themeFillTint="3F"/>
      </w:tcPr>
    </w:tblStylePr>
    <w:tblStylePr w:type="band1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insideV w:val="single" w:sz="8" w:space="0" w:color="6996C9" w:themeColor="accent1"/>
        </w:tcBorders>
        <w:shd w:val="clear" w:color="auto" w:fill="D9E4F1" w:themeFill="accent1" w:themeFillTint="3F"/>
      </w:tcPr>
    </w:tblStylePr>
    <w:tblStylePr w:type="band2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insideV w:val="single" w:sz="8" w:space="0" w:color="6996C9"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insideH w:val="single" w:sz="8" w:space="0" w:color="3F5A78" w:themeColor="accent2"/>
        <w:insideV w:val="single" w:sz="8" w:space="0" w:color="3F5A7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5A78" w:themeColor="accent2"/>
          <w:left w:val="single" w:sz="8" w:space="0" w:color="3F5A78" w:themeColor="accent2"/>
          <w:bottom w:val="single" w:sz="18" w:space="0" w:color="3F5A78" w:themeColor="accent2"/>
          <w:right w:val="single" w:sz="8" w:space="0" w:color="3F5A78" w:themeColor="accent2"/>
          <w:insideH w:val="nil"/>
          <w:insideV w:val="single" w:sz="8" w:space="0" w:color="3F5A7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5A78" w:themeColor="accent2"/>
          <w:left w:val="single" w:sz="8" w:space="0" w:color="3F5A78" w:themeColor="accent2"/>
          <w:bottom w:val="single" w:sz="8" w:space="0" w:color="3F5A78" w:themeColor="accent2"/>
          <w:right w:val="single" w:sz="8" w:space="0" w:color="3F5A78" w:themeColor="accent2"/>
          <w:insideH w:val="nil"/>
          <w:insideV w:val="single" w:sz="8" w:space="0" w:color="3F5A7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tblStylePr w:type="band1Vert">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shd w:val="clear" w:color="auto" w:fill="C9D5E3" w:themeFill="accent2" w:themeFillTint="3F"/>
      </w:tcPr>
    </w:tblStylePr>
    <w:tblStylePr w:type="band1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insideV w:val="single" w:sz="8" w:space="0" w:color="3F5A78" w:themeColor="accent2"/>
        </w:tcBorders>
        <w:shd w:val="clear" w:color="auto" w:fill="C9D5E3" w:themeFill="accent2" w:themeFillTint="3F"/>
      </w:tcPr>
    </w:tblStylePr>
    <w:tblStylePr w:type="band2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insideV w:val="single" w:sz="8" w:space="0" w:color="3F5A78"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insideH w:val="single" w:sz="8" w:space="0" w:color="D2DFEF" w:themeColor="accent3"/>
        <w:insideV w:val="single" w:sz="8" w:space="0" w:color="D2DFE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DFEF" w:themeColor="accent3"/>
          <w:left w:val="single" w:sz="8" w:space="0" w:color="D2DFEF" w:themeColor="accent3"/>
          <w:bottom w:val="single" w:sz="18" w:space="0" w:color="D2DFEF" w:themeColor="accent3"/>
          <w:right w:val="single" w:sz="8" w:space="0" w:color="D2DFEF" w:themeColor="accent3"/>
          <w:insideH w:val="nil"/>
          <w:insideV w:val="single" w:sz="8" w:space="0" w:color="D2DF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DFEF" w:themeColor="accent3"/>
          <w:left w:val="single" w:sz="8" w:space="0" w:color="D2DFEF" w:themeColor="accent3"/>
          <w:bottom w:val="single" w:sz="8" w:space="0" w:color="D2DFEF" w:themeColor="accent3"/>
          <w:right w:val="single" w:sz="8" w:space="0" w:color="D2DFEF" w:themeColor="accent3"/>
          <w:insideH w:val="nil"/>
          <w:insideV w:val="single" w:sz="8" w:space="0" w:color="D2DF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tblStylePr w:type="band1Vert">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shd w:val="clear" w:color="auto" w:fill="F3F6FB" w:themeFill="accent3" w:themeFillTint="3F"/>
      </w:tcPr>
    </w:tblStylePr>
    <w:tblStylePr w:type="band1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insideV w:val="single" w:sz="8" w:space="0" w:color="D2DFEF" w:themeColor="accent3"/>
        </w:tcBorders>
        <w:shd w:val="clear" w:color="auto" w:fill="F3F6FB" w:themeFill="accent3" w:themeFillTint="3F"/>
      </w:tcPr>
    </w:tblStylePr>
    <w:tblStylePr w:type="band2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insideV w:val="single" w:sz="8" w:space="0" w:color="D2DFEF"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insideH w:val="single" w:sz="8" w:space="0" w:color="A5C0DE" w:themeColor="accent4"/>
        <w:insideV w:val="single" w:sz="8" w:space="0" w:color="A5C0D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0DE" w:themeColor="accent4"/>
          <w:left w:val="single" w:sz="8" w:space="0" w:color="A5C0DE" w:themeColor="accent4"/>
          <w:bottom w:val="single" w:sz="18" w:space="0" w:color="A5C0DE" w:themeColor="accent4"/>
          <w:right w:val="single" w:sz="8" w:space="0" w:color="A5C0DE" w:themeColor="accent4"/>
          <w:insideH w:val="nil"/>
          <w:insideV w:val="single" w:sz="8" w:space="0" w:color="A5C0D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0DE" w:themeColor="accent4"/>
          <w:left w:val="single" w:sz="8" w:space="0" w:color="A5C0DE" w:themeColor="accent4"/>
          <w:bottom w:val="single" w:sz="8" w:space="0" w:color="A5C0DE" w:themeColor="accent4"/>
          <w:right w:val="single" w:sz="8" w:space="0" w:color="A5C0DE" w:themeColor="accent4"/>
          <w:insideH w:val="nil"/>
          <w:insideV w:val="single" w:sz="8" w:space="0" w:color="A5C0D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tblStylePr w:type="band1Vert">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shd w:val="clear" w:color="auto" w:fill="E8EFF6" w:themeFill="accent4" w:themeFillTint="3F"/>
      </w:tcPr>
    </w:tblStylePr>
    <w:tblStylePr w:type="band1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insideV w:val="single" w:sz="8" w:space="0" w:color="A5C0DE" w:themeColor="accent4"/>
        </w:tcBorders>
        <w:shd w:val="clear" w:color="auto" w:fill="E8EFF6" w:themeFill="accent4" w:themeFillTint="3F"/>
      </w:tcPr>
    </w:tblStylePr>
    <w:tblStylePr w:type="band2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insideV w:val="single" w:sz="8" w:space="0" w:color="A5C0DE"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insideH w:val="single" w:sz="8" w:space="0" w:color="88ABD3" w:themeColor="accent5"/>
        <w:insideV w:val="single" w:sz="8" w:space="0" w:color="88A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ABD3" w:themeColor="accent5"/>
          <w:left w:val="single" w:sz="8" w:space="0" w:color="88ABD3" w:themeColor="accent5"/>
          <w:bottom w:val="single" w:sz="18" w:space="0" w:color="88ABD3" w:themeColor="accent5"/>
          <w:right w:val="single" w:sz="8" w:space="0" w:color="88ABD3" w:themeColor="accent5"/>
          <w:insideH w:val="nil"/>
          <w:insideV w:val="single" w:sz="8" w:space="0" w:color="88A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ABD3" w:themeColor="accent5"/>
          <w:left w:val="single" w:sz="8" w:space="0" w:color="88ABD3" w:themeColor="accent5"/>
          <w:bottom w:val="single" w:sz="8" w:space="0" w:color="88ABD3" w:themeColor="accent5"/>
          <w:right w:val="single" w:sz="8" w:space="0" w:color="88ABD3" w:themeColor="accent5"/>
          <w:insideH w:val="nil"/>
          <w:insideV w:val="single" w:sz="8" w:space="0" w:color="88A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tblStylePr w:type="band1Vert">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shd w:val="clear" w:color="auto" w:fill="E1EAF4" w:themeFill="accent5" w:themeFillTint="3F"/>
      </w:tcPr>
    </w:tblStylePr>
    <w:tblStylePr w:type="band1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insideV w:val="single" w:sz="8" w:space="0" w:color="88ABD3" w:themeColor="accent5"/>
        </w:tcBorders>
        <w:shd w:val="clear" w:color="auto" w:fill="E1EAF4" w:themeFill="accent5" w:themeFillTint="3F"/>
      </w:tcPr>
    </w:tblStylePr>
    <w:tblStylePr w:type="band2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insideV w:val="single" w:sz="8" w:space="0" w:color="88ABD3"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insideH w:val="single" w:sz="8" w:space="0" w:color="5578A0" w:themeColor="accent6"/>
        <w:insideV w:val="single" w:sz="8" w:space="0" w:color="5578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8A0" w:themeColor="accent6"/>
          <w:left w:val="single" w:sz="8" w:space="0" w:color="5578A0" w:themeColor="accent6"/>
          <w:bottom w:val="single" w:sz="18" w:space="0" w:color="5578A0" w:themeColor="accent6"/>
          <w:right w:val="single" w:sz="8" w:space="0" w:color="5578A0" w:themeColor="accent6"/>
          <w:insideH w:val="nil"/>
          <w:insideV w:val="single" w:sz="8" w:space="0" w:color="5578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8A0" w:themeColor="accent6"/>
          <w:left w:val="single" w:sz="8" w:space="0" w:color="5578A0" w:themeColor="accent6"/>
          <w:bottom w:val="single" w:sz="8" w:space="0" w:color="5578A0" w:themeColor="accent6"/>
          <w:right w:val="single" w:sz="8" w:space="0" w:color="5578A0" w:themeColor="accent6"/>
          <w:insideH w:val="nil"/>
          <w:insideV w:val="single" w:sz="8" w:space="0" w:color="5578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tblStylePr w:type="band1Vert">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shd w:val="clear" w:color="auto" w:fill="D4DDE8" w:themeFill="accent6" w:themeFillTint="3F"/>
      </w:tcPr>
    </w:tblStylePr>
    <w:tblStylePr w:type="band1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insideV w:val="single" w:sz="8" w:space="0" w:color="5578A0" w:themeColor="accent6"/>
        </w:tcBorders>
        <w:shd w:val="clear" w:color="auto" w:fill="D4DDE8" w:themeFill="accent6" w:themeFillTint="3F"/>
      </w:tcPr>
    </w:tblStylePr>
    <w:tblStylePr w:type="band2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insideV w:val="single" w:sz="8" w:space="0" w:color="5578A0"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tblBorders>
    </w:tblPr>
    <w:tblStylePr w:type="firstRow">
      <w:pPr>
        <w:spacing w:before="0" w:after="0" w:line="240" w:lineRule="auto"/>
      </w:pPr>
      <w:rPr>
        <w:b/>
        <w:bCs/>
        <w:color w:val="FFFFFF" w:themeColor="background1"/>
      </w:rPr>
      <w:tblPr/>
      <w:tcPr>
        <w:shd w:val="clear" w:color="auto" w:fill="4C4C4C" w:themeFill="text1"/>
      </w:tcPr>
    </w:tblStylePr>
    <w:tblStylePr w:type="lastRow">
      <w:pPr>
        <w:spacing w:before="0" w:after="0" w:line="240" w:lineRule="auto"/>
      </w:pPr>
      <w:rPr>
        <w:b/>
        <w:bCs/>
      </w:rPr>
      <w:tblPr/>
      <w:tcPr>
        <w:tcBorders>
          <w:top w:val="double" w:sz="6" w:space="0" w:color="4C4C4C" w:themeColor="text1"/>
          <w:left w:val="single" w:sz="8" w:space="0" w:color="4C4C4C" w:themeColor="text1"/>
          <w:bottom w:val="single" w:sz="8" w:space="0" w:color="4C4C4C" w:themeColor="text1"/>
          <w:right w:val="single" w:sz="8" w:space="0" w:color="4C4C4C" w:themeColor="text1"/>
        </w:tcBorders>
      </w:tcPr>
    </w:tblStylePr>
    <w:tblStylePr w:type="firstCol">
      <w:rPr>
        <w:b/>
        <w:bCs/>
      </w:rPr>
    </w:tblStylePr>
    <w:tblStylePr w:type="lastCol">
      <w:rPr>
        <w:b/>
        <w:bCs/>
      </w:rPr>
    </w:tblStylePr>
    <w:tblStylePr w:type="band1Vert">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tblStylePr w:type="band1Horz">
      <w:tblPr/>
      <w:tcPr>
        <w:tcBorders>
          <w:top w:val="single" w:sz="8" w:space="0" w:color="4C4C4C" w:themeColor="text1"/>
          <w:left w:val="single" w:sz="8" w:space="0" w:color="4C4C4C" w:themeColor="text1"/>
          <w:bottom w:val="single" w:sz="8" w:space="0" w:color="4C4C4C" w:themeColor="text1"/>
          <w:right w:val="single" w:sz="8" w:space="0" w:color="4C4C4C"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tblBorders>
    </w:tblPr>
    <w:tblStylePr w:type="firstRow">
      <w:pPr>
        <w:spacing w:before="0" w:after="0" w:line="240" w:lineRule="auto"/>
      </w:pPr>
      <w:rPr>
        <w:b/>
        <w:bCs/>
        <w:color w:val="FFFFFF" w:themeColor="background1"/>
      </w:rPr>
      <w:tblPr/>
      <w:tcPr>
        <w:shd w:val="clear" w:color="auto" w:fill="6996C9" w:themeFill="accent1"/>
      </w:tcPr>
    </w:tblStylePr>
    <w:tblStylePr w:type="lastRow">
      <w:pPr>
        <w:spacing w:before="0" w:after="0" w:line="240" w:lineRule="auto"/>
      </w:pPr>
      <w:rPr>
        <w:b/>
        <w:bCs/>
      </w:rPr>
      <w:tblPr/>
      <w:tcPr>
        <w:tcBorders>
          <w:top w:val="double" w:sz="6" w:space="0" w:color="6996C9" w:themeColor="accent1"/>
          <w:left w:val="single" w:sz="8" w:space="0" w:color="6996C9" w:themeColor="accent1"/>
          <w:bottom w:val="single" w:sz="8" w:space="0" w:color="6996C9" w:themeColor="accent1"/>
          <w:right w:val="single" w:sz="8" w:space="0" w:color="6996C9" w:themeColor="accent1"/>
        </w:tcBorders>
      </w:tcPr>
    </w:tblStylePr>
    <w:tblStylePr w:type="firstCol">
      <w:rPr>
        <w:b/>
        <w:bCs/>
      </w:rPr>
    </w:tblStylePr>
    <w:tblStylePr w:type="lastCol">
      <w:rPr>
        <w:b/>
        <w:bCs/>
      </w:rPr>
    </w:tblStylePr>
    <w:tblStylePr w:type="band1Vert">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tblStylePr w:type="band1Horz">
      <w:tblPr/>
      <w:tcPr>
        <w:tcBorders>
          <w:top w:val="single" w:sz="8" w:space="0" w:color="6996C9" w:themeColor="accent1"/>
          <w:left w:val="single" w:sz="8" w:space="0" w:color="6996C9" w:themeColor="accent1"/>
          <w:bottom w:val="single" w:sz="8" w:space="0" w:color="6996C9" w:themeColor="accent1"/>
          <w:right w:val="single" w:sz="8" w:space="0" w:color="6996C9"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tblBorders>
    </w:tblPr>
    <w:tblStylePr w:type="firstRow">
      <w:pPr>
        <w:spacing w:before="0" w:after="0" w:line="240" w:lineRule="auto"/>
      </w:pPr>
      <w:rPr>
        <w:b/>
        <w:bCs/>
        <w:color w:val="FFFFFF" w:themeColor="background1"/>
      </w:rPr>
      <w:tblPr/>
      <w:tcPr>
        <w:shd w:val="clear" w:color="auto" w:fill="3F5A78" w:themeFill="accent2"/>
      </w:tcPr>
    </w:tblStylePr>
    <w:tblStylePr w:type="lastRow">
      <w:pPr>
        <w:spacing w:before="0" w:after="0" w:line="240" w:lineRule="auto"/>
      </w:pPr>
      <w:rPr>
        <w:b/>
        <w:bCs/>
      </w:rPr>
      <w:tblPr/>
      <w:tcPr>
        <w:tcBorders>
          <w:top w:val="double" w:sz="6" w:space="0" w:color="3F5A78" w:themeColor="accent2"/>
          <w:left w:val="single" w:sz="8" w:space="0" w:color="3F5A78" w:themeColor="accent2"/>
          <w:bottom w:val="single" w:sz="8" w:space="0" w:color="3F5A78" w:themeColor="accent2"/>
          <w:right w:val="single" w:sz="8" w:space="0" w:color="3F5A78" w:themeColor="accent2"/>
        </w:tcBorders>
      </w:tcPr>
    </w:tblStylePr>
    <w:tblStylePr w:type="firstCol">
      <w:rPr>
        <w:b/>
        <w:bCs/>
      </w:rPr>
    </w:tblStylePr>
    <w:tblStylePr w:type="lastCol">
      <w:rPr>
        <w:b/>
        <w:bCs/>
      </w:rPr>
    </w:tblStylePr>
    <w:tblStylePr w:type="band1Vert">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tblStylePr w:type="band1Horz">
      <w:tblPr/>
      <w:tcPr>
        <w:tcBorders>
          <w:top w:val="single" w:sz="8" w:space="0" w:color="3F5A78" w:themeColor="accent2"/>
          <w:left w:val="single" w:sz="8" w:space="0" w:color="3F5A78" w:themeColor="accent2"/>
          <w:bottom w:val="single" w:sz="8" w:space="0" w:color="3F5A78" w:themeColor="accent2"/>
          <w:right w:val="single" w:sz="8" w:space="0" w:color="3F5A78"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tblBorders>
    </w:tblPr>
    <w:tblStylePr w:type="firstRow">
      <w:pPr>
        <w:spacing w:before="0" w:after="0" w:line="240" w:lineRule="auto"/>
      </w:pPr>
      <w:rPr>
        <w:b/>
        <w:bCs/>
        <w:color w:val="FFFFFF" w:themeColor="background1"/>
      </w:rPr>
      <w:tblPr/>
      <w:tcPr>
        <w:shd w:val="clear" w:color="auto" w:fill="D2DFEF" w:themeFill="accent3"/>
      </w:tcPr>
    </w:tblStylePr>
    <w:tblStylePr w:type="lastRow">
      <w:pPr>
        <w:spacing w:before="0" w:after="0" w:line="240" w:lineRule="auto"/>
      </w:pPr>
      <w:rPr>
        <w:b/>
        <w:bCs/>
      </w:rPr>
      <w:tblPr/>
      <w:tcPr>
        <w:tcBorders>
          <w:top w:val="double" w:sz="6" w:space="0" w:color="D2DFEF" w:themeColor="accent3"/>
          <w:left w:val="single" w:sz="8" w:space="0" w:color="D2DFEF" w:themeColor="accent3"/>
          <w:bottom w:val="single" w:sz="8" w:space="0" w:color="D2DFEF" w:themeColor="accent3"/>
          <w:right w:val="single" w:sz="8" w:space="0" w:color="D2DFEF" w:themeColor="accent3"/>
        </w:tcBorders>
      </w:tcPr>
    </w:tblStylePr>
    <w:tblStylePr w:type="firstCol">
      <w:rPr>
        <w:b/>
        <w:bCs/>
      </w:rPr>
    </w:tblStylePr>
    <w:tblStylePr w:type="lastCol">
      <w:rPr>
        <w:b/>
        <w:bCs/>
      </w:rPr>
    </w:tblStylePr>
    <w:tblStylePr w:type="band1Vert">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tblStylePr w:type="band1Horz">
      <w:tblPr/>
      <w:tcPr>
        <w:tcBorders>
          <w:top w:val="single" w:sz="8" w:space="0" w:color="D2DFEF" w:themeColor="accent3"/>
          <w:left w:val="single" w:sz="8" w:space="0" w:color="D2DFEF" w:themeColor="accent3"/>
          <w:bottom w:val="single" w:sz="8" w:space="0" w:color="D2DFEF" w:themeColor="accent3"/>
          <w:right w:val="single" w:sz="8" w:space="0" w:color="D2DFEF"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tblBorders>
    </w:tblPr>
    <w:tblStylePr w:type="firstRow">
      <w:pPr>
        <w:spacing w:before="0" w:after="0" w:line="240" w:lineRule="auto"/>
      </w:pPr>
      <w:rPr>
        <w:b/>
        <w:bCs/>
        <w:color w:val="FFFFFF" w:themeColor="background1"/>
      </w:rPr>
      <w:tblPr/>
      <w:tcPr>
        <w:shd w:val="clear" w:color="auto" w:fill="A5C0DE" w:themeFill="accent4"/>
      </w:tcPr>
    </w:tblStylePr>
    <w:tblStylePr w:type="lastRow">
      <w:pPr>
        <w:spacing w:before="0" w:after="0" w:line="240" w:lineRule="auto"/>
      </w:pPr>
      <w:rPr>
        <w:b/>
        <w:bCs/>
      </w:rPr>
      <w:tblPr/>
      <w:tcPr>
        <w:tcBorders>
          <w:top w:val="double" w:sz="6" w:space="0" w:color="A5C0DE" w:themeColor="accent4"/>
          <w:left w:val="single" w:sz="8" w:space="0" w:color="A5C0DE" w:themeColor="accent4"/>
          <w:bottom w:val="single" w:sz="8" w:space="0" w:color="A5C0DE" w:themeColor="accent4"/>
          <w:right w:val="single" w:sz="8" w:space="0" w:color="A5C0DE" w:themeColor="accent4"/>
        </w:tcBorders>
      </w:tcPr>
    </w:tblStylePr>
    <w:tblStylePr w:type="firstCol">
      <w:rPr>
        <w:b/>
        <w:bCs/>
      </w:rPr>
    </w:tblStylePr>
    <w:tblStylePr w:type="lastCol">
      <w:rPr>
        <w:b/>
        <w:bCs/>
      </w:rPr>
    </w:tblStylePr>
    <w:tblStylePr w:type="band1Vert">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tblStylePr w:type="band1Horz">
      <w:tblPr/>
      <w:tcPr>
        <w:tcBorders>
          <w:top w:val="single" w:sz="8" w:space="0" w:color="A5C0DE" w:themeColor="accent4"/>
          <w:left w:val="single" w:sz="8" w:space="0" w:color="A5C0DE" w:themeColor="accent4"/>
          <w:bottom w:val="single" w:sz="8" w:space="0" w:color="A5C0DE" w:themeColor="accent4"/>
          <w:right w:val="single" w:sz="8" w:space="0" w:color="A5C0DE"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tblBorders>
    </w:tblPr>
    <w:tblStylePr w:type="firstRow">
      <w:pPr>
        <w:spacing w:before="0" w:after="0" w:line="240" w:lineRule="auto"/>
      </w:pPr>
      <w:rPr>
        <w:b/>
        <w:bCs/>
        <w:color w:val="FFFFFF" w:themeColor="background1"/>
      </w:rPr>
      <w:tblPr/>
      <w:tcPr>
        <w:shd w:val="clear" w:color="auto" w:fill="88ABD3" w:themeFill="accent5"/>
      </w:tcPr>
    </w:tblStylePr>
    <w:tblStylePr w:type="lastRow">
      <w:pPr>
        <w:spacing w:before="0" w:after="0" w:line="240" w:lineRule="auto"/>
      </w:pPr>
      <w:rPr>
        <w:b/>
        <w:bCs/>
      </w:rPr>
      <w:tblPr/>
      <w:tcPr>
        <w:tcBorders>
          <w:top w:val="double" w:sz="6" w:space="0" w:color="88ABD3" w:themeColor="accent5"/>
          <w:left w:val="single" w:sz="8" w:space="0" w:color="88ABD3" w:themeColor="accent5"/>
          <w:bottom w:val="single" w:sz="8" w:space="0" w:color="88ABD3" w:themeColor="accent5"/>
          <w:right w:val="single" w:sz="8" w:space="0" w:color="88ABD3" w:themeColor="accent5"/>
        </w:tcBorders>
      </w:tcPr>
    </w:tblStylePr>
    <w:tblStylePr w:type="firstCol">
      <w:rPr>
        <w:b/>
        <w:bCs/>
      </w:rPr>
    </w:tblStylePr>
    <w:tblStylePr w:type="lastCol">
      <w:rPr>
        <w:b/>
        <w:bCs/>
      </w:rPr>
    </w:tblStylePr>
    <w:tblStylePr w:type="band1Vert">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tblStylePr w:type="band1Horz">
      <w:tblPr/>
      <w:tcPr>
        <w:tcBorders>
          <w:top w:val="single" w:sz="8" w:space="0" w:color="88ABD3" w:themeColor="accent5"/>
          <w:left w:val="single" w:sz="8" w:space="0" w:color="88ABD3" w:themeColor="accent5"/>
          <w:bottom w:val="single" w:sz="8" w:space="0" w:color="88ABD3" w:themeColor="accent5"/>
          <w:right w:val="single" w:sz="8" w:space="0" w:color="88ABD3"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tblBorders>
    </w:tblPr>
    <w:tblStylePr w:type="firstRow">
      <w:pPr>
        <w:spacing w:before="0" w:after="0" w:line="240" w:lineRule="auto"/>
      </w:pPr>
      <w:rPr>
        <w:b/>
        <w:bCs/>
        <w:color w:val="FFFFFF" w:themeColor="background1"/>
      </w:rPr>
      <w:tblPr/>
      <w:tcPr>
        <w:shd w:val="clear" w:color="auto" w:fill="5578A0" w:themeFill="accent6"/>
      </w:tcPr>
    </w:tblStylePr>
    <w:tblStylePr w:type="lastRow">
      <w:pPr>
        <w:spacing w:before="0" w:after="0" w:line="240" w:lineRule="auto"/>
      </w:pPr>
      <w:rPr>
        <w:b/>
        <w:bCs/>
      </w:rPr>
      <w:tblPr/>
      <w:tcPr>
        <w:tcBorders>
          <w:top w:val="double" w:sz="6" w:space="0" w:color="5578A0" w:themeColor="accent6"/>
          <w:left w:val="single" w:sz="8" w:space="0" w:color="5578A0" w:themeColor="accent6"/>
          <w:bottom w:val="single" w:sz="8" w:space="0" w:color="5578A0" w:themeColor="accent6"/>
          <w:right w:val="single" w:sz="8" w:space="0" w:color="5578A0" w:themeColor="accent6"/>
        </w:tcBorders>
      </w:tcPr>
    </w:tblStylePr>
    <w:tblStylePr w:type="firstCol">
      <w:rPr>
        <w:b/>
        <w:bCs/>
      </w:rPr>
    </w:tblStylePr>
    <w:tblStylePr w:type="lastCol">
      <w:rPr>
        <w:b/>
        <w:bCs/>
      </w:rPr>
    </w:tblStylePr>
    <w:tblStylePr w:type="band1Vert">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tblStylePr w:type="band1Horz">
      <w:tblPr/>
      <w:tcPr>
        <w:tcBorders>
          <w:top w:val="single" w:sz="8" w:space="0" w:color="5578A0" w:themeColor="accent6"/>
          <w:left w:val="single" w:sz="8" w:space="0" w:color="5578A0" w:themeColor="accent6"/>
          <w:bottom w:val="single" w:sz="8" w:space="0" w:color="5578A0" w:themeColor="accent6"/>
          <w:right w:val="single" w:sz="8" w:space="0" w:color="5578A0" w:themeColor="accent6"/>
        </w:tcBorders>
      </w:tcPr>
    </w:tblStylePr>
  </w:style>
  <w:style w:type="table" w:styleId="LightShading">
    <w:name w:val="Light Shading"/>
    <w:basedOn w:val="TableNormal"/>
    <w:uiPriority w:val="40"/>
    <w:semiHidden/>
    <w:unhideWhenUsed/>
    <w:rsid w:val="005225B2"/>
    <w:pPr>
      <w:spacing w:after="0" w:line="240" w:lineRule="auto"/>
    </w:pPr>
    <w:rPr>
      <w:color w:val="383838" w:themeColor="text1" w:themeShade="BF"/>
    </w:rPr>
    <w:tblPr>
      <w:tblStyleRowBandSize w:val="1"/>
      <w:tblStyleColBandSize w:val="1"/>
      <w:tblBorders>
        <w:top w:val="single" w:sz="8" w:space="0" w:color="4C4C4C" w:themeColor="text1"/>
        <w:bottom w:val="single" w:sz="8" w:space="0" w:color="4C4C4C" w:themeColor="text1"/>
      </w:tblBorders>
    </w:tblPr>
    <w:tblStylePr w:type="firstRow">
      <w:pPr>
        <w:spacing w:before="0" w:after="0" w:line="240" w:lineRule="auto"/>
      </w:pPr>
      <w:rPr>
        <w:b/>
        <w:bCs/>
      </w:rPr>
      <w:tblPr/>
      <w:tcPr>
        <w:tcBorders>
          <w:top w:val="single" w:sz="8" w:space="0" w:color="4C4C4C" w:themeColor="text1"/>
          <w:left w:val="nil"/>
          <w:bottom w:val="single" w:sz="8" w:space="0" w:color="4C4C4C" w:themeColor="text1"/>
          <w:right w:val="nil"/>
          <w:insideH w:val="nil"/>
          <w:insideV w:val="nil"/>
        </w:tcBorders>
      </w:tcPr>
    </w:tblStylePr>
    <w:tblStylePr w:type="lastRow">
      <w:pPr>
        <w:spacing w:before="0" w:after="0" w:line="240" w:lineRule="auto"/>
      </w:pPr>
      <w:rPr>
        <w:b/>
        <w:bCs/>
      </w:rPr>
      <w:tblPr/>
      <w:tcPr>
        <w:tcBorders>
          <w:top w:val="single" w:sz="8" w:space="0" w:color="4C4C4C" w:themeColor="text1"/>
          <w:left w:val="nil"/>
          <w:bottom w:val="single" w:sz="8" w:space="0" w:color="4C4C4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2" w:themeFill="text1" w:themeFillTint="3F"/>
      </w:tcPr>
    </w:tblStylePr>
    <w:tblStylePr w:type="band1Horz">
      <w:tblPr/>
      <w:tcPr>
        <w:tcBorders>
          <w:left w:val="nil"/>
          <w:right w:val="nil"/>
          <w:insideH w:val="nil"/>
          <w:insideV w:val="nil"/>
        </w:tcBorders>
        <w:shd w:val="clear" w:color="auto" w:fill="D2D2D2"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3C6EA8" w:themeColor="accent1" w:themeShade="BF"/>
    </w:rPr>
    <w:tblPr>
      <w:tblStyleRowBandSize w:val="1"/>
      <w:tblStyleColBandSize w:val="1"/>
      <w:tblBorders>
        <w:top w:val="single" w:sz="8" w:space="0" w:color="6996C9" w:themeColor="accent1"/>
        <w:bottom w:val="single" w:sz="8" w:space="0" w:color="6996C9" w:themeColor="accent1"/>
      </w:tblBorders>
    </w:tblPr>
    <w:tblStylePr w:type="firstRow">
      <w:pPr>
        <w:spacing w:before="0" w:after="0" w:line="240" w:lineRule="auto"/>
      </w:pPr>
      <w:rPr>
        <w:b/>
        <w:bCs/>
      </w:rPr>
      <w:tblPr/>
      <w:tcPr>
        <w:tcBorders>
          <w:top w:val="single" w:sz="8" w:space="0" w:color="6996C9" w:themeColor="accent1"/>
          <w:left w:val="nil"/>
          <w:bottom w:val="single" w:sz="8" w:space="0" w:color="6996C9" w:themeColor="accent1"/>
          <w:right w:val="nil"/>
          <w:insideH w:val="nil"/>
          <w:insideV w:val="nil"/>
        </w:tcBorders>
      </w:tcPr>
    </w:tblStylePr>
    <w:tblStylePr w:type="lastRow">
      <w:pPr>
        <w:spacing w:before="0" w:after="0" w:line="240" w:lineRule="auto"/>
      </w:pPr>
      <w:rPr>
        <w:b/>
        <w:bCs/>
      </w:rPr>
      <w:tblPr/>
      <w:tcPr>
        <w:tcBorders>
          <w:top w:val="single" w:sz="8" w:space="0" w:color="6996C9" w:themeColor="accent1"/>
          <w:left w:val="nil"/>
          <w:bottom w:val="single" w:sz="8" w:space="0" w:color="6996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F1" w:themeFill="accent1" w:themeFillTint="3F"/>
      </w:tcPr>
    </w:tblStylePr>
    <w:tblStylePr w:type="band1Horz">
      <w:tblPr/>
      <w:tcPr>
        <w:tcBorders>
          <w:left w:val="nil"/>
          <w:right w:val="nil"/>
          <w:insideH w:val="nil"/>
          <w:insideV w:val="nil"/>
        </w:tcBorders>
        <w:shd w:val="clear" w:color="auto" w:fill="D9E4F1"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2F4359" w:themeColor="accent2" w:themeShade="BF"/>
    </w:rPr>
    <w:tblPr>
      <w:tblStyleRowBandSize w:val="1"/>
      <w:tblStyleColBandSize w:val="1"/>
      <w:tblBorders>
        <w:top w:val="single" w:sz="8" w:space="0" w:color="3F5A78" w:themeColor="accent2"/>
        <w:bottom w:val="single" w:sz="8" w:space="0" w:color="3F5A78" w:themeColor="accent2"/>
      </w:tblBorders>
    </w:tblPr>
    <w:tblStylePr w:type="firstRow">
      <w:pPr>
        <w:spacing w:before="0" w:after="0" w:line="240" w:lineRule="auto"/>
      </w:pPr>
      <w:rPr>
        <w:b/>
        <w:bCs/>
      </w:rPr>
      <w:tblPr/>
      <w:tcPr>
        <w:tcBorders>
          <w:top w:val="single" w:sz="8" w:space="0" w:color="3F5A78" w:themeColor="accent2"/>
          <w:left w:val="nil"/>
          <w:bottom w:val="single" w:sz="8" w:space="0" w:color="3F5A78" w:themeColor="accent2"/>
          <w:right w:val="nil"/>
          <w:insideH w:val="nil"/>
          <w:insideV w:val="nil"/>
        </w:tcBorders>
      </w:tcPr>
    </w:tblStylePr>
    <w:tblStylePr w:type="lastRow">
      <w:pPr>
        <w:spacing w:before="0" w:after="0" w:line="240" w:lineRule="auto"/>
      </w:pPr>
      <w:rPr>
        <w:b/>
        <w:bCs/>
      </w:rPr>
      <w:tblPr/>
      <w:tcPr>
        <w:tcBorders>
          <w:top w:val="single" w:sz="8" w:space="0" w:color="3F5A78" w:themeColor="accent2"/>
          <w:left w:val="nil"/>
          <w:bottom w:val="single" w:sz="8" w:space="0" w:color="3F5A7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5E3" w:themeFill="accent2" w:themeFillTint="3F"/>
      </w:tcPr>
    </w:tblStylePr>
    <w:tblStylePr w:type="band1Horz">
      <w:tblPr/>
      <w:tcPr>
        <w:tcBorders>
          <w:left w:val="nil"/>
          <w:right w:val="nil"/>
          <w:insideH w:val="nil"/>
          <w:insideV w:val="nil"/>
        </w:tcBorders>
        <w:shd w:val="clear" w:color="auto" w:fill="C9D5E3"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7EA3D1" w:themeColor="accent3" w:themeShade="BF"/>
    </w:rPr>
    <w:tblPr>
      <w:tblStyleRowBandSize w:val="1"/>
      <w:tblStyleColBandSize w:val="1"/>
      <w:tblBorders>
        <w:top w:val="single" w:sz="8" w:space="0" w:color="D2DFEF" w:themeColor="accent3"/>
        <w:bottom w:val="single" w:sz="8" w:space="0" w:color="D2DFEF" w:themeColor="accent3"/>
      </w:tblBorders>
    </w:tblPr>
    <w:tblStylePr w:type="firstRow">
      <w:pPr>
        <w:spacing w:before="0" w:after="0" w:line="240" w:lineRule="auto"/>
      </w:pPr>
      <w:rPr>
        <w:b/>
        <w:bCs/>
      </w:rPr>
      <w:tblPr/>
      <w:tcPr>
        <w:tcBorders>
          <w:top w:val="single" w:sz="8" w:space="0" w:color="D2DFEF" w:themeColor="accent3"/>
          <w:left w:val="nil"/>
          <w:bottom w:val="single" w:sz="8" w:space="0" w:color="D2DFEF" w:themeColor="accent3"/>
          <w:right w:val="nil"/>
          <w:insideH w:val="nil"/>
          <w:insideV w:val="nil"/>
        </w:tcBorders>
      </w:tcPr>
    </w:tblStylePr>
    <w:tblStylePr w:type="lastRow">
      <w:pPr>
        <w:spacing w:before="0" w:after="0" w:line="240" w:lineRule="auto"/>
      </w:pPr>
      <w:rPr>
        <w:b/>
        <w:bCs/>
      </w:rPr>
      <w:tblPr/>
      <w:tcPr>
        <w:tcBorders>
          <w:top w:val="single" w:sz="8" w:space="0" w:color="D2DFEF" w:themeColor="accent3"/>
          <w:left w:val="nil"/>
          <w:bottom w:val="single" w:sz="8" w:space="0" w:color="D2DF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FB" w:themeFill="accent3" w:themeFillTint="3F"/>
      </w:tcPr>
    </w:tblStylePr>
    <w:tblStylePr w:type="band1Horz">
      <w:tblPr/>
      <w:tcPr>
        <w:tcBorders>
          <w:left w:val="nil"/>
          <w:right w:val="nil"/>
          <w:insideH w:val="nil"/>
          <w:insideV w:val="nil"/>
        </w:tcBorders>
        <w:shd w:val="clear" w:color="auto" w:fill="F3F6FB"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5D8DC4" w:themeColor="accent4" w:themeShade="BF"/>
    </w:rPr>
    <w:tblPr>
      <w:tblStyleRowBandSize w:val="1"/>
      <w:tblStyleColBandSize w:val="1"/>
      <w:tblBorders>
        <w:top w:val="single" w:sz="8" w:space="0" w:color="A5C0DE" w:themeColor="accent4"/>
        <w:bottom w:val="single" w:sz="8" w:space="0" w:color="A5C0DE" w:themeColor="accent4"/>
      </w:tblBorders>
    </w:tblPr>
    <w:tblStylePr w:type="firstRow">
      <w:pPr>
        <w:spacing w:before="0" w:after="0" w:line="240" w:lineRule="auto"/>
      </w:pPr>
      <w:rPr>
        <w:b/>
        <w:bCs/>
      </w:rPr>
      <w:tblPr/>
      <w:tcPr>
        <w:tcBorders>
          <w:top w:val="single" w:sz="8" w:space="0" w:color="A5C0DE" w:themeColor="accent4"/>
          <w:left w:val="nil"/>
          <w:bottom w:val="single" w:sz="8" w:space="0" w:color="A5C0DE" w:themeColor="accent4"/>
          <w:right w:val="nil"/>
          <w:insideH w:val="nil"/>
          <w:insideV w:val="nil"/>
        </w:tcBorders>
      </w:tcPr>
    </w:tblStylePr>
    <w:tblStylePr w:type="lastRow">
      <w:pPr>
        <w:spacing w:before="0" w:after="0" w:line="240" w:lineRule="auto"/>
      </w:pPr>
      <w:rPr>
        <w:b/>
        <w:bCs/>
      </w:rPr>
      <w:tblPr/>
      <w:tcPr>
        <w:tcBorders>
          <w:top w:val="single" w:sz="8" w:space="0" w:color="A5C0DE" w:themeColor="accent4"/>
          <w:left w:val="nil"/>
          <w:bottom w:val="single" w:sz="8" w:space="0" w:color="A5C0D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FF6" w:themeFill="accent4" w:themeFillTint="3F"/>
      </w:tcPr>
    </w:tblStylePr>
    <w:tblStylePr w:type="band1Horz">
      <w:tblPr/>
      <w:tcPr>
        <w:tcBorders>
          <w:left w:val="nil"/>
          <w:right w:val="nil"/>
          <w:insideH w:val="nil"/>
          <w:insideV w:val="nil"/>
        </w:tcBorders>
        <w:shd w:val="clear" w:color="auto" w:fill="E8EFF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487DBB" w:themeColor="accent5" w:themeShade="BF"/>
    </w:rPr>
    <w:tblPr>
      <w:tblStyleRowBandSize w:val="1"/>
      <w:tblStyleColBandSize w:val="1"/>
      <w:tblBorders>
        <w:top w:val="single" w:sz="8" w:space="0" w:color="88ABD3" w:themeColor="accent5"/>
        <w:bottom w:val="single" w:sz="8" w:space="0" w:color="88ABD3" w:themeColor="accent5"/>
      </w:tblBorders>
    </w:tblPr>
    <w:tblStylePr w:type="firstRow">
      <w:pPr>
        <w:spacing w:before="0" w:after="0" w:line="240" w:lineRule="auto"/>
      </w:pPr>
      <w:rPr>
        <w:b/>
        <w:bCs/>
      </w:rPr>
      <w:tblPr/>
      <w:tcPr>
        <w:tcBorders>
          <w:top w:val="single" w:sz="8" w:space="0" w:color="88ABD3" w:themeColor="accent5"/>
          <w:left w:val="nil"/>
          <w:bottom w:val="single" w:sz="8" w:space="0" w:color="88ABD3" w:themeColor="accent5"/>
          <w:right w:val="nil"/>
          <w:insideH w:val="nil"/>
          <w:insideV w:val="nil"/>
        </w:tcBorders>
      </w:tcPr>
    </w:tblStylePr>
    <w:tblStylePr w:type="lastRow">
      <w:pPr>
        <w:spacing w:before="0" w:after="0" w:line="240" w:lineRule="auto"/>
      </w:pPr>
      <w:rPr>
        <w:b/>
        <w:bCs/>
      </w:rPr>
      <w:tblPr/>
      <w:tcPr>
        <w:tcBorders>
          <w:top w:val="single" w:sz="8" w:space="0" w:color="88ABD3" w:themeColor="accent5"/>
          <w:left w:val="nil"/>
          <w:bottom w:val="single" w:sz="8" w:space="0" w:color="88A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AF4" w:themeFill="accent5" w:themeFillTint="3F"/>
      </w:tcPr>
    </w:tblStylePr>
    <w:tblStylePr w:type="band1Horz">
      <w:tblPr/>
      <w:tcPr>
        <w:tcBorders>
          <w:left w:val="nil"/>
          <w:right w:val="nil"/>
          <w:insideH w:val="nil"/>
          <w:insideV w:val="nil"/>
        </w:tcBorders>
        <w:shd w:val="clear" w:color="auto" w:fill="E1EAF4"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3F5977" w:themeColor="accent6" w:themeShade="BF"/>
    </w:rPr>
    <w:tblPr>
      <w:tblStyleRowBandSize w:val="1"/>
      <w:tblStyleColBandSize w:val="1"/>
      <w:tblBorders>
        <w:top w:val="single" w:sz="8" w:space="0" w:color="5578A0" w:themeColor="accent6"/>
        <w:bottom w:val="single" w:sz="8" w:space="0" w:color="5578A0" w:themeColor="accent6"/>
      </w:tblBorders>
    </w:tblPr>
    <w:tblStylePr w:type="firstRow">
      <w:pPr>
        <w:spacing w:before="0" w:after="0" w:line="240" w:lineRule="auto"/>
      </w:pPr>
      <w:rPr>
        <w:b/>
        <w:bCs/>
      </w:rPr>
      <w:tblPr/>
      <w:tcPr>
        <w:tcBorders>
          <w:top w:val="single" w:sz="8" w:space="0" w:color="5578A0" w:themeColor="accent6"/>
          <w:left w:val="nil"/>
          <w:bottom w:val="single" w:sz="8" w:space="0" w:color="5578A0" w:themeColor="accent6"/>
          <w:right w:val="nil"/>
          <w:insideH w:val="nil"/>
          <w:insideV w:val="nil"/>
        </w:tcBorders>
      </w:tcPr>
    </w:tblStylePr>
    <w:tblStylePr w:type="lastRow">
      <w:pPr>
        <w:spacing w:before="0" w:after="0" w:line="240" w:lineRule="auto"/>
      </w:pPr>
      <w:rPr>
        <w:b/>
        <w:bCs/>
      </w:rPr>
      <w:tblPr/>
      <w:tcPr>
        <w:tcBorders>
          <w:top w:val="single" w:sz="8" w:space="0" w:color="5578A0" w:themeColor="accent6"/>
          <w:left w:val="nil"/>
          <w:bottom w:val="single" w:sz="8" w:space="0" w:color="5578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DE8" w:themeFill="accent6" w:themeFillTint="3F"/>
      </w:tcPr>
    </w:tblStylePr>
    <w:tblStylePr w:type="band1Horz">
      <w:tblPr/>
      <w:tcPr>
        <w:tcBorders>
          <w:left w:val="nil"/>
          <w:right w:val="nil"/>
          <w:insideH w:val="nil"/>
          <w:insideV w:val="nil"/>
        </w:tcBorders>
        <w:shd w:val="clear" w:color="auto" w:fill="D4DDE8"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unhideWhenUsed/>
    <w:rsid w:val="005225B2"/>
    <w:pPr>
      <w:numPr>
        <w:numId w:val="24"/>
      </w:numPr>
      <w:contextualSpacing/>
    </w:pPr>
  </w:style>
  <w:style w:type="paragraph" w:styleId="ListNumber2">
    <w:name w:val="List Number 2"/>
    <w:basedOn w:val="Normal"/>
    <w:uiPriority w:val="99"/>
    <w:unhideWhenUsed/>
    <w:rsid w:val="00DF2394"/>
    <w:pPr>
      <w:numPr>
        <w:numId w:val="25"/>
      </w:numPr>
      <w:contextualSpacing/>
    </w:pPr>
  </w:style>
  <w:style w:type="paragraph" w:styleId="ListNumber3">
    <w:name w:val="List Number 3"/>
    <w:basedOn w:val="Normal"/>
    <w:uiPriority w:val="99"/>
    <w:unhideWhenUsed/>
    <w:rsid w:val="00DF2394"/>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39393" w:themeColor="text1" w:themeTint="99"/>
        </w:tcBorders>
      </w:tcPr>
    </w:tblStylePr>
    <w:tblStylePr w:type="lastRow">
      <w:rPr>
        <w:b/>
        <w:bCs/>
      </w:rPr>
      <w:tblPr/>
      <w:tcPr>
        <w:tcBorders>
          <w:top w:val="sing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4BFDE" w:themeColor="accent1" w:themeTint="99"/>
        </w:tcBorders>
      </w:tcPr>
    </w:tblStylePr>
    <w:tblStylePr w:type="lastRow">
      <w:rPr>
        <w:b/>
        <w:bCs/>
      </w:rPr>
      <w:tblPr/>
      <w:tcPr>
        <w:tcBorders>
          <w:top w:val="sing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7E9BBB" w:themeColor="accent2" w:themeTint="99"/>
        </w:tcBorders>
      </w:tcPr>
    </w:tblStylePr>
    <w:tblStylePr w:type="lastRow">
      <w:rPr>
        <w:b/>
        <w:bCs/>
      </w:rPr>
      <w:tblPr/>
      <w:tcPr>
        <w:tcBorders>
          <w:top w:val="sing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3EBF5" w:themeColor="accent3" w:themeTint="99"/>
        </w:tcBorders>
      </w:tcPr>
    </w:tblStylePr>
    <w:tblStylePr w:type="lastRow">
      <w:rPr>
        <w:b/>
        <w:bCs/>
      </w:rPr>
      <w:tblPr/>
      <w:tcPr>
        <w:tcBorders>
          <w:top w:val="sing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D8EB" w:themeColor="accent4" w:themeTint="99"/>
        </w:tcBorders>
      </w:tcPr>
    </w:tblStylePr>
    <w:tblStylePr w:type="lastRow">
      <w:rPr>
        <w:b/>
        <w:bCs/>
      </w:rPr>
      <w:tblPr/>
      <w:tcPr>
        <w:tcBorders>
          <w:top w:val="sing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7CCE4" w:themeColor="accent5" w:themeTint="99"/>
        </w:tcBorders>
      </w:tcPr>
    </w:tblStylePr>
    <w:tblStylePr w:type="lastRow">
      <w:rPr>
        <w:b/>
        <w:bCs/>
      </w:rPr>
      <w:tblPr/>
      <w:tcPr>
        <w:tcBorders>
          <w:top w:val="sing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7ADC7" w:themeColor="accent6" w:themeTint="99"/>
        </w:tcBorders>
      </w:tcPr>
    </w:tblStylePr>
    <w:tblStylePr w:type="lastRow">
      <w:rPr>
        <w:b/>
        <w:bCs/>
      </w:rPr>
      <w:tblPr/>
      <w:tcPr>
        <w:tcBorders>
          <w:top w:val="sing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939393" w:themeColor="text1" w:themeTint="99"/>
        <w:bottom w:val="single" w:sz="4" w:space="0" w:color="939393" w:themeColor="text1" w:themeTint="99"/>
        <w:insideH w:val="single" w:sz="4" w:space="0" w:color="93939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A4BFDE" w:themeColor="accent1" w:themeTint="99"/>
        <w:bottom w:val="single" w:sz="4" w:space="0" w:color="A4BFDE" w:themeColor="accent1" w:themeTint="99"/>
        <w:insideH w:val="single" w:sz="4" w:space="0" w:color="A4BF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7E9BBB" w:themeColor="accent2" w:themeTint="99"/>
        <w:bottom w:val="single" w:sz="4" w:space="0" w:color="7E9BBB" w:themeColor="accent2" w:themeTint="99"/>
        <w:insideH w:val="single" w:sz="4" w:space="0" w:color="7E9B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E3EBF5" w:themeColor="accent3" w:themeTint="99"/>
        <w:bottom w:val="single" w:sz="4" w:space="0" w:color="E3EBF5" w:themeColor="accent3" w:themeTint="99"/>
        <w:insideH w:val="single" w:sz="4" w:space="0" w:color="E3EBF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C8D8EB" w:themeColor="accent4" w:themeTint="99"/>
        <w:bottom w:val="single" w:sz="4" w:space="0" w:color="C8D8EB" w:themeColor="accent4" w:themeTint="99"/>
        <w:insideH w:val="single" w:sz="4" w:space="0" w:color="C8D8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B7CCE4" w:themeColor="accent5" w:themeTint="99"/>
        <w:bottom w:val="single" w:sz="4" w:space="0" w:color="B7CCE4" w:themeColor="accent5" w:themeTint="99"/>
        <w:insideH w:val="single" w:sz="4" w:space="0" w:color="B7CC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97ADC7" w:themeColor="accent6" w:themeTint="99"/>
        <w:bottom w:val="single" w:sz="4" w:space="0" w:color="97ADC7" w:themeColor="accent6" w:themeTint="99"/>
        <w:insideH w:val="single" w:sz="4" w:space="0" w:color="97AD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4C4C4C" w:themeColor="text1"/>
        <w:left w:val="single" w:sz="4" w:space="0" w:color="4C4C4C" w:themeColor="text1"/>
        <w:bottom w:val="single" w:sz="4" w:space="0" w:color="4C4C4C" w:themeColor="text1"/>
        <w:right w:val="single" w:sz="4" w:space="0" w:color="4C4C4C" w:themeColor="text1"/>
      </w:tblBorders>
    </w:tblPr>
    <w:tblStylePr w:type="firstRow">
      <w:rPr>
        <w:b/>
        <w:bCs/>
        <w:color w:val="FFFFFF" w:themeColor="background1"/>
      </w:rPr>
      <w:tblPr/>
      <w:tcPr>
        <w:shd w:val="clear" w:color="auto" w:fill="4C4C4C" w:themeFill="text1"/>
      </w:tcPr>
    </w:tblStylePr>
    <w:tblStylePr w:type="lastRow">
      <w:rPr>
        <w:b/>
        <w:bCs/>
      </w:rPr>
      <w:tblPr/>
      <w:tcPr>
        <w:tcBorders>
          <w:top w:val="double" w:sz="4" w:space="0" w:color="4C4C4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4C4C" w:themeColor="text1"/>
          <w:right w:val="single" w:sz="4" w:space="0" w:color="4C4C4C" w:themeColor="text1"/>
        </w:tcBorders>
      </w:tcPr>
    </w:tblStylePr>
    <w:tblStylePr w:type="band1Horz">
      <w:tblPr/>
      <w:tcPr>
        <w:tcBorders>
          <w:top w:val="single" w:sz="4" w:space="0" w:color="4C4C4C" w:themeColor="text1"/>
          <w:bottom w:val="single" w:sz="4" w:space="0" w:color="4C4C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4C4C" w:themeColor="text1"/>
          <w:left w:val="nil"/>
        </w:tcBorders>
      </w:tcPr>
    </w:tblStylePr>
    <w:tblStylePr w:type="swCell">
      <w:tblPr/>
      <w:tcPr>
        <w:tcBorders>
          <w:top w:val="double" w:sz="4" w:space="0" w:color="4C4C4C"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6996C9" w:themeColor="accent1"/>
        <w:left w:val="single" w:sz="4" w:space="0" w:color="6996C9" w:themeColor="accent1"/>
        <w:bottom w:val="single" w:sz="4" w:space="0" w:color="6996C9" w:themeColor="accent1"/>
        <w:right w:val="single" w:sz="4" w:space="0" w:color="6996C9" w:themeColor="accent1"/>
      </w:tblBorders>
    </w:tblPr>
    <w:tblStylePr w:type="firstRow">
      <w:rPr>
        <w:b/>
        <w:bCs/>
        <w:color w:val="FFFFFF" w:themeColor="background1"/>
      </w:rPr>
      <w:tblPr/>
      <w:tcPr>
        <w:shd w:val="clear" w:color="auto" w:fill="6996C9" w:themeFill="accent1"/>
      </w:tcPr>
    </w:tblStylePr>
    <w:tblStylePr w:type="lastRow">
      <w:rPr>
        <w:b/>
        <w:bCs/>
      </w:rPr>
      <w:tblPr/>
      <w:tcPr>
        <w:tcBorders>
          <w:top w:val="double" w:sz="4" w:space="0" w:color="6996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96C9" w:themeColor="accent1"/>
          <w:right w:val="single" w:sz="4" w:space="0" w:color="6996C9" w:themeColor="accent1"/>
        </w:tcBorders>
      </w:tcPr>
    </w:tblStylePr>
    <w:tblStylePr w:type="band1Horz">
      <w:tblPr/>
      <w:tcPr>
        <w:tcBorders>
          <w:top w:val="single" w:sz="4" w:space="0" w:color="6996C9" w:themeColor="accent1"/>
          <w:bottom w:val="single" w:sz="4" w:space="0" w:color="6996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96C9" w:themeColor="accent1"/>
          <w:left w:val="nil"/>
        </w:tcBorders>
      </w:tcPr>
    </w:tblStylePr>
    <w:tblStylePr w:type="swCell">
      <w:tblPr/>
      <w:tcPr>
        <w:tcBorders>
          <w:top w:val="double" w:sz="4" w:space="0" w:color="6996C9"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3F5A78" w:themeColor="accent2"/>
        <w:left w:val="single" w:sz="4" w:space="0" w:color="3F5A78" w:themeColor="accent2"/>
        <w:bottom w:val="single" w:sz="4" w:space="0" w:color="3F5A78" w:themeColor="accent2"/>
        <w:right w:val="single" w:sz="4" w:space="0" w:color="3F5A78" w:themeColor="accent2"/>
      </w:tblBorders>
    </w:tblPr>
    <w:tblStylePr w:type="firstRow">
      <w:rPr>
        <w:b/>
        <w:bCs/>
        <w:color w:val="FFFFFF" w:themeColor="background1"/>
      </w:rPr>
      <w:tblPr/>
      <w:tcPr>
        <w:shd w:val="clear" w:color="auto" w:fill="3F5A78" w:themeFill="accent2"/>
      </w:tcPr>
    </w:tblStylePr>
    <w:tblStylePr w:type="lastRow">
      <w:rPr>
        <w:b/>
        <w:bCs/>
      </w:rPr>
      <w:tblPr/>
      <w:tcPr>
        <w:tcBorders>
          <w:top w:val="double" w:sz="4" w:space="0" w:color="3F5A7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A78" w:themeColor="accent2"/>
          <w:right w:val="single" w:sz="4" w:space="0" w:color="3F5A78" w:themeColor="accent2"/>
        </w:tcBorders>
      </w:tcPr>
    </w:tblStylePr>
    <w:tblStylePr w:type="band1Horz">
      <w:tblPr/>
      <w:tcPr>
        <w:tcBorders>
          <w:top w:val="single" w:sz="4" w:space="0" w:color="3F5A78" w:themeColor="accent2"/>
          <w:bottom w:val="single" w:sz="4" w:space="0" w:color="3F5A7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A78" w:themeColor="accent2"/>
          <w:left w:val="nil"/>
        </w:tcBorders>
      </w:tcPr>
    </w:tblStylePr>
    <w:tblStylePr w:type="swCell">
      <w:tblPr/>
      <w:tcPr>
        <w:tcBorders>
          <w:top w:val="double" w:sz="4" w:space="0" w:color="3F5A78"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D2DFEF" w:themeColor="accent3"/>
        <w:left w:val="single" w:sz="4" w:space="0" w:color="D2DFEF" w:themeColor="accent3"/>
        <w:bottom w:val="single" w:sz="4" w:space="0" w:color="D2DFEF" w:themeColor="accent3"/>
        <w:right w:val="single" w:sz="4" w:space="0" w:color="D2DFEF" w:themeColor="accent3"/>
      </w:tblBorders>
    </w:tblPr>
    <w:tblStylePr w:type="firstRow">
      <w:rPr>
        <w:b/>
        <w:bCs/>
        <w:color w:val="FFFFFF" w:themeColor="background1"/>
      </w:rPr>
      <w:tblPr/>
      <w:tcPr>
        <w:shd w:val="clear" w:color="auto" w:fill="D2DFEF" w:themeFill="accent3"/>
      </w:tcPr>
    </w:tblStylePr>
    <w:tblStylePr w:type="lastRow">
      <w:rPr>
        <w:b/>
        <w:bCs/>
      </w:rPr>
      <w:tblPr/>
      <w:tcPr>
        <w:tcBorders>
          <w:top w:val="double" w:sz="4" w:space="0" w:color="D2DFE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DFEF" w:themeColor="accent3"/>
          <w:right w:val="single" w:sz="4" w:space="0" w:color="D2DFEF" w:themeColor="accent3"/>
        </w:tcBorders>
      </w:tcPr>
    </w:tblStylePr>
    <w:tblStylePr w:type="band1Horz">
      <w:tblPr/>
      <w:tcPr>
        <w:tcBorders>
          <w:top w:val="single" w:sz="4" w:space="0" w:color="D2DFEF" w:themeColor="accent3"/>
          <w:bottom w:val="single" w:sz="4" w:space="0" w:color="D2DFE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DFEF" w:themeColor="accent3"/>
          <w:left w:val="nil"/>
        </w:tcBorders>
      </w:tcPr>
    </w:tblStylePr>
    <w:tblStylePr w:type="swCell">
      <w:tblPr/>
      <w:tcPr>
        <w:tcBorders>
          <w:top w:val="double" w:sz="4" w:space="0" w:color="D2DFEF"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A5C0DE" w:themeColor="accent4"/>
        <w:left w:val="single" w:sz="4" w:space="0" w:color="A5C0DE" w:themeColor="accent4"/>
        <w:bottom w:val="single" w:sz="4" w:space="0" w:color="A5C0DE" w:themeColor="accent4"/>
        <w:right w:val="single" w:sz="4" w:space="0" w:color="A5C0DE" w:themeColor="accent4"/>
      </w:tblBorders>
    </w:tblPr>
    <w:tblStylePr w:type="firstRow">
      <w:rPr>
        <w:b/>
        <w:bCs/>
        <w:color w:val="FFFFFF" w:themeColor="background1"/>
      </w:rPr>
      <w:tblPr/>
      <w:tcPr>
        <w:shd w:val="clear" w:color="auto" w:fill="A5C0DE" w:themeFill="accent4"/>
      </w:tcPr>
    </w:tblStylePr>
    <w:tblStylePr w:type="lastRow">
      <w:rPr>
        <w:b/>
        <w:bCs/>
      </w:rPr>
      <w:tblPr/>
      <w:tcPr>
        <w:tcBorders>
          <w:top w:val="double" w:sz="4" w:space="0" w:color="A5C0D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0DE" w:themeColor="accent4"/>
          <w:right w:val="single" w:sz="4" w:space="0" w:color="A5C0DE" w:themeColor="accent4"/>
        </w:tcBorders>
      </w:tcPr>
    </w:tblStylePr>
    <w:tblStylePr w:type="band1Horz">
      <w:tblPr/>
      <w:tcPr>
        <w:tcBorders>
          <w:top w:val="single" w:sz="4" w:space="0" w:color="A5C0DE" w:themeColor="accent4"/>
          <w:bottom w:val="single" w:sz="4" w:space="0" w:color="A5C0D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0DE" w:themeColor="accent4"/>
          <w:left w:val="nil"/>
        </w:tcBorders>
      </w:tcPr>
    </w:tblStylePr>
    <w:tblStylePr w:type="swCell">
      <w:tblPr/>
      <w:tcPr>
        <w:tcBorders>
          <w:top w:val="double" w:sz="4" w:space="0" w:color="A5C0DE"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88ABD3" w:themeColor="accent5"/>
        <w:left w:val="single" w:sz="4" w:space="0" w:color="88ABD3" w:themeColor="accent5"/>
        <w:bottom w:val="single" w:sz="4" w:space="0" w:color="88ABD3" w:themeColor="accent5"/>
        <w:right w:val="single" w:sz="4" w:space="0" w:color="88ABD3" w:themeColor="accent5"/>
      </w:tblBorders>
    </w:tblPr>
    <w:tblStylePr w:type="firstRow">
      <w:rPr>
        <w:b/>
        <w:bCs/>
        <w:color w:val="FFFFFF" w:themeColor="background1"/>
      </w:rPr>
      <w:tblPr/>
      <w:tcPr>
        <w:shd w:val="clear" w:color="auto" w:fill="88ABD3" w:themeFill="accent5"/>
      </w:tcPr>
    </w:tblStylePr>
    <w:tblStylePr w:type="lastRow">
      <w:rPr>
        <w:b/>
        <w:bCs/>
      </w:rPr>
      <w:tblPr/>
      <w:tcPr>
        <w:tcBorders>
          <w:top w:val="double" w:sz="4" w:space="0" w:color="88AB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ABD3" w:themeColor="accent5"/>
          <w:right w:val="single" w:sz="4" w:space="0" w:color="88ABD3" w:themeColor="accent5"/>
        </w:tcBorders>
      </w:tcPr>
    </w:tblStylePr>
    <w:tblStylePr w:type="band1Horz">
      <w:tblPr/>
      <w:tcPr>
        <w:tcBorders>
          <w:top w:val="single" w:sz="4" w:space="0" w:color="88ABD3" w:themeColor="accent5"/>
          <w:bottom w:val="single" w:sz="4" w:space="0" w:color="88AB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ABD3" w:themeColor="accent5"/>
          <w:left w:val="nil"/>
        </w:tcBorders>
      </w:tcPr>
    </w:tblStylePr>
    <w:tblStylePr w:type="swCell">
      <w:tblPr/>
      <w:tcPr>
        <w:tcBorders>
          <w:top w:val="double" w:sz="4" w:space="0" w:color="88ABD3"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5578A0" w:themeColor="accent6"/>
        <w:left w:val="single" w:sz="4" w:space="0" w:color="5578A0" w:themeColor="accent6"/>
        <w:bottom w:val="single" w:sz="4" w:space="0" w:color="5578A0" w:themeColor="accent6"/>
        <w:right w:val="single" w:sz="4" w:space="0" w:color="5578A0" w:themeColor="accent6"/>
      </w:tblBorders>
    </w:tblPr>
    <w:tblStylePr w:type="firstRow">
      <w:rPr>
        <w:b/>
        <w:bCs/>
        <w:color w:val="FFFFFF" w:themeColor="background1"/>
      </w:rPr>
      <w:tblPr/>
      <w:tcPr>
        <w:shd w:val="clear" w:color="auto" w:fill="5578A0" w:themeFill="accent6"/>
      </w:tcPr>
    </w:tblStylePr>
    <w:tblStylePr w:type="lastRow">
      <w:rPr>
        <w:b/>
        <w:bCs/>
      </w:rPr>
      <w:tblPr/>
      <w:tcPr>
        <w:tcBorders>
          <w:top w:val="double" w:sz="4" w:space="0" w:color="5578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78A0" w:themeColor="accent6"/>
          <w:right w:val="single" w:sz="4" w:space="0" w:color="5578A0" w:themeColor="accent6"/>
        </w:tcBorders>
      </w:tcPr>
    </w:tblStylePr>
    <w:tblStylePr w:type="band1Horz">
      <w:tblPr/>
      <w:tcPr>
        <w:tcBorders>
          <w:top w:val="single" w:sz="4" w:space="0" w:color="5578A0" w:themeColor="accent6"/>
          <w:bottom w:val="single" w:sz="4" w:space="0" w:color="5578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78A0" w:themeColor="accent6"/>
          <w:left w:val="nil"/>
        </w:tcBorders>
      </w:tcPr>
    </w:tblStylePr>
    <w:tblStylePr w:type="swCell">
      <w:tblPr/>
      <w:tcPr>
        <w:tcBorders>
          <w:top w:val="double" w:sz="4" w:space="0" w:color="5578A0"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939393" w:themeColor="text1" w:themeTint="99"/>
        <w:left w:val="single" w:sz="4" w:space="0" w:color="939393" w:themeColor="text1" w:themeTint="99"/>
        <w:bottom w:val="single" w:sz="4" w:space="0" w:color="939393" w:themeColor="text1" w:themeTint="99"/>
        <w:right w:val="single" w:sz="4" w:space="0" w:color="939393" w:themeColor="text1" w:themeTint="99"/>
        <w:insideH w:val="single" w:sz="4" w:space="0" w:color="939393" w:themeColor="text1" w:themeTint="99"/>
      </w:tblBorders>
    </w:tblPr>
    <w:tblStylePr w:type="firstRow">
      <w:rPr>
        <w:b/>
        <w:bCs/>
        <w:color w:val="FFFFFF" w:themeColor="background1"/>
      </w:rPr>
      <w:tblPr/>
      <w:tcPr>
        <w:tcBorders>
          <w:top w:val="single" w:sz="4" w:space="0" w:color="4C4C4C" w:themeColor="text1"/>
          <w:left w:val="single" w:sz="4" w:space="0" w:color="4C4C4C" w:themeColor="text1"/>
          <w:bottom w:val="single" w:sz="4" w:space="0" w:color="4C4C4C" w:themeColor="text1"/>
          <w:right w:val="single" w:sz="4" w:space="0" w:color="4C4C4C" w:themeColor="text1"/>
          <w:insideH w:val="nil"/>
        </w:tcBorders>
        <w:shd w:val="clear" w:color="auto" w:fill="4C4C4C" w:themeFill="text1"/>
      </w:tcPr>
    </w:tblStylePr>
    <w:tblStylePr w:type="lastRow">
      <w:rPr>
        <w:b/>
        <w:bCs/>
      </w:rPr>
      <w:tblPr/>
      <w:tcPr>
        <w:tcBorders>
          <w:top w:val="double" w:sz="4" w:space="0" w:color="939393" w:themeColor="text1" w:themeTint="99"/>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A4BFDE" w:themeColor="accent1" w:themeTint="99"/>
        <w:left w:val="single" w:sz="4" w:space="0" w:color="A4BFDE" w:themeColor="accent1" w:themeTint="99"/>
        <w:bottom w:val="single" w:sz="4" w:space="0" w:color="A4BFDE" w:themeColor="accent1" w:themeTint="99"/>
        <w:right w:val="single" w:sz="4" w:space="0" w:color="A4BFDE" w:themeColor="accent1" w:themeTint="99"/>
        <w:insideH w:val="single" w:sz="4" w:space="0" w:color="A4BFDE" w:themeColor="accent1" w:themeTint="99"/>
      </w:tblBorders>
    </w:tblPr>
    <w:tblStylePr w:type="firstRow">
      <w:rPr>
        <w:b/>
        <w:bCs/>
        <w:color w:val="FFFFFF" w:themeColor="background1"/>
      </w:rPr>
      <w:tblPr/>
      <w:tcPr>
        <w:tcBorders>
          <w:top w:val="single" w:sz="4" w:space="0" w:color="6996C9" w:themeColor="accent1"/>
          <w:left w:val="single" w:sz="4" w:space="0" w:color="6996C9" w:themeColor="accent1"/>
          <w:bottom w:val="single" w:sz="4" w:space="0" w:color="6996C9" w:themeColor="accent1"/>
          <w:right w:val="single" w:sz="4" w:space="0" w:color="6996C9" w:themeColor="accent1"/>
          <w:insideH w:val="nil"/>
        </w:tcBorders>
        <w:shd w:val="clear" w:color="auto" w:fill="6996C9" w:themeFill="accent1"/>
      </w:tcPr>
    </w:tblStylePr>
    <w:tblStylePr w:type="lastRow">
      <w:rPr>
        <w:b/>
        <w:bCs/>
      </w:rPr>
      <w:tblPr/>
      <w:tcPr>
        <w:tcBorders>
          <w:top w:val="double" w:sz="4" w:space="0" w:color="A4BFDE" w:themeColor="accent1" w:themeTint="99"/>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7E9BBB" w:themeColor="accent2" w:themeTint="99"/>
        <w:left w:val="single" w:sz="4" w:space="0" w:color="7E9BBB" w:themeColor="accent2" w:themeTint="99"/>
        <w:bottom w:val="single" w:sz="4" w:space="0" w:color="7E9BBB" w:themeColor="accent2" w:themeTint="99"/>
        <w:right w:val="single" w:sz="4" w:space="0" w:color="7E9BBB" w:themeColor="accent2" w:themeTint="99"/>
        <w:insideH w:val="single" w:sz="4" w:space="0" w:color="7E9BBB" w:themeColor="accent2" w:themeTint="99"/>
      </w:tblBorders>
    </w:tblPr>
    <w:tblStylePr w:type="firstRow">
      <w:rPr>
        <w:b/>
        <w:bCs/>
        <w:color w:val="FFFFFF" w:themeColor="background1"/>
      </w:rPr>
      <w:tblPr/>
      <w:tcPr>
        <w:tcBorders>
          <w:top w:val="single" w:sz="4" w:space="0" w:color="3F5A78" w:themeColor="accent2"/>
          <w:left w:val="single" w:sz="4" w:space="0" w:color="3F5A78" w:themeColor="accent2"/>
          <w:bottom w:val="single" w:sz="4" w:space="0" w:color="3F5A78" w:themeColor="accent2"/>
          <w:right w:val="single" w:sz="4" w:space="0" w:color="3F5A78" w:themeColor="accent2"/>
          <w:insideH w:val="nil"/>
        </w:tcBorders>
        <w:shd w:val="clear" w:color="auto" w:fill="3F5A78" w:themeFill="accent2"/>
      </w:tcPr>
    </w:tblStylePr>
    <w:tblStylePr w:type="lastRow">
      <w:rPr>
        <w:b/>
        <w:bCs/>
      </w:rPr>
      <w:tblPr/>
      <w:tcPr>
        <w:tcBorders>
          <w:top w:val="double" w:sz="4" w:space="0" w:color="7E9BBB" w:themeColor="accent2" w:themeTint="99"/>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E3EBF5" w:themeColor="accent3" w:themeTint="99"/>
        <w:left w:val="single" w:sz="4" w:space="0" w:color="E3EBF5" w:themeColor="accent3" w:themeTint="99"/>
        <w:bottom w:val="single" w:sz="4" w:space="0" w:color="E3EBF5" w:themeColor="accent3" w:themeTint="99"/>
        <w:right w:val="single" w:sz="4" w:space="0" w:color="E3EBF5" w:themeColor="accent3" w:themeTint="99"/>
        <w:insideH w:val="single" w:sz="4" w:space="0" w:color="E3EBF5" w:themeColor="accent3" w:themeTint="99"/>
      </w:tblBorders>
    </w:tblPr>
    <w:tblStylePr w:type="firstRow">
      <w:rPr>
        <w:b/>
        <w:bCs/>
        <w:color w:val="FFFFFF" w:themeColor="background1"/>
      </w:rPr>
      <w:tblPr/>
      <w:tcPr>
        <w:tcBorders>
          <w:top w:val="single" w:sz="4" w:space="0" w:color="D2DFEF" w:themeColor="accent3"/>
          <w:left w:val="single" w:sz="4" w:space="0" w:color="D2DFEF" w:themeColor="accent3"/>
          <w:bottom w:val="single" w:sz="4" w:space="0" w:color="D2DFEF" w:themeColor="accent3"/>
          <w:right w:val="single" w:sz="4" w:space="0" w:color="D2DFEF" w:themeColor="accent3"/>
          <w:insideH w:val="nil"/>
        </w:tcBorders>
        <w:shd w:val="clear" w:color="auto" w:fill="D2DFEF" w:themeFill="accent3"/>
      </w:tcPr>
    </w:tblStylePr>
    <w:tblStylePr w:type="lastRow">
      <w:rPr>
        <w:b/>
        <w:bCs/>
      </w:rPr>
      <w:tblPr/>
      <w:tcPr>
        <w:tcBorders>
          <w:top w:val="double" w:sz="4" w:space="0" w:color="E3EBF5" w:themeColor="accent3" w:themeTint="99"/>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C8D8EB" w:themeColor="accent4" w:themeTint="99"/>
        <w:left w:val="single" w:sz="4" w:space="0" w:color="C8D8EB" w:themeColor="accent4" w:themeTint="99"/>
        <w:bottom w:val="single" w:sz="4" w:space="0" w:color="C8D8EB" w:themeColor="accent4" w:themeTint="99"/>
        <w:right w:val="single" w:sz="4" w:space="0" w:color="C8D8EB" w:themeColor="accent4" w:themeTint="99"/>
        <w:insideH w:val="single" w:sz="4" w:space="0" w:color="C8D8EB" w:themeColor="accent4" w:themeTint="99"/>
      </w:tblBorders>
    </w:tblPr>
    <w:tblStylePr w:type="firstRow">
      <w:rPr>
        <w:b/>
        <w:bCs/>
        <w:color w:val="FFFFFF" w:themeColor="background1"/>
      </w:rPr>
      <w:tblPr/>
      <w:tcPr>
        <w:tcBorders>
          <w:top w:val="single" w:sz="4" w:space="0" w:color="A5C0DE" w:themeColor="accent4"/>
          <w:left w:val="single" w:sz="4" w:space="0" w:color="A5C0DE" w:themeColor="accent4"/>
          <w:bottom w:val="single" w:sz="4" w:space="0" w:color="A5C0DE" w:themeColor="accent4"/>
          <w:right w:val="single" w:sz="4" w:space="0" w:color="A5C0DE" w:themeColor="accent4"/>
          <w:insideH w:val="nil"/>
        </w:tcBorders>
        <w:shd w:val="clear" w:color="auto" w:fill="A5C0DE" w:themeFill="accent4"/>
      </w:tcPr>
    </w:tblStylePr>
    <w:tblStylePr w:type="lastRow">
      <w:rPr>
        <w:b/>
        <w:bCs/>
      </w:rPr>
      <w:tblPr/>
      <w:tcPr>
        <w:tcBorders>
          <w:top w:val="double" w:sz="4" w:space="0" w:color="C8D8EB" w:themeColor="accent4" w:themeTint="99"/>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B7CCE4" w:themeColor="accent5" w:themeTint="99"/>
        <w:left w:val="single" w:sz="4" w:space="0" w:color="B7CCE4" w:themeColor="accent5" w:themeTint="99"/>
        <w:bottom w:val="single" w:sz="4" w:space="0" w:color="B7CCE4" w:themeColor="accent5" w:themeTint="99"/>
        <w:right w:val="single" w:sz="4" w:space="0" w:color="B7CCE4" w:themeColor="accent5" w:themeTint="99"/>
        <w:insideH w:val="single" w:sz="4" w:space="0" w:color="B7CCE4" w:themeColor="accent5" w:themeTint="99"/>
      </w:tblBorders>
    </w:tblPr>
    <w:tblStylePr w:type="firstRow">
      <w:rPr>
        <w:b/>
        <w:bCs/>
        <w:color w:val="FFFFFF" w:themeColor="background1"/>
      </w:rPr>
      <w:tblPr/>
      <w:tcPr>
        <w:tcBorders>
          <w:top w:val="single" w:sz="4" w:space="0" w:color="88ABD3" w:themeColor="accent5"/>
          <w:left w:val="single" w:sz="4" w:space="0" w:color="88ABD3" w:themeColor="accent5"/>
          <w:bottom w:val="single" w:sz="4" w:space="0" w:color="88ABD3" w:themeColor="accent5"/>
          <w:right w:val="single" w:sz="4" w:space="0" w:color="88ABD3" w:themeColor="accent5"/>
          <w:insideH w:val="nil"/>
        </w:tcBorders>
        <w:shd w:val="clear" w:color="auto" w:fill="88ABD3" w:themeFill="accent5"/>
      </w:tcPr>
    </w:tblStylePr>
    <w:tblStylePr w:type="lastRow">
      <w:rPr>
        <w:b/>
        <w:bCs/>
      </w:rPr>
      <w:tblPr/>
      <w:tcPr>
        <w:tcBorders>
          <w:top w:val="double" w:sz="4" w:space="0" w:color="B7CCE4"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tcBorders>
        <w:shd w:val="clear" w:color="auto" w:fill="5578A0" w:themeFill="accent6"/>
      </w:tcPr>
    </w:tblStylePr>
    <w:tblStylePr w:type="lastRow">
      <w:rPr>
        <w:b/>
        <w:bCs/>
      </w:rPr>
      <w:tblPr/>
      <w:tcPr>
        <w:tcBorders>
          <w:top w:val="double" w:sz="4" w:space="0" w:color="97ADC7" w:themeColor="accent6" w:themeTint="99"/>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4C4C4C" w:themeColor="text1"/>
        <w:left w:val="single" w:sz="24" w:space="0" w:color="4C4C4C" w:themeColor="text1"/>
        <w:bottom w:val="single" w:sz="24" w:space="0" w:color="4C4C4C" w:themeColor="text1"/>
        <w:right w:val="single" w:sz="24" w:space="0" w:color="4C4C4C" w:themeColor="text1"/>
      </w:tblBorders>
    </w:tblPr>
    <w:tcPr>
      <w:shd w:val="clear" w:color="auto" w:fill="4C4C4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6996C9" w:themeColor="accent1"/>
        <w:left w:val="single" w:sz="24" w:space="0" w:color="6996C9" w:themeColor="accent1"/>
        <w:bottom w:val="single" w:sz="24" w:space="0" w:color="6996C9" w:themeColor="accent1"/>
        <w:right w:val="single" w:sz="24" w:space="0" w:color="6996C9" w:themeColor="accent1"/>
      </w:tblBorders>
    </w:tblPr>
    <w:tcPr>
      <w:shd w:val="clear" w:color="auto" w:fill="6996C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3F5A78" w:themeColor="accent2"/>
        <w:left w:val="single" w:sz="24" w:space="0" w:color="3F5A78" w:themeColor="accent2"/>
        <w:bottom w:val="single" w:sz="24" w:space="0" w:color="3F5A78" w:themeColor="accent2"/>
        <w:right w:val="single" w:sz="24" w:space="0" w:color="3F5A78" w:themeColor="accent2"/>
      </w:tblBorders>
    </w:tblPr>
    <w:tcPr>
      <w:shd w:val="clear" w:color="auto" w:fill="3F5A7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D2DFEF" w:themeColor="accent3"/>
        <w:left w:val="single" w:sz="24" w:space="0" w:color="D2DFEF" w:themeColor="accent3"/>
        <w:bottom w:val="single" w:sz="24" w:space="0" w:color="D2DFEF" w:themeColor="accent3"/>
        <w:right w:val="single" w:sz="24" w:space="0" w:color="D2DFEF" w:themeColor="accent3"/>
      </w:tblBorders>
    </w:tblPr>
    <w:tcPr>
      <w:shd w:val="clear" w:color="auto" w:fill="D2DFE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A5C0DE" w:themeColor="accent4"/>
        <w:left w:val="single" w:sz="24" w:space="0" w:color="A5C0DE" w:themeColor="accent4"/>
        <w:bottom w:val="single" w:sz="24" w:space="0" w:color="A5C0DE" w:themeColor="accent4"/>
        <w:right w:val="single" w:sz="24" w:space="0" w:color="A5C0DE" w:themeColor="accent4"/>
      </w:tblBorders>
    </w:tblPr>
    <w:tcPr>
      <w:shd w:val="clear" w:color="auto" w:fill="A5C0D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88ABD3" w:themeColor="accent5"/>
        <w:left w:val="single" w:sz="24" w:space="0" w:color="88ABD3" w:themeColor="accent5"/>
        <w:bottom w:val="single" w:sz="24" w:space="0" w:color="88ABD3" w:themeColor="accent5"/>
        <w:right w:val="single" w:sz="24" w:space="0" w:color="88ABD3" w:themeColor="accent5"/>
      </w:tblBorders>
    </w:tblPr>
    <w:tcPr>
      <w:shd w:val="clear" w:color="auto" w:fill="88AB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5578A0" w:themeColor="accent6"/>
        <w:left w:val="single" w:sz="24" w:space="0" w:color="5578A0" w:themeColor="accent6"/>
        <w:bottom w:val="single" w:sz="24" w:space="0" w:color="5578A0" w:themeColor="accent6"/>
        <w:right w:val="single" w:sz="24" w:space="0" w:color="5578A0" w:themeColor="accent6"/>
      </w:tblBorders>
    </w:tblPr>
    <w:tcPr>
      <w:shd w:val="clear" w:color="auto" w:fill="5578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4C4C4C" w:themeColor="text1"/>
    </w:rPr>
    <w:tblPr>
      <w:tblStyleRowBandSize w:val="1"/>
      <w:tblStyleColBandSize w:val="1"/>
      <w:tblBorders>
        <w:top w:val="single" w:sz="4" w:space="0" w:color="4C4C4C" w:themeColor="text1"/>
        <w:bottom w:val="single" w:sz="4" w:space="0" w:color="4C4C4C" w:themeColor="text1"/>
      </w:tblBorders>
    </w:tblPr>
    <w:tblStylePr w:type="firstRow">
      <w:rPr>
        <w:b/>
        <w:bCs/>
      </w:rPr>
      <w:tblPr/>
      <w:tcPr>
        <w:tcBorders>
          <w:bottom w:val="single" w:sz="4" w:space="0" w:color="4C4C4C" w:themeColor="text1"/>
        </w:tcBorders>
      </w:tcPr>
    </w:tblStylePr>
    <w:tblStylePr w:type="lastRow">
      <w:rPr>
        <w:b/>
        <w:bCs/>
      </w:rPr>
      <w:tblPr/>
      <w:tcPr>
        <w:tcBorders>
          <w:top w:val="double" w:sz="4" w:space="0" w:color="4C4C4C" w:themeColor="text1"/>
        </w:tcBorders>
      </w:tcPr>
    </w:tblStylePr>
    <w:tblStylePr w:type="firstCol">
      <w:rPr>
        <w:b/>
        <w:bCs/>
      </w:rPr>
    </w:tblStylePr>
    <w:tblStylePr w:type="lastCol">
      <w:rPr>
        <w:b/>
        <w:bCs/>
      </w:rPr>
    </w:tblStylePr>
    <w:tblStylePr w:type="band1Vert">
      <w:tblPr/>
      <w:tcPr>
        <w:shd w:val="clear" w:color="auto" w:fill="DBDBDB" w:themeFill="text1" w:themeFillTint="33"/>
      </w:tcPr>
    </w:tblStylePr>
    <w:tblStylePr w:type="band1Horz">
      <w:tblPr/>
      <w:tcPr>
        <w:shd w:val="clear" w:color="auto" w:fill="DBDBDB"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3C6EA8" w:themeColor="accent1" w:themeShade="BF"/>
    </w:rPr>
    <w:tblPr>
      <w:tblStyleRowBandSize w:val="1"/>
      <w:tblStyleColBandSize w:val="1"/>
      <w:tblBorders>
        <w:top w:val="single" w:sz="4" w:space="0" w:color="6996C9" w:themeColor="accent1"/>
        <w:bottom w:val="single" w:sz="4" w:space="0" w:color="6996C9" w:themeColor="accent1"/>
      </w:tblBorders>
    </w:tblPr>
    <w:tblStylePr w:type="firstRow">
      <w:rPr>
        <w:b/>
        <w:bCs/>
      </w:rPr>
      <w:tblPr/>
      <w:tcPr>
        <w:tcBorders>
          <w:bottom w:val="single" w:sz="4" w:space="0" w:color="6996C9" w:themeColor="accent1"/>
        </w:tcBorders>
      </w:tcPr>
    </w:tblStylePr>
    <w:tblStylePr w:type="lastRow">
      <w:rPr>
        <w:b/>
        <w:bCs/>
      </w:rPr>
      <w:tblPr/>
      <w:tcPr>
        <w:tcBorders>
          <w:top w:val="double" w:sz="4" w:space="0" w:color="6996C9" w:themeColor="accent1"/>
        </w:tcBorders>
      </w:tcPr>
    </w:tblStylePr>
    <w:tblStylePr w:type="firstCol">
      <w:rPr>
        <w:b/>
        <w:bCs/>
      </w:rPr>
    </w:tblStylePr>
    <w:tblStylePr w:type="lastCol">
      <w:rPr>
        <w:b/>
        <w:bCs/>
      </w:rPr>
    </w:tblStylePr>
    <w:tblStylePr w:type="band1Vert">
      <w:tblPr/>
      <w:tcPr>
        <w:shd w:val="clear" w:color="auto" w:fill="E0E9F4" w:themeFill="accent1" w:themeFillTint="33"/>
      </w:tcPr>
    </w:tblStylePr>
    <w:tblStylePr w:type="band1Horz">
      <w:tblPr/>
      <w:tcPr>
        <w:shd w:val="clear" w:color="auto" w:fill="E0E9F4"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2F4359" w:themeColor="accent2" w:themeShade="BF"/>
    </w:rPr>
    <w:tblPr>
      <w:tblStyleRowBandSize w:val="1"/>
      <w:tblStyleColBandSize w:val="1"/>
      <w:tblBorders>
        <w:top w:val="single" w:sz="4" w:space="0" w:color="3F5A78" w:themeColor="accent2"/>
        <w:bottom w:val="single" w:sz="4" w:space="0" w:color="3F5A78" w:themeColor="accent2"/>
      </w:tblBorders>
    </w:tblPr>
    <w:tblStylePr w:type="firstRow">
      <w:rPr>
        <w:b/>
        <w:bCs/>
      </w:rPr>
      <w:tblPr/>
      <w:tcPr>
        <w:tcBorders>
          <w:bottom w:val="single" w:sz="4" w:space="0" w:color="3F5A78" w:themeColor="accent2"/>
        </w:tcBorders>
      </w:tcPr>
    </w:tblStylePr>
    <w:tblStylePr w:type="lastRow">
      <w:rPr>
        <w:b/>
        <w:bCs/>
      </w:rPr>
      <w:tblPr/>
      <w:tcPr>
        <w:tcBorders>
          <w:top w:val="double" w:sz="4" w:space="0" w:color="3F5A78" w:themeColor="accent2"/>
        </w:tcBorders>
      </w:tcPr>
    </w:tblStylePr>
    <w:tblStylePr w:type="firstCol">
      <w:rPr>
        <w:b/>
        <w:bCs/>
      </w:rPr>
    </w:tblStylePr>
    <w:tblStylePr w:type="lastCol">
      <w:rPr>
        <w:b/>
        <w:bCs/>
      </w:rPr>
    </w:tblStylePr>
    <w:tblStylePr w:type="band1Vert">
      <w:tblPr/>
      <w:tcPr>
        <w:shd w:val="clear" w:color="auto" w:fill="D3DDE8" w:themeFill="accent2" w:themeFillTint="33"/>
      </w:tcPr>
    </w:tblStylePr>
    <w:tblStylePr w:type="band1Horz">
      <w:tblPr/>
      <w:tcPr>
        <w:shd w:val="clear" w:color="auto" w:fill="D3DDE8"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7EA3D1" w:themeColor="accent3" w:themeShade="BF"/>
    </w:rPr>
    <w:tblPr>
      <w:tblStyleRowBandSize w:val="1"/>
      <w:tblStyleColBandSize w:val="1"/>
      <w:tblBorders>
        <w:top w:val="single" w:sz="4" w:space="0" w:color="D2DFEF" w:themeColor="accent3"/>
        <w:bottom w:val="single" w:sz="4" w:space="0" w:color="D2DFEF" w:themeColor="accent3"/>
      </w:tblBorders>
    </w:tblPr>
    <w:tblStylePr w:type="firstRow">
      <w:rPr>
        <w:b/>
        <w:bCs/>
      </w:rPr>
      <w:tblPr/>
      <w:tcPr>
        <w:tcBorders>
          <w:bottom w:val="single" w:sz="4" w:space="0" w:color="D2DFEF" w:themeColor="accent3"/>
        </w:tcBorders>
      </w:tcPr>
    </w:tblStylePr>
    <w:tblStylePr w:type="lastRow">
      <w:rPr>
        <w:b/>
        <w:bCs/>
      </w:rPr>
      <w:tblPr/>
      <w:tcPr>
        <w:tcBorders>
          <w:top w:val="double" w:sz="4" w:space="0" w:color="D2DFEF" w:themeColor="accent3"/>
        </w:tcBorders>
      </w:tcPr>
    </w:tblStylePr>
    <w:tblStylePr w:type="firstCol">
      <w:rPr>
        <w:b/>
        <w:bCs/>
      </w:rPr>
    </w:tblStylePr>
    <w:tblStylePr w:type="lastCol">
      <w:rPr>
        <w:b/>
        <w:bCs/>
      </w:rPr>
    </w:tblStylePr>
    <w:tblStylePr w:type="band1Vert">
      <w:tblPr/>
      <w:tcPr>
        <w:shd w:val="clear" w:color="auto" w:fill="F5F8FB" w:themeFill="accent3" w:themeFillTint="33"/>
      </w:tcPr>
    </w:tblStylePr>
    <w:tblStylePr w:type="band1Horz">
      <w:tblPr/>
      <w:tcPr>
        <w:shd w:val="clear" w:color="auto" w:fill="F5F8FB"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5D8DC4" w:themeColor="accent4" w:themeShade="BF"/>
    </w:rPr>
    <w:tblPr>
      <w:tblStyleRowBandSize w:val="1"/>
      <w:tblStyleColBandSize w:val="1"/>
      <w:tblBorders>
        <w:top w:val="single" w:sz="4" w:space="0" w:color="A5C0DE" w:themeColor="accent4"/>
        <w:bottom w:val="single" w:sz="4" w:space="0" w:color="A5C0DE" w:themeColor="accent4"/>
      </w:tblBorders>
    </w:tblPr>
    <w:tblStylePr w:type="firstRow">
      <w:rPr>
        <w:b/>
        <w:bCs/>
      </w:rPr>
      <w:tblPr/>
      <w:tcPr>
        <w:tcBorders>
          <w:bottom w:val="single" w:sz="4" w:space="0" w:color="A5C0DE" w:themeColor="accent4"/>
        </w:tcBorders>
      </w:tcPr>
    </w:tblStylePr>
    <w:tblStylePr w:type="lastRow">
      <w:rPr>
        <w:b/>
        <w:bCs/>
      </w:rPr>
      <w:tblPr/>
      <w:tcPr>
        <w:tcBorders>
          <w:top w:val="double" w:sz="4" w:space="0" w:color="A5C0DE" w:themeColor="accent4"/>
        </w:tcBorders>
      </w:tcPr>
    </w:tblStylePr>
    <w:tblStylePr w:type="firstCol">
      <w:rPr>
        <w:b/>
        <w:bCs/>
      </w:rPr>
    </w:tblStylePr>
    <w:tblStylePr w:type="lastCol">
      <w:rPr>
        <w:b/>
        <w:bCs/>
      </w:rPr>
    </w:tblStylePr>
    <w:tblStylePr w:type="band1Vert">
      <w:tblPr/>
      <w:tcPr>
        <w:shd w:val="clear" w:color="auto" w:fill="ECF2F8" w:themeFill="accent4" w:themeFillTint="33"/>
      </w:tcPr>
    </w:tblStylePr>
    <w:tblStylePr w:type="band1Horz">
      <w:tblPr/>
      <w:tcPr>
        <w:shd w:val="clear" w:color="auto" w:fill="ECF2F8"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487DBB" w:themeColor="accent5" w:themeShade="BF"/>
    </w:rPr>
    <w:tblPr>
      <w:tblStyleRowBandSize w:val="1"/>
      <w:tblStyleColBandSize w:val="1"/>
      <w:tblBorders>
        <w:top w:val="single" w:sz="4" w:space="0" w:color="88ABD3" w:themeColor="accent5"/>
        <w:bottom w:val="single" w:sz="4" w:space="0" w:color="88ABD3" w:themeColor="accent5"/>
      </w:tblBorders>
    </w:tblPr>
    <w:tblStylePr w:type="firstRow">
      <w:rPr>
        <w:b/>
        <w:bCs/>
      </w:rPr>
      <w:tblPr/>
      <w:tcPr>
        <w:tcBorders>
          <w:bottom w:val="single" w:sz="4" w:space="0" w:color="88ABD3" w:themeColor="accent5"/>
        </w:tcBorders>
      </w:tcPr>
    </w:tblStylePr>
    <w:tblStylePr w:type="lastRow">
      <w:rPr>
        <w:b/>
        <w:bCs/>
      </w:rPr>
      <w:tblPr/>
      <w:tcPr>
        <w:tcBorders>
          <w:top w:val="double" w:sz="4" w:space="0" w:color="88ABD3"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3F5977" w:themeColor="accent6" w:themeShade="BF"/>
    </w:rPr>
    <w:tblPr>
      <w:tblStyleRowBandSize w:val="1"/>
      <w:tblStyleColBandSize w:val="1"/>
      <w:tblBorders>
        <w:top w:val="single" w:sz="4" w:space="0" w:color="5578A0" w:themeColor="accent6"/>
        <w:bottom w:val="single" w:sz="4" w:space="0" w:color="5578A0" w:themeColor="accent6"/>
      </w:tblBorders>
    </w:tblPr>
    <w:tblStylePr w:type="firstRow">
      <w:rPr>
        <w:b/>
        <w:bCs/>
      </w:rPr>
      <w:tblPr/>
      <w:tcPr>
        <w:tcBorders>
          <w:bottom w:val="single" w:sz="4" w:space="0" w:color="5578A0" w:themeColor="accent6"/>
        </w:tcBorders>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table" w:styleId="ListTable7Colorful">
    <w:name w:val="List Table 7 Colorful"/>
    <w:basedOn w:val="TableNormal"/>
    <w:uiPriority w:val="52"/>
    <w:rsid w:val="005225B2"/>
    <w:pPr>
      <w:spacing w:after="0" w:line="240" w:lineRule="auto"/>
    </w:pPr>
    <w:rPr>
      <w:color w:val="4C4C4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4C4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4C4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4C4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4C4C" w:themeColor="text1"/>
        </w:tcBorders>
        <w:shd w:val="clear" w:color="auto" w:fill="FFFFFF" w:themeFill="background1"/>
      </w:tcPr>
    </w:tblStylePr>
    <w:tblStylePr w:type="band1Vert">
      <w:tblPr/>
      <w:tcPr>
        <w:shd w:val="clear" w:color="auto" w:fill="DBDBDB" w:themeFill="text1" w:themeFillTint="33"/>
      </w:tcPr>
    </w:tblStylePr>
    <w:tblStylePr w:type="band1Horz">
      <w:tblPr/>
      <w:tcPr>
        <w:shd w:val="clear" w:color="auto" w:fill="DBDB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3C6EA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96C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96C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96C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96C9" w:themeColor="accent1"/>
        </w:tcBorders>
        <w:shd w:val="clear" w:color="auto" w:fill="FFFFFF" w:themeFill="background1"/>
      </w:tcPr>
    </w:tblStylePr>
    <w:tblStylePr w:type="band1Vert">
      <w:tblPr/>
      <w:tcPr>
        <w:shd w:val="clear" w:color="auto" w:fill="E0E9F4" w:themeFill="accent1" w:themeFillTint="33"/>
      </w:tcPr>
    </w:tblStylePr>
    <w:tblStylePr w:type="band1Horz">
      <w:tblPr/>
      <w:tcPr>
        <w:shd w:val="clear" w:color="auto" w:fill="E0E9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2F435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5A7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5A7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5A7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5A78" w:themeColor="accent2"/>
        </w:tcBorders>
        <w:shd w:val="clear" w:color="auto" w:fill="FFFFFF" w:themeFill="background1"/>
      </w:tcPr>
    </w:tblStylePr>
    <w:tblStylePr w:type="band1Vert">
      <w:tblPr/>
      <w:tcPr>
        <w:shd w:val="clear" w:color="auto" w:fill="D3DDE8" w:themeFill="accent2" w:themeFillTint="33"/>
      </w:tcPr>
    </w:tblStylePr>
    <w:tblStylePr w:type="band1Horz">
      <w:tblPr/>
      <w:tcPr>
        <w:shd w:val="clear" w:color="auto" w:fill="D3DD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7EA3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DFE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DFE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DFE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DFEF" w:themeColor="accent3"/>
        </w:tcBorders>
        <w:shd w:val="clear" w:color="auto" w:fill="FFFFFF" w:themeFill="background1"/>
      </w:tcPr>
    </w:tblStylePr>
    <w:tblStylePr w:type="band1Vert">
      <w:tblPr/>
      <w:tcPr>
        <w:shd w:val="clear" w:color="auto" w:fill="F5F8FB" w:themeFill="accent3" w:themeFillTint="33"/>
      </w:tcPr>
    </w:tblStylePr>
    <w:tblStylePr w:type="band1Horz">
      <w:tblPr/>
      <w:tcPr>
        <w:shd w:val="clear" w:color="auto" w:fill="F5F8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5D8D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0D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0D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0D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0DE" w:themeColor="accent4"/>
        </w:tcBorders>
        <w:shd w:val="clear" w:color="auto" w:fill="FFFFFF" w:themeFill="background1"/>
      </w:tcPr>
    </w:tblStylePr>
    <w:tblStylePr w:type="band1Vert">
      <w:tblPr/>
      <w:tcPr>
        <w:shd w:val="clear" w:color="auto" w:fill="ECF2F8" w:themeFill="accent4" w:themeFillTint="33"/>
      </w:tcPr>
    </w:tblStylePr>
    <w:tblStylePr w:type="band1Horz">
      <w:tblPr/>
      <w:tcPr>
        <w:shd w:val="clear" w:color="auto" w:fill="ECF2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487DB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AB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AB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AB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ABD3" w:themeColor="accent5"/>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3F5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78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78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78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78A0" w:themeColor="accent6"/>
        </w:tcBorders>
        <w:shd w:val="clear" w:color="auto" w:fill="FFFFFF" w:themeFill="background1"/>
      </w:tcPr>
    </w:tblStylePr>
    <w:tblStylePr w:type="band1Vert">
      <w:tblPr/>
      <w:tcPr>
        <w:shd w:val="clear" w:color="auto" w:fill="DCE3EC" w:themeFill="accent6" w:themeFillTint="33"/>
      </w:tcPr>
    </w:tblStylePr>
    <w:tblStylePr w:type="band1Horz">
      <w:tblPr/>
      <w:tcPr>
        <w:shd w:val="clear" w:color="auto" w:fill="DCE3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single" w:sz="8" w:space="0" w:color="787878" w:themeColor="text1" w:themeTint="BF"/>
        <w:insideV w:val="single" w:sz="8" w:space="0" w:color="787878" w:themeColor="text1" w:themeTint="BF"/>
      </w:tblBorders>
    </w:tblPr>
    <w:tcPr>
      <w:shd w:val="clear" w:color="auto" w:fill="D2D2D2" w:themeFill="text1" w:themeFillTint="3F"/>
    </w:tcPr>
    <w:tblStylePr w:type="firstRow">
      <w:rPr>
        <w:b/>
        <w:bCs/>
      </w:rPr>
    </w:tblStylePr>
    <w:tblStylePr w:type="lastRow">
      <w:rPr>
        <w:b/>
        <w:bCs/>
      </w:rPr>
      <w:tblPr/>
      <w:tcPr>
        <w:tcBorders>
          <w:top w:val="single" w:sz="18" w:space="0" w:color="787878" w:themeColor="text1" w:themeTint="BF"/>
        </w:tcBorders>
      </w:tcPr>
    </w:tblStylePr>
    <w:tblStylePr w:type="firstCol">
      <w:rPr>
        <w:b/>
        <w:bCs/>
      </w:rPr>
    </w:tblStylePr>
    <w:tblStylePr w:type="lastCol">
      <w:rPr>
        <w:b/>
        <w:bCs/>
      </w:rPr>
    </w:tblStylePr>
    <w:tblStylePr w:type="band1Vert">
      <w:tblPr/>
      <w:tcPr>
        <w:shd w:val="clear" w:color="auto" w:fill="A5A5A5" w:themeFill="text1" w:themeFillTint="7F"/>
      </w:tcPr>
    </w:tblStylePr>
    <w:tblStylePr w:type="band1Horz">
      <w:tblPr/>
      <w:tcPr>
        <w:shd w:val="clear" w:color="auto" w:fill="A5A5A5"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single" w:sz="8" w:space="0" w:color="8EB0D6" w:themeColor="accent1" w:themeTint="BF"/>
        <w:insideV w:val="single" w:sz="8" w:space="0" w:color="8EB0D6" w:themeColor="accent1" w:themeTint="BF"/>
      </w:tblBorders>
    </w:tblPr>
    <w:tcPr>
      <w:shd w:val="clear" w:color="auto" w:fill="D9E4F1" w:themeFill="accent1" w:themeFillTint="3F"/>
    </w:tcPr>
    <w:tblStylePr w:type="firstRow">
      <w:rPr>
        <w:b/>
        <w:bCs/>
      </w:rPr>
    </w:tblStylePr>
    <w:tblStylePr w:type="lastRow">
      <w:rPr>
        <w:b/>
        <w:bCs/>
      </w:rPr>
      <w:tblPr/>
      <w:tcPr>
        <w:tcBorders>
          <w:top w:val="single" w:sz="18" w:space="0" w:color="8EB0D6" w:themeColor="accent1" w:themeTint="BF"/>
        </w:tcBorders>
      </w:tcPr>
    </w:tblStylePr>
    <w:tblStylePr w:type="firstCol">
      <w:rPr>
        <w:b/>
        <w:bCs/>
      </w:rPr>
    </w:tblStylePr>
    <w:tblStylePr w:type="lastCol">
      <w:rPr>
        <w:b/>
        <w:bCs/>
      </w:rPr>
    </w:tblStylePr>
    <w:tblStylePr w:type="band1Vert">
      <w:tblPr/>
      <w:tcPr>
        <w:shd w:val="clear" w:color="auto" w:fill="B4CAE4" w:themeFill="accent1" w:themeFillTint="7F"/>
      </w:tcPr>
    </w:tblStylePr>
    <w:tblStylePr w:type="band1Horz">
      <w:tblPr/>
      <w:tcPr>
        <w:shd w:val="clear" w:color="auto" w:fill="B4CAE4"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single" w:sz="8" w:space="0" w:color="5E82AA" w:themeColor="accent2" w:themeTint="BF"/>
        <w:insideV w:val="single" w:sz="8" w:space="0" w:color="5E82AA" w:themeColor="accent2" w:themeTint="BF"/>
      </w:tblBorders>
    </w:tblPr>
    <w:tcPr>
      <w:shd w:val="clear" w:color="auto" w:fill="C9D5E3" w:themeFill="accent2" w:themeFillTint="3F"/>
    </w:tcPr>
    <w:tblStylePr w:type="firstRow">
      <w:rPr>
        <w:b/>
        <w:bCs/>
      </w:rPr>
    </w:tblStylePr>
    <w:tblStylePr w:type="lastRow">
      <w:rPr>
        <w:b/>
        <w:bCs/>
      </w:rPr>
      <w:tblPr/>
      <w:tcPr>
        <w:tcBorders>
          <w:top w:val="single" w:sz="18" w:space="0" w:color="5E82AA" w:themeColor="accent2" w:themeTint="BF"/>
        </w:tcBorders>
      </w:tcPr>
    </w:tblStylePr>
    <w:tblStylePr w:type="firstCol">
      <w:rPr>
        <w:b/>
        <w:bCs/>
      </w:rPr>
    </w:tblStylePr>
    <w:tblStylePr w:type="lastCol">
      <w:rPr>
        <w:b/>
        <w:bCs/>
      </w:rPr>
    </w:tblStylePr>
    <w:tblStylePr w:type="band1Vert">
      <w:tblPr/>
      <w:tcPr>
        <w:shd w:val="clear" w:color="auto" w:fill="94ACC7" w:themeFill="accent2" w:themeFillTint="7F"/>
      </w:tcPr>
    </w:tblStylePr>
    <w:tblStylePr w:type="band1Horz">
      <w:tblPr/>
      <w:tcPr>
        <w:shd w:val="clear" w:color="auto" w:fill="94ACC7"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single" w:sz="8" w:space="0" w:color="DDE6F3" w:themeColor="accent3" w:themeTint="BF"/>
        <w:insideV w:val="single" w:sz="8" w:space="0" w:color="DDE6F3" w:themeColor="accent3" w:themeTint="BF"/>
      </w:tblBorders>
    </w:tblPr>
    <w:tcPr>
      <w:shd w:val="clear" w:color="auto" w:fill="F3F6FB" w:themeFill="accent3" w:themeFillTint="3F"/>
    </w:tcPr>
    <w:tblStylePr w:type="firstRow">
      <w:rPr>
        <w:b/>
        <w:bCs/>
      </w:rPr>
    </w:tblStylePr>
    <w:tblStylePr w:type="lastRow">
      <w:rPr>
        <w:b/>
        <w:bCs/>
      </w:rPr>
      <w:tblPr/>
      <w:tcPr>
        <w:tcBorders>
          <w:top w:val="single" w:sz="18" w:space="0" w:color="DDE6F3" w:themeColor="accent3" w:themeTint="BF"/>
        </w:tcBorders>
      </w:tcPr>
    </w:tblStylePr>
    <w:tblStylePr w:type="firstCol">
      <w:rPr>
        <w:b/>
        <w:bCs/>
      </w:rPr>
    </w:tblStylePr>
    <w:tblStylePr w:type="lastCol">
      <w:rPr>
        <w:b/>
        <w:bCs/>
      </w:rPr>
    </w:tblStylePr>
    <w:tblStylePr w:type="band1Vert">
      <w:tblPr/>
      <w:tcPr>
        <w:shd w:val="clear" w:color="auto" w:fill="E8EEF7" w:themeFill="accent3" w:themeFillTint="7F"/>
      </w:tcPr>
    </w:tblStylePr>
    <w:tblStylePr w:type="band1Horz">
      <w:tblPr/>
      <w:tcPr>
        <w:shd w:val="clear" w:color="auto" w:fill="E8EEF7"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single" w:sz="8" w:space="0" w:color="BBCFE6" w:themeColor="accent4" w:themeTint="BF"/>
        <w:insideV w:val="single" w:sz="8" w:space="0" w:color="BBCFE6" w:themeColor="accent4" w:themeTint="BF"/>
      </w:tblBorders>
    </w:tblPr>
    <w:tcPr>
      <w:shd w:val="clear" w:color="auto" w:fill="E8EFF6" w:themeFill="accent4" w:themeFillTint="3F"/>
    </w:tcPr>
    <w:tblStylePr w:type="firstRow">
      <w:rPr>
        <w:b/>
        <w:bCs/>
      </w:rPr>
    </w:tblStylePr>
    <w:tblStylePr w:type="lastRow">
      <w:rPr>
        <w:b/>
        <w:bCs/>
      </w:rPr>
      <w:tblPr/>
      <w:tcPr>
        <w:tcBorders>
          <w:top w:val="single" w:sz="18" w:space="0" w:color="BBCFE6" w:themeColor="accent4" w:themeTint="BF"/>
        </w:tcBorders>
      </w:tcPr>
    </w:tblStylePr>
    <w:tblStylePr w:type="firstCol">
      <w:rPr>
        <w:b/>
        <w:bCs/>
      </w:rPr>
    </w:tblStylePr>
    <w:tblStylePr w:type="lastCol">
      <w:rPr>
        <w:b/>
        <w:bCs/>
      </w:rPr>
    </w:tblStylePr>
    <w:tblStylePr w:type="band1Vert">
      <w:tblPr/>
      <w:tcPr>
        <w:shd w:val="clear" w:color="auto" w:fill="D2DFEE" w:themeFill="accent4" w:themeFillTint="7F"/>
      </w:tcPr>
    </w:tblStylePr>
    <w:tblStylePr w:type="band1Horz">
      <w:tblPr/>
      <w:tcPr>
        <w:shd w:val="clear" w:color="auto" w:fill="D2DFEE"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single" w:sz="8" w:space="0" w:color="A5BFDE" w:themeColor="accent5" w:themeTint="BF"/>
        <w:insideV w:val="single" w:sz="8" w:space="0" w:color="A5BFDE" w:themeColor="accent5" w:themeTint="BF"/>
      </w:tblBorders>
    </w:tblPr>
    <w:tcPr>
      <w:shd w:val="clear" w:color="auto" w:fill="E1EAF4" w:themeFill="accent5" w:themeFillTint="3F"/>
    </w:tcPr>
    <w:tblStylePr w:type="firstRow">
      <w:rPr>
        <w:b/>
        <w:bCs/>
      </w:rPr>
    </w:tblStylePr>
    <w:tblStylePr w:type="lastRow">
      <w:rPr>
        <w:b/>
        <w:bCs/>
      </w:rPr>
      <w:tblPr/>
      <w:tcPr>
        <w:tcBorders>
          <w:top w:val="single" w:sz="18" w:space="0" w:color="A5BFDE" w:themeColor="accent5" w:themeTint="BF"/>
        </w:tcBorders>
      </w:tcPr>
    </w:tblStylePr>
    <w:tblStylePr w:type="firstCol">
      <w:rPr>
        <w:b/>
        <w:bCs/>
      </w:rPr>
    </w:tblStylePr>
    <w:tblStylePr w:type="lastCol">
      <w:rPr>
        <w:b/>
        <w:bCs/>
      </w:rPr>
    </w:tblStylePr>
    <w:tblStylePr w:type="band1Vert">
      <w:tblPr/>
      <w:tcPr>
        <w:shd w:val="clear" w:color="auto" w:fill="C3D5E9" w:themeFill="accent5" w:themeFillTint="7F"/>
      </w:tcPr>
    </w:tblStylePr>
    <w:tblStylePr w:type="band1Horz">
      <w:tblPr/>
      <w:tcPr>
        <w:shd w:val="clear" w:color="auto" w:fill="C3D5E9"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single" w:sz="8" w:space="0" w:color="7D99BA" w:themeColor="accent6" w:themeTint="BF"/>
        <w:insideV w:val="single" w:sz="8" w:space="0" w:color="7D99BA" w:themeColor="accent6" w:themeTint="BF"/>
      </w:tblBorders>
    </w:tblPr>
    <w:tcPr>
      <w:shd w:val="clear" w:color="auto" w:fill="D4DDE8" w:themeFill="accent6" w:themeFillTint="3F"/>
    </w:tcPr>
    <w:tblStylePr w:type="firstRow">
      <w:rPr>
        <w:b/>
        <w:bCs/>
      </w:rPr>
    </w:tblStylePr>
    <w:tblStylePr w:type="lastRow">
      <w:rPr>
        <w:b/>
        <w:bCs/>
      </w:rPr>
      <w:tblPr/>
      <w:tcPr>
        <w:tcBorders>
          <w:top w:val="single" w:sz="18" w:space="0" w:color="7D99BA" w:themeColor="accent6" w:themeTint="BF"/>
        </w:tcBorders>
      </w:tcPr>
    </w:tblStylePr>
    <w:tblStylePr w:type="firstCol">
      <w:rPr>
        <w:b/>
        <w:bCs/>
      </w:rPr>
    </w:tblStylePr>
    <w:tblStylePr w:type="lastCol">
      <w:rPr>
        <w:b/>
        <w:bCs/>
      </w:rPr>
    </w:tblStylePr>
    <w:tblStylePr w:type="band1Vert">
      <w:tblPr/>
      <w:tcPr>
        <w:shd w:val="clear" w:color="auto" w:fill="A8BBD1" w:themeFill="accent6" w:themeFillTint="7F"/>
      </w:tcPr>
    </w:tblStylePr>
    <w:tblStylePr w:type="band1Horz">
      <w:tblPr/>
      <w:tcPr>
        <w:shd w:val="clear" w:color="auto" w:fill="A8BBD1"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insideH w:val="single" w:sz="8" w:space="0" w:color="4C4C4C" w:themeColor="text1"/>
        <w:insideV w:val="single" w:sz="8" w:space="0" w:color="4C4C4C" w:themeColor="text1"/>
      </w:tblBorders>
    </w:tblPr>
    <w:tcPr>
      <w:shd w:val="clear" w:color="auto" w:fill="D2D2D2" w:themeFill="text1" w:themeFillTint="3F"/>
    </w:tcPr>
    <w:tblStylePr w:type="firstRow">
      <w:rPr>
        <w:b/>
        <w:bCs/>
        <w:color w:val="4C4C4C" w:themeColor="text1"/>
      </w:rPr>
      <w:tblPr/>
      <w:tcPr>
        <w:shd w:val="clear" w:color="auto" w:fill="EDEDED" w:themeFill="text1"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BDBDB" w:themeFill="text1" w:themeFillTint="33"/>
      </w:tcPr>
    </w:tblStylePr>
    <w:tblStylePr w:type="band1Vert">
      <w:tblPr/>
      <w:tcPr>
        <w:shd w:val="clear" w:color="auto" w:fill="A5A5A5" w:themeFill="text1" w:themeFillTint="7F"/>
      </w:tcPr>
    </w:tblStylePr>
    <w:tblStylePr w:type="band1Horz">
      <w:tblPr/>
      <w:tcPr>
        <w:tcBorders>
          <w:insideH w:val="single" w:sz="6" w:space="0" w:color="4C4C4C" w:themeColor="text1"/>
          <w:insideV w:val="single" w:sz="6" w:space="0" w:color="4C4C4C" w:themeColor="text1"/>
        </w:tcBorders>
        <w:shd w:val="clear" w:color="auto" w:fill="A5A5A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insideH w:val="single" w:sz="8" w:space="0" w:color="6996C9" w:themeColor="accent1"/>
        <w:insideV w:val="single" w:sz="8" w:space="0" w:color="6996C9" w:themeColor="accent1"/>
      </w:tblBorders>
    </w:tblPr>
    <w:tcPr>
      <w:shd w:val="clear" w:color="auto" w:fill="D9E4F1" w:themeFill="accent1" w:themeFillTint="3F"/>
    </w:tcPr>
    <w:tblStylePr w:type="firstRow">
      <w:rPr>
        <w:b/>
        <w:bCs/>
        <w:color w:val="4C4C4C" w:themeColor="text1"/>
      </w:rPr>
      <w:tblPr/>
      <w:tcPr>
        <w:shd w:val="clear" w:color="auto" w:fill="F0F4F9" w:themeFill="accent1"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0E9F4" w:themeFill="accent1" w:themeFillTint="33"/>
      </w:tcPr>
    </w:tblStylePr>
    <w:tblStylePr w:type="band1Vert">
      <w:tblPr/>
      <w:tcPr>
        <w:shd w:val="clear" w:color="auto" w:fill="B4CAE4" w:themeFill="accent1" w:themeFillTint="7F"/>
      </w:tcPr>
    </w:tblStylePr>
    <w:tblStylePr w:type="band1Horz">
      <w:tblPr/>
      <w:tcPr>
        <w:tcBorders>
          <w:insideH w:val="single" w:sz="6" w:space="0" w:color="6996C9" w:themeColor="accent1"/>
          <w:insideV w:val="single" w:sz="6" w:space="0" w:color="6996C9" w:themeColor="accent1"/>
        </w:tcBorders>
        <w:shd w:val="clear" w:color="auto" w:fill="B4CAE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insideH w:val="single" w:sz="8" w:space="0" w:color="3F5A78" w:themeColor="accent2"/>
        <w:insideV w:val="single" w:sz="8" w:space="0" w:color="3F5A78" w:themeColor="accent2"/>
      </w:tblBorders>
    </w:tblPr>
    <w:tcPr>
      <w:shd w:val="clear" w:color="auto" w:fill="C9D5E3" w:themeFill="accent2" w:themeFillTint="3F"/>
    </w:tcPr>
    <w:tblStylePr w:type="firstRow">
      <w:rPr>
        <w:b/>
        <w:bCs/>
        <w:color w:val="4C4C4C" w:themeColor="text1"/>
      </w:rPr>
      <w:tblPr/>
      <w:tcPr>
        <w:shd w:val="clear" w:color="auto" w:fill="E9EEF4" w:themeFill="accent2"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3DDE8" w:themeFill="accent2" w:themeFillTint="33"/>
      </w:tcPr>
    </w:tblStylePr>
    <w:tblStylePr w:type="band1Vert">
      <w:tblPr/>
      <w:tcPr>
        <w:shd w:val="clear" w:color="auto" w:fill="94ACC7" w:themeFill="accent2" w:themeFillTint="7F"/>
      </w:tcPr>
    </w:tblStylePr>
    <w:tblStylePr w:type="band1Horz">
      <w:tblPr/>
      <w:tcPr>
        <w:tcBorders>
          <w:insideH w:val="single" w:sz="6" w:space="0" w:color="3F5A78" w:themeColor="accent2"/>
          <w:insideV w:val="single" w:sz="6" w:space="0" w:color="3F5A78" w:themeColor="accent2"/>
        </w:tcBorders>
        <w:shd w:val="clear" w:color="auto" w:fill="94ACC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insideH w:val="single" w:sz="8" w:space="0" w:color="D2DFEF" w:themeColor="accent3"/>
        <w:insideV w:val="single" w:sz="8" w:space="0" w:color="D2DFEF" w:themeColor="accent3"/>
      </w:tblBorders>
    </w:tblPr>
    <w:tcPr>
      <w:shd w:val="clear" w:color="auto" w:fill="F3F6FB" w:themeFill="accent3" w:themeFillTint="3F"/>
    </w:tcPr>
    <w:tblStylePr w:type="firstRow">
      <w:rPr>
        <w:b/>
        <w:bCs/>
        <w:color w:val="4C4C4C" w:themeColor="text1"/>
      </w:rPr>
      <w:tblPr/>
      <w:tcPr>
        <w:shd w:val="clear" w:color="auto" w:fill="FAFBFD" w:themeFill="accent3"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F5F8FB" w:themeFill="accent3" w:themeFillTint="33"/>
      </w:tcPr>
    </w:tblStylePr>
    <w:tblStylePr w:type="band1Vert">
      <w:tblPr/>
      <w:tcPr>
        <w:shd w:val="clear" w:color="auto" w:fill="E8EEF7" w:themeFill="accent3" w:themeFillTint="7F"/>
      </w:tcPr>
    </w:tblStylePr>
    <w:tblStylePr w:type="band1Horz">
      <w:tblPr/>
      <w:tcPr>
        <w:tcBorders>
          <w:insideH w:val="single" w:sz="6" w:space="0" w:color="D2DFEF" w:themeColor="accent3"/>
          <w:insideV w:val="single" w:sz="6" w:space="0" w:color="D2DFEF" w:themeColor="accent3"/>
        </w:tcBorders>
        <w:shd w:val="clear" w:color="auto" w:fill="E8EE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insideH w:val="single" w:sz="8" w:space="0" w:color="A5C0DE" w:themeColor="accent4"/>
        <w:insideV w:val="single" w:sz="8" w:space="0" w:color="A5C0DE" w:themeColor="accent4"/>
      </w:tblBorders>
    </w:tblPr>
    <w:tcPr>
      <w:shd w:val="clear" w:color="auto" w:fill="E8EFF6" w:themeFill="accent4" w:themeFillTint="3F"/>
    </w:tcPr>
    <w:tblStylePr w:type="firstRow">
      <w:rPr>
        <w:b/>
        <w:bCs/>
        <w:color w:val="4C4C4C" w:themeColor="text1"/>
      </w:rPr>
      <w:tblPr/>
      <w:tcPr>
        <w:shd w:val="clear" w:color="auto" w:fill="F5F8FB" w:themeFill="accent4"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CF2F8" w:themeFill="accent4" w:themeFillTint="33"/>
      </w:tcPr>
    </w:tblStylePr>
    <w:tblStylePr w:type="band1Vert">
      <w:tblPr/>
      <w:tcPr>
        <w:shd w:val="clear" w:color="auto" w:fill="D2DFEE" w:themeFill="accent4" w:themeFillTint="7F"/>
      </w:tcPr>
    </w:tblStylePr>
    <w:tblStylePr w:type="band1Horz">
      <w:tblPr/>
      <w:tcPr>
        <w:tcBorders>
          <w:insideH w:val="single" w:sz="6" w:space="0" w:color="A5C0DE" w:themeColor="accent4"/>
          <w:insideV w:val="single" w:sz="6" w:space="0" w:color="A5C0DE" w:themeColor="accent4"/>
        </w:tcBorders>
        <w:shd w:val="clear" w:color="auto" w:fill="D2D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insideH w:val="single" w:sz="8" w:space="0" w:color="88ABD3" w:themeColor="accent5"/>
        <w:insideV w:val="single" w:sz="8" w:space="0" w:color="88ABD3" w:themeColor="accent5"/>
      </w:tblBorders>
    </w:tblPr>
    <w:tcPr>
      <w:shd w:val="clear" w:color="auto" w:fill="E1EAF4" w:themeFill="accent5" w:themeFillTint="3F"/>
    </w:tcPr>
    <w:tblStylePr w:type="firstRow">
      <w:rPr>
        <w:b/>
        <w:bCs/>
        <w:color w:val="4C4C4C" w:themeColor="text1"/>
      </w:rPr>
      <w:tblPr/>
      <w:tcPr>
        <w:shd w:val="clear" w:color="auto" w:fill="F3F6FA" w:themeFill="accent5"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E7EEF6" w:themeFill="accent5" w:themeFillTint="33"/>
      </w:tcPr>
    </w:tblStylePr>
    <w:tblStylePr w:type="band1Vert">
      <w:tblPr/>
      <w:tcPr>
        <w:shd w:val="clear" w:color="auto" w:fill="C3D5E9" w:themeFill="accent5" w:themeFillTint="7F"/>
      </w:tcPr>
    </w:tblStylePr>
    <w:tblStylePr w:type="band1Horz">
      <w:tblPr/>
      <w:tcPr>
        <w:tcBorders>
          <w:insideH w:val="single" w:sz="6" w:space="0" w:color="88ABD3" w:themeColor="accent5"/>
          <w:insideV w:val="single" w:sz="6" w:space="0" w:color="88ABD3" w:themeColor="accent5"/>
        </w:tcBorders>
        <w:shd w:val="clear" w:color="auto" w:fill="C3D5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insideH w:val="single" w:sz="8" w:space="0" w:color="5578A0" w:themeColor="accent6"/>
        <w:insideV w:val="single" w:sz="8" w:space="0" w:color="5578A0" w:themeColor="accent6"/>
      </w:tblBorders>
    </w:tblPr>
    <w:tcPr>
      <w:shd w:val="clear" w:color="auto" w:fill="D4DDE8" w:themeFill="accent6" w:themeFillTint="3F"/>
    </w:tcPr>
    <w:tblStylePr w:type="firstRow">
      <w:rPr>
        <w:b/>
        <w:bCs/>
        <w:color w:val="4C4C4C" w:themeColor="text1"/>
      </w:rPr>
      <w:tblPr/>
      <w:tcPr>
        <w:shd w:val="clear" w:color="auto" w:fill="EEF1F6" w:themeFill="accent6" w:themeFillTint="19"/>
      </w:tcPr>
    </w:tblStylePr>
    <w:tblStylePr w:type="lastRow">
      <w:rPr>
        <w:b/>
        <w:bCs/>
        <w:color w:val="4C4C4C" w:themeColor="text1"/>
      </w:rPr>
      <w:tblPr/>
      <w:tcPr>
        <w:tcBorders>
          <w:top w:val="single" w:sz="12" w:space="0" w:color="4C4C4C" w:themeColor="text1"/>
          <w:left w:val="nil"/>
          <w:bottom w:val="nil"/>
          <w:right w:val="nil"/>
          <w:insideH w:val="nil"/>
          <w:insideV w:val="nil"/>
        </w:tcBorders>
        <w:shd w:val="clear" w:color="auto" w:fill="FFFFFF" w:themeFill="background1"/>
      </w:tcPr>
    </w:tblStylePr>
    <w:tblStylePr w:type="firstCol">
      <w:rPr>
        <w:b/>
        <w:bCs/>
        <w:color w:val="4C4C4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C4C4C" w:themeColor="text1"/>
      </w:rPr>
      <w:tblPr/>
      <w:tcPr>
        <w:tcBorders>
          <w:top w:val="nil"/>
          <w:left w:val="nil"/>
          <w:bottom w:val="nil"/>
          <w:right w:val="nil"/>
          <w:insideH w:val="nil"/>
          <w:insideV w:val="nil"/>
        </w:tcBorders>
        <w:shd w:val="clear" w:color="auto" w:fill="DCE3EC" w:themeFill="accent6" w:themeFillTint="33"/>
      </w:tcPr>
    </w:tblStylePr>
    <w:tblStylePr w:type="band1Vert">
      <w:tblPr/>
      <w:tcPr>
        <w:shd w:val="clear" w:color="auto" w:fill="A8BBD1" w:themeFill="accent6" w:themeFillTint="7F"/>
      </w:tcPr>
    </w:tblStylePr>
    <w:tblStylePr w:type="band1Horz">
      <w:tblPr/>
      <w:tcPr>
        <w:tcBorders>
          <w:insideH w:val="single" w:sz="6" w:space="0" w:color="5578A0" w:themeColor="accent6"/>
          <w:insideV w:val="single" w:sz="6" w:space="0" w:color="5578A0" w:themeColor="accent6"/>
        </w:tcBorders>
        <w:shd w:val="clear" w:color="auto" w:fill="A8BBD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4C4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4C4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4C4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4C4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A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A5"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6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6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6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6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A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AE4"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5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5A7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5A7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5A7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5A7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ACC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ACC7"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DF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DF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DF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DF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EE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EEF7"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0D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0D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0D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0D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FEE"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A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AB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AB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AB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AB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D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D5E9"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D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8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8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8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8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B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BD1"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4C4C4C" w:themeColor="text1"/>
    </w:rPr>
    <w:tblPr>
      <w:tblStyleRowBandSize w:val="1"/>
      <w:tblStyleColBandSize w:val="1"/>
      <w:tblBorders>
        <w:top w:val="single" w:sz="8" w:space="0" w:color="4C4C4C" w:themeColor="text1"/>
        <w:bottom w:val="single" w:sz="8" w:space="0" w:color="4C4C4C" w:themeColor="text1"/>
      </w:tblBorders>
    </w:tblPr>
    <w:tblStylePr w:type="firstRow">
      <w:rPr>
        <w:rFonts w:asciiTheme="majorHAnsi" w:eastAsiaTheme="majorEastAsia" w:hAnsiTheme="majorHAnsi" w:cstheme="majorBidi"/>
      </w:rPr>
      <w:tblPr/>
      <w:tcPr>
        <w:tcBorders>
          <w:top w:val="nil"/>
          <w:bottom w:val="single" w:sz="8" w:space="0" w:color="4C4C4C" w:themeColor="text1"/>
        </w:tcBorders>
      </w:tcPr>
    </w:tblStylePr>
    <w:tblStylePr w:type="lastRow">
      <w:rPr>
        <w:b/>
        <w:bCs/>
        <w:color w:val="2A3C50" w:themeColor="text2"/>
      </w:rPr>
      <w:tblPr/>
      <w:tcPr>
        <w:tcBorders>
          <w:top w:val="single" w:sz="8" w:space="0" w:color="4C4C4C" w:themeColor="text1"/>
          <w:bottom w:val="single" w:sz="8" w:space="0" w:color="4C4C4C" w:themeColor="text1"/>
        </w:tcBorders>
      </w:tcPr>
    </w:tblStylePr>
    <w:tblStylePr w:type="firstCol">
      <w:rPr>
        <w:b/>
        <w:bCs/>
      </w:rPr>
    </w:tblStylePr>
    <w:tblStylePr w:type="lastCol">
      <w:rPr>
        <w:b/>
        <w:bCs/>
      </w:rPr>
      <w:tblPr/>
      <w:tcPr>
        <w:tcBorders>
          <w:top w:val="single" w:sz="8" w:space="0" w:color="4C4C4C" w:themeColor="text1"/>
          <w:bottom w:val="single" w:sz="8" w:space="0" w:color="4C4C4C" w:themeColor="text1"/>
        </w:tcBorders>
      </w:tcPr>
    </w:tblStylePr>
    <w:tblStylePr w:type="band1Vert">
      <w:tblPr/>
      <w:tcPr>
        <w:shd w:val="clear" w:color="auto" w:fill="D2D2D2" w:themeFill="text1" w:themeFillTint="3F"/>
      </w:tcPr>
    </w:tblStylePr>
    <w:tblStylePr w:type="band1Horz">
      <w:tblPr/>
      <w:tcPr>
        <w:shd w:val="clear" w:color="auto" w:fill="D2D2D2"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4C4C4C" w:themeColor="text1"/>
    </w:rPr>
    <w:tblPr>
      <w:tblStyleRowBandSize w:val="1"/>
      <w:tblStyleColBandSize w:val="1"/>
      <w:tblBorders>
        <w:top w:val="single" w:sz="8" w:space="0" w:color="6996C9" w:themeColor="accent1"/>
        <w:bottom w:val="single" w:sz="8" w:space="0" w:color="6996C9" w:themeColor="accent1"/>
      </w:tblBorders>
    </w:tblPr>
    <w:tblStylePr w:type="firstRow">
      <w:rPr>
        <w:rFonts w:asciiTheme="majorHAnsi" w:eastAsiaTheme="majorEastAsia" w:hAnsiTheme="majorHAnsi" w:cstheme="majorBidi"/>
      </w:rPr>
      <w:tblPr/>
      <w:tcPr>
        <w:tcBorders>
          <w:top w:val="nil"/>
          <w:bottom w:val="single" w:sz="8" w:space="0" w:color="6996C9" w:themeColor="accent1"/>
        </w:tcBorders>
      </w:tcPr>
    </w:tblStylePr>
    <w:tblStylePr w:type="lastRow">
      <w:rPr>
        <w:b/>
        <w:bCs/>
        <w:color w:val="2A3C50" w:themeColor="text2"/>
      </w:rPr>
      <w:tblPr/>
      <w:tcPr>
        <w:tcBorders>
          <w:top w:val="single" w:sz="8" w:space="0" w:color="6996C9" w:themeColor="accent1"/>
          <w:bottom w:val="single" w:sz="8" w:space="0" w:color="6996C9" w:themeColor="accent1"/>
        </w:tcBorders>
      </w:tcPr>
    </w:tblStylePr>
    <w:tblStylePr w:type="firstCol">
      <w:rPr>
        <w:b/>
        <w:bCs/>
      </w:rPr>
    </w:tblStylePr>
    <w:tblStylePr w:type="lastCol">
      <w:rPr>
        <w:b/>
        <w:bCs/>
      </w:rPr>
      <w:tblPr/>
      <w:tcPr>
        <w:tcBorders>
          <w:top w:val="single" w:sz="8" w:space="0" w:color="6996C9" w:themeColor="accent1"/>
          <w:bottom w:val="single" w:sz="8" w:space="0" w:color="6996C9" w:themeColor="accent1"/>
        </w:tcBorders>
      </w:tcPr>
    </w:tblStylePr>
    <w:tblStylePr w:type="band1Vert">
      <w:tblPr/>
      <w:tcPr>
        <w:shd w:val="clear" w:color="auto" w:fill="D9E4F1" w:themeFill="accent1" w:themeFillTint="3F"/>
      </w:tcPr>
    </w:tblStylePr>
    <w:tblStylePr w:type="band1Horz">
      <w:tblPr/>
      <w:tcPr>
        <w:shd w:val="clear" w:color="auto" w:fill="D9E4F1"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4C4C4C" w:themeColor="text1"/>
    </w:rPr>
    <w:tblPr>
      <w:tblStyleRowBandSize w:val="1"/>
      <w:tblStyleColBandSize w:val="1"/>
      <w:tblBorders>
        <w:top w:val="single" w:sz="8" w:space="0" w:color="3F5A78" w:themeColor="accent2"/>
        <w:bottom w:val="single" w:sz="8" w:space="0" w:color="3F5A78" w:themeColor="accent2"/>
      </w:tblBorders>
    </w:tblPr>
    <w:tblStylePr w:type="firstRow">
      <w:rPr>
        <w:rFonts w:asciiTheme="majorHAnsi" w:eastAsiaTheme="majorEastAsia" w:hAnsiTheme="majorHAnsi" w:cstheme="majorBidi"/>
      </w:rPr>
      <w:tblPr/>
      <w:tcPr>
        <w:tcBorders>
          <w:top w:val="nil"/>
          <w:bottom w:val="single" w:sz="8" w:space="0" w:color="3F5A78" w:themeColor="accent2"/>
        </w:tcBorders>
      </w:tcPr>
    </w:tblStylePr>
    <w:tblStylePr w:type="lastRow">
      <w:rPr>
        <w:b/>
        <w:bCs/>
        <w:color w:val="2A3C50" w:themeColor="text2"/>
      </w:rPr>
      <w:tblPr/>
      <w:tcPr>
        <w:tcBorders>
          <w:top w:val="single" w:sz="8" w:space="0" w:color="3F5A78" w:themeColor="accent2"/>
          <w:bottom w:val="single" w:sz="8" w:space="0" w:color="3F5A78" w:themeColor="accent2"/>
        </w:tcBorders>
      </w:tcPr>
    </w:tblStylePr>
    <w:tblStylePr w:type="firstCol">
      <w:rPr>
        <w:b/>
        <w:bCs/>
      </w:rPr>
    </w:tblStylePr>
    <w:tblStylePr w:type="lastCol">
      <w:rPr>
        <w:b/>
        <w:bCs/>
      </w:rPr>
      <w:tblPr/>
      <w:tcPr>
        <w:tcBorders>
          <w:top w:val="single" w:sz="8" w:space="0" w:color="3F5A78" w:themeColor="accent2"/>
          <w:bottom w:val="single" w:sz="8" w:space="0" w:color="3F5A78" w:themeColor="accent2"/>
        </w:tcBorders>
      </w:tcPr>
    </w:tblStylePr>
    <w:tblStylePr w:type="band1Vert">
      <w:tblPr/>
      <w:tcPr>
        <w:shd w:val="clear" w:color="auto" w:fill="C9D5E3" w:themeFill="accent2" w:themeFillTint="3F"/>
      </w:tcPr>
    </w:tblStylePr>
    <w:tblStylePr w:type="band1Horz">
      <w:tblPr/>
      <w:tcPr>
        <w:shd w:val="clear" w:color="auto" w:fill="C9D5E3"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4C4C4C" w:themeColor="text1"/>
    </w:rPr>
    <w:tblPr>
      <w:tblStyleRowBandSize w:val="1"/>
      <w:tblStyleColBandSize w:val="1"/>
      <w:tblBorders>
        <w:top w:val="single" w:sz="8" w:space="0" w:color="D2DFEF" w:themeColor="accent3"/>
        <w:bottom w:val="single" w:sz="8" w:space="0" w:color="D2DFEF" w:themeColor="accent3"/>
      </w:tblBorders>
    </w:tblPr>
    <w:tblStylePr w:type="firstRow">
      <w:rPr>
        <w:rFonts w:asciiTheme="majorHAnsi" w:eastAsiaTheme="majorEastAsia" w:hAnsiTheme="majorHAnsi" w:cstheme="majorBidi"/>
      </w:rPr>
      <w:tblPr/>
      <w:tcPr>
        <w:tcBorders>
          <w:top w:val="nil"/>
          <w:bottom w:val="single" w:sz="8" w:space="0" w:color="D2DFEF" w:themeColor="accent3"/>
        </w:tcBorders>
      </w:tcPr>
    </w:tblStylePr>
    <w:tblStylePr w:type="lastRow">
      <w:rPr>
        <w:b/>
        <w:bCs/>
        <w:color w:val="2A3C50" w:themeColor="text2"/>
      </w:rPr>
      <w:tblPr/>
      <w:tcPr>
        <w:tcBorders>
          <w:top w:val="single" w:sz="8" w:space="0" w:color="D2DFEF" w:themeColor="accent3"/>
          <w:bottom w:val="single" w:sz="8" w:space="0" w:color="D2DFEF" w:themeColor="accent3"/>
        </w:tcBorders>
      </w:tcPr>
    </w:tblStylePr>
    <w:tblStylePr w:type="firstCol">
      <w:rPr>
        <w:b/>
        <w:bCs/>
      </w:rPr>
    </w:tblStylePr>
    <w:tblStylePr w:type="lastCol">
      <w:rPr>
        <w:b/>
        <w:bCs/>
      </w:rPr>
      <w:tblPr/>
      <w:tcPr>
        <w:tcBorders>
          <w:top w:val="single" w:sz="8" w:space="0" w:color="D2DFEF" w:themeColor="accent3"/>
          <w:bottom w:val="single" w:sz="8" w:space="0" w:color="D2DFEF" w:themeColor="accent3"/>
        </w:tcBorders>
      </w:tcPr>
    </w:tblStylePr>
    <w:tblStylePr w:type="band1Vert">
      <w:tblPr/>
      <w:tcPr>
        <w:shd w:val="clear" w:color="auto" w:fill="F3F6FB" w:themeFill="accent3" w:themeFillTint="3F"/>
      </w:tcPr>
    </w:tblStylePr>
    <w:tblStylePr w:type="band1Horz">
      <w:tblPr/>
      <w:tcPr>
        <w:shd w:val="clear" w:color="auto" w:fill="F3F6FB"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4C4C4C" w:themeColor="text1"/>
    </w:rPr>
    <w:tblPr>
      <w:tblStyleRowBandSize w:val="1"/>
      <w:tblStyleColBandSize w:val="1"/>
      <w:tblBorders>
        <w:top w:val="single" w:sz="8" w:space="0" w:color="A5C0DE" w:themeColor="accent4"/>
        <w:bottom w:val="single" w:sz="8" w:space="0" w:color="A5C0DE" w:themeColor="accent4"/>
      </w:tblBorders>
    </w:tblPr>
    <w:tblStylePr w:type="firstRow">
      <w:rPr>
        <w:rFonts w:asciiTheme="majorHAnsi" w:eastAsiaTheme="majorEastAsia" w:hAnsiTheme="majorHAnsi" w:cstheme="majorBidi"/>
      </w:rPr>
      <w:tblPr/>
      <w:tcPr>
        <w:tcBorders>
          <w:top w:val="nil"/>
          <w:bottom w:val="single" w:sz="8" w:space="0" w:color="A5C0DE" w:themeColor="accent4"/>
        </w:tcBorders>
      </w:tcPr>
    </w:tblStylePr>
    <w:tblStylePr w:type="lastRow">
      <w:rPr>
        <w:b/>
        <w:bCs/>
        <w:color w:val="2A3C50" w:themeColor="text2"/>
      </w:rPr>
      <w:tblPr/>
      <w:tcPr>
        <w:tcBorders>
          <w:top w:val="single" w:sz="8" w:space="0" w:color="A5C0DE" w:themeColor="accent4"/>
          <w:bottom w:val="single" w:sz="8" w:space="0" w:color="A5C0DE" w:themeColor="accent4"/>
        </w:tcBorders>
      </w:tcPr>
    </w:tblStylePr>
    <w:tblStylePr w:type="firstCol">
      <w:rPr>
        <w:b/>
        <w:bCs/>
      </w:rPr>
    </w:tblStylePr>
    <w:tblStylePr w:type="lastCol">
      <w:rPr>
        <w:b/>
        <w:bCs/>
      </w:rPr>
      <w:tblPr/>
      <w:tcPr>
        <w:tcBorders>
          <w:top w:val="single" w:sz="8" w:space="0" w:color="A5C0DE" w:themeColor="accent4"/>
          <w:bottom w:val="single" w:sz="8" w:space="0" w:color="A5C0DE" w:themeColor="accent4"/>
        </w:tcBorders>
      </w:tcPr>
    </w:tblStylePr>
    <w:tblStylePr w:type="band1Vert">
      <w:tblPr/>
      <w:tcPr>
        <w:shd w:val="clear" w:color="auto" w:fill="E8EFF6" w:themeFill="accent4" w:themeFillTint="3F"/>
      </w:tcPr>
    </w:tblStylePr>
    <w:tblStylePr w:type="band1Horz">
      <w:tblPr/>
      <w:tcPr>
        <w:shd w:val="clear" w:color="auto" w:fill="E8EFF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4C4C4C" w:themeColor="text1"/>
    </w:rPr>
    <w:tblPr>
      <w:tblStyleRowBandSize w:val="1"/>
      <w:tblStyleColBandSize w:val="1"/>
      <w:tblBorders>
        <w:top w:val="single" w:sz="8" w:space="0" w:color="88ABD3" w:themeColor="accent5"/>
        <w:bottom w:val="single" w:sz="8" w:space="0" w:color="88ABD3" w:themeColor="accent5"/>
      </w:tblBorders>
    </w:tblPr>
    <w:tblStylePr w:type="firstRow">
      <w:rPr>
        <w:rFonts w:asciiTheme="majorHAnsi" w:eastAsiaTheme="majorEastAsia" w:hAnsiTheme="majorHAnsi" w:cstheme="majorBidi"/>
      </w:rPr>
      <w:tblPr/>
      <w:tcPr>
        <w:tcBorders>
          <w:top w:val="nil"/>
          <w:bottom w:val="single" w:sz="8" w:space="0" w:color="88ABD3" w:themeColor="accent5"/>
        </w:tcBorders>
      </w:tcPr>
    </w:tblStylePr>
    <w:tblStylePr w:type="lastRow">
      <w:rPr>
        <w:b/>
        <w:bCs/>
        <w:color w:val="2A3C50" w:themeColor="text2"/>
      </w:rPr>
      <w:tblPr/>
      <w:tcPr>
        <w:tcBorders>
          <w:top w:val="single" w:sz="8" w:space="0" w:color="88ABD3" w:themeColor="accent5"/>
          <w:bottom w:val="single" w:sz="8" w:space="0" w:color="88ABD3" w:themeColor="accent5"/>
        </w:tcBorders>
      </w:tcPr>
    </w:tblStylePr>
    <w:tblStylePr w:type="firstCol">
      <w:rPr>
        <w:b/>
        <w:bCs/>
      </w:rPr>
    </w:tblStylePr>
    <w:tblStylePr w:type="lastCol">
      <w:rPr>
        <w:b/>
        <w:bCs/>
      </w:rPr>
      <w:tblPr/>
      <w:tcPr>
        <w:tcBorders>
          <w:top w:val="single" w:sz="8" w:space="0" w:color="88ABD3" w:themeColor="accent5"/>
          <w:bottom w:val="single" w:sz="8" w:space="0" w:color="88ABD3" w:themeColor="accent5"/>
        </w:tcBorders>
      </w:tcPr>
    </w:tblStylePr>
    <w:tblStylePr w:type="band1Vert">
      <w:tblPr/>
      <w:tcPr>
        <w:shd w:val="clear" w:color="auto" w:fill="E1EAF4" w:themeFill="accent5" w:themeFillTint="3F"/>
      </w:tcPr>
    </w:tblStylePr>
    <w:tblStylePr w:type="band1Horz">
      <w:tblPr/>
      <w:tcPr>
        <w:shd w:val="clear" w:color="auto" w:fill="E1EAF4"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4C4C4C" w:themeColor="text1"/>
    </w:rPr>
    <w:tblPr>
      <w:tblStyleRowBandSize w:val="1"/>
      <w:tblStyleColBandSize w:val="1"/>
      <w:tblBorders>
        <w:top w:val="single" w:sz="8" w:space="0" w:color="5578A0" w:themeColor="accent6"/>
        <w:bottom w:val="single" w:sz="8" w:space="0" w:color="5578A0" w:themeColor="accent6"/>
      </w:tblBorders>
    </w:tblPr>
    <w:tblStylePr w:type="firstRow">
      <w:rPr>
        <w:rFonts w:asciiTheme="majorHAnsi" w:eastAsiaTheme="majorEastAsia" w:hAnsiTheme="majorHAnsi" w:cstheme="majorBidi"/>
      </w:rPr>
      <w:tblPr/>
      <w:tcPr>
        <w:tcBorders>
          <w:top w:val="nil"/>
          <w:bottom w:val="single" w:sz="8" w:space="0" w:color="5578A0" w:themeColor="accent6"/>
        </w:tcBorders>
      </w:tcPr>
    </w:tblStylePr>
    <w:tblStylePr w:type="lastRow">
      <w:rPr>
        <w:b/>
        <w:bCs/>
        <w:color w:val="2A3C50" w:themeColor="text2"/>
      </w:rPr>
      <w:tblPr/>
      <w:tcPr>
        <w:tcBorders>
          <w:top w:val="single" w:sz="8" w:space="0" w:color="5578A0" w:themeColor="accent6"/>
          <w:bottom w:val="single" w:sz="8" w:space="0" w:color="5578A0" w:themeColor="accent6"/>
        </w:tcBorders>
      </w:tcPr>
    </w:tblStylePr>
    <w:tblStylePr w:type="firstCol">
      <w:rPr>
        <w:b/>
        <w:bCs/>
      </w:rPr>
    </w:tblStylePr>
    <w:tblStylePr w:type="lastCol">
      <w:rPr>
        <w:b/>
        <w:bCs/>
      </w:rPr>
      <w:tblPr/>
      <w:tcPr>
        <w:tcBorders>
          <w:top w:val="single" w:sz="8" w:space="0" w:color="5578A0" w:themeColor="accent6"/>
          <w:bottom w:val="single" w:sz="8" w:space="0" w:color="5578A0" w:themeColor="accent6"/>
        </w:tcBorders>
      </w:tcPr>
    </w:tblStylePr>
    <w:tblStylePr w:type="band1Vert">
      <w:tblPr/>
      <w:tcPr>
        <w:shd w:val="clear" w:color="auto" w:fill="D4DDE8" w:themeFill="accent6" w:themeFillTint="3F"/>
      </w:tcPr>
    </w:tblStylePr>
    <w:tblStylePr w:type="band1Horz">
      <w:tblPr/>
      <w:tcPr>
        <w:shd w:val="clear" w:color="auto" w:fill="D4DDE8"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4C4C4C" w:themeColor="text1"/>
        <w:left w:val="single" w:sz="8" w:space="0" w:color="4C4C4C" w:themeColor="text1"/>
        <w:bottom w:val="single" w:sz="8" w:space="0" w:color="4C4C4C" w:themeColor="text1"/>
        <w:right w:val="single" w:sz="8" w:space="0" w:color="4C4C4C" w:themeColor="text1"/>
      </w:tblBorders>
    </w:tblPr>
    <w:tblStylePr w:type="firstRow">
      <w:rPr>
        <w:sz w:val="24"/>
        <w:szCs w:val="24"/>
      </w:rPr>
      <w:tblPr/>
      <w:tcPr>
        <w:tcBorders>
          <w:top w:val="nil"/>
          <w:left w:val="nil"/>
          <w:bottom w:val="single" w:sz="24" w:space="0" w:color="4C4C4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4C4C" w:themeColor="text1"/>
          <w:insideH w:val="nil"/>
          <w:insideV w:val="nil"/>
        </w:tcBorders>
        <w:shd w:val="clear" w:color="auto" w:fill="FFFFFF" w:themeFill="background1"/>
      </w:tcPr>
    </w:tblStylePr>
    <w:tblStylePr w:type="lastCol">
      <w:tblPr/>
      <w:tcPr>
        <w:tcBorders>
          <w:top w:val="nil"/>
          <w:left w:val="single" w:sz="8" w:space="0" w:color="4C4C4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2" w:themeFill="text1" w:themeFillTint="3F"/>
      </w:tcPr>
    </w:tblStylePr>
    <w:tblStylePr w:type="band1Horz">
      <w:tblPr/>
      <w:tcPr>
        <w:tcBorders>
          <w:top w:val="nil"/>
          <w:bottom w:val="nil"/>
          <w:insideH w:val="nil"/>
          <w:insideV w:val="nil"/>
        </w:tcBorders>
        <w:shd w:val="clear" w:color="auto" w:fill="D2D2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6996C9" w:themeColor="accent1"/>
        <w:left w:val="single" w:sz="8" w:space="0" w:color="6996C9" w:themeColor="accent1"/>
        <w:bottom w:val="single" w:sz="8" w:space="0" w:color="6996C9" w:themeColor="accent1"/>
        <w:right w:val="single" w:sz="8" w:space="0" w:color="6996C9" w:themeColor="accent1"/>
      </w:tblBorders>
    </w:tblPr>
    <w:tblStylePr w:type="firstRow">
      <w:rPr>
        <w:sz w:val="24"/>
        <w:szCs w:val="24"/>
      </w:rPr>
      <w:tblPr/>
      <w:tcPr>
        <w:tcBorders>
          <w:top w:val="nil"/>
          <w:left w:val="nil"/>
          <w:bottom w:val="single" w:sz="24" w:space="0" w:color="6996C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6C9" w:themeColor="accent1"/>
          <w:insideH w:val="nil"/>
          <w:insideV w:val="nil"/>
        </w:tcBorders>
        <w:shd w:val="clear" w:color="auto" w:fill="FFFFFF" w:themeFill="background1"/>
      </w:tcPr>
    </w:tblStylePr>
    <w:tblStylePr w:type="lastCol">
      <w:tblPr/>
      <w:tcPr>
        <w:tcBorders>
          <w:top w:val="nil"/>
          <w:left w:val="single" w:sz="8" w:space="0" w:color="6996C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F1" w:themeFill="accent1" w:themeFillTint="3F"/>
      </w:tcPr>
    </w:tblStylePr>
    <w:tblStylePr w:type="band1Horz">
      <w:tblPr/>
      <w:tcPr>
        <w:tcBorders>
          <w:top w:val="nil"/>
          <w:bottom w:val="nil"/>
          <w:insideH w:val="nil"/>
          <w:insideV w:val="nil"/>
        </w:tcBorders>
        <w:shd w:val="clear" w:color="auto" w:fill="D9E4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3F5A78" w:themeColor="accent2"/>
        <w:left w:val="single" w:sz="8" w:space="0" w:color="3F5A78" w:themeColor="accent2"/>
        <w:bottom w:val="single" w:sz="8" w:space="0" w:color="3F5A78" w:themeColor="accent2"/>
        <w:right w:val="single" w:sz="8" w:space="0" w:color="3F5A78" w:themeColor="accent2"/>
      </w:tblBorders>
    </w:tblPr>
    <w:tblStylePr w:type="firstRow">
      <w:rPr>
        <w:sz w:val="24"/>
        <w:szCs w:val="24"/>
      </w:rPr>
      <w:tblPr/>
      <w:tcPr>
        <w:tcBorders>
          <w:top w:val="nil"/>
          <w:left w:val="nil"/>
          <w:bottom w:val="single" w:sz="24" w:space="0" w:color="3F5A7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5A78" w:themeColor="accent2"/>
          <w:insideH w:val="nil"/>
          <w:insideV w:val="nil"/>
        </w:tcBorders>
        <w:shd w:val="clear" w:color="auto" w:fill="FFFFFF" w:themeFill="background1"/>
      </w:tcPr>
    </w:tblStylePr>
    <w:tblStylePr w:type="lastCol">
      <w:tblPr/>
      <w:tcPr>
        <w:tcBorders>
          <w:top w:val="nil"/>
          <w:left w:val="single" w:sz="8" w:space="0" w:color="3F5A7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5E3" w:themeFill="accent2" w:themeFillTint="3F"/>
      </w:tcPr>
    </w:tblStylePr>
    <w:tblStylePr w:type="band1Horz">
      <w:tblPr/>
      <w:tcPr>
        <w:tcBorders>
          <w:top w:val="nil"/>
          <w:bottom w:val="nil"/>
          <w:insideH w:val="nil"/>
          <w:insideV w:val="nil"/>
        </w:tcBorders>
        <w:shd w:val="clear" w:color="auto" w:fill="C9D5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D2DFEF" w:themeColor="accent3"/>
        <w:left w:val="single" w:sz="8" w:space="0" w:color="D2DFEF" w:themeColor="accent3"/>
        <w:bottom w:val="single" w:sz="8" w:space="0" w:color="D2DFEF" w:themeColor="accent3"/>
        <w:right w:val="single" w:sz="8" w:space="0" w:color="D2DFEF" w:themeColor="accent3"/>
      </w:tblBorders>
    </w:tblPr>
    <w:tblStylePr w:type="firstRow">
      <w:rPr>
        <w:sz w:val="24"/>
        <w:szCs w:val="24"/>
      </w:rPr>
      <w:tblPr/>
      <w:tcPr>
        <w:tcBorders>
          <w:top w:val="nil"/>
          <w:left w:val="nil"/>
          <w:bottom w:val="single" w:sz="24" w:space="0" w:color="D2DFE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DFEF" w:themeColor="accent3"/>
          <w:insideH w:val="nil"/>
          <w:insideV w:val="nil"/>
        </w:tcBorders>
        <w:shd w:val="clear" w:color="auto" w:fill="FFFFFF" w:themeFill="background1"/>
      </w:tcPr>
    </w:tblStylePr>
    <w:tblStylePr w:type="lastCol">
      <w:tblPr/>
      <w:tcPr>
        <w:tcBorders>
          <w:top w:val="nil"/>
          <w:left w:val="single" w:sz="8" w:space="0" w:color="D2DF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FB" w:themeFill="accent3" w:themeFillTint="3F"/>
      </w:tcPr>
    </w:tblStylePr>
    <w:tblStylePr w:type="band1Horz">
      <w:tblPr/>
      <w:tcPr>
        <w:tcBorders>
          <w:top w:val="nil"/>
          <w:bottom w:val="nil"/>
          <w:insideH w:val="nil"/>
          <w:insideV w:val="nil"/>
        </w:tcBorders>
        <w:shd w:val="clear" w:color="auto" w:fill="F3F6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A5C0DE" w:themeColor="accent4"/>
        <w:left w:val="single" w:sz="8" w:space="0" w:color="A5C0DE" w:themeColor="accent4"/>
        <w:bottom w:val="single" w:sz="8" w:space="0" w:color="A5C0DE" w:themeColor="accent4"/>
        <w:right w:val="single" w:sz="8" w:space="0" w:color="A5C0DE" w:themeColor="accent4"/>
      </w:tblBorders>
    </w:tblPr>
    <w:tblStylePr w:type="firstRow">
      <w:rPr>
        <w:sz w:val="24"/>
        <w:szCs w:val="24"/>
      </w:rPr>
      <w:tblPr/>
      <w:tcPr>
        <w:tcBorders>
          <w:top w:val="nil"/>
          <w:left w:val="nil"/>
          <w:bottom w:val="single" w:sz="24" w:space="0" w:color="A5C0D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0DE" w:themeColor="accent4"/>
          <w:insideH w:val="nil"/>
          <w:insideV w:val="nil"/>
        </w:tcBorders>
        <w:shd w:val="clear" w:color="auto" w:fill="FFFFFF" w:themeFill="background1"/>
      </w:tcPr>
    </w:tblStylePr>
    <w:tblStylePr w:type="lastCol">
      <w:tblPr/>
      <w:tcPr>
        <w:tcBorders>
          <w:top w:val="nil"/>
          <w:left w:val="single" w:sz="8" w:space="0" w:color="A5C0D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FF6" w:themeFill="accent4" w:themeFillTint="3F"/>
      </w:tcPr>
    </w:tblStylePr>
    <w:tblStylePr w:type="band1Horz">
      <w:tblPr/>
      <w:tcPr>
        <w:tcBorders>
          <w:top w:val="nil"/>
          <w:bottom w:val="nil"/>
          <w:insideH w:val="nil"/>
          <w:insideV w:val="nil"/>
        </w:tcBorders>
        <w:shd w:val="clear" w:color="auto" w:fill="E8E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88ABD3" w:themeColor="accent5"/>
        <w:left w:val="single" w:sz="8" w:space="0" w:color="88ABD3" w:themeColor="accent5"/>
        <w:bottom w:val="single" w:sz="8" w:space="0" w:color="88ABD3" w:themeColor="accent5"/>
        <w:right w:val="single" w:sz="8" w:space="0" w:color="88ABD3" w:themeColor="accent5"/>
      </w:tblBorders>
    </w:tblPr>
    <w:tblStylePr w:type="firstRow">
      <w:rPr>
        <w:sz w:val="24"/>
        <w:szCs w:val="24"/>
      </w:rPr>
      <w:tblPr/>
      <w:tcPr>
        <w:tcBorders>
          <w:top w:val="nil"/>
          <w:left w:val="nil"/>
          <w:bottom w:val="single" w:sz="24" w:space="0" w:color="88ABD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ABD3" w:themeColor="accent5"/>
          <w:insideH w:val="nil"/>
          <w:insideV w:val="nil"/>
        </w:tcBorders>
        <w:shd w:val="clear" w:color="auto" w:fill="FFFFFF" w:themeFill="background1"/>
      </w:tcPr>
    </w:tblStylePr>
    <w:tblStylePr w:type="lastCol">
      <w:tblPr/>
      <w:tcPr>
        <w:tcBorders>
          <w:top w:val="nil"/>
          <w:left w:val="single" w:sz="8" w:space="0" w:color="88AB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AF4" w:themeFill="accent5" w:themeFillTint="3F"/>
      </w:tcPr>
    </w:tblStylePr>
    <w:tblStylePr w:type="band1Horz">
      <w:tblPr/>
      <w:tcPr>
        <w:tcBorders>
          <w:top w:val="nil"/>
          <w:bottom w:val="nil"/>
          <w:insideH w:val="nil"/>
          <w:insideV w:val="nil"/>
        </w:tcBorders>
        <w:shd w:val="clear" w:color="auto" w:fill="E1EA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olor w:val="4C4C4C" w:themeColor="text1"/>
    </w:rPr>
    <w:tblPr>
      <w:tblStyleRowBandSize w:val="1"/>
      <w:tblStyleColBandSize w:val="1"/>
      <w:tblBorders>
        <w:top w:val="single" w:sz="8" w:space="0" w:color="5578A0" w:themeColor="accent6"/>
        <w:left w:val="single" w:sz="8" w:space="0" w:color="5578A0" w:themeColor="accent6"/>
        <w:bottom w:val="single" w:sz="8" w:space="0" w:color="5578A0" w:themeColor="accent6"/>
        <w:right w:val="single" w:sz="8" w:space="0" w:color="5578A0" w:themeColor="accent6"/>
      </w:tblBorders>
    </w:tblPr>
    <w:tblStylePr w:type="firstRow">
      <w:rPr>
        <w:sz w:val="24"/>
        <w:szCs w:val="24"/>
      </w:rPr>
      <w:tblPr/>
      <w:tcPr>
        <w:tcBorders>
          <w:top w:val="nil"/>
          <w:left w:val="nil"/>
          <w:bottom w:val="single" w:sz="24" w:space="0" w:color="5578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8A0" w:themeColor="accent6"/>
          <w:insideH w:val="nil"/>
          <w:insideV w:val="nil"/>
        </w:tcBorders>
        <w:shd w:val="clear" w:color="auto" w:fill="FFFFFF" w:themeFill="background1"/>
      </w:tcPr>
    </w:tblStylePr>
    <w:tblStylePr w:type="lastCol">
      <w:tblPr/>
      <w:tcPr>
        <w:tcBorders>
          <w:top w:val="nil"/>
          <w:left w:val="single" w:sz="8" w:space="0" w:color="5578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DE8" w:themeFill="accent6" w:themeFillTint="3F"/>
      </w:tcPr>
    </w:tblStylePr>
    <w:tblStylePr w:type="band1Horz">
      <w:tblPr/>
      <w:tcPr>
        <w:tcBorders>
          <w:top w:val="nil"/>
          <w:bottom w:val="nil"/>
          <w:insideH w:val="nil"/>
          <w:insideV w:val="nil"/>
        </w:tcBorders>
        <w:shd w:val="clear" w:color="auto" w:fill="D4DD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single" w:sz="8" w:space="0" w:color="787878" w:themeColor="text1" w:themeTint="BF"/>
      </w:tblBorders>
    </w:tblPr>
    <w:tblStylePr w:type="firstRow">
      <w:pPr>
        <w:spacing w:before="0" w:after="0" w:line="240" w:lineRule="auto"/>
      </w:pPr>
      <w:rPr>
        <w:b/>
        <w:bCs/>
        <w:color w:val="FFFFFF" w:themeColor="background1"/>
      </w:rPr>
      <w:tblPr/>
      <w:tcPr>
        <w:tcBorders>
          <w:top w:val="single" w:sz="8"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nil"/>
          <w:insideV w:val="nil"/>
        </w:tcBorders>
        <w:shd w:val="clear" w:color="auto" w:fill="4C4C4C" w:themeFill="text1"/>
      </w:tcPr>
    </w:tblStylePr>
    <w:tblStylePr w:type="lastRow">
      <w:pPr>
        <w:spacing w:before="0" w:after="0" w:line="240" w:lineRule="auto"/>
      </w:pPr>
      <w:rPr>
        <w:b/>
        <w:bCs/>
      </w:rPr>
      <w:tblPr/>
      <w:tcPr>
        <w:tcBorders>
          <w:top w:val="double" w:sz="6" w:space="0" w:color="787878" w:themeColor="text1" w:themeTint="BF"/>
          <w:left w:val="single" w:sz="8" w:space="0" w:color="787878" w:themeColor="text1" w:themeTint="BF"/>
          <w:bottom w:val="single" w:sz="8" w:space="0" w:color="787878" w:themeColor="text1" w:themeTint="BF"/>
          <w:right w:val="single" w:sz="8" w:space="0" w:color="787878" w:themeColor="text1" w:themeTint="BF"/>
          <w:insideH w:val="nil"/>
          <w:insideV w:val="nil"/>
        </w:tcBorders>
      </w:tcPr>
    </w:tblStylePr>
    <w:tblStylePr w:type="firstCol">
      <w:rPr>
        <w:b/>
        <w:bCs/>
      </w:rPr>
    </w:tblStylePr>
    <w:tblStylePr w:type="lastCol">
      <w:rPr>
        <w:b/>
        <w:bCs/>
      </w:rPr>
    </w:tblStylePr>
    <w:tblStylePr w:type="band1Vert">
      <w:tblPr/>
      <w:tcPr>
        <w:shd w:val="clear" w:color="auto" w:fill="D2D2D2" w:themeFill="text1" w:themeFillTint="3F"/>
      </w:tcPr>
    </w:tblStylePr>
    <w:tblStylePr w:type="band1Horz">
      <w:tblPr/>
      <w:tcPr>
        <w:tcBorders>
          <w:insideH w:val="nil"/>
          <w:insideV w:val="nil"/>
        </w:tcBorders>
        <w:shd w:val="clear" w:color="auto" w:fill="D2D2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single" w:sz="8" w:space="0" w:color="8EB0D6" w:themeColor="accent1" w:themeTint="BF"/>
      </w:tblBorders>
    </w:tblPr>
    <w:tblStylePr w:type="firstRow">
      <w:pPr>
        <w:spacing w:before="0" w:after="0" w:line="240" w:lineRule="auto"/>
      </w:pPr>
      <w:rPr>
        <w:b/>
        <w:bCs/>
        <w:color w:val="FFFFFF" w:themeColor="background1"/>
      </w:rPr>
      <w:tblPr/>
      <w:tcPr>
        <w:tcBorders>
          <w:top w:val="single" w:sz="8"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shd w:val="clear" w:color="auto" w:fill="6996C9" w:themeFill="accent1"/>
      </w:tcPr>
    </w:tblStylePr>
    <w:tblStylePr w:type="lastRow">
      <w:pPr>
        <w:spacing w:before="0" w:after="0" w:line="240" w:lineRule="auto"/>
      </w:pPr>
      <w:rPr>
        <w:b/>
        <w:bCs/>
      </w:rPr>
      <w:tblPr/>
      <w:tcPr>
        <w:tcBorders>
          <w:top w:val="double" w:sz="6" w:space="0" w:color="8EB0D6" w:themeColor="accent1" w:themeTint="BF"/>
          <w:left w:val="single" w:sz="8" w:space="0" w:color="8EB0D6" w:themeColor="accent1" w:themeTint="BF"/>
          <w:bottom w:val="single" w:sz="8" w:space="0" w:color="8EB0D6" w:themeColor="accent1" w:themeTint="BF"/>
          <w:right w:val="single" w:sz="8" w:space="0" w:color="8EB0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4F1" w:themeFill="accent1" w:themeFillTint="3F"/>
      </w:tcPr>
    </w:tblStylePr>
    <w:tblStylePr w:type="band1Horz">
      <w:tblPr/>
      <w:tcPr>
        <w:tcBorders>
          <w:insideH w:val="nil"/>
          <w:insideV w:val="nil"/>
        </w:tcBorders>
        <w:shd w:val="clear" w:color="auto" w:fill="D9E4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single" w:sz="8" w:space="0" w:color="5E82AA" w:themeColor="accent2" w:themeTint="BF"/>
      </w:tblBorders>
    </w:tblPr>
    <w:tblStylePr w:type="firstRow">
      <w:pPr>
        <w:spacing w:before="0" w:after="0" w:line="240" w:lineRule="auto"/>
      </w:pPr>
      <w:rPr>
        <w:b/>
        <w:bCs/>
        <w:color w:val="FFFFFF" w:themeColor="background1"/>
      </w:rPr>
      <w:tblPr/>
      <w:tcPr>
        <w:tcBorders>
          <w:top w:val="single" w:sz="8"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nil"/>
          <w:insideV w:val="nil"/>
        </w:tcBorders>
        <w:shd w:val="clear" w:color="auto" w:fill="3F5A78" w:themeFill="accent2"/>
      </w:tcPr>
    </w:tblStylePr>
    <w:tblStylePr w:type="lastRow">
      <w:pPr>
        <w:spacing w:before="0" w:after="0" w:line="240" w:lineRule="auto"/>
      </w:pPr>
      <w:rPr>
        <w:b/>
        <w:bCs/>
      </w:rPr>
      <w:tblPr/>
      <w:tcPr>
        <w:tcBorders>
          <w:top w:val="double" w:sz="6" w:space="0" w:color="5E82AA" w:themeColor="accent2" w:themeTint="BF"/>
          <w:left w:val="single" w:sz="8" w:space="0" w:color="5E82AA" w:themeColor="accent2" w:themeTint="BF"/>
          <w:bottom w:val="single" w:sz="8" w:space="0" w:color="5E82AA" w:themeColor="accent2" w:themeTint="BF"/>
          <w:right w:val="single" w:sz="8" w:space="0" w:color="5E82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5E3" w:themeFill="accent2" w:themeFillTint="3F"/>
      </w:tcPr>
    </w:tblStylePr>
    <w:tblStylePr w:type="band1Horz">
      <w:tblPr/>
      <w:tcPr>
        <w:tcBorders>
          <w:insideH w:val="nil"/>
          <w:insideV w:val="nil"/>
        </w:tcBorders>
        <w:shd w:val="clear" w:color="auto" w:fill="C9D5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single" w:sz="8" w:space="0" w:color="DDE6F3" w:themeColor="accent3" w:themeTint="BF"/>
      </w:tblBorders>
    </w:tblPr>
    <w:tblStylePr w:type="firstRow">
      <w:pPr>
        <w:spacing w:before="0" w:after="0" w:line="240" w:lineRule="auto"/>
      </w:pPr>
      <w:rPr>
        <w:b/>
        <w:bCs/>
        <w:color w:val="FFFFFF" w:themeColor="background1"/>
      </w:rPr>
      <w:tblPr/>
      <w:tcPr>
        <w:tcBorders>
          <w:top w:val="single" w:sz="8"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nil"/>
          <w:insideV w:val="nil"/>
        </w:tcBorders>
        <w:shd w:val="clear" w:color="auto" w:fill="D2DFEF" w:themeFill="accent3"/>
      </w:tcPr>
    </w:tblStylePr>
    <w:tblStylePr w:type="lastRow">
      <w:pPr>
        <w:spacing w:before="0" w:after="0" w:line="240" w:lineRule="auto"/>
      </w:pPr>
      <w:rPr>
        <w:b/>
        <w:bCs/>
      </w:rPr>
      <w:tblPr/>
      <w:tcPr>
        <w:tcBorders>
          <w:top w:val="double" w:sz="6" w:space="0" w:color="DDE6F3" w:themeColor="accent3" w:themeTint="BF"/>
          <w:left w:val="single" w:sz="8" w:space="0" w:color="DDE6F3" w:themeColor="accent3" w:themeTint="BF"/>
          <w:bottom w:val="single" w:sz="8" w:space="0" w:color="DDE6F3" w:themeColor="accent3" w:themeTint="BF"/>
          <w:right w:val="single" w:sz="8" w:space="0" w:color="DDE6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F6FB" w:themeFill="accent3" w:themeFillTint="3F"/>
      </w:tcPr>
    </w:tblStylePr>
    <w:tblStylePr w:type="band1Horz">
      <w:tblPr/>
      <w:tcPr>
        <w:tcBorders>
          <w:insideH w:val="nil"/>
          <w:insideV w:val="nil"/>
        </w:tcBorders>
        <w:shd w:val="clear" w:color="auto" w:fill="F3F6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single" w:sz="8" w:space="0" w:color="BBCFE6" w:themeColor="accent4" w:themeTint="BF"/>
      </w:tblBorders>
    </w:tblPr>
    <w:tblStylePr w:type="firstRow">
      <w:pPr>
        <w:spacing w:before="0" w:after="0" w:line="240" w:lineRule="auto"/>
      </w:pPr>
      <w:rPr>
        <w:b/>
        <w:bCs/>
        <w:color w:val="FFFFFF" w:themeColor="background1"/>
      </w:rPr>
      <w:tblPr/>
      <w:tcPr>
        <w:tcBorders>
          <w:top w:val="single" w:sz="8"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nil"/>
          <w:insideV w:val="nil"/>
        </w:tcBorders>
        <w:shd w:val="clear" w:color="auto" w:fill="A5C0DE" w:themeFill="accent4"/>
      </w:tcPr>
    </w:tblStylePr>
    <w:tblStylePr w:type="lastRow">
      <w:pPr>
        <w:spacing w:before="0" w:after="0" w:line="240" w:lineRule="auto"/>
      </w:pPr>
      <w:rPr>
        <w:b/>
        <w:bCs/>
      </w:rPr>
      <w:tblPr/>
      <w:tcPr>
        <w:tcBorders>
          <w:top w:val="double" w:sz="6" w:space="0" w:color="BBCFE6" w:themeColor="accent4" w:themeTint="BF"/>
          <w:left w:val="single" w:sz="8" w:space="0" w:color="BBCFE6" w:themeColor="accent4" w:themeTint="BF"/>
          <w:bottom w:val="single" w:sz="8" w:space="0" w:color="BBCFE6" w:themeColor="accent4" w:themeTint="BF"/>
          <w:right w:val="single" w:sz="8" w:space="0" w:color="BBCF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EFF6" w:themeFill="accent4" w:themeFillTint="3F"/>
      </w:tcPr>
    </w:tblStylePr>
    <w:tblStylePr w:type="band1Horz">
      <w:tblPr/>
      <w:tcPr>
        <w:tcBorders>
          <w:insideH w:val="nil"/>
          <w:insideV w:val="nil"/>
        </w:tcBorders>
        <w:shd w:val="clear" w:color="auto" w:fill="E8E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single" w:sz="8" w:space="0" w:color="A5BFDE" w:themeColor="accent5" w:themeTint="BF"/>
      </w:tblBorders>
    </w:tblPr>
    <w:tblStylePr w:type="firstRow">
      <w:pPr>
        <w:spacing w:before="0" w:after="0" w:line="240" w:lineRule="auto"/>
      </w:pPr>
      <w:rPr>
        <w:b/>
        <w:bCs/>
        <w:color w:val="FFFFFF" w:themeColor="background1"/>
      </w:rPr>
      <w:tblPr/>
      <w:tcPr>
        <w:tcBorders>
          <w:top w:val="single" w:sz="8"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nil"/>
          <w:insideV w:val="nil"/>
        </w:tcBorders>
        <w:shd w:val="clear" w:color="auto" w:fill="88ABD3" w:themeFill="accent5"/>
      </w:tcPr>
    </w:tblStylePr>
    <w:tblStylePr w:type="lastRow">
      <w:pPr>
        <w:spacing w:before="0" w:after="0" w:line="240" w:lineRule="auto"/>
      </w:pPr>
      <w:rPr>
        <w:b/>
        <w:bCs/>
      </w:rPr>
      <w:tblPr/>
      <w:tcPr>
        <w:tcBorders>
          <w:top w:val="double" w:sz="6" w:space="0" w:color="A5BFDE" w:themeColor="accent5" w:themeTint="BF"/>
          <w:left w:val="single" w:sz="8" w:space="0" w:color="A5BFDE" w:themeColor="accent5" w:themeTint="BF"/>
          <w:bottom w:val="single" w:sz="8" w:space="0" w:color="A5BFDE" w:themeColor="accent5" w:themeTint="BF"/>
          <w:right w:val="single" w:sz="8" w:space="0" w:color="A5BF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AF4" w:themeFill="accent5" w:themeFillTint="3F"/>
      </w:tcPr>
    </w:tblStylePr>
    <w:tblStylePr w:type="band1Horz">
      <w:tblPr/>
      <w:tcPr>
        <w:tcBorders>
          <w:insideH w:val="nil"/>
          <w:insideV w:val="nil"/>
        </w:tcBorders>
        <w:shd w:val="clear" w:color="auto" w:fill="E1EA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single" w:sz="8" w:space="0" w:color="7D99BA" w:themeColor="accent6" w:themeTint="BF"/>
      </w:tblBorders>
    </w:tblPr>
    <w:tblStylePr w:type="firstRow">
      <w:pPr>
        <w:spacing w:before="0" w:after="0" w:line="240" w:lineRule="auto"/>
      </w:pPr>
      <w:rPr>
        <w:b/>
        <w:bCs/>
        <w:color w:val="FFFFFF" w:themeColor="background1"/>
      </w:rPr>
      <w:tblPr/>
      <w:tcPr>
        <w:tcBorders>
          <w:top w:val="single" w:sz="8"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nil"/>
          <w:insideV w:val="nil"/>
        </w:tcBorders>
        <w:shd w:val="clear" w:color="auto" w:fill="5578A0" w:themeFill="accent6"/>
      </w:tcPr>
    </w:tblStylePr>
    <w:tblStylePr w:type="lastRow">
      <w:pPr>
        <w:spacing w:before="0" w:after="0" w:line="240" w:lineRule="auto"/>
      </w:pPr>
      <w:rPr>
        <w:b/>
        <w:bCs/>
      </w:rPr>
      <w:tblPr/>
      <w:tcPr>
        <w:tcBorders>
          <w:top w:val="double" w:sz="6" w:space="0" w:color="7D99BA" w:themeColor="accent6" w:themeTint="BF"/>
          <w:left w:val="single" w:sz="8" w:space="0" w:color="7D99BA" w:themeColor="accent6" w:themeTint="BF"/>
          <w:bottom w:val="single" w:sz="8" w:space="0" w:color="7D99BA" w:themeColor="accent6" w:themeTint="BF"/>
          <w:right w:val="single" w:sz="8" w:space="0" w:color="7D99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4DDE8" w:themeFill="accent6" w:themeFillTint="3F"/>
      </w:tcPr>
    </w:tblStylePr>
    <w:tblStylePr w:type="band1Horz">
      <w:tblPr/>
      <w:tcPr>
        <w:tcBorders>
          <w:insideH w:val="nil"/>
          <w:insideV w:val="nil"/>
        </w:tcBorders>
        <w:shd w:val="clear" w:color="auto" w:fill="D4DD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4C4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4C4C" w:themeFill="text1"/>
      </w:tcPr>
    </w:tblStylePr>
    <w:tblStylePr w:type="lastCol">
      <w:rPr>
        <w:b/>
        <w:bCs/>
        <w:color w:val="FFFFFF" w:themeColor="background1"/>
      </w:rPr>
      <w:tblPr/>
      <w:tcPr>
        <w:tcBorders>
          <w:left w:val="nil"/>
          <w:right w:val="nil"/>
          <w:insideH w:val="nil"/>
          <w:insideV w:val="nil"/>
        </w:tcBorders>
        <w:shd w:val="clear" w:color="auto" w:fill="4C4C4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96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96C9" w:themeFill="accent1"/>
      </w:tcPr>
    </w:tblStylePr>
    <w:tblStylePr w:type="lastCol">
      <w:rPr>
        <w:b/>
        <w:bCs/>
        <w:color w:val="FFFFFF" w:themeColor="background1"/>
      </w:rPr>
      <w:tblPr/>
      <w:tcPr>
        <w:tcBorders>
          <w:left w:val="nil"/>
          <w:right w:val="nil"/>
          <w:insideH w:val="nil"/>
          <w:insideV w:val="nil"/>
        </w:tcBorders>
        <w:shd w:val="clear" w:color="auto" w:fill="6996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5A7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F5A78" w:themeFill="accent2"/>
      </w:tcPr>
    </w:tblStylePr>
    <w:tblStylePr w:type="lastCol">
      <w:rPr>
        <w:b/>
        <w:bCs/>
        <w:color w:val="FFFFFF" w:themeColor="background1"/>
      </w:rPr>
      <w:tblPr/>
      <w:tcPr>
        <w:tcBorders>
          <w:left w:val="nil"/>
          <w:right w:val="nil"/>
          <w:insideH w:val="nil"/>
          <w:insideV w:val="nil"/>
        </w:tcBorders>
        <w:shd w:val="clear" w:color="auto" w:fill="3F5A7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DF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2DFEF" w:themeFill="accent3"/>
      </w:tcPr>
    </w:tblStylePr>
    <w:tblStylePr w:type="lastCol">
      <w:rPr>
        <w:b/>
        <w:bCs/>
        <w:color w:val="FFFFFF" w:themeColor="background1"/>
      </w:rPr>
      <w:tblPr/>
      <w:tcPr>
        <w:tcBorders>
          <w:left w:val="nil"/>
          <w:right w:val="nil"/>
          <w:insideH w:val="nil"/>
          <w:insideV w:val="nil"/>
        </w:tcBorders>
        <w:shd w:val="clear" w:color="auto" w:fill="D2DF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0D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0DE" w:themeFill="accent4"/>
      </w:tcPr>
    </w:tblStylePr>
    <w:tblStylePr w:type="lastCol">
      <w:rPr>
        <w:b/>
        <w:bCs/>
        <w:color w:val="FFFFFF" w:themeColor="background1"/>
      </w:rPr>
      <w:tblPr/>
      <w:tcPr>
        <w:tcBorders>
          <w:left w:val="nil"/>
          <w:right w:val="nil"/>
          <w:insideH w:val="nil"/>
          <w:insideV w:val="nil"/>
        </w:tcBorders>
        <w:shd w:val="clear" w:color="auto" w:fill="A5C0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AB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8ABD3" w:themeFill="accent5"/>
      </w:tcPr>
    </w:tblStylePr>
    <w:tblStylePr w:type="lastCol">
      <w:rPr>
        <w:b/>
        <w:bCs/>
        <w:color w:val="FFFFFF" w:themeColor="background1"/>
      </w:rPr>
      <w:tblPr/>
      <w:tcPr>
        <w:tcBorders>
          <w:left w:val="nil"/>
          <w:right w:val="nil"/>
          <w:insideH w:val="nil"/>
          <w:insideV w:val="nil"/>
        </w:tcBorders>
        <w:shd w:val="clear" w:color="auto" w:fill="88AB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8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78A0" w:themeFill="accent6"/>
      </w:tcPr>
    </w:tblStylePr>
    <w:tblStylePr w:type="lastCol">
      <w:rPr>
        <w:b/>
        <w:bCs/>
        <w:color w:val="FFFFFF" w:themeColor="background1"/>
      </w:rPr>
      <w:tblPr/>
      <w:tcPr>
        <w:tcBorders>
          <w:left w:val="nil"/>
          <w:right w:val="nil"/>
          <w:insideH w:val="nil"/>
          <w:insideV w:val="nil"/>
        </w:tcBorders>
        <w:shd w:val="clear" w:color="auto" w:fill="5578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A5A5A5" w:themeColor="text1" w:themeTint="80"/>
        <w:bottom w:val="single" w:sz="4" w:space="0" w:color="A5A5A5" w:themeColor="text1" w:themeTint="80"/>
      </w:tblBorders>
    </w:tblPr>
    <w:tblStylePr w:type="firstRow">
      <w:rPr>
        <w:b/>
        <w:bCs/>
      </w:rPr>
      <w:tblPr/>
      <w:tcPr>
        <w:tcBorders>
          <w:bottom w:val="single" w:sz="4" w:space="0" w:color="A5A5A5" w:themeColor="text1" w:themeTint="80"/>
        </w:tcBorders>
      </w:tcPr>
    </w:tblStylePr>
    <w:tblStylePr w:type="lastRow">
      <w:rPr>
        <w:b/>
        <w:bCs/>
      </w:rPr>
      <w:tblPr/>
      <w:tcPr>
        <w:tcBorders>
          <w:top w:val="single" w:sz="4" w:space="0" w:color="A5A5A5" w:themeColor="text1" w:themeTint="80"/>
        </w:tcBorders>
      </w:tcPr>
    </w:tblStylePr>
    <w:tblStylePr w:type="firstCol">
      <w:rPr>
        <w:b/>
        <w:bCs/>
      </w:rPr>
    </w:tblStylePr>
    <w:tblStylePr w:type="lastCol">
      <w:rPr>
        <w:b/>
        <w:bCs/>
      </w:rPr>
    </w:tblStylePr>
    <w:tblStylePr w:type="band1Vert">
      <w:tblPr/>
      <w:tcPr>
        <w:tcBorders>
          <w:left w:val="single" w:sz="4" w:space="0" w:color="A5A5A5" w:themeColor="text1" w:themeTint="80"/>
          <w:right w:val="single" w:sz="4" w:space="0" w:color="A5A5A5" w:themeColor="text1" w:themeTint="80"/>
        </w:tcBorders>
      </w:tcPr>
    </w:tblStylePr>
    <w:tblStylePr w:type="band2Vert">
      <w:tblPr/>
      <w:tcPr>
        <w:tcBorders>
          <w:left w:val="single" w:sz="4" w:space="0" w:color="A5A5A5" w:themeColor="text1" w:themeTint="80"/>
          <w:right w:val="single" w:sz="4" w:space="0" w:color="A5A5A5" w:themeColor="text1" w:themeTint="80"/>
        </w:tcBorders>
      </w:tcPr>
    </w:tblStylePr>
    <w:tblStylePr w:type="band1Horz">
      <w:tblPr/>
      <w:tcPr>
        <w:tcBorders>
          <w:top w:val="single" w:sz="4" w:space="0" w:color="A5A5A5" w:themeColor="text1" w:themeTint="80"/>
          <w:bottom w:val="single" w:sz="4" w:space="0" w:color="A5A5A5"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A5A5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5A5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1">
    <w:name w:val="Smart Hyperlink1"/>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unhideWhenUsed/>
    <w:rsid w:val="00561E0C"/>
    <w:pPr>
      <w:tabs>
        <w:tab w:val="right" w:leader="dot" w:pos="10070"/>
      </w:tabs>
    </w:pPr>
    <w:rPr>
      <w:rFonts w:asciiTheme="minorHAnsi" w:hAnsiTheme="minorHAnsi"/>
      <w:spacing w:val="10"/>
      <w:sz w:val="20"/>
    </w:r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b/>
      <w:bCs/>
      <w:szCs w:val="24"/>
    </w:rPr>
  </w:style>
  <w:style w:type="paragraph" w:styleId="TOCHeading">
    <w:name w:val="TOC Heading"/>
    <w:basedOn w:val="Heading1"/>
    <w:next w:val="Normal"/>
    <w:uiPriority w:val="39"/>
    <w:unhideWhenUsed/>
    <w:qFormat/>
    <w:rsid w:val="002B65CC"/>
    <w:pPr>
      <w:keepNext/>
      <w:keepLines/>
      <w:outlineLvl w:val="9"/>
    </w:pPr>
    <w:rPr>
      <w:rFonts w:eastAsiaTheme="majorEastAsia"/>
      <w:color w:val="284A70" w:themeColor="accent1" w:themeShade="80"/>
      <w:spacing w:val="20"/>
      <w:sz w:val="48"/>
    </w:rPr>
  </w:style>
  <w:style w:type="character" w:customStyle="1" w:styleId="UnresolvedMention1">
    <w:name w:val="Unresolved Mention1"/>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284A70" w:themeColor="accent1" w:themeShade="80"/>
    </w:rPr>
  </w:style>
  <w:style w:type="character" w:styleId="IntenseReference">
    <w:name w:val="Intense Reference"/>
    <w:basedOn w:val="DefaultParagraphFont"/>
    <w:uiPriority w:val="32"/>
    <w:semiHidden/>
    <w:unhideWhenUsed/>
    <w:qFormat/>
    <w:rsid w:val="00431B47"/>
    <w:rPr>
      <w:b/>
      <w:bCs/>
      <w:caps w:val="0"/>
      <w:smallCaps/>
      <w:color w:val="284A70" w:themeColor="accent1" w:themeShade="80"/>
      <w:spacing w:val="0"/>
    </w:rPr>
  </w:style>
  <w:style w:type="paragraph" w:styleId="Caption">
    <w:name w:val="caption"/>
    <w:basedOn w:val="Normal"/>
    <w:next w:val="Normal"/>
    <w:uiPriority w:val="35"/>
    <w:unhideWhenUsed/>
    <w:qFormat/>
    <w:rsid w:val="00B329EA"/>
    <w:pPr>
      <w:spacing w:before="120" w:after="240"/>
    </w:pPr>
    <w:rPr>
      <w:rFonts w:ascii="Century Gothic" w:hAnsi="Century Gothic"/>
      <w:iCs/>
      <w:noProof/>
      <w:sz w:val="20"/>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unhideWhenUsed/>
    <w:qFormat/>
    <w:rsid w:val="00F74473"/>
    <w:pPr>
      <w:numPr>
        <w:numId w:val="1"/>
      </w:numPr>
      <w:spacing w:after="120"/>
    </w:pPr>
  </w:style>
  <w:style w:type="paragraph" w:styleId="ListBullet2">
    <w:name w:val="List Bullet 2"/>
    <w:basedOn w:val="Normal"/>
    <w:uiPriority w:val="36"/>
    <w:unhideWhenUsed/>
    <w:qFormat/>
    <w:rsid w:val="00F74473"/>
    <w:pPr>
      <w:numPr>
        <w:numId w:val="30"/>
      </w:numPr>
      <w:spacing w:after="120"/>
    </w:pPr>
  </w:style>
  <w:style w:type="paragraph" w:styleId="ListBullet3">
    <w:name w:val="List Bullet 3"/>
    <w:basedOn w:val="Normal"/>
    <w:uiPriority w:val="36"/>
    <w:unhideWhenUsed/>
    <w:qFormat/>
    <w:rsid w:val="001C2CA2"/>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8A8A8A" w:themeColor="text1" w:themeTint="A6"/>
    </w:rPr>
  </w:style>
  <w:style w:type="paragraph" w:styleId="Quote">
    <w:name w:val="Quote"/>
    <w:basedOn w:val="Normal"/>
    <w:next w:val="Normal"/>
    <w:link w:val="QuoteChar"/>
    <w:uiPriority w:val="29"/>
    <w:semiHidden/>
    <w:unhideWhenUsed/>
    <w:qFormat/>
    <w:rsid w:val="00431B47"/>
    <w:pPr>
      <w:spacing w:before="200"/>
      <w:jc w:val="center"/>
    </w:pPr>
    <w:rPr>
      <w:i/>
      <w:iCs/>
      <w:color w:val="787878" w:themeColor="text1" w:themeTint="BF"/>
    </w:rPr>
  </w:style>
  <w:style w:type="character" w:customStyle="1" w:styleId="QuoteChar">
    <w:name w:val="Quote Char"/>
    <w:basedOn w:val="DefaultParagraphFont"/>
    <w:link w:val="Quote"/>
    <w:uiPriority w:val="29"/>
    <w:semiHidden/>
    <w:rsid w:val="00431B47"/>
    <w:rPr>
      <w:i/>
      <w:iCs/>
      <w:color w:val="787878"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787878" w:themeColor="text1" w:themeTint="BF"/>
    </w:rPr>
  </w:style>
  <w:style w:type="character" w:styleId="SubtleReference">
    <w:name w:val="Subtle Reference"/>
    <w:basedOn w:val="DefaultParagraphFont"/>
    <w:uiPriority w:val="31"/>
    <w:semiHidden/>
    <w:unhideWhenUsed/>
    <w:qFormat/>
    <w:rsid w:val="007D052D"/>
    <w:rPr>
      <w:smallCaps/>
      <w:color w:val="8B8B8B" w:themeColor="text1" w:themeTint="A5"/>
    </w:rPr>
  </w:style>
  <w:style w:type="table" w:customStyle="1" w:styleId="GridTable4-Accent61">
    <w:name w:val="Grid Table 4 - Accent 61"/>
    <w:basedOn w:val="TableNormal"/>
    <w:uiPriority w:val="49"/>
    <w:rsid w:val="00CF6BFB"/>
    <w:pPr>
      <w:spacing w:after="0" w:line="240" w:lineRule="auto"/>
    </w:pPr>
    <w:rPr>
      <w:lang w:eastAsia="ja-JP"/>
    </w:rPr>
    <w:tblPr>
      <w:tblStyleRowBandSize w:val="1"/>
      <w:tblStyleColBandSize w:val="1"/>
      <w:tblBorders>
        <w:top w:val="single" w:sz="4" w:space="0" w:color="97ADC7" w:themeColor="accent6" w:themeTint="99"/>
        <w:left w:val="single" w:sz="4" w:space="0" w:color="97ADC7" w:themeColor="accent6" w:themeTint="99"/>
        <w:bottom w:val="single" w:sz="4" w:space="0" w:color="97ADC7" w:themeColor="accent6" w:themeTint="99"/>
        <w:right w:val="single" w:sz="4" w:space="0" w:color="97ADC7" w:themeColor="accent6" w:themeTint="99"/>
        <w:insideH w:val="single" w:sz="4" w:space="0" w:color="97ADC7" w:themeColor="accent6" w:themeTint="99"/>
        <w:insideV w:val="single" w:sz="4" w:space="0" w:color="97ADC7" w:themeColor="accent6" w:themeTint="99"/>
      </w:tblBorders>
    </w:tblPr>
    <w:tblStylePr w:type="firstRow">
      <w:rPr>
        <w:b/>
        <w:bCs/>
        <w:color w:val="FFFFFF" w:themeColor="background1"/>
      </w:rPr>
      <w:tblPr/>
      <w:tcPr>
        <w:tcBorders>
          <w:top w:val="single" w:sz="4" w:space="0" w:color="5578A0" w:themeColor="accent6"/>
          <w:left w:val="single" w:sz="4" w:space="0" w:color="5578A0" w:themeColor="accent6"/>
          <w:bottom w:val="single" w:sz="4" w:space="0" w:color="5578A0" w:themeColor="accent6"/>
          <w:right w:val="single" w:sz="4" w:space="0" w:color="5578A0" w:themeColor="accent6"/>
          <w:insideH w:val="nil"/>
          <w:insideV w:val="nil"/>
        </w:tcBorders>
        <w:shd w:val="clear" w:color="auto" w:fill="5578A0" w:themeFill="accent6"/>
      </w:tcPr>
    </w:tblStylePr>
    <w:tblStylePr w:type="lastRow">
      <w:rPr>
        <w:b/>
        <w:bCs/>
      </w:rPr>
      <w:tblPr/>
      <w:tcPr>
        <w:tcBorders>
          <w:top w:val="double" w:sz="4" w:space="0" w:color="5578A0" w:themeColor="accent6"/>
        </w:tcBorders>
      </w:tcPr>
    </w:tblStylePr>
    <w:tblStylePr w:type="firstCol">
      <w:rPr>
        <w:b/>
        <w:bCs/>
      </w:rPr>
    </w:tblStylePr>
    <w:tblStylePr w:type="lastCol">
      <w:rPr>
        <w:b/>
        <w:bCs/>
      </w:rPr>
    </w:tblStylePr>
    <w:tblStylePr w:type="band1Vert">
      <w:tblPr/>
      <w:tcPr>
        <w:shd w:val="clear" w:color="auto" w:fill="DCE3EC" w:themeFill="accent6" w:themeFillTint="33"/>
      </w:tcPr>
    </w:tblStylePr>
    <w:tblStylePr w:type="band1Horz">
      <w:tblPr/>
      <w:tcPr>
        <w:shd w:val="clear" w:color="auto" w:fill="DCE3EC" w:themeFill="accent6" w:themeFillTint="33"/>
      </w:tcPr>
    </w:tblStylePr>
  </w:style>
  <w:style w:type="paragraph" w:customStyle="1" w:styleId="tablenote">
    <w:name w:val="table note"/>
    <w:basedOn w:val="Normal"/>
    <w:qFormat/>
    <w:rsid w:val="00F83CA0"/>
    <w:pPr>
      <w:spacing w:before="120" w:after="240"/>
    </w:pPr>
    <w:rPr>
      <w:sz w:val="20"/>
    </w:rPr>
  </w:style>
  <w:style w:type="paragraph" w:customStyle="1" w:styleId="TableHead1">
    <w:name w:val="Table Head 1"/>
    <w:basedOn w:val="Normal"/>
    <w:qFormat/>
    <w:rsid w:val="006463B5"/>
    <w:rPr>
      <w:rFonts w:asciiTheme="minorHAnsi" w:hAnsiTheme="minorHAnsi"/>
      <w:bCs/>
      <w:sz w:val="20"/>
    </w:rPr>
  </w:style>
  <w:style w:type="paragraph" w:customStyle="1" w:styleId="Tabletext">
    <w:name w:val="Table text"/>
    <w:basedOn w:val="Normal"/>
    <w:qFormat/>
    <w:rsid w:val="006463B5"/>
    <w:rPr>
      <w:bCs/>
    </w:rPr>
  </w:style>
  <w:style w:type="paragraph" w:customStyle="1" w:styleId="paragraph">
    <w:name w:val="paragraph"/>
    <w:basedOn w:val="Normal"/>
    <w:rsid w:val="0031208C"/>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rmaltextrun">
    <w:name w:val="normaltextrun"/>
    <w:basedOn w:val="DefaultParagraphFont"/>
    <w:rsid w:val="0031208C"/>
  </w:style>
  <w:style w:type="character" w:customStyle="1" w:styleId="eop">
    <w:name w:val="eop"/>
    <w:basedOn w:val="DefaultParagraphFont"/>
    <w:rsid w:val="0031208C"/>
  </w:style>
  <w:style w:type="character" w:customStyle="1" w:styleId="superscript">
    <w:name w:val="superscript"/>
    <w:basedOn w:val="DefaultParagraphFont"/>
    <w:rsid w:val="009702C3"/>
  </w:style>
  <w:style w:type="paragraph" w:styleId="Revision">
    <w:name w:val="Revision"/>
    <w:hidden/>
    <w:uiPriority w:val="99"/>
    <w:semiHidden/>
    <w:rsid w:val="00DA162E"/>
    <w:pPr>
      <w:spacing w:after="0" w:line="240" w:lineRule="auto"/>
    </w:pPr>
    <w:rPr>
      <w:rFonts w:ascii="Garamond" w:hAnsi="Garamond" w:cs="Times New Roman (Headings CS)"/>
      <w:color w:val="auto"/>
      <w:sz w:val="24"/>
    </w:rPr>
  </w:style>
  <w:style w:type="character" w:styleId="UnresolvedMention">
    <w:name w:val="Unresolved Mention"/>
    <w:basedOn w:val="DefaultParagraphFont"/>
    <w:uiPriority w:val="99"/>
    <w:unhideWhenUsed/>
    <w:rsid w:val="00F11E51"/>
    <w:rPr>
      <w:color w:val="605E5C"/>
      <w:shd w:val="clear" w:color="auto" w:fill="E1DFDD"/>
    </w:rPr>
  </w:style>
  <w:style w:type="character" w:styleId="Mention">
    <w:name w:val="Mention"/>
    <w:basedOn w:val="DefaultParagraphFont"/>
    <w:uiPriority w:val="99"/>
    <w:unhideWhenUsed/>
    <w:rsid w:val="00F11E51"/>
    <w:rPr>
      <w:color w:val="2B579A"/>
      <w:shd w:val="clear" w:color="auto" w:fill="E1DFDD"/>
    </w:rPr>
  </w:style>
  <w:style w:type="character" w:customStyle="1" w:styleId="wordphrase">
    <w:name w:val="wordphrase"/>
    <w:basedOn w:val="DefaultParagraphFont"/>
    <w:rsid w:val="00C448E9"/>
  </w:style>
  <w:style w:type="character" w:customStyle="1" w:styleId="cite">
    <w:name w:val="cite"/>
    <w:basedOn w:val="DefaultParagraphFont"/>
    <w:rsid w:val="00C448E9"/>
  </w:style>
  <w:style w:type="character" w:customStyle="1" w:styleId="added-material">
    <w:name w:val="added-material"/>
    <w:basedOn w:val="DefaultParagraphFont"/>
    <w:rsid w:val="00E16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3083">
      <w:bodyDiv w:val="1"/>
      <w:marLeft w:val="0"/>
      <w:marRight w:val="0"/>
      <w:marTop w:val="0"/>
      <w:marBottom w:val="0"/>
      <w:divBdr>
        <w:top w:val="none" w:sz="0" w:space="0" w:color="auto"/>
        <w:left w:val="none" w:sz="0" w:space="0" w:color="auto"/>
        <w:bottom w:val="none" w:sz="0" w:space="0" w:color="auto"/>
        <w:right w:val="none" w:sz="0" w:space="0" w:color="auto"/>
      </w:divBdr>
    </w:div>
    <w:div w:id="177039650">
      <w:bodyDiv w:val="1"/>
      <w:marLeft w:val="0"/>
      <w:marRight w:val="0"/>
      <w:marTop w:val="0"/>
      <w:marBottom w:val="0"/>
      <w:divBdr>
        <w:top w:val="none" w:sz="0" w:space="0" w:color="auto"/>
        <w:left w:val="none" w:sz="0" w:space="0" w:color="auto"/>
        <w:bottom w:val="none" w:sz="0" w:space="0" w:color="auto"/>
        <w:right w:val="none" w:sz="0" w:space="0" w:color="auto"/>
      </w:divBdr>
    </w:div>
    <w:div w:id="317535853">
      <w:bodyDiv w:val="1"/>
      <w:marLeft w:val="0"/>
      <w:marRight w:val="0"/>
      <w:marTop w:val="0"/>
      <w:marBottom w:val="0"/>
      <w:divBdr>
        <w:top w:val="none" w:sz="0" w:space="0" w:color="auto"/>
        <w:left w:val="none" w:sz="0" w:space="0" w:color="auto"/>
        <w:bottom w:val="none" w:sz="0" w:space="0" w:color="auto"/>
        <w:right w:val="none" w:sz="0" w:space="0" w:color="auto"/>
      </w:divBdr>
    </w:div>
    <w:div w:id="630407098">
      <w:bodyDiv w:val="1"/>
      <w:marLeft w:val="0"/>
      <w:marRight w:val="0"/>
      <w:marTop w:val="0"/>
      <w:marBottom w:val="0"/>
      <w:divBdr>
        <w:top w:val="none" w:sz="0" w:space="0" w:color="auto"/>
        <w:left w:val="none" w:sz="0" w:space="0" w:color="auto"/>
        <w:bottom w:val="none" w:sz="0" w:space="0" w:color="auto"/>
        <w:right w:val="none" w:sz="0" w:space="0" w:color="auto"/>
      </w:divBdr>
      <w:divsChild>
        <w:div w:id="372119738">
          <w:marLeft w:val="150"/>
          <w:marRight w:val="150"/>
          <w:marTop w:val="150"/>
          <w:marBottom w:val="150"/>
          <w:divBdr>
            <w:top w:val="none" w:sz="0" w:space="0" w:color="auto"/>
            <w:left w:val="none" w:sz="0" w:space="0" w:color="auto"/>
            <w:bottom w:val="none" w:sz="0" w:space="0" w:color="auto"/>
            <w:right w:val="none" w:sz="0" w:space="0" w:color="auto"/>
          </w:divBdr>
        </w:div>
        <w:div w:id="556547753">
          <w:marLeft w:val="150"/>
          <w:marRight w:val="150"/>
          <w:marTop w:val="150"/>
          <w:marBottom w:val="150"/>
          <w:divBdr>
            <w:top w:val="none" w:sz="0" w:space="0" w:color="auto"/>
            <w:left w:val="none" w:sz="0" w:space="0" w:color="auto"/>
            <w:bottom w:val="none" w:sz="0" w:space="0" w:color="auto"/>
            <w:right w:val="none" w:sz="0" w:space="0" w:color="auto"/>
          </w:divBdr>
          <w:divsChild>
            <w:div w:id="495462072">
              <w:marLeft w:val="150"/>
              <w:marRight w:val="150"/>
              <w:marTop w:val="150"/>
              <w:marBottom w:val="150"/>
              <w:divBdr>
                <w:top w:val="none" w:sz="0" w:space="0" w:color="auto"/>
                <w:left w:val="none" w:sz="0" w:space="0" w:color="auto"/>
                <w:bottom w:val="none" w:sz="0" w:space="0" w:color="auto"/>
                <w:right w:val="none" w:sz="0" w:space="0" w:color="auto"/>
              </w:divBdr>
            </w:div>
            <w:div w:id="818159135">
              <w:marLeft w:val="150"/>
              <w:marRight w:val="150"/>
              <w:marTop w:val="150"/>
              <w:marBottom w:val="150"/>
              <w:divBdr>
                <w:top w:val="none" w:sz="0" w:space="0" w:color="auto"/>
                <w:left w:val="none" w:sz="0" w:space="0" w:color="auto"/>
                <w:bottom w:val="none" w:sz="0" w:space="0" w:color="auto"/>
                <w:right w:val="none" w:sz="0" w:space="0" w:color="auto"/>
              </w:divBdr>
            </w:div>
            <w:div w:id="1712607105">
              <w:marLeft w:val="150"/>
              <w:marRight w:val="150"/>
              <w:marTop w:val="150"/>
              <w:marBottom w:val="150"/>
              <w:divBdr>
                <w:top w:val="none" w:sz="0" w:space="0" w:color="auto"/>
                <w:left w:val="none" w:sz="0" w:space="0" w:color="auto"/>
                <w:bottom w:val="none" w:sz="0" w:space="0" w:color="auto"/>
                <w:right w:val="none" w:sz="0" w:space="0" w:color="auto"/>
              </w:divBdr>
              <w:divsChild>
                <w:div w:id="792014403">
                  <w:marLeft w:val="150"/>
                  <w:marRight w:val="150"/>
                  <w:marTop w:val="150"/>
                  <w:marBottom w:val="150"/>
                  <w:divBdr>
                    <w:top w:val="none" w:sz="0" w:space="0" w:color="auto"/>
                    <w:left w:val="none" w:sz="0" w:space="0" w:color="auto"/>
                    <w:bottom w:val="none" w:sz="0" w:space="0" w:color="auto"/>
                    <w:right w:val="none" w:sz="0" w:space="0" w:color="auto"/>
                  </w:divBdr>
                </w:div>
                <w:div w:id="1005669329">
                  <w:marLeft w:val="150"/>
                  <w:marRight w:val="150"/>
                  <w:marTop w:val="150"/>
                  <w:marBottom w:val="150"/>
                  <w:divBdr>
                    <w:top w:val="none" w:sz="0" w:space="0" w:color="auto"/>
                    <w:left w:val="none" w:sz="0" w:space="0" w:color="auto"/>
                    <w:bottom w:val="none" w:sz="0" w:space="0" w:color="auto"/>
                    <w:right w:val="none" w:sz="0" w:space="0" w:color="auto"/>
                  </w:divBdr>
                </w:div>
                <w:div w:id="1720981004">
                  <w:marLeft w:val="150"/>
                  <w:marRight w:val="150"/>
                  <w:marTop w:val="150"/>
                  <w:marBottom w:val="150"/>
                  <w:divBdr>
                    <w:top w:val="none" w:sz="0" w:space="0" w:color="auto"/>
                    <w:left w:val="none" w:sz="0" w:space="0" w:color="auto"/>
                    <w:bottom w:val="none" w:sz="0" w:space="0" w:color="auto"/>
                    <w:right w:val="none" w:sz="0" w:space="0" w:color="auto"/>
                  </w:divBdr>
                </w:div>
              </w:divsChild>
            </w:div>
            <w:div w:id="2016686068">
              <w:marLeft w:val="150"/>
              <w:marRight w:val="150"/>
              <w:marTop w:val="150"/>
              <w:marBottom w:val="150"/>
              <w:divBdr>
                <w:top w:val="none" w:sz="0" w:space="0" w:color="auto"/>
                <w:left w:val="none" w:sz="0" w:space="0" w:color="auto"/>
                <w:bottom w:val="none" w:sz="0" w:space="0" w:color="auto"/>
                <w:right w:val="none" w:sz="0" w:space="0" w:color="auto"/>
              </w:divBdr>
            </w:div>
          </w:divsChild>
        </w:div>
        <w:div w:id="669138439">
          <w:marLeft w:val="150"/>
          <w:marRight w:val="150"/>
          <w:marTop w:val="150"/>
          <w:marBottom w:val="150"/>
          <w:divBdr>
            <w:top w:val="none" w:sz="0" w:space="0" w:color="auto"/>
            <w:left w:val="none" w:sz="0" w:space="0" w:color="auto"/>
            <w:bottom w:val="none" w:sz="0" w:space="0" w:color="auto"/>
            <w:right w:val="none" w:sz="0" w:space="0" w:color="auto"/>
          </w:divBdr>
        </w:div>
        <w:div w:id="1409886245">
          <w:marLeft w:val="150"/>
          <w:marRight w:val="150"/>
          <w:marTop w:val="150"/>
          <w:marBottom w:val="150"/>
          <w:divBdr>
            <w:top w:val="none" w:sz="0" w:space="0" w:color="auto"/>
            <w:left w:val="none" w:sz="0" w:space="0" w:color="auto"/>
            <w:bottom w:val="none" w:sz="0" w:space="0" w:color="auto"/>
            <w:right w:val="none" w:sz="0" w:space="0" w:color="auto"/>
          </w:divBdr>
        </w:div>
        <w:div w:id="1791899432">
          <w:marLeft w:val="150"/>
          <w:marRight w:val="150"/>
          <w:marTop w:val="150"/>
          <w:marBottom w:val="150"/>
          <w:divBdr>
            <w:top w:val="none" w:sz="0" w:space="0" w:color="auto"/>
            <w:left w:val="none" w:sz="0" w:space="0" w:color="auto"/>
            <w:bottom w:val="none" w:sz="0" w:space="0" w:color="auto"/>
            <w:right w:val="none" w:sz="0" w:space="0" w:color="auto"/>
          </w:divBdr>
        </w:div>
        <w:div w:id="2140565109">
          <w:marLeft w:val="150"/>
          <w:marRight w:val="150"/>
          <w:marTop w:val="150"/>
          <w:marBottom w:val="150"/>
          <w:divBdr>
            <w:top w:val="none" w:sz="0" w:space="0" w:color="auto"/>
            <w:left w:val="none" w:sz="0" w:space="0" w:color="auto"/>
            <w:bottom w:val="none" w:sz="0" w:space="0" w:color="auto"/>
            <w:right w:val="none" w:sz="0" w:space="0" w:color="auto"/>
          </w:divBdr>
        </w:div>
      </w:divsChild>
    </w:div>
    <w:div w:id="963733250">
      <w:bodyDiv w:val="1"/>
      <w:marLeft w:val="0"/>
      <w:marRight w:val="0"/>
      <w:marTop w:val="0"/>
      <w:marBottom w:val="0"/>
      <w:divBdr>
        <w:top w:val="none" w:sz="0" w:space="0" w:color="auto"/>
        <w:left w:val="none" w:sz="0" w:space="0" w:color="auto"/>
        <w:bottom w:val="none" w:sz="0" w:space="0" w:color="auto"/>
        <w:right w:val="none" w:sz="0" w:space="0" w:color="auto"/>
      </w:divBdr>
      <w:divsChild>
        <w:div w:id="323510707">
          <w:marLeft w:val="150"/>
          <w:marRight w:val="150"/>
          <w:marTop w:val="150"/>
          <w:marBottom w:val="150"/>
          <w:divBdr>
            <w:top w:val="none" w:sz="0" w:space="0" w:color="auto"/>
            <w:left w:val="none" w:sz="0" w:space="0" w:color="auto"/>
            <w:bottom w:val="none" w:sz="0" w:space="0" w:color="auto"/>
            <w:right w:val="none" w:sz="0" w:space="0" w:color="auto"/>
          </w:divBdr>
        </w:div>
        <w:div w:id="620235351">
          <w:marLeft w:val="150"/>
          <w:marRight w:val="150"/>
          <w:marTop w:val="150"/>
          <w:marBottom w:val="150"/>
          <w:divBdr>
            <w:top w:val="none" w:sz="0" w:space="0" w:color="auto"/>
            <w:left w:val="none" w:sz="0" w:space="0" w:color="auto"/>
            <w:bottom w:val="none" w:sz="0" w:space="0" w:color="auto"/>
            <w:right w:val="none" w:sz="0" w:space="0" w:color="auto"/>
          </w:divBdr>
        </w:div>
        <w:div w:id="971329860">
          <w:marLeft w:val="150"/>
          <w:marRight w:val="150"/>
          <w:marTop w:val="150"/>
          <w:marBottom w:val="150"/>
          <w:divBdr>
            <w:top w:val="none" w:sz="0" w:space="0" w:color="auto"/>
            <w:left w:val="none" w:sz="0" w:space="0" w:color="auto"/>
            <w:bottom w:val="none" w:sz="0" w:space="0" w:color="auto"/>
            <w:right w:val="none" w:sz="0" w:space="0" w:color="auto"/>
          </w:divBdr>
        </w:div>
        <w:div w:id="1051226864">
          <w:marLeft w:val="150"/>
          <w:marRight w:val="150"/>
          <w:marTop w:val="150"/>
          <w:marBottom w:val="150"/>
          <w:divBdr>
            <w:top w:val="none" w:sz="0" w:space="0" w:color="auto"/>
            <w:left w:val="none" w:sz="0" w:space="0" w:color="auto"/>
            <w:bottom w:val="none" w:sz="0" w:space="0" w:color="auto"/>
            <w:right w:val="none" w:sz="0" w:space="0" w:color="auto"/>
          </w:divBdr>
        </w:div>
      </w:divsChild>
    </w:div>
    <w:div w:id="964001241">
      <w:bodyDiv w:val="1"/>
      <w:marLeft w:val="0"/>
      <w:marRight w:val="0"/>
      <w:marTop w:val="0"/>
      <w:marBottom w:val="0"/>
      <w:divBdr>
        <w:top w:val="none" w:sz="0" w:space="0" w:color="auto"/>
        <w:left w:val="none" w:sz="0" w:space="0" w:color="auto"/>
        <w:bottom w:val="none" w:sz="0" w:space="0" w:color="auto"/>
        <w:right w:val="none" w:sz="0" w:space="0" w:color="auto"/>
      </w:divBdr>
      <w:divsChild>
        <w:div w:id="19937438">
          <w:marLeft w:val="150"/>
          <w:marRight w:val="150"/>
          <w:marTop w:val="150"/>
          <w:marBottom w:val="150"/>
          <w:divBdr>
            <w:top w:val="none" w:sz="0" w:space="0" w:color="auto"/>
            <w:left w:val="none" w:sz="0" w:space="0" w:color="auto"/>
            <w:bottom w:val="none" w:sz="0" w:space="0" w:color="auto"/>
            <w:right w:val="none" w:sz="0" w:space="0" w:color="auto"/>
          </w:divBdr>
        </w:div>
        <w:div w:id="588319960">
          <w:marLeft w:val="150"/>
          <w:marRight w:val="150"/>
          <w:marTop w:val="150"/>
          <w:marBottom w:val="150"/>
          <w:divBdr>
            <w:top w:val="none" w:sz="0" w:space="0" w:color="auto"/>
            <w:left w:val="none" w:sz="0" w:space="0" w:color="auto"/>
            <w:bottom w:val="none" w:sz="0" w:space="0" w:color="auto"/>
            <w:right w:val="none" w:sz="0" w:space="0" w:color="auto"/>
          </w:divBdr>
        </w:div>
        <w:div w:id="1241677479">
          <w:marLeft w:val="150"/>
          <w:marRight w:val="150"/>
          <w:marTop w:val="150"/>
          <w:marBottom w:val="150"/>
          <w:divBdr>
            <w:top w:val="none" w:sz="0" w:space="0" w:color="auto"/>
            <w:left w:val="none" w:sz="0" w:space="0" w:color="auto"/>
            <w:bottom w:val="none" w:sz="0" w:space="0" w:color="auto"/>
            <w:right w:val="none" w:sz="0" w:space="0" w:color="auto"/>
          </w:divBdr>
        </w:div>
        <w:div w:id="1559903925">
          <w:marLeft w:val="150"/>
          <w:marRight w:val="150"/>
          <w:marTop w:val="150"/>
          <w:marBottom w:val="150"/>
          <w:divBdr>
            <w:top w:val="none" w:sz="0" w:space="0" w:color="auto"/>
            <w:left w:val="none" w:sz="0" w:space="0" w:color="auto"/>
            <w:bottom w:val="none" w:sz="0" w:space="0" w:color="auto"/>
            <w:right w:val="none" w:sz="0" w:space="0" w:color="auto"/>
          </w:divBdr>
          <w:divsChild>
            <w:div w:id="325400295">
              <w:marLeft w:val="150"/>
              <w:marRight w:val="150"/>
              <w:marTop w:val="150"/>
              <w:marBottom w:val="150"/>
              <w:divBdr>
                <w:top w:val="none" w:sz="0" w:space="0" w:color="auto"/>
                <w:left w:val="none" w:sz="0" w:space="0" w:color="auto"/>
                <w:bottom w:val="none" w:sz="0" w:space="0" w:color="auto"/>
                <w:right w:val="none" w:sz="0" w:space="0" w:color="auto"/>
              </w:divBdr>
            </w:div>
            <w:div w:id="104428325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273972177">
      <w:bodyDiv w:val="1"/>
      <w:marLeft w:val="0"/>
      <w:marRight w:val="0"/>
      <w:marTop w:val="0"/>
      <w:marBottom w:val="0"/>
      <w:divBdr>
        <w:top w:val="none" w:sz="0" w:space="0" w:color="auto"/>
        <w:left w:val="none" w:sz="0" w:space="0" w:color="auto"/>
        <w:bottom w:val="none" w:sz="0" w:space="0" w:color="auto"/>
        <w:right w:val="none" w:sz="0" w:space="0" w:color="auto"/>
      </w:divBdr>
      <w:divsChild>
        <w:div w:id="632827750">
          <w:marLeft w:val="150"/>
          <w:marRight w:val="150"/>
          <w:marTop w:val="150"/>
          <w:marBottom w:val="150"/>
          <w:divBdr>
            <w:top w:val="none" w:sz="0" w:space="0" w:color="auto"/>
            <w:left w:val="none" w:sz="0" w:space="0" w:color="auto"/>
            <w:bottom w:val="none" w:sz="0" w:space="0" w:color="auto"/>
            <w:right w:val="none" w:sz="0" w:space="0" w:color="auto"/>
          </w:divBdr>
        </w:div>
        <w:div w:id="1621565341">
          <w:marLeft w:val="150"/>
          <w:marRight w:val="150"/>
          <w:marTop w:val="150"/>
          <w:marBottom w:val="150"/>
          <w:divBdr>
            <w:top w:val="none" w:sz="0" w:space="0" w:color="auto"/>
            <w:left w:val="none" w:sz="0" w:space="0" w:color="auto"/>
            <w:bottom w:val="none" w:sz="0" w:space="0" w:color="auto"/>
            <w:right w:val="none" w:sz="0" w:space="0" w:color="auto"/>
          </w:divBdr>
        </w:div>
        <w:div w:id="1860923776">
          <w:marLeft w:val="150"/>
          <w:marRight w:val="150"/>
          <w:marTop w:val="150"/>
          <w:marBottom w:val="150"/>
          <w:divBdr>
            <w:top w:val="none" w:sz="0" w:space="0" w:color="auto"/>
            <w:left w:val="none" w:sz="0" w:space="0" w:color="auto"/>
            <w:bottom w:val="none" w:sz="0" w:space="0" w:color="auto"/>
            <w:right w:val="none" w:sz="0" w:space="0" w:color="auto"/>
          </w:divBdr>
        </w:div>
        <w:div w:id="2119762091">
          <w:marLeft w:val="150"/>
          <w:marRight w:val="150"/>
          <w:marTop w:val="150"/>
          <w:marBottom w:val="150"/>
          <w:divBdr>
            <w:top w:val="none" w:sz="0" w:space="0" w:color="auto"/>
            <w:left w:val="none" w:sz="0" w:space="0" w:color="auto"/>
            <w:bottom w:val="none" w:sz="0" w:space="0" w:color="auto"/>
            <w:right w:val="none" w:sz="0" w:space="0" w:color="auto"/>
          </w:divBdr>
        </w:div>
      </w:divsChild>
    </w:div>
    <w:div w:id="1300259940">
      <w:bodyDiv w:val="1"/>
      <w:marLeft w:val="0"/>
      <w:marRight w:val="0"/>
      <w:marTop w:val="0"/>
      <w:marBottom w:val="0"/>
      <w:divBdr>
        <w:top w:val="none" w:sz="0" w:space="0" w:color="auto"/>
        <w:left w:val="none" w:sz="0" w:space="0" w:color="auto"/>
        <w:bottom w:val="none" w:sz="0" w:space="0" w:color="auto"/>
        <w:right w:val="none" w:sz="0" w:space="0" w:color="auto"/>
      </w:divBdr>
      <w:divsChild>
        <w:div w:id="153420245">
          <w:marLeft w:val="150"/>
          <w:marRight w:val="150"/>
          <w:marTop w:val="150"/>
          <w:marBottom w:val="150"/>
          <w:divBdr>
            <w:top w:val="none" w:sz="0" w:space="0" w:color="auto"/>
            <w:left w:val="none" w:sz="0" w:space="0" w:color="auto"/>
            <w:bottom w:val="none" w:sz="0" w:space="0" w:color="auto"/>
            <w:right w:val="none" w:sz="0" w:space="0" w:color="auto"/>
          </w:divBdr>
        </w:div>
        <w:div w:id="1497725847">
          <w:marLeft w:val="150"/>
          <w:marRight w:val="150"/>
          <w:marTop w:val="150"/>
          <w:marBottom w:val="150"/>
          <w:divBdr>
            <w:top w:val="none" w:sz="0" w:space="0" w:color="auto"/>
            <w:left w:val="none" w:sz="0" w:space="0" w:color="auto"/>
            <w:bottom w:val="none" w:sz="0" w:space="0" w:color="auto"/>
            <w:right w:val="none" w:sz="0" w:space="0" w:color="auto"/>
          </w:divBdr>
          <w:divsChild>
            <w:div w:id="286208351">
              <w:marLeft w:val="150"/>
              <w:marRight w:val="150"/>
              <w:marTop w:val="150"/>
              <w:marBottom w:val="150"/>
              <w:divBdr>
                <w:top w:val="none" w:sz="0" w:space="0" w:color="auto"/>
                <w:left w:val="none" w:sz="0" w:space="0" w:color="auto"/>
                <w:bottom w:val="none" w:sz="0" w:space="0" w:color="auto"/>
                <w:right w:val="none" w:sz="0" w:space="0" w:color="auto"/>
              </w:divBdr>
            </w:div>
            <w:div w:id="562062720">
              <w:marLeft w:val="150"/>
              <w:marRight w:val="150"/>
              <w:marTop w:val="150"/>
              <w:marBottom w:val="150"/>
              <w:divBdr>
                <w:top w:val="none" w:sz="0" w:space="0" w:color="auto"/>
                <w:left w:val="none" w:sz="0" w:space="0" w:color="auto"/>
                <w:bottom w:val="none" w:sz="0" w:space="0" w:color="auto"/>
                <w:right w:val="none" w:sz="0" w:space="0" w:color="auto"/>
              </w:divBdr>
            </w:div>
            <w:div w:id="857549089">
              <w:marLeft w:val="150"/>
              <w:marRight w:val="150"/>
              <w:marTop w:val="150"/>
              <w:marBottom w:val="150"/>
              <w:divBdr>
                <w:top w:val="none" w:sz="0" w:space="0" w:color="auto"/>
                <w:left w:val="none" w:sz="0" w:space="0" w:color="auto"/>
                <w:bottom w:val="none" w:sz="0" w:space="0" w:color="auto"/>
                <w:right w:val="none" w:sz="0" w:space="0" w:color="auto"/>
              </w:divBdr>
            </w:div>
            <w:div w:id="901646079">
              <w:marLeft w:val="150"/>
              <w:marRight w:val="150"/>
              <w:marTop w:val="150"/>
              <w:marBottom w:val="150"/>
              <w:divBdr>
                <w:top w:val="none" w:sz="0" w:space="0" w:color="auto"/>
                <w:left w:val="none" w:sz="0" w:space="0" w:color="auto"/>
                <w:bottom w:val="none" w:sz="0" w:space="0" w:color="auto"/>
                <w:right w:val="none" w:sz="0" w:space="0" w:color="auto"/>
              </w:divBdr>
            </w:div>
            <w:div w:id="1079250683">
              <w:marLeft w:val="150"/>
              <w:marRight w:val="150"/>
              <w:marTop w:val="150"/>
              <w:marBottom w:val="150"/>
              <w:divBdr>
                <w:top w:val="none" w:sz="0" w:space="0" w:color="auto"/>
                <w:left w:val="none" w:sz="0" w:space="0" w:color="auto"/>
                <w:bottom w:val="none" w:sz="0" w:space="0" w:color="auto"/>
                <w:right w:val="none" w:sz="0" w:space="0" w:color="auto"/>
              </w:divBdr>
              <w:divsChild>
                <w:div w:id="98841640">
                  <w:marLeft w:val="150"/>
                  <w:marRight w:val="150"/>
                  <w:marTop w:val="150"/>
                  <w:marBottom w:val="150"/>
                  <w:divBdr>
                    <w:top w:val="none" w:sz="0" w:space="0" w:color="auto"/>
                    <w:left w:val="none" w:sz="0" w:space="0" w:color="auto"/>
                    <w:bottom w:val="none" w:sz="0" w:space="0" w:color="auto"/>
                    <w:right w:val="none" w:sz="0" w:space="0" w:color="auto"/>
                  </w:divBdr>
                </w:div>
                <w:div w:id="195242861">
                  <w:marLeft w:val="150"/>
                  <w:marRight w:val="150"/>
                  <w:marTop w:val="150"/>
                  <w:marBottom w:val="150"/>
                  <w:divBdr>
                    <w:top w:val="none" w:sz="0" w:space="0" w:color="auto"/>
                    <w:left w:val="none" w:sz="0" w:space="0" w:color="auto"/>
                    <w:bottom w:val="none" w:sz="0" w:space="0" w:color="auto"/>
                    <w:right w:val="none" w:sz="0" w:space="0" w:color="auto"/>
                  </w:divBdr>
                </w:div>
                <w:div w:id="319425849">
                  <w:marLeft w:val="150"/>
                  <w:marRight w:val="150"/>
                  <w:marTop w:val="150"/>
                  <w:marBottom w:val="150"/>
                  <w:divBdr>
                    <w:top w:val="none" w:sz="0" w:space="0" w:color="auto"/>
                    <w:left w:val="none" w:sz="0" w:space="0" w:color="auto"/>
                    <w:bottom w:val="none" w:sz="0" w:space="0" w:color="auto"/>
                    <w:right w:val="none" w:sz="0" w:space="0" w:color="auto"/>
                  </w:divBdr>
                  <w:divsChild>
                    <w:div w:id="895817015">
                      <w:marLeft w:val="150"/>
                      <w:marRight w:val="150"/>
                      <w:marTop w:val="150"/>
                      <w:marBottom w:val="150"/>
                      <w:divBdr>
                        <w:top w:val="none" w:sz="0" w:space="0" w:color="auto"/>
                        <w:left w:val="none" w:sz="0" w:space="0" w:color="auto"/>
                        <w:bottom w:val="none" w:sz="0" w:space="0" w:color="auto"/>
                        <w:right w:val="none" w:sz="0" w:space="0" w:color="auto"/>
                      </w:divBdr>
                    </w:div>
                    <w:div w:id="1739403948">
                      <w:marLeft w:val="150"/>
                      <w:marRight w:val="150"/>
                      <w:marTop w:val="150"/>
                      <w:marBottom w:val="150"/>
                      <w:divBdr>
                        <w:top w:val="none" w:sz="0" w:space="0" w:color="auto"/>
                        <w:left w:val="none" w:sz="0" w:space="0" w:color="auto"/>
                        <w:bottom w:val="none" w:sz="0" w:space="0" w:color="auto"/>
                        <w:right w:val="none" w:sz="0" w:space="0" w:color="auto"/>
                      </w:divBdr>
                    </w:div>
                    <w:div w:id="191825016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25250112">
              <w:marLeft w:val="150"/>
              <w:marRight w:val="150"/>
              <w:marTop w:val="150"/>
              <w:marBottom w:val="150"/>
              <w:divBdr>
                <w:top w:val="none" w:sz="0" w:space="0" w:color="auto"/>
                <w:left w:val="none" w:sz="0" w:space="0" w:color="auto"/>
                <w:bottom w:val="none" w:sz="0" w:space="0" w:color="auto"/>
                <w:right w:val="none" w:sz="0" w:space="0" w:color="auto"/>
              </w:divBdr>
            </w:div>
            <w:div w:id="1544177059">
              <w:marLeft w:val="150"/>
              <w:marRight w:val="150"/>
              <w:marTop w:val="150"/>
              <w:marBottom w:val="150"/>
              <w:divBdr>
                <w:top w:val="none" w:sz="0" w:space="0" w:color="auto"/>
                <w:left w:val="none" w:sz="0" w:space="0" w:color="auto"/>
                <w:bottom w:val="none" w:sz="0" w:space="0" w:color="auto"/>
                <w:right w:val="none" w:sz="0" w:space="0" w:color="auto"/>
              </w:divBdr>
            </w:div>
            <w:div w:id="1593052751">
              <w:marLeft w:val="150"/>
              <w:marRight w:val="150"/>
              <w:marTop w:val="150"/>
              <w:marBottom w:val="150"/>
              <w:divBdr>
                <w:top w:val="none" w:sz="0" w:space="0" w:color="auto"/>
                <w:left w:val="none" w:sz="0" w:space="0" w:color="auto"/>
                <w:bottom w:val="none" w:sz="0" w:space="0" w:color="auto"/>
                <w:right w:val="none" w:sz="0" w:space="0" w:color="auto"/>
              </w:divBdr>
            </w:div>
            <w:div w:id="207257652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300645146">
      <w:bodyDiv w:val="1"/>
      <w:marLeft w:val="0"/>
      <w:marRight w:val="0"/>
      <w:marTop w:val="0"/>
      <w:marBottom w:val="0"/>
      <w:divBdr>
        <w:top w:val="none" w:sz="0" w:space="0" w:color="auto"/>
        <w:left w:val="none" w:sz="0" w:space="0" w:color="auto"/>
        <w:bottom w:val="none" w:sz="0" w:space="0" w:color="auto"/>
        <w:right w:val="none" w:sz="0" w:space="0" w:color="auto"/>
      </w:divBdr>
    </w:div>
    <w:div w:id="1310095175">
      <w:bodyDiv w:val="1"/>
      <w:marLeft w:val="0"/>
      <w:marRight w:val="0"/>
      <w:marTop w:val="0"/>
      <w:marBottom w:val="0"/>
      <w:divBdr>
        <w:top w:val="none" w:sz="0" w:space="0" w:color="auto"/>
        <w:left w:val="none" w:sz="0" w:space="0" w:color="auto"/>
        <w:bottom w:val="none" w:sz="0" w:space="0" w:color="auto"/>
        <w:right w:val="none" w:sz="0" w:space="0" w:color="auto"/>
      </w:divBdr>
      <w:divsChild>
        <w:div w:id="1994719527">
          <w:marLeft w:val="150"/>
          <w:marRight w:val="150"/>
          <w:marTop w:val="150"/>
          <w:marBottom w:val="150"/>
          <w:divBdr>
            <w:top w:val="none" w:sz="0" w:space="0" w:color="auto"/>
            <w:left w:val="none" w:sz="0" w:space="0" w:color="auto"/>
            <w:bottom w:val="none" w:sz="0" w:space="0" w:color="auto"/>
            <w:right w:val="none" w:sz="0" w:space="0" w:color="auto"/>
          </w:divBdr>
        </w:div>
        <w:div w:id="2058701649">
          <w:marLeft w:val="150"/>
          <w:marRight w:val="150"/>
          <w:marTop w:val="150"/>
          <w:marBottom w:val="150"/>
          <w:divBdr>
            <w:top w:val="none" w:sz="0" w:space="0" w:color="auto"/>
            <w:left w:val="none" w:sz="0" w:space="0" w:color="auto"/>
            <w:bottom w:val="none" w:sz="0" w:space="0" w:color="auto"/>
            <w:right w:val="none" w:sz="0" w:space="0" w:color="auto"/>
          </w:divBdr>
          <w:divsChild>
            <w:div w:id="1314068221">
              <w:marLeft w:val="150"/>
              <w:marRight w:val="150"/>
              <w:marTop w:val="150"/>
              <w:marBottom w:val="150"/>
              <w:divBdr>
                <w:top w:val="none" w:sz="0" w:space="0" w:color="auto"/>
                <w:left w:val="none" w:sz="0" w:space="0" w:color="auto"/>
                <w:bottom w:val="none" w:sz="0" w:space="0" w:color="auto"/>
                <w:right w:val="none" w:sz="0" w:space="0" w:color="auto"/>
              </w:divBdr>
              <w:divsChild>
                <w:div w:id="540750370">
                  <w:marLeft w:val="150"/>
                  <w:marRight w:val="150"/>
                  <w:marTop w:val="150"/>
                  <w:marBottom w:val="150"/>
                  <w:divBdr>
                    <w:top w:val="none" w:sz="0" w:space="0" w:color="auto"/>
                    <w:left w:val="none" w:sz="0" w:space="0" w:color="auto"/>
                    <w:bottom w:val="none" w:sz="0" w:space="0" w:color="auto"/>
                    <w:right w:val="none" w:sz="0" w:space="0" w:color="auto"/>
                  </w:divBdr>
                </w:div>
                <w:div w:id="1768692051">
                  <w:marLeft w:val="150"/>
                  <w:marRight w:val="150"/>
                  <w:marTop w:val="150"/>
                  <w:marBottom w:val="150"/>
                  <w:divBdr>
                    <w:top w:val="none" w:sz="0" w:space="0" w:color="auto"/>
                    <w:left w:val="none" w:sz="0" w:space="0" w:color="auto"/>
                    <w:bottom w:val="none" w:sz="0" w:space="0" w:color="auto"/>
                    <w:right w:val="none" w:sz="0" w:space="0" w:color="auto"/>
                  </w:divBdr>
                </w:div>
              </w:divsChild>
            </w:div>
            <w:div w:id="178607334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10689976">
      <w:bodyDiv w:val="1"/>
      <w:marLeft w:val="0"/>
      <w:marRight w:val="0"/>
      <w:marTop w:val="0"/>
      <w:marBottom w:val="0"/>
      <w:divBdr>
        <w:top w:val="none" w:sz="0" w:space="0" w:color="auto"/>
        <w:left w:val="none" w:sz="0" w:space="0" w:color="auto"/>
        <w:bottom w:val="none" w:sz="0" w:space="0" w:color="auto"/>
        <w:right w:val="none" w:sz="0" w:space="0" w:color="auto"/>
      </w:divBdr>
      <w:divsChild>
        <w:div w:id="13774344">
          <w:marLeft w:val="150"/>
          <w:marRight w:val="150"/>
          <w:marTop w:val="150"/>
          <w:marBottom w:val="150"/>
          <w:divBdr>
            <w:top w:val="none" w:sz="0" w:space="0" w:color="auto"/>
            <w:left w:val="none" w:sz="0" w:space="0" w:color="auto"/>
            <w:bottom w:val="none" w:sz="0" w:space="0" w:color="auto"/>
            <w:right w:val="none" w:sz="0" w:space="0" w:color="auto"/>
          </w:divBdr>
        </w:div>
        <w:div w:id="506485601">
          <w:marLeft w:val="150"/>
          <w:marRight w:val="150"/>
          <w:marTop w:val="150"/>
          <w:marBottom w:val="150"/>
          <w:divBdr>
            <w:top w:val="none" w:sz="0" w:space="0" w:color="auto"/>
            <w:left w:val="none" w:sz="0" w:space="0" w:color="auto"/>
            <w:bottom w:val="none" w:sz="0" w:space="0" w:color="auto"/>
            <w:right w:val="none" w:sz="0" w:space="0" w:color="auto"/>
          </w:divBdr>
        </w:div>
        <w:div w:id="1134102433">
          <w:marLeft w:val="150"/>
          <w:marRight w:val="150"/>
          <w:marTop w:val="150"/>
          <w:marBottom w:val="150"/>
          <w:divBdr>
            <w:top w:val="none" w:sz="0" w:space="0" w:color="auto"/>
            <w:left w:val="none" w:sz="0" w:space="0" w:color="auto"/>
            <w:bottom w:val="none" w:sz="0" w:space="0" w:color="auto"/>
            <w:right w:val="none" w:sz="0" w:space="0" w:color="auto"/>
          </w:divBdr>
        </w:div>
        <w:div w:id="1285112218">
          <w:marLeft w:val="150"/>
          <w:marRight w:val="150"/>
          <w:marTop w:val="150"/>
          <w:marBottom w:val="150"/>
          <w:divBdr>
            <w:top w:val="none" w:sz="0" w:space="0" w:color="auto"/>
            <w:left w:val="none" w:sz="0" w:space="0" w:color="auto"/>
            <w:bottom w:val="none" w:sz="0" w:space="0" w:color="auto"/>
            <w:right w:val="none" w:sz="0" w:space="0" w:color="auto"/>
          </w:divBdr>
        </w:div>
        <w:div w:id="1365790538">
          <w:marLeft w:val="150"/>
          <w:marRight w:val="150"/>
          <w:marTop w:val="150"/>
          <w:marBottom w:val="150"/>
          <w:divBdr>
            <w:top w:val="none" w:sz="0" w:space="0" w:color="auto"/>
            <w:left w:val="none" w:sz="0" w:space="0" w:color="auto"/>
            <w:bottom w:val="none" w:sz="0" w:space="0" w:color="auto"/>
            <w:right w:val="none" w:sz="0" w:space="0" w:color="auto"/>
          </w:divBdr>
          <w:divsChild>
            <w:div w:id="538053785">
              <w:marLeft w:val="150"/>
              <w:marRight w:val="150"/>
              <w:marTop w:val="150"/>
              <w:marBottom w:val="150"/>
              <w:divBdr>
                <w:top w:val="none" w:sz="0" w:space="0" w:color="auto"/>
                <w:left w:val="none" w:sz="0" w:space="0" w:color="auto"/>
                <w:bottom w:val="none" w:sz="0" w:space="0" w:color="auto"/>
                <w:right w:val="none" w:sz="0" w:space="0" w:color="auto"/>
              </w:divBdr>
            </w:div>
            <w:div w:id="547107722">
              <w:marLeft w:val="150"/>
              <w:marRight w:val="150"/>
              <w:marTop w:val="150"/>
              <w:marBottom w:val="150"/>
              <w:divBdr>
                <w:top w:val="none" w:sz="0" w:space="0" w:color="auto"/>
                <w:left w:val="none" w:sz="0" w:space="0" w:color="auto"/>
                <w:bottom w:val="none" w:sz="0" w:space="0" w:color="auto"/>
                <w:right w:val="none" w:sz="0" w:space="0" w:color="auto"/>
              </w:divBdr>
            </w:div>
            <w:div w:id="773674277">
              <w:marLeft w:val="150"/>
              <w:marRight w:val="150"/>
              <w:marTop w:val="150"/>
              <w:marBottom w:val="150"/>
              <w:divBdr>
                <w:top w:val="none" w:sz="0" w:space="0" w:color="auto"/>
                <w:left w:val="none" w:sz="0" w:space="0" w:color="auto"/>
                <w:bottom w:val="none" w:sz="0" w:space="0" w:color="auto"/>
                <w:right w:val="none" w:sz="0" w:space="0" w:color="auto"/>
              </w:divBdr>
            </w:div>
            <w:div w:id="1209099565">
              <w:marLeft w:val="150"/>
              <w:marRight w:val="150"/>
              <w:marTop w:val="150"/>
              <w:marBottom w:val="150"/>
              <w:divBdr>
                <w:top w:val="none" w:sz="0" w:space="0" w:color="auto"/>
                <w:left w:val="none" w:sz="0" w:space="0" w:color="auto"/>
                <w:bottom w:val="none" w:sz="0" w:space="0" w:color="auto"/>
                <w:right w:val="none" w:sz="0" w:space="0" w:color="auto"/>
              </w:divBdr>
            </w:div>
            <w:div w:id="1517693734">
              <w:marLeft w:val="150"/>
              <w:marRight w:val="150"/>
              <w:marTop w:val="150"/>
              <w:marBottom w:val="150"/>
              <w:divBdr>
                <w:top w:val="none" w:sz="0" w:space="0" w:color="auto"/>
                <w:left w:val="none" w:sz="0" w:space="0" w:color="auto"/>
                <w:bottom w:val="none" w:sz="0" w:space="0" w:color="auto"/>
                <w:right w:val="none" w:sz="0" w:space="0" w:color="auto"/>
              </w:divBdr>
            </w:div>
            <w:div w:id="1632132912">
              <w:marLeft w:val="150"/>
              <w:marRight w:val="150"/>
              <w:marTop w:val="150"/>
              <w:marBottom w:val="150"/>
              <w:divBdr>
                <w:top w:val="none" w:sz="0" w:space="0" w:color="auto"/>
                <w:left w:val="none" w:sz="0" w:space="0" w:color="auto"/>
                <w:bottom w:val="none" w:sz="0" w:space="0" w:color="auto"/>
                <w:right w:val="none" w:sz="0" w:space="0" w:color="auto"/>
              </w:divBdr>
            </w:div>
            <w:div w:id="1756124304">
              <w:marLeft w:val="150"/>
              <w:marRight w:val="150"/>
              <w:marTop w:val="150"/>
              <w:marBottom w:val="150"/>
              <w:divBdr>
                <w:top w:val="none" w:sz="0" w:space="0" w:color="auto"/>
                <w:left w:val="none" w:sz="0" w:space="0" w:color="auto"/>
                <w:bottom w:val="none" w:sz="0" w:space="0" w:color="auto"/>
                <w:right w:val="none" w:sz="0" w:space="0" w:color="auto"/>
              </w:divBdr>
            </w:div>
            <w:div w:id="1832409750">
              <w:marLeft w:val="150"/>
              <w:marRight w:val="150"/>
              <w:marTop w:val="150"/>
              <w:marBottom w:val="150"/>
              <w:divBdr>
                <w:top w:val="none" w:sz="0" w:space="0" w:color="auto"/>
                <w:left w:val="none" w:sz="0" w:space="0" w:color="auto"/>
                <w:bottom w:val="none" w:sz="0" w:space="0" w:color="auto"/>
                <w:right w:val="none" w:sz="0" w:space="0" w:color="auto"/>
              </w:divBdr>
            </w:div>
          </w:divsChild>
        </w:div>
        <w:div w:id="1792941554">
          <w:marLeft w:val="150"/>
          <w:marRight w:val="150"/>
          <w:marTop w:val="150"/>
          <w:marBottom w:val="150"/>
          <w:divBdr>
            <w:top w:val="none" w:sz="0" w:space="0" w:color="auto"/>
            <w:left w:val="none" w:sz="0" w:space="0" w:color="auto"/>
            <w:bottom w:val="none" w:sz="0" w:space="0" w:color="auto"/>
            <w:right w:val="none" w:sz="0" w:space="0" w:color="auto"/>
          </w:divBdr>
          <w:divsChild>
            <w:div w:id="595984609">
              <w:marLeft w:val="150"/>
              <w:marRight w:val="150"/>
              <w:marTop w:val="150"/>
              <w:marBottom w:val="150"/>
              <w:divBdr>
                <w:top w:val="none" w:sz="0" w:space="0" w:color="auto"/>
                <w:left w:val="none" w:sz="0" w:space="0" w:color="auto"/>
                <w:bottom w:val="none" w:sz="0" w:space="0" w:color="auto"/>
                <w:right w:val="none" w:sz="0" w:space="0" w:color="auto"/>
              </w:divBdr>
            </w:div>
            <w:div w:id="655497155">
              <w:marLeft w:val="150"/>
              <w:marRight w:val="150"/>
              <w:marTop w:val="150"/>
              <w:marBottom w:val="150"/>
              <w:divBdr>
                <w:top w:val="none" w:sz="0" w:space="0" w:color="auto"/>
                <w:left w:val="none" w:sz="0" w:space="0" w:color="auto"/>
                <w:bottom w:val="none" w:sz="0" w:space="0" w:color="auto"/>
                <w:right w:val="none" w:sz="0" w:space="0" w:color="auto"/>
              </w:divBdr>
            </w:div>
            <w:div w:id="896939682">
              <w:marLeft w:val="150"/>
              <w:marRight w:val="150"/>
              <w:marTop w:val="150"/>
              <w:marBottom w:val="150"/>
              <w:divBdr>
                <w:top w:val="none" w:sz="0" w:space="0" w:color="auto"/>
                <w:left w:val="none" w:sz="0" w:space="0" w:color="auto"/>
                <w:bottom w:val="none" w:sz="0" w:space="0" w:color="auto"/>
                <w:right w:val="none" w:sz="0" w:space="0" w:color="auto"/>
              </w:divBdr>
            </w:div>
            <w:div w:id="1200897093">
              <w:marLeft w:val="150"/>
              <w:marRight w:val="150"/>
              <w:marTop w:val="150"/>
              <w:marBottom w:val="150"/>
              <w:divBdr>
                <w:top w:val="none" w:sz="0" w:space="0" w:color="auto"/>
                <w:left w:val="none" w:sz="0" w:space="0" w:color="auto"/>
                <w:bottom w:val="none" w:sz="0" w:space="0" w:color="auto"/>
                <w:right w:val="none" w:sz="0" w:space="0" w:color="auto"/>
              </w:divBdr>
            </w:div>
          </w:divsChild>
        </w:div>
        <w:div w:id="1951542785">
          <w:marLeft w:val="150"/>
          <w:marRight w:val="150"/>
          <w:marTop w:val="150"/>
          <w:marBottom w:val="150"/>
          <w:divBdr>
            <w:top w:val="none" w:sz="0" w:space="0" w:color="auto"/>
            <w:left w:val="none" w:sz="0" w:space="0" w:color="auto"/>
            <w:bottom w:val="none" w:sz="0" w:space="0" w:color="auto"/>
            <w:right w:val="none" w:sz="0" w:space="0" w:color="auto"/>
          </w:divBdr>
        </w:div>
        <w:div w:id="2030599327">
          <w:marLeft w:val="150"/>
          <w:marRight w:val="150"/>
          <w:marTop w:val="150"/>
          <w:marBottom w:val="150"/>
          <w:divBdr>
            <w:top w:val="none" w:sz="0" w:space="0" w:color="auto"/>
            <w:left w:val="none" w:sz="0" w:space="0" w:color="auto"/>
            <w:bottom w:val="none" w:sz="0" w:space="0" w:color="auto"/>
            <w:right w:val="none" w:sz="0" w:space="0" w:color="auto"/>
          </w:divBdr>
        </w:div>
      </w:divsChild>
    </w:div>
    <w:div w:id="1682077576">
      <w:bodyDiv w:val="1"/>
      <w:marLeft w:val="0"/>
      <w:marRight w:val="0"/>
      <w:marTop w:val="0"/>
      <w:marBottom w:val="0"/>
      <w:divBdr>
        <w:top w:val="none" w:sz="0" w:space="0" w:color="auto"/>
        <w:left w:val="none" w:sz="0" w:space="0" w:color="auto"/>
        <w:bottom w:val="none" w:sz="0" w:space="0" w:color="auto"/>
        <w:right w:val="none" w:sz="0" w:space="0" w:color="auto"/>
      </w:divBdr>
    </w:div>
    <w:div w:id="1708140483">
      <w:bodyDiv w:val="1"/>
      <w:marLeft w:val="0"/>
      <w:marRight w:val="0"/>
      <w:marTop w:val="0"/>
      <w:marBottom w:val="0"/>
      <w:divBdr>
        <w:top w:val="none" w:sz="0" w:space="0" w:color="auto"/>
        <w:left w:val="none" w:sz="0" w:space="0" w:color="auto"/>
        <w:bottom w:val="none" w:sz="0" w:space="0" w:color="auto"/>
        <w:right w:val="none" w:sz="0" w:space="0" w:color="auto"/>
      </w:divBdr>
    </w:div>
    <w:div w:id="2047750763">
      <w:bodyDiv w:val="1"/>
      <w:marLeft w:val="0"/>
      <w:marRight w:val="0"/>
      <w:marTop w:val="0"/>
      <w:marBottom w:val="0"/>
      <w:divBdr>
        <w:top w:val="none" w:sz="0" w:space="0" w:color="auto"/>
        <w:left w:val="none" w:sz="0" w:space="0" w:color="auto"/>
        <w:bottom w:val="none" w:sz="0" w:space="0" w:color="auto"/>
        <w:right w:val="none" w:sz="0" w:space="0" w:color="auto"/>
      </w:divBdr>
      <w:divsChild>
        <w:div w:id="279382357">
          <w:marLeft w:val="0"/>
          <w:marRight w:val="0"/>
          <w:marTop w:val="0"/>
          <w:marBottom w:val="240"/>
          <w:divBdr>
            <w:top w:val="none" w:sz="0" w:space="0" w:color="auto"/>
            <w:left w:val="none" w:sz="0" w:space="0" w:color="auto"/>
            <w:bottom w:val="none" w:sz="0" w:space="0" w:color="auto"/>
            <w:right w:val="none" w:sz="0" w:space="0" w:color="auto"/>
          </w:divBdr>
        </w:div>
        <w:div w:id="340426482">
          <w:marLeft w:val="0"/>
          <w:marRight w:val="0"/>
          <w:marTop w:val="0"/>
          <w:marBottom w:val="240"/>
          <w:divBdr>
            <w:top w:val="none" w:sz="0" w:space="0" w:color="auto"/>
            <w:left w:val="none" w:sz="0" w:space="0" w:color="auto"/>
            <w:bottom w:val="none" w:sz="0" w:space="0" w:color="auto"/>
            <w:right w:val="none" w:sz="0" w:space="0" w:color="auto"/>
          </w:divBdr>
        </w:div>
        <w:div w:id="593560267">
          <w:marLeft w:val="0"/>
          <w:marRight w:val="0"/>
          <w:marTop w:val="0"/>
          <w:marBottom w:val="240"/>
          <w:divBdr>
            <w:top w:val="none" w:sz="0" w:space="0" w:color="auto"/>
            <w:left w:val="none" w:sz="0" w:space="0" w:color="auto"/>
            <w:bottom w:val="none" w:sz="0" w:space="0" w:color="auto"/>
            <w:right w:val="none" w:sz="0" w:space="0" w:color="auto"/>
          </w:divBdr>
        </w:div>
        <w:div w:id="690305204">
          <w:marLeft w:val="0"/>
          <w:marRight w:val="0"/>
          <w:marTop w:val="0"/>
          <w:marBottom w:val="240"/>
          <w:divBdr>
            <w:top w:val="none" w:sz="0" w:space="0" w:color="auto"/>
            <w:left w:val="none" w:sz="0" w:space="0" w:color="auto"/>
            <w:bottom w:val="none" w:sz="0" w:space="0" w:color="auto"/>
            <w:right w:val="none" w:sz="0" w:space="0" w:color="auto"/>
          </w:divBdr>
        </w:div>
        <w:div w:id="805469028">
          <w:marLeft w:val="0"/>
          <w:marRight w:val="0"/>
          <w:marTop w:val="0"/>
          <w:marBottom w:val="240"/>
          <w:divBdr>
            <w:top w:val="none" w:sz="0" w:space="0" w:color="auto"/>
            <w:left w:val="none" w:sz="0" w:space="0" w:color="auto"/>
            <w:bottom w:val="none" w:sz="0" w:space="0" w:color="auto"/>
            <w:right w:val="none" w:sz="0" w:space="0" w:color="auto"/>
          </w:divBdr>
        </w:div>
        <w:div w:id="885995505">
          <w:marLeft w:val="0"/>
          <w:marRight w:val="0"/>
          <w:marTop w:val="0"/>
          <w:marBottom w:val="240"/>
          <w:divBdr>
            <w:top w:val="none" w:sz="0" w:space="0" w:color="auto"/>
            <w:left w:val="none" w:sz="0" w:space="0" w:color="auto"/>
            <w:bottom w:val="none" w:sz="0" w:space="0" w:color="auto"/>
            <w:right w:val="none" w:sz="0" w:space="0" w:color="auto"/>
          </w:divBdr>
        </w:div>
        <w:div w:id="1008019428">
          <w:marLeft w:val="0"/>
          <w:marRight w:val="0"/>
          <w:marTop w:val="0"/>
          <w:marBottom w:val="240"/>
          <w:divBdr>
            <w:top w:val="none" w:sz="0" w:space="0" w:color="auto"/>
            <w:left w:val="none" w:sz="0" w:space="0" w:color="auto"/>
            <w:bottom w:val="none" w:sz="0" w:space="0" w:color="auto"/>
            <w:right w:val="none" w:sz="0" w:space="0" w:color="auto"/>
          </w:divBdr>
        </w:div>
        <w:div w:id="1489250861">
          <w:marLeft w:val="0"/>
          <w:marRight w:val="0"/>
          <w:marTop w:val="0"/>
          <w:marBottom w:val="240"/>
          <w:divBdr>
            <w:top w:val="none" w:sz="0" w:space="0" w:color="auto"/>
            <w:left w:val="none" w:sz="0" w:space="0" w:color="auto"/>
            <w:bottom w:val="none" w:sz="0" w:space="0" w:color="auto"/>
            <w:right w:val="none" w:sz="0" w:space="0" w:color="auto"/>
          </w:divBdr>
        </w:div>
        <w:div w:id="1506627609">
          <w:marLeft w:val="0"/>
          <w:marRight w:val="0"/>
          <w:marTop w:val="0"/>
          <w:marBottom w:val="240"/>
          <w:divBdr>
            <w:top w:val="none" w:sz="0" w:space="0" w:color="auto"/>
            <w:left w:val="none" w:sz="0" w:space="0" w:color="auto"/>
            <w:bottom w:val="none" w:sz="0" w:space="0" w:color="auto"/>
            <w:right w:val="none" w:sz="0" w:space="0" w:color="auto"/>
          </w:divBdr>
        </w:div>
        <w:div w:id="1515606452">
          <w:marLeft w:val="0"/>
          <w:marRight w:val="0"/>
          <w:marTop w:val="0"/>
          <w:marBottom w:val="240"/>
          <w:divBdr>
            <w:top w:val="none" w:sz="0" w:space="0" w:color="auto"/>
            <w:left w:val="none" w:sz="0" w:space="0" w:color="auto"/>
            <w:bottom w:val="none" w:sz="0" w:space="0" w:color="auto"/>
            <w:right w:val="none" w:sz="0" w:space="0" w:color="auto"/>
          </w:divBdr>
        </w:div>
        <w:div w:id="1633486080">
          <w:marLeft w:val="0"/>
          <w:marRight w:val="0"/>
          <w:marTop w:val="0"/>
          <w:marBottom w:val="240"/>
          <w:divBdr>
            <w:top w:val="none" w:sz="0" w:space="0" w:color="auto"/>
            <w:left w:val="none" w:sz="0" w:space="0" w:color="auto"/>
            <w:bottom w:val="none" w:sz="0" w:space="0" w:color="auto"/>
            <w:right w:val="none" w:sz="0" w:space="0" w:color="auto"/>
          </w:divBdr>
        </w:div>
        <w:div w:id="1678119802">
          <w:marLeft w:val="0"/>
          <w:marRight w:val="0"/>
          <w:marTop w:val="0"/>
          <w:marBottom w:val="240"/>
          <w:divBdr>
            <w:top w:val="none" w:sz="0" w:space="0" w:color="auto"/>
            <w:left w:val="none" w:sz="0" w:space="0" w:color="auto"/>
            <w:bottom w:val="none" w:sz="0" w:space="0" w:color="auto"/>
            <w:right w:val="none" w:sz="0" w:space="0" w:color="auto"/>
          </w:divBdr>
        </w:div>
        <w:div w:id="1693799332">
          <w:marLeft w:val="0"/>
          <w:marRight w:val="0"/>
          <w:marTop w:val="0"/>
          <w:marBottom w:val="240"/>
          <w:divBdr>
            <w:top w:val="none" w:sz="0" w:space="0" w:color="auto"/>
            <w:left w:val="none" w:sz="0" w:space="0" w:color="auto"/>
            <w:bottom w:val="none" w:sz="0" w:space="0" w:color="auto"/>
            <w:right w:val="none" w:sz="0" w:space="0" w:color="auto"/>
          </w:divBdr>
        </w:div>
        <w:div w:id="1696346439">
          <w:marLeft w:val="0"/>
          <w:marRight w:val="0"/>
          <w:marTop w:val="0"/>
          <w:marBottom w:val="240"/>
          <w:divBdr>
            <w:top w:val="none" w:sz="0" w:space="0" w:color="auto"/>
            <w:left w:val="none" w:sz="0" w:space="0" w:color="auto"/>
            <w:bottom w:val="none" w:sz="0" w:space="0" w:color="auto"/>
            <w:right w:val="none" w:sz="0" w:space="0" w:color="auto"/>
          </w:divBdr>
        </w:div>
        <w:div w:id="1794134951">
          <w:marLeft w:val="0"/>
          <w:marRight w:val="0"/>
          <w:marTop w:val="0"/>
          <w:marBottom w:val="240"/>
          <w:divBdr>
            <w:top w:val="none" w:sz="0" w:space="0" w:color="auto"/>
            <w:left w:val="none" w:sz="0" w:space="0" w:color="auto"/>
            <w:bottom w:val="none" w:sz="0" w:space="0" w:color="auto"/>
            <w:right w:val="none" w:sz="0" w:space="0" w:color="auto"/>
          </w:divBdr>
        </w:div>
        <w:div w:id="1881625715">
          <w:marLeft w:val="0"/>
          <w:marRight w:val="0"/>
          <w:marTop w:val="0"/>
          <w:marBottom w:val="240"/>
          <w:divBdr>
            <w:top w:val="none" w:sz="0" w:space="0" w:color="auto"/>
            <w:left w:val="none" w:sz="0" w:space="0" w:color="auto"/>
            <w:bottom w:val="none" w:sz="0" w:space="0" w:color="auto"/>
            <w:right w:val="none" w:sz="0" w:space="0" w:color="auto"/>
          </w:divBdr>
        </w:div>
      </w:divsChild>
    </w:div>
    <w:div w:id="209184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hyperlink" Target="https://1.next.westlaw.com/Link/Document/FullText?findType=L&amp;originatingContext=document&amp;transitionType=DocumentItem&amp;pubNum=1000221&amp;refType=LQ&amp;originatingDoc=Iff31d1611a3311e98cfc9788587b6e12&amp;cite=CAPUS852" TargetMode="External"/><Relationship Id="rId47" Type="http://schemas.openxmlformats.org/officeDocument/2006/relationships/hyperlink" Target="https://1.next.westlaw.com/Link/Document/FullText?findType=L&amp;originatingContext=document&amp;transitionType=DocumentItem&amp;pubNum=1000218&amp;refType=LQ&amp;originatingDoc=I1555ce701a3311e98cfc9788587b6e12&amp;cite=CAPRS240" TargetMode="External"/><Relationship Id="rId50" Type="http://schemas.openxmlformats.org/officeDocument/2006/relationships/hyperlink" Target="https://1.next.westlaw.com/Link/Document/FullText?findType=L&amp;originatingContext=document&amp;transitionType=DocumentItem&amp;pubNum=1000221&amp;refType=LQ&amp;originatingDoc=Iae8034901a3411e98cfc9788587b6e12&amp;cite=CAPUS851" TargetMode="External"/><Relationship Id="rId55" Type="http://schemas.openxmlformats.org/officeDocument/2006/relationships/hyperlink" Target="https://1.next.westlaw.com/Link/Document/FullText?findType=L&amp;originatingContext=document&amp;transitionType=DocumentItem&amp;pubNum=1000221&amp;refType=LQ&amp;originatingDoc=Ic84c04e01aec11e9b4c6da0c45fbc3a5&amp;cite=CAPUS1005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4.emf"/><Relationship Id="rId11" Type="http://schemas.openxmlformats.org/officeDocument/2006/relationships/image" Target="media/image1.jp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hyperlink" Target="https://1.next.westlaw.com/Link/Document/FullText?findType=L&amp;originatingContext=document&amp;transitionType=DocumentItem&amp;pubNum=1000207&amp;refType=LQ&amp;originatingDoc=Iff31aa511a3311e98cfc9788587b6e12&amp;cite=CAEVS820" TargetMode="External"/><Relationship Id="rId45" Type="http://schemas.openxmlformats.org/officeDocument/2006/relationships/hyperlink" Target="https://1.next.westlaw.com/Link/Document/FullText?findType=L&amp;originatingContext=document&amp;transitionType=DocumentItem&amp;pubNum=1000221&amp;refType=LQ&amp;originatingDoc=I1555ce711a3311e98cfc9788587b6e12&amp;cite=CAPUS851" TargetMode="External"/><Relationship Id="rId53" Type="http://schemas.openxmlformats.org/officeDocument/2006/relationships/hyperlink" Target="https://1.next.westlaw.com/Link/Document/FullText?findType=L&amp;originatingContext=document&amp;transitionType=DocumentItem&amp;pubNum=1000211&amp;refType=LQ&amp;originatingDoc=I9a879fd01a3111e98cfc9788587b6e12&amp;cite=CAGTS37420.5" TargetMode="External"/><Relationship Id="rId58" Type="http://schemas.openxmlformats.org/officeDocument/2006/relationships/hyperlink" Target="https://1.next.westlaw.com/Link/Document/FullText?findType=L&amp;originatingContext=document&amp;transitionType=DocumentItem&amp;pubNum=1000211&amp;refType=LQ&amp;originatingDoc=Ic84c7a111aec11e9b4c6da0c45fbc3a5&amp;cite=CAGTS37422" TargetMode="External"/><Relationship Id="rId5" Type="http://schemas.openxmlformats.org/officeDocument/2006/relationships/numbering" Target="numbering.xml"/><Relationship Id="rId61" Type="http://schemas.openxmlformats.org/officeDocument/2006/relationships/hyperlink" Target="https://1.next.westlaw.com/Link/Document/FullText?findType=L&amp;originatingContext=document&amp;transitionType=DocumentItem&amp;pubNum=1000211&amp;refType=LQ&amp;originatingDoc=Ic84ca1221aec11e9b4c6da0c45fbc3a5&amp;cite=CAGTS37427" TargetMode="External"/><Relationship Id="rId19" Type="http://schemas.openxmlformats.org/officeDocument/2006/relationships/image" Target="media/image4.emf"/><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s://1.next.westlaw.com/Link/Document/FullText?findType=L&amp;originatingContext=document&amp;transitionType=DocumentItem&amp;pubNum=1000546&amp;refType=LQ&amp;originatingDoc=Ia6039e201a3311e98cfc9788587b6e12&amp;cite=49USCAS10101" TargetMode="External"/><Relationship Id="rId48" Type="http://schemas.openxmlformats.org/officeDocument/2006/relationships/hyperlink" Target="https://1.next.westlaw.com/Link/Document/FullText?findType=L&amp;originatingContext=document&amp;transitionType=DocumentItem&amp;pubNum=1000221&amp;refType=LQ&amp;originatingDoc=Iae800d801a3411e98cfc9788587b6e12&amp;cite=CAPUS851" TargetMode="External"/><Relationship Id="rId56" Type="http://schemas.openxmlformats.org/officeDocument/2006/relationships/hyperlink" Target="https://1.next.westlaw.com/Link/Document/FullText?findType=L&amp;originatingContext=document&amp;transitionType=DocumentItem&amp;pubNum=1000201&amp;refType=LQ&amp;originatingDoc=Ic84c2bf01aec11e9b4c6da0c45fbc3a5&amp;cite=CACPS1263.320" TargetMode="External"/><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1.next.westlaw.com/Link/Document/FullText?findType=L&amp;originatingContext=document&amp;transitionType=DocumentItem&amp;pubNum=1000221&amp;refType=LQ&amp;originatingDoc=Iae8034911a3411e98cfc9788587b6e12&amp;cite=CAPUS854"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hyperlink" Target="https://1.next.westlaw.com/Link/Document/FullText?findType=L&amp;originatingContext=document&amp;transitionType=DocumentItem&amp;pubNum=1000213&amp;refType=LQ&amp;originatingDoc=Iff3183401a3311e98cfc9788587b6e12&amp;cite=CAHSS116275" TargetMode="External"/><Relationship Id="rId46" Type="http://schemas.openxmlformats.org/officeDocument/2006/relationships/hyperlink" Target="https://1.next.westlaw.com/Link/Document/FullText?findType=L&amp;originatingContext=document&amp;transitionType=DocumentItem&amp;pubNum=1000221&amp;refType=LQ&amp;originatingDoc=I1555ce721a3311e98cfc9788587b6e12&amp;cite=CAPUS854" TargetMode="External"/><Relationship Id="rId59" Type="http://schemas.openxmlformats.org/officeDocument/2006/relationships/hyperlink" Target="https://1.next.westlaw.com/Link/Document/FullText?findType=L&amp;originatingContext=document&amp;transitionType=DocumentItem&amp;pubNum=1000211&amp;refType=LQ&amp;originatingDoc=Ic84ca1201aec11e9b4c6da0c45fbc3a5&amp;cite=CAGTS37423" TargetMode="External"/><Relationship Id="rId20" Type="http://schemas.openxmlformats.org/officeDocument/2006/relationships/image" Target="media/image5.emf"/><Relationship Id="rId41" Type="http://schemas.openxmlformats.org/officeDocument/2006/relationships/hyperlink" Target="https://1.next.westlaw.com/Link/Document/FullText?findType=L&amp;originatingContext=document&amp;transitionType=DocumentItem&amp;pubNum=1000221&amp;refType=LQ&amp;originatingDoc=Iff31d1601a3311e98cfc9788587b6e12&amp;cite=CAPUS851" TargetMode="External"/><Relationship Id="rId54" Type="http://schemas.openxmlformats.org/officeDocument/2006/relationships/hyperlink" Target="https://1.next.westlaw.com/Link/Document/FullText?findType=L&amp;originatingContext=document&amp;transitionType=DocumentItem&amp;pubNum=1000211&amp;refType=LQ&amp;originatingDoc=I9a883c101a3111e98cfc9788587b6e12&amp;cite=CAGTS6066"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s://1.next.westlaw.com/Link/Document/FullText?findType=L&amp;originatingContext=document&amp;transitionType=DocumentItem&amp;pubNum=1000221&amp;refType=LQ&amp;originatingDoc=Iae800d811a3411e98cfc9788587b6e12&amp;cite=CAPUS854" TargetMode="External"/><Relationship Id="rId57" Type="http://schemas.openxmlformats.org/officeDocument/2006/relationships/hyperlink" Target="https://1.next.westlaw.com/Link/Document/FullText?findType=L&amp;originatingContext=document&amp;transitionType=DocumentItem&amp;pubNum=1000211&amp;refType=LQ&amp;originatingDoc=Ic84c7a101aec11e9b4c6da0c45fbc3a5&amp;cite=CAGTS37422"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yperlink" Target="https://1.next.westlaw.com/Link/Document/FullText?findType=L&amp;originatingContext=document&amp;transitionType=DocumentItem&amp;pubNum=1000221&amp;refType=LQ&amp;originatingDoc=Ia6039e211a3311e98cfc9788587b6e12&amp;cite=CAPUS1001" TargetMode="External"/><Relationship Id="rId52" Type="http://schemas.openxmlformats.org/officeDocument/2006/relationships/hyperlink" Target="https://1.next.westlaw.com/Link/Document/FullText?findType=L&amp;originatingContext=document&amp;transitionType=DocumentItem&amp;pubNum=1000221&amp;refType=LQ&amp;originatingDoc=I9a879fd11a3111e98cfc9788587b6e12&amp;cite=CAPUS10001" TargetMode="External"/><Relationship Id="rId60" Type="http://schemas.openxmlformats.org/officeDocument/2006/relationships/hyperlink" Target="https://1.next.westlaw.com/Link/Document/FullText?findType=L&amp;originatingContext=document&amp;transitionType=DocumentItem&amp;pubNum=1000211&amp;refType=LQ&amp;originatingDoc=Ic84ca1211aec11e9b4c6da0c45fbc3a5&amp;cite=CAGTS37425"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s://1.next.westlaw.com/Link/Document/FullText?findType=L&amp;originatingContext=document&amp;transitionType=DocumentItem&amp;pubNum=1000201&amp;refType=LQ&amp;originatingDoc=Iff31aa501a3311e98cfc9788587b6e12&amp;cite=CACPS1263.3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nluisobispo.com/news/local/article39110382.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Sheet3!$A$15:$A$25</c:f>
              <c:numCache>
                <c:formatCode>General</c:formatCode>
                <c:ptCount val="11"/>
                <c:pt idx="0">
                  <c:v>2007</c:v>
                </c:pt>
                <c:pt idx="1">
                  <c:v>2008</c:v>
                </c:pt>
                <c:pt idx="2">
                  <c:v>2009</c:v>
                </c:pt>
                <c:pt idx="3">
                  <c:v>2012</c:v>
                </c:pt>
                <c:pt idx="4">
                  <c:v>2013</c:v>
                </c:pt>
                <c:pt idx="5">
                  <c:v>2014</c:v>
                </c:pt>
                <c:pt idx="6">
                  <c:v>2015</c:v>
                </c:pt>
                <c:pt idx="7">
                  <c:v>2016</c:v>
                </c:pt>
                <c:pt idx="8">
                  <c:v>2017</c:v>
                </c:pt>
                <c:pt idx="9">
                  <c:v>2019</c:v>
                </c:pt>
                <c:pt idx="10">
                  <c:v>2021</c:v>
                </c:pt>
              </c:numCache>
            </c:numRef>
          </c:cat>
          <c:val>
            <c:numRef>
              <c:f>Sheet3!$D$15:$D$25</c:f>
              <c:numCache>
                <c:formatCode>"$"#,##0.00</c:formatCode>
                <c:ptCount val="11"/>
                <c:pt idx="0">
                  <c:v>2432.9896907216494</c:v>
                </c:pt>
                <c:pt idx="1">
                  <c:v>2113.022113022113</c:v>
                </c:pt>
                <c:pt idx="2">
                  <c:v>959.60101010101005</c:v>
                </c:pt>
                <c:pt idx="3">
                  <c:v>355.03550295857985</c:v>
                </c:pt>
                <c:pt idx="4">
                  <c:v>1020.4081632653061</c:v>
                </c:pt>
                <c:pt idx="5">
                  <c:v>1200</c:v>
                </c:pt>
                <c:pt idx="6">
                  <c:v>2853.4724999999999</c:v>
                </c:pt>
                <c:pt idx="7">
                  <c:v>2843.1884720951512</c:v>
                </c:pt>
                <c:pt idx="8">
                  <c:v>3939.0994152046783</c:v>
                </c:pt>
                <c:pt idx="9">
                  <c:v>4187.5485510930348</c:v>
                </c:pt>
                <c:pt idx="10" formatCode="General">
                  <c:v>10904.746632456703</c:v>
                </c:pt>
              </c:numCache>
            </c:numRef>
          </c:val>
          <c:smooth val="0"/>
          <c:extLst>
            <c:ext xmlns:c16="http://schemas.microsoft.com/office/drawing/2014/chart" uri="{C3380CC4-5D6E-409C-BE32-E72D297353CC}">
              <c16:uniqueId val="{00000000-FF24-41EC-96EB-CBCD106F5F7B}"/>
            </c:ext>
          </c:extLst>
        </c:ser>
        <c:dLbls>
          <c:showLegendKey val="0"/>
          <c:showVal val="0"/>
          <c:showCatName val="0"/>
          <c:showSerName val="0"/>
          <c:showPercent val="0"/>
          <c:showBubbleSize val="0"/>
        </c:dLbls>
        <c:smooth val="0"/>
        <c:axId val="1425677887"/>
        <c:axId val="1425677471"/>
      </c:lineChart>
      <c:catAx>
        <c:axId val="142567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5677471"/>
        <c:crosses val="autoZero"/>
        <c:auto val="1"/>
        <c:lblAlgn val="ctr"/>
        <c:lblOffset val="100"/>
        <c:noMultiLvlLbl val="0"/>
      </c:catAx>
      <c:valAx>
        <c:axId val="14256774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25677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7D-43AD-ABDD-1DF82FEC40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5BF6-406F-BE49-D04E80A06C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7D-43AD-ABDD-1DF82FEC40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7D-43AD-ABDD-1DF82FEC40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7D-43AD-ABDD-1DF82FEC406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3-5BF6-406F-BE49-D04E80A06CF8}"/>
              </c:ext>
            </c:extLst>
          </c:dPt>
          <c:dLbls>
            <c:dLbl>
              <c:idx val="1"/>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F6-406F-BE49-D04E80A06CF8}"/>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5BF6-406F-BE49-D04E80A06C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Ratepayer Indifference</c:v>
                </c:pt>
                <c:pt idx="1">
                  <c:v>Tangible Benefit</c:v>
                </c:pt>
                <c:pt idx="2">
                  <c:v>Both</c:v>
                </c:pt>
                <c:pt idx="3">
                  <c:v>Not Discussed</c:v>
                </c:pt>
                <c:pt idx="4">
                  <c:v>Settlement</c:v>
                </c:pt>
                <c:pt idx="5">
                  <c:v>Other</c:v>
                </c:pt>
              </c:strCache>
            </c:strRef>
          </c:cat>
          <c:val>
            <c:numRef>
              <c:f>Sheet1!$B$2:$B$7</c:f>
              <c:numCache>
                <c:formatCode>General</c:formatCode>
                <c:ptCount val="6"/>
                <c:pt idx="0">
                  <c:v>4</c:v>
                </c:pt>
                <c:pt idx="1">
                  <c:v>3</c:v>
                </c:pt>
                <c:pt idx="2">
                  <c:v>13</c:v>
                </c:pt>
                <c:pt idx="3">
                  <c:v>5</c:v>
                </c:pt>
                <c:pt idx="4">
                  <c:v>5</c:v>
                </c:pt>
                <c:pt idx="5">
                  <c:v>2</c:v>
                </c:pt>
              </c:numCache>
            </c:numRef>
          </c:val>
          <c:extLst>
            <c:ext xmlns:c16="http://schemas.microsoft.com/office/drawing/2014/chart" uri="{C3380CC4-5D6E-409C-BE32-E72D297353CC}">
              <c16:uniqueId val="{00000000-5BF6-406F-BE49-D04E80A06CF8}"/>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A2-455B-86FE-D7816FB726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A2-455B-86FE-D7816FB726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A2-455B-86FE-D7816FB7262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1-8BA2-455B-86FE-D7816FB7262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3-8BA2-455B-86FE-D7816FB726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Defer</c:v>
                </c:pt>
                <c:pt idx="1">
                  <c:v>Partial (Interim)</c:v>
                </c:pt>
                <c:pt idx="2">
                  <c:v>Non-Defer</c:v>
                </c:pt>
              </c:strCache>
            </c:strRef>
          </c:cat>
          <c:val>
            <c:numRef>
              <c:f>Sheet1!$B$2:$B$4</c:f>
              <c:numCache>
                <c:formatCode>General</c:formatCode>
                <c:ptCount val="3"/>
                <c:pt idx="0">
                  <c:v>21</c:v>
                </c:pt>
                <c:pt idx="1">
                  <c:v>4</c:v>
                </c:pt>
                <c:pt idx="2">
                  <c:v>7</c:v>
                </c:pt>
              </c:numCache>
            </c:numRef>
          </c:val>
          <c:extLst>
            <c:ext xmlns:c16="http://schemas.microsoft.com/office/drawing/2014/chart" uri="{C3380CC4-5D6E-409C-BE32-E72D297353CC}">
              <c16:uniqueId val="{00000006-8BA2-455B-86FE-D7816FB7262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A3B460AFC1544E94D72471B3366EBC"/>
        <w:category>
          <w:name w:val="General"/>
          <w:gallery w:val="placeholder"/>
        </w:category>
        <w:types>
          <w:type w:val="bbPlcHdr"/>
        </w:types>
        <w:behaviors>
          <w:behavior w:val="content"/>
        </w:behaviors>
        <w:guid w:val="{E7744998-8F08-6842-B8D1-F5AE66856A34}"/>
      </w:docPartPr>
      <w:docPartBody>
        <w:p w:rsidR="00071E93" w:rsidRDefault="00A54E1D">
          <w:pPr>
            <w:pStyle w:val="9CA3B460AFC1544E94D72471B3366EBC"/>
          </w:pPr>
          <w:r>
            <w:rPr>
              <w:rStyle w:val="PlaceholderText"/>
            </w:rPr>
            <w:t>Insert section paragraph text</w:t>
          </w:r>
        </w:p>
      </w:docPartBody>
    </w:docPart>
    <w:docPart>
      <w:docPartPr>
        <w:name w:val="811D3DFD88B1406E846EDAC8F8C11DE7"/>
        <w:category>
          <w:name w:val="General"/>
          <w:gallery w:val="placeholder"/>
        </w:category>
        <w:types>
          <w:type w:val="bbPlcHdr"/>
        </w:types>
        <w:behaviors>
          <w:behavior w:val="content"/>
        </w:behaviors>
        <w:guid w:val="{DBE9511F-B030-46AD-8FEE-6C284BD58D4B}"/>
      </w:docPartPr>
      <w:docPartBody>
        <w:p w:rsidR="009361BD" w:rsidRDefault="00A54E1D">
          <w:pPr>
            <w:pStyle w:val="811D3DFD88B1406E846EDAC8F8C11DE7"/>
          </w:pPr>
          <w:r>
            <w:rPr>
              <w:rStyle w:val="PlaceholderText"/>
            </w:rPr>
            <w:t>Insert section paragraph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Century Gothic (Body)">
    <w:altName w:val="Century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1D"/>
    <w:rsid w:val="00071E93"/>
    <w:rsid w:val="000D420F"/>
    <w:rsid w:val="00234BC8"/>
    <w:rsid w:val="002826DE"/>
    <w:rsid w:val="002E2FCB"/>
    <w:rsid w:val="00364134"/>
    <w:rsid w:val="004B5330"/>
    <w:rsid w:val="00547CB8"/>
    <w:rsid w:val="00570C2D"/>
    <w:rsid w:val="00585289"/>
    <w:rsid w:val="00592DA0"/>
    <w:rsid w:val="005C30F5"/>
    <w:rsid w:val="006A158A"/>
    <w:rsid w:val="006C7833"/>
    <w:rsid w:val="006F31DC"/>
    <w:rsid w:val="00773554"/>
    <w:rsid w:val="007D6AFB"/>
    <w:rsid w:val="008563AC"/>
    <w:rsid w:val="009361BD"/>
    <w:rsid w:val="00976FE2"/>
    <w:rsid w:val="00995381"/>
    <w:rsid w:val="009A6873"/>
    <w:rsid w:val="009A7B2F"/>
    <w:rsid w:val="00A41000"/>
    <w:rsid w:val="00A44D13"/>
    <w:rsid w:val="00A54E1D"/>
    <w:rsid w:val="00AA21D9"/>
    <w:rsid w:val="00AC68F1"/>
    <w:rsid w:val="00B87852"/>
    <w:rsid w:val="00C054C0"/>
    <w:rsid w:val="00C20DB1"/>
    <w:rsid w:val="00C30F9A"/>
    <w:rsid w:val="00C32580"/>
    <w:rsid w:val="00C65621"/>
    <w:rsid w:val="00CD1E79"/>
    <w:rsid w:val="00D049B8"/>
    <w:rsid w:val="00D9709C"/>
    <w:rsid w:val="00DD0A6E"/>
    <w:rsid w:val="00DF33F1"/>
    <w:rsid w:val="00E80B56"/>
    <w:rsid w:val="00EE6497"/>
    <w:rsid w:val="00F866B1"/>
    <w:rsid w:val="00FA229A"/>
    <w:rsid w:val="00FA4D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AB7F8A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595959" w:themeColor="text1" w:themeTint="A6"/>
    </w:rPr>
  </w:style>
  <w:style w:type="paragraph" w:customStyle="1" w:styleId="9CA3B460AFC1544E94D72471B3366EBC">
    <w:name w:val="9CA3B460AFC1544E94D72471B3366EBC"/>
  </w:style>
  <w:style w:type="paragraph" w:customStyle="1" w:styleId="811D3DFD88B1406E846EDAC8F8C11DE7">
    <w:name w:val="811D3DFD88B1406E846EDAC8F8C11DE7"/>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Median">
  <a:themeElements>
    <a:clrScheme name="Custom 53">
      <a:dk1>
        <a:srgbClr val="4C4C4C"/>
      </a:dk1>
      <a:lt1>
        <a:sysClr val="window" lastClr="FFFFFF"/>
      </a:lt1>
      <a:dk2>
        <a:srgbClr val="2A3C50"/>
      </a:dk2>
      <a:lt2>
        <a:srgbClr val="E5E5E5"/>
      </a:lt2>
      <a:accent1>
        <a:srgbClr val="6996C9"/>
      </a:accent1>
      <a:accent2>
        <a:srgbClr val="3F5A78"/>
      </a:accent2>
      <a:accent3>
        <a:srgbClr val="D2DFEF"/>
      </a:accent3>
      <a:accent4>
        <a:srgbClr val="A5C0DE"/>
      </a:accent4>
      <a:accent5>
        <a:srgbClr val="88ABD3"/>
      </a:accent5>
      <a:accent6>
        <a:srgbClr val="5578A0"/>
      </a:accent6>
      <a:hlink>
        <a:srgbClr val="0A0AE6"/>
      </a:hlink>
      <a:folHlink>
        <a:srgbClr val="0A0AE6"/>
      </a:folHlink>
    </a:clrScheme>
    <a:fontScheme name="Custom 2">
      <a:majorFont>
        <a:latin typeface="Century Gothic"/>
        <a:ea typeface=""/>
        <a:cs typeface=""/>
      </a:majorFont>
      <a:minorFont>
        <a:latin typeface="Century Gothic"/>
        <a:ea typeface=""/>
        <a:cs typeface=""/>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866CC0DAA4C64DA98FBBB80FD2E3F0" ma:contentTypeVersion="10" ma:contentTypeDescription="Create a new document." ma:contentTypeScope="" ma:versionID="08350cacc32557b4bc1bf2438fb54a97">
  <xsd:schema xmlns:xsd="http://www.w3.org/2001/XMLSchema" xmlns:xs="http://www.w3.org/2001/XMLSchema" xmlns:p="http://schemas.microsoft.com/office/2006/metadata/properties" xmlns:ns2="77930827-8ba8-4189-8bcb-95c4e8722c4c" xmlns:ns3="07a158df-bbc1-4e28-9c3e-33c9fe09da0e" targetNamespace="http://schemas.microsoft.com/office/2006/metadata/properties" ma:root="true" ma:fieldsID="de54402a1786cfac3387d5c77152fa5e" ns2:_="" ns3:_="">
    <xsd:import namespace="77930827-8ba8-4189-8bcb-95c4e8722c4c"/>
    <xsd:import namespace="07a158df-bbc1-4e28-9c3e-33c9fe09da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30827-8ba8-4189-8bcb-95c4e8722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158df-bbc1-4e28-9c3e-33c9fe09da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7a158df-bbc1-4e28-9c3e-33c9fe09da0e">
      <UserInfo>
        <DisplayName>SharingLinks.34a4ad92-1cf3-4659-a0ce-0f3ee1393578.OrganizationEdit.cbfdfbe2-3fa0-4cb0-89ac-869f200dc855</DisplayName>
        <AccountId>284</AccountId>
        <AccountType/>
      </UserInfo>
      <UserInfo>
        <DisplayName>SharingLinks.0140800d-6ab5-4e6b-8bf1-b28e302bbf63.OrganizationEdit.3e63a8ed-1b2e-49af-ae3f-73eea01ec821</DisplayName>
        <AccountId>101</AccountId>
        <AccountType/>
      </UserInfo>
      <UserInfo>
        <DisplayName>Trương, Việt "Kevin"</DisplayName>
        <AccountId>40</AccountId>
        <AccountType/>
      </UserInfo>
      <UserInfo>
        <DisplayName>Hancock, Jefferson</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02D62-B33D-D345-8656-D2B768B6FA13}">
  <ds:schemaRefs>
    <ds:schemaRef ds:uri="http://schemas.openxmlformats.org/officeDocument/2006/bibliography"/>
  </ds:schemaRefs>
</ds:datastoreItem>
</file>

<file path=customXml/itemProps2.xml><?xml version="1.0" encoding="utf-8"?>
<ds:datastoreItem xmlns:ds="http://schemas.openxmlformats.org/officeDocument/2006/customXml" ds:itemID="{B1D3222A-CBA3-4F32-987B-8B3977A5D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30827-8ba8-4189-8bcb-95c4e8722c4c"/>
    <ds:schemaRef ds:uri="07a158df-bbc1-4e28-9c3e-33c9fe09d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FCDAF-1E1A-4899-A5DF-ABA98E0608AD}">
  <ds:schemaRefs>
    <ds:schemaRef ds:uri="http://schemas.microsoft.com/office/2006/metadata/properties"/>
    <ds:schemaRef ds:uri="http://schemas.microsoft.com/office/infopath/2007/PartnerControls"/>
    <ds:schemaRef ds:uri="07a158df-bbc1-4e28-9c3e-33c9fe09da0e"/>
  </ds:schemaRefs>
</ds:datastoreItem>
</file>

<file path=customXml/itemProps4.xml><?xml version="1.0" encoding="utf-8"?>
<ds:datastoreItem xmlns:ds="http://schemas.openxmlformats.org/officeDocument/2006/customXml" ds:itemID="{2AE04789-2684-408A-B429-2D6FF6D7567B}">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73</ap:Pages>
  <ap:Words>18378</ap:Words>
  <ap:Characters>104756</ap:Characters>
  <ap:Application>Microsoft Office Word</ap:Application>
  <ap:DocSecurity>0</ap:DocSecurity>
  <ap:Lines>872</ap:Lines>
  <ap:Paragraphs>245</ap:Paragraphs>
  <ap:ScaleCrop>false</ap:ScaleCrop>
  <ap:HeadingPairs>
    <vt:vector baseType="variant" size="4">
      <vt:variant>
        <vt:lpstr>Title</vt:lpstr>
      </vt:variant>
      <vt:variant>
        <vt:i4>1</vt:i4>
      </vt:variant>
      <vt:variant>
        <vt:lpstr>Headings</vt:lpstr>
      </vt:variant>
      <vt:variant>
        <vt:i4>52</vt:i4>
      </vt:variant>
    </vt:vector>
  </ap:HeadingPairs>
  <ap:TitlesOfParts>
    <vt:vector baseType="lpstr" size="53">
      <vt:lpstr/>
      <vt:lpstr>Executive Summary</vt:lpstr>
      <vt:lpstr>Summary of the Existing Framework</vt:lpstr>
      <vt:lpstr>    Governing Statutes</vt:lpstr>
      <vt:lpstr>    </vt:lpstr>
      <vt:lpstr>    Background</vt:lpstr>
      <vt:lpstr>        The Framework Decision</vt:lpstr>
      <vt:lpstr>Issues with the Existing Framework</vt:lpstr>
      <vt:lpstr>    Price and Valuation</vt:lpstr>
      <vt:lpstr>        Case Study: City of Bellflower Water System</vt:lpstr>
      <vt:lpstr>    Water Rights</vt:lpstr>
      <vt:lpstr>        Case Study: East Pasadena Water Company</vt:lpstr>
      <vt:lpstr>    Acquisitions Involving Mutual or Publicly Owned Water Systems</vt:lpstr>
      <vt:lpstr>        Case Study: City of Montebello Water System</vt:lpstr>
      <vt:lpstr>    </vt:lpstr>
      <vt:lpstr>    Different Standards for Evaluating Acquisitions</vt:lpstr>
      <vt:lpstr>    Effects on Customers</vt:lpstr>
      <vt:lpstr>        Case Study: East Pasadena Water Company</vt:lpstr>
      <vt:lpstr>    Coordination with the State Water Resources Control Board</vt:lpstr>
      <vt:lpstr>        Safe and Affordable Funding for Equity and Resilience (SAFER) Program</vt:lpstr>
      <vt:lpstr>        Grant Funding </vt:lpstr>
      <vt:lpstr>    Timeline and Procedural Schedule</vt:lpstr>
      <vt:lpstr>Questions to Consider in a New OIR</vt:lpstr>
      <vt:lpstr>    Price and Valuation</vt:lpstr>
      <vt:lpstr>        How should the value of a system be determined in acquisitions?</vt:lpstr>
      <vt:lpstr>        Should Section 1263.320(b) of the Code of Civil Procedure be applied to proposed</vt:lpstr>
      <vt:lpstr>        How could Cost-Sharing procedures apply to acquisitions? </vt:lpstr>
      <vt:lpstr>        How should different assets and liabilities be treated for ratemaking purposes i</vt:lpstr>
      <vt:lpstr>        Should there be a study or analysis conducted to examine the purchase prices of </vt:lpstr>
      <vt:lpstr>    Ratepayer Impacts</vt:lpstr>
      <vt:lpstr>        How should the Commission examine ratepayer impacts when reviewing an acquisitio</vt:lpstr>
      <vt:lpstr>        What standard should be used to determine ratepayer impacts in acquisitions?</vt:lpstr>
      <vt:lpstr>        Should existing customers of the acquiring utility be included in the review of </vt:lpstr>
      <vt:lpstr>        How should the benefits and costs of acquisitions be quantified? </vt:lpstr>
      <vt:lpstr>        How should rate impacts from previous acquisitions be assessed when reviewing a </vt:lpstr>
      <vt:lpstr>    Inadequately Operated and Maintained Systems</vt:lpstr>
      <vt:lpstr>        How should acquisitions be prioritized for inadequately operated and maintained </vt:lpstr>
      <vt:lpstr>        How should coordination efforts between the Commission and the SWRCB be improved</vt:lpstr>
      <vt:lpstr>        How should the acquisitions of systems in disadvantaged communities be approache</vt:lpstr>
      <vt:lpstr>        What incentives for acquiring inadequately operated and maintained systems would</vt:lpstr>
      <vt:lpstr>        Should the incentives for acquiring well-maintained systems be decreased?</vt:lpstr>
      <vt:lpstr>        How should the Commission treat grant funding in acquisitions?</vt:lpstr>
      <vt:lpstr>        What options other than acquisitions should be considered?</vt:lpstr>
      <vt:lpstr>    Schedule and Timeline</vt:lpstr>
      <vt:lpstr>        How can the Commission process acquisitions within the required time limits?</vt:lpstr>
      <vt:lpstr>        What would a new procedural structure look like?</vt:lpstr>
      <vt:lpstr>        What reporting requirements should be adopted for proposed acquisitions?</vt:lpstr>
      <vt:lpstr>    Legislative Update</vt:lpstr>
      <vt:lpstr>        Should the Commission recommend that the Legislature revisit the Public Water Sy</vt:lpstr>
      <vt:lpstr>Conclusion</vt:lpstr>
      <vt:lpstr>Appendices</vt:lpstr>
      <vt:lpstr>    Appendix A – D.99-10-064, Settlement Agreement</vt:lpstr>
      <vt:lpstr>    Appendix B – Referenced Statutes and Code Sections</vt:lpstr>
    </vt:vector>
  </ap:TitlesOfParts>
  <ap:Manager/>
  <ap:Company/>
  <ap:LinksUpToDate>false</ap:LinksUpToDate>
  <ap:CharactersWithSpaces>122889</ap:CharactersWithSpaces>
  <ap:SharedDoc>false</ap:SharedDoc>
  <ap:HyperlinkBase/>
  <ap:HLinks>
    <vt:vector baseType="variant" size="504">
      <vt:variant>
        <vt:i4>3473532</vt:i4>
      </vt:variant>
      <vt:variant>
        <vt:i4>465</vt:i4>
      </vt:variant>
      <vt:variant>
        <vt:i4>0</vt:i4>
      </vt:variant>
      <vt:variant>
        <vt:i4>5</vt:i4>
      </vt:variant>
      <vt:variant>
        <vt:lpwstr>https://1.next.westlaw.com/Link/Document/FullText?findType=L&amp;originatingContext=document&amp;transitionType=DocumentItem&amp;pubNum=1000211&amp;refType=LQ&amp;originatingDoc=Ic84ca1221aec11e9b4c6da0c45fbc3a5&amp;cite=CAGTS37427</vt:lpwstr>
      </vt:variant>
      <vt:variant>
        <vt:lpwstr/>
      </vt:variant>
      <vt:variant>
        <vt:i4>3473535</vt:i4>
      </vt:variant>
      <vt:variant>
        <vt:i4>462</vt:i4>
      </vt:variant>
      <vt:variant>
        <vt:i4>0</vt:i4>
      </vt:variant>
      <vt:variant>
        <vt:i4>5</vt:i4>
      </vt:variant>
      <vt:variant>
        <vt:lpwstr>https://1.next.westlaw.com/Link/Document/FullText?findType=L&amp;originatingContext=document&amp;transitionType=DocumentItem&amp;pubNum=1000211&amp;refType=LQ&amp;originatingDoc=Ic84ca1211aec11e9b4c6da0c45fbc3a5&amp;cite=CAGTS37425</vt:lpwstr>
      </vt:variant>
      <vt:variant>
        <vt:lpwstr/>
      </vt:variant>
      <vt:variant>
        <vt:i4>3473534</vt:i4>
      </vt:variant>
      <vt:variant>
        <vt:i4>459</vt:i4>
      </vt:variant>
      <vt:variant>
        <vt:i4>0</vt:i4>
      </vt:variant>
      <vt:variant>
        <vt:i4>5</vt:i4>
      </vt:variant>
      <vt:variant>
        <vt:lpwstr>https://1.next.westlaw.com/Link/Document/FullText?findType=L&amp;originatingContext=document&amp;transitionType=DocumentItem&amp;pubNum=1000211&amp;refType=LQ&amp;originatingDoc=Ic84ca1201aec11e9b4c6da0c45fbc3a5&amp;cite=CAGTS37423</vt:lpwstr>
      </vt:variant>
      <vt:variant>
        <vt:lpwstr/>
      </vt:variant>
      <vt:variant>
        <vt:i4>6291503</vt:i4>
      </vt:variant>
      <vt:variant>
        <vt:i4>456</vt:i4>
      </vt:variant>
      <vt:variant>
        <vt:i4>0</vt:i4>
      </vt:variant>
      <vt:variant>
        <vt:i4>5</vt:i4>
      </vt:variant>
      <vt:variant>
        <vt:lpwstr>https://1.next.westlaw.com/Link/Document/FullText?findType=L&amp;originatingContext=document&amp;transitionType=DocumentItem&amp;pubNum=1000211&amp;refType=LQ&amp;originatingDoc=Ic84c7a111aec11e9b4c6da0c45fbc3a5&amp;cite=CAGTS37422</vt:lpwstr>
      </vt:variant>
      <vt:variant>
        <vt:lpwstr/>
      </vt:variant>
      <vt:variant>
        <vt:i4>6291502</vt:i4>
      </vt:variant>
      <vt:variant>
        <vt:i4>453</vt:i4>
      </vt:variant>
      <vt:variant>
        <vt:i4>0</vt:i4>
      </vt:variant>
      <vt:variant>
        <vt:i4>5</vt:i4>
      </vt:variant>
      <vt:variant>
        <vt:lpwstr>https://1.next.westlaw.com/Link/Document/FullText?findType=L&amp;originatingContext=document&amp;transitionType=DocumentItem&amp;pubNum=1000211&amp;refType=LQ&amp;originatingDoc=Ic84c7a101aec11e9b4c6da0c45fbc3a5&amp;cite=CAGTS37422</vt:lpwstr>
      </vt:variant>
      <vt:variant>
        <vt:lpwstr/>
      </vt:variant>
      <vt:variant>
        <vt:i4>3145781</vt:i4>
      </vt:variant>
      <vt:variant>
        <vt:i4>450</vt:i4>
      </vt:variant>
      <vt:variant>
        <vt:i4>0</vt:i4>
      </vt:variant>
      <vt:variant>
        <vt:i4>5</vt:i4>
      </vt:variant>
      <vt:variant>
        <vt:lpwstr>https://1.next.westlaw.com/Link/Document/FullText?findType=L&amp;originatingContext=document&amp;transitionType=DocumentItem&amp;pubNum=1000201&amp;refType=LQ&amp;originatingDoc=Ic84c2bf01aec11e9b4c6da0c45fbc3a5&amp;cite=CACPS1263.320</vt:lpwstr>
      </vt:variant>
      <vt:variant>
        <vt:lpwstr/>
      </vt:variant>
      <vt:variant>
        <vt:i4>2556028</vt:i4>
      </vt:variant>
      <vt:variant>
        <vt:i4>447</vt:i4>
      </vt:variant>
      <vt:variant>
        <vt:i4>0</vt:i4>
      </vt:variant>
      <vt:variant>
        <vt:i4>5</vt:i4>
      </vt:variant>
      <vt:variant>
        <vt:lpwstr>https://1.next.westlaw.com/Link/Document/FullText?findType=L&amp;originatingContext=document&amp;transitionType=DocumentItem&amp;pubNum=1000221&amp;refType=LQ&amp;originatingDoc=Ic84c04e01aec11e9b4c6da0c45fbc3a5&amp;cite=CAPUS10051</vt:lpwstr>
      </vt:variant>
      <vt:variant>
        <vt:lpwstr/>
      </vt:variant>
      <vt:variant>
        <vt:i4>3670056</vt:i4>
      </vt:variant>
      <vt:variant>
        <vt:i4>444</vt:i4>
      </vt:variant>
      <vt:variant>
        <vt:i4>0</vt:i4>
      </vt:variant>
      <vt:variant>
        <vt:i4>5</vt:i4>
      </vt:variant>
      <vt:variant>
        <vt:lpwstr>https://1.next.westlaw.com/Link/Document/FullText?findType=L&amp;originatingContext=document&amp;transitionType=DocumentItem&amp;pubNum=1000211&amp;refType=LQ&amp;originatingDoc=I9a883c101a3111e98cfc9788587b6e12&amp;cite=CAGTS6066</vt:lpwstr>
      </vt:variant>
      <vt:variant>
        <vt:lpwstr/>
      </vt:variant>
      <vt:variant>
        <vt:i4>4849685</vt:i4>
      </vt:variant>
      <vt:variant>
        <vt:i4>441</vt:i4>
      </vt:variant>
      <vt:variant>
        <vt:i4>0</vt:i4>
      </vt:variant>
      <vt:variant>
        <vt:i4>5</vt:i4>
      </vt:variant>
      <vt:variant>
        <vt:lpwstr>https://1.next.westlaw.com/Link/Document/FullText?findType=L&amp;originatingContext=document&amp;transitionType=DocumentItem&amp;pubNum=1000211&amp;refType=LQ&amp;originatingDoc=I9a879fd01a3111e98cfc9788587b6e12&amp;cite=CAGTS37420.5</vt:lpwstr>
      </vt:variant>
      <vt:variant>
        <vt:lpwstr/>
      </vt:variant>
      <vt:variant>
        <vt:i4>7667747</vt:i4>
      </vt:variant>
      <vt:variant>
        <vt:i4>438</vt:i4>
      </vt:variant>
      <vt:variant>
        <vt:i4>0</vt:i4>
      </vt:variant>
      <vt:variant>
        <vt:i4>5</vt:i4>
      </vt:variant>
      <vt:variant>
        <vt:lpwstr>https://1.next.westlaw.com/Link/Document/FullText?findType=L&amp;originatingContext=document&amp;transitionType=DocumentItem&amp;pubNum=1000221&amp;refType=LQ&amp;originatingDoc=I9a879fd11a3111e98cfc9788587b6e12&amp;cite=CAPUS10001</vt:lpwstr>
      </vt:variant>
      <vt:variant>
        <vt:lpwstr/>
      </vt:variant>
      <vt:variant>
        <vt:i4>5177422</vt:i4>
      </vt:variant>
      <vt:variant>
        <vt:i4>435</vt:i4>
      </vt:variant>
      <vt:variant>
        <vt:i4>0</vt:i4>
      </vt:variant>
      <vt:variant>
        <vt:i4>5</vt:i4>
      </vt:variant>
      <vt:variant>
        <vt:lpwstr>https://1.next.westlaw.com/Link/Document/FullText?findType=L&amp;originatingContext=document&amp;transitionType=DocumentItem&amp;pubNum=1000221&amp;refType=LQ&amp;originatingDoc=Iae8034911a3411e98cfc9788587b6e12&amp;cite=CAPUS854</vt:lpwstr>
      </vt:variant>
      <vt:variant>
        <vt:lpwstr/>
      </vt:variant>
      <vt:variant>
        <vt:i4>5177423</vt:i4>
      </vt:variant>
      <vt:variant>
        <vt:i4>432</vt:i4>
      </vt:variant>
      <vt:variant>
        <vt:i4>0</vt:i4>
      </vt:variant>
      <vt:variant>
        <vt:i4>5</vt:i4>
      </vt:variant>
      <vt:variant>
        <vt:lpwstr>https://1.next.westlaw.com/Link/Document/FullText?findType=L&amp;originatingContext=document&amp;transitionType=DocumentItem&amp;pubNum=1000221&amp;refType=LQ&amp;originatingDoc=Iae8034901a3411e98cfc9788587b6e12&amp;cite=CAPUS851</vt:lpwstr>
      </vt:variant>
      <vt:variant>
        <vt:lpwstr/>
      </vt:variant>
      <vt:variant>
        <vt:i4>5046302</vt:i4>
      </vt:variant>
      <vt:variant>
        <vt:i4>429</vt:i4>
      </vt:variant>
      <vt:variant>
        <vt:i4>0</vt:i4>
      </vt:variant>
      <vt:variant>
        <vt:i4>5</vt:i4>
      </vt:variant>
      <vt:variant>
        <vt:lpwstr>https://1.next.westlaw.com/Link/Document/FullText?findType=L&amp;originatingContext=document&amp;transitionType=DocumentItem&amp;pubNum=1000221&amp;refType=LQ&amp;originatingDoc=Iae800d811a3411e98cfc9788587b6e12&amp;cite=CAPUS854</vt:lpwstr>
      </vt:variant>
      <vt:variant>
        <vt:lpwstr/>
      </vt:variant>
      <vt:variant>
        <vt:i4>5046303</vt:i4>
      </vt:variant>
      <vt:variant>
        <vt:i4>426</vt:i4>
      </vt:variant>
      <vt:variant>
        <vt:i4>0</vt:i4>
      </vt:variant>
      <vt:variant>
        <vt:i4>5</vt:i4>
      </vt:variant>
      <vt:variant>
        <vt:lpwstr>https://1.next.westlaw.com/Link/Document/FullText?findType=L&amp;originatingContext=document&amp;transitionType=DocumentItem&amp;pubNum=1000221&amp;refType=LQ&amp;originatingDoc=Iae800d801a3411e98cfc9788587b6e12&amp;cite=CAPUS851</vt:lpwstr>
      </vt:variant>
      <vt:variant>
        <vt:lpwstr/>
      </vt:variant>
      <vt:variant>
        <vt:i4>5111880</vt:i4>
      </vt:variant>
      <vt:variant>
        <vt:i4>423</vt:i4>
      </vt:variant>
      <vt:variant>
        <vt:i4>0</vt:i4>
      </vt:variant>
      <vt:variant>
        <vt:i4>5</vt:i4>
      </vt:variant>
      <vt:variant>
        <vt:lpwstr>https://1.next.westlaw.com/Link/Document/FullText?findType=L&amp;originatingContext=document&amp;transitionType=DocumentItem&amp;pubNum=1000218&amp;refType=LQ&amp;originatingDoc=I1555ce701a3311e98cfc9788587b6e12&amp;cite=CAPRS240</vt:lpwstr>
      </vt:variant>
      <vt:variant>
        <vt:lpwstr/>
      </vt:variant>
      <vt:variant>
        <vt:i4>4980814</vt:i4>
      </vt:variant>
      <vt:variant>
        <vt:i4>420</vt:i4>
      </vt:variant>
      <vt:variant>
        <vt:i4>0</vt:i4>
      </vt:variant>
      <vt:variant>
        <vt:i4>5</vt:i4>
      </vt:variant>
      <vt:variant>
        <vt:lpwstr>https://1.next.westlaw.com/Link/Document/FullText?findType=L&amp;originatingContext=document&amp;transitionType=DocumentItem&amp;pubNum=1000221&amp;refType=LQ&amp;originatingDoc=I1555ce721a3311e98cfc9788587b6e12&amp;cite=CAPUS854</vt:lpwstr>
      </vt:variant>
      <vt:variant>
        <vt:lpwstr/>
      </vt:variant>
      <vt:variant>
        <vt:i4>4980813</vt:i4>
      </vt:variant>
      <vt:variant>
        <vt:i4>417</vt:i4>
      </vt:variant>
      <vt:variant>
        <vt:i4>0</vt:i4>
      </vt:variant>
      <vt:variant>
        <vt:i4>5</vt:i4>
      </vt:variant>
      <vt:variant>
        <vt:lpwstr>https://1.next.westlaw.com/Link/Document/FullText?findType=L&amp;originatingContext=document&amp;transitionType=DocumentItem&amp;pubNum=1000221&amp;refType=LQ&amp;originatingDoc=I1555ce711a3311e98cfc9788587b6e12&amp;cite=CAPUS851</vt:lpwstr>
      </vt:variant>
      <vt:variant>
        <vt:lpwstr/>
      </vt:variant>
      <vt:variant>
        <vt:i4>7471217</vt:i4>
      </vt:variant>
      <vt:variant>
        <vt:i4>414</vt:i4>
      </vt:variant>
      <vt:variant>
        <vt:i4>0</vt:i4>
      </vt:variant>
      <vt:variant>
        <vt:i4>5</vt:i4>
      </vt:variant>
      <vt:variant>
        <vt:lpwstr>https://1.next.westlaw.com/Link/Document/FullText?findType=L&amp;originatingContext=document&amp;transitionType=DocumentItem&amp;pubNum=1000221&amp;refType=LQ&amp;originatingDoc=Ia6039e211a3311e98cfc9788587b6e12&amp;cite=CAPUS1001</vt:lpwstr>
      </vt:variant>
      <vt:variant>
        <vt:lpwstr/>
      </vt:variant>
      <vt:variant>
        <vt:i4>4456526</vt:i4>
      </vt:variant>
      <vt:variant>
        <vt:i4>411</vt:i4>
      </vt:variant>
      <vt:variant>
        <vt:i4>0</vt:i4>
      </vt:variant>
      <vt:variant>
        <vt:i4>5</vt:i4>
      </vt:variant>
      <vt:variant>
        <vt:lpwstr>https://1.next.westlaw.com/Link/Document/FullText?findType=L&amp;originatingContext=document&amp;transitionType=DocumentItem&amp;pubNum=1000546&amp;refType=LQ&amp;originatingDoc=Ia6039e201a3311e98cfc9788587b6e12&amp;cite=49USCAS10101</vt:lpwstr>
      </vt:variant>
      <vt:variant>
        <vt:lpwstr/>
      </vt:variant>
      <vt:variant>
        <vt:i4>1769550</vt:i4>
      </vt:variant>
      <vt:variant>
        <vt:i4>408</vt:i4>
      </vt:variant>
      <vt:variant>
        <vt:i4>0</vt:i4>
      </vt:variant>
      <vt:variant>
        <vt:i4>5</vt:i4>
      </vt:variant>
      <vt:variant>
        <vt:lpwstr>https://1.next.westlaw.com/Link/Document/FullText?findType=L&amp;originatingContext=document&amp;transitionType=DocumentItem&amp;pubNum=1000221&amp;refType=LQ&amp;originatingDoc=Iff31d1611a3311e98cfc9788587b6e12&amp;cite=CAPUS852</vt:lpwstr>
      </vt:variant>
      <vt:variant>
        <vt:lpwstr/>
      </vt:variant>
      <vt:variant>
        <vt:i4>1769551</vt:i4>
      </vt:variant>
      <vt:variant>
        <vt:i4>405</vt:i4>
      </vt:variant>
      <vt:variant>
        <vt:i4>0</vt:i4>
      </vt:variant>
      <vt:variant>
        <vt:i4>5</vt:i4>
      </vt:variant>
      <vt:variant>
        <vt:lpwstr>https://1.next.westlaw.com/Link/Document/FullText?findType=L&amp;originatingContext=document&amp;transitionType=DocumentItem&amp;pubNum=1000221&amp;refType=LQ&amp;originatingDoc=Iff31d1601a3311e98cfc9788587b6e12&amp;cite=CAPUS851</vt:lpwstr>
      </vt:variant>
      <vt:variant>
        <vt:lpwstr/>
      </vt:variant>
      <vt:variant>
        <vt:i4>851995</vt:i4>
      </vt:variant>
      <vt:variant>
        <vt:i4>402</vt:i4>
      </vt:variant>
      <vt:variant>
        <vt:i4>0</vt:i4>
      </vt:variant>
      <vt:variant>
        <vt:i4>5</vt:i4>
      </vt:variant>
      <vt:variant>
        <vt:lpwstr>https://1.next.westlaw.com/Link/Document/FullText?findType=L&amp;originatingContext=document&amp;transitionType=DocumentItem&amp;pubNum=1000207&amp;refType=LQ&amp;originatingDoc=Iff31aa511a3311e98cfc9788587b6e12&amp;cite=CAEVS820</vt:lpwstr>
      </vt:variant>
      <vt:variant>
        <vt:lpwstr/>
      </vt:variant>
      <vt:variant>
        <vt:i4>3866681</vt:i4>
      </vt:variant>
      <vt:variant>
        <vt:i4>399</vt:i4>
      </vt:variant>
      <vt:variant>
        <vt:i4>0</vt:i4>
      </vt:variant>
      <vt:variant>
        <vt:i4>5</vt:i4>
      </vt:variant>
      <vt:variant>
        <vt:lpwstr>https://1.next.westlaw.com/Link/Document/FullText?findType=L&amp;originatingContext=document&amp;transitionType=DocumentItem&amp;pubNum=1000201&amp;refType=LQ&amp;originatingDoc=Iff31aa501a3311e98cfc9788587b6e12&amp;cite=CACPS1263.320</vt:lpwstr>
      </vt:variant>
      <vt:variant>
        <vt:lpwstr/>
      </vt:variant>
      <vt:variant>
        <vt:i4>6094913</vt:i4>
      </vt:variant>
      <vt:variant>
        <vt:i4>396</vt:i4>
      </vt:variant>
      <vt:variant>
        <vt:i4>0</vt:i4>
      </vt:variant>
      <vt:variant>
        <vt:i4>5</vt:i4>
      </vt:variant>
      <vt:variant>
        <vt:lpwstr>https://1.next.westlaw.com/Link/Document/FullText?findType=L&amp;originatingContext=document&amp;transitionType=DocumentItem&amp;pubNum=1000213&amp;refType=LQ&amp;originatingDoc=Iff3183401a3311e98cfc9788587b6e12&amp;cite=CAHSS116275</vt:lpwstr>
      </vt:variant>
      <vt:variant>
        <vt:lpwstr/>
      </vt:variant>
      <vt:variant>
        <vt:i4>2031673</vt:i4>
      </vt:variant>
      <vt:variant>
        <vt:i4>356</vt:i4>
      </vt:variant>
      <vt:variant>
        <vt:i4>0</vt:i4>
      </vt:variant>
      <vt:variant>
        <vt:i4>5</vt:i4>
      </vt:variant>
      <vt:variant>
        <vt:lpwstr/>
      </vt:variant>
      <vt:variant>
        <vt:lpwstr>_Toc90623359</vt:lpwstr>
      </vt:variant>
      <vt:variant>
        <vt:i4>1966137</vt:i4>
      </vt:variant>
      <vt:variant>
        <vt:i4>350</vt:i4>
      </vt:variant>
      <vt:variant>
        <vt:i4>0</vt:i4>
      </vt:variant>
      <vt:variant>
        <vt:i4>5</vt:i4>
      </vt:variant>
      <vt:variant>
        <vt:lpwstr/>
      </vt:variant>
      <vt:variant>
        <vt:lpwstr>_Toc90623358</vt:lpwstr>
      </vt:variant>
      <vt:variant>
        <vt:i4>1114160</vt:i4>
      </vt:variant>
      <vt:variant>
        <vt:i4>341</vt:i4>
      </vt:variant>
      <vt:variant>
        <vt:i4>0</vt:i4>
      </vt:variant>
      <vt:variant>
        <vt:i4>5</vt:i4>
      </vt:variant>
      <vt:variant>
        <vt:lpwstr/>
      </vt:variant>
      <vt:variant>
        <vt:lpwstr>_Toc90911215</vt:lpwstr>
      </vt:variant>
      <vt:variant>
        <vt:i4>1048624</vt:i4>
      </vt:variant>
      <vt:variant>
        <vt:i4>335</vt:i4>
      </vt:variant>
      <vt:variant>
        <vt:i4>0</vt:i4>
      </vt:variant>
      <vt:variant>
        <vt:i4>5</vt:i4>
      </vt:variant>
      <vt:variant>
        <vt:lpwstr/>
      </vt:variant>
      <vt:variant>
        <vt:lpwstr>_Toc90911214</vt:lpwstr>
      </vt:variant>
      <vt:variant>
        <vt:i4>1507376</vt:i4>
      </vt:variant>
      <vt:variant>
        <vt:i4>329</vt:i4>
      </vt:variant>
      <vt:variant>
        <vt:i4>0</vt:i4>
      </vt:variant>
      <vt:variant>
        <vt:i4>5</vt:i4>
      </vt:variant>
      <vt:variant>
        <vt:lpwstr/>
      </vt:variant>
      <vt:variant>
        <vt:lpwstr>_Toc90911213</vt:lpwstr>
      </vt:variant>
      <vt:variant>
        <vt:i4>1441840</vt:i4>
      </vt:variant>
      <vt:variant>
        <vt:i4>323</vt:i4>
      </vt:variant>
      <vt:variant>
        <vt:i4>0</vt:i4>
      </vt:variant>
      <vt:variant>
        <vt:i4>5</vt:i4>
      </vt:variant>
      <vt:variant>
        <vt:lpwstr/>
      </vt:variant>
      <vt:variant>
        <vt:lpwstr>_Toc90911212</vt:lpwstr>
      </vt:variant>
      <vt:variant>
        <vt:i4>1376304</vt:i4>
      </vt:variant>
      <vt:variant>
        <vt:i4>317</vt:i4>
      </vt:variant>
      <vt:variant>
        <vt:i4>0</vt:i4>
      </vt:variant>
      <vt:variant>
        <vt:i4>5</vt:i4>
      </vt:variant>
      <vt:variant>
        <vt:lpwstr/>
      </vt:variant>
      <vt:variant>
        <vt:lpwstr>_Toc90911211</vt:lpwstr>
      </vt:variant>
      <vt:variant>
        <vt:i4>1245232</vt:i4>
      </vt:variant>
      <vt:variant>
        <vt:i4>308</vt:i4>
      </vt:variant>
      <vt:variant>
        <vt:i4>0</vt:i4>
      </vt:variant>
      <vt:variant>
        <vt:i4>5</vt:i4>
      </vt:variant>
      <vt:variant>
        <vt:lpwstr/>
      </vt:variant>
      <vt:variant>
        <vt:lpwstr>_Toc91071082</vt:lpwstr>
      </vt:variant>
      <vt:variant>
        <vt:i4>1048624</vt:i4>
      </vt:variant>
      <vt:variant>
        <vt:i4>302</vt:i4>
      </vt:variant>
      <vt:variant>
        <vt:i4>0</vt:i4>
      </vt:variant>
      <vt:variant>
        <vt:i4>5</vt:i4>
      </vt:variant>
      <vt:variant>
        <vt:lpwstr/>
      </vt:variant>
      <vt:variant>
        <vt:lpwstr>_Toc91071081</vt:lpwstr>
      </vt:variant>
      <vt:variant>
        <vt:i4>1114160</vt:i4>
      </vt:variant>
      <vt:variant>
        <vt:i4>296</vt:i4>
      </vt:variant>
      <vt:variant>
        <vt:i4>0</vt:i4>
      </vt:variant>
      <vt:variant>
        <vt:i4>5</vt:i4>
      </vt:variant>
      <vt:variant>
        <vt:lpwstr/>
      </vt:variant>
      <vt:variant>
        <vt:lpwstr>_Toc91071080</vt:lpwstr>
      </vt:variant>
      <vt:variant>
        <vt:i4>1572927</vt:i4>
      </vt:variant>
      <vt:variant>
        <vt:i4>290</vt:i4>
      </vt:variant>
      <vt:variant>
        <vt:i4>0</vt:i4>
      </vt:variant>
      <vt:variant>
        <vt:i4>5</vt:i4>
      </vt:variant>
      <vt:variant>
        <vt:lpwstr/>
      </vt:variant>
      <vt:variant>
        <vt:lpwstr>_Toc91071079</vt:lpwstr>
      </vt:variant>
      <vt:variant>
        <vt:i4>1638463</vt:i4>
      </vt:variant>
      <vt:variant>
        <vt:i4>284</vt:i4>
      </vt:variant>
      <vt:variant>
        <vt:i4>0</vt:i4>
      </vt:variant>
      <vt:variant>
        <vt:i4>5</vt:i4>
      </vt:variant>
      <vt:variant>
        <vt:lpwstr/>
      </vt:variant>
      <vt:variant>
        <vt:lpwstr>_Toc91071078</vt:lpwstr>
      </vt:variant>
      <vt:variant>
        <vt:i4>1441855</vt:i4>
      </vt:variant>
      <vt:variant>
        <vt:i4>278</vt:i4>
      </vt:variant>
      <vt:variant>
        <vt:i4>0</vt:i4>
      </vt:variant>
      <vt:variant>
        <vt:i4>5</vt:i4>
      </vt:variant>
      <vt:variant>
        <vt:lpwstr/>
      </vt:variant>
      <vt:variant>
        <vt:lpwstr>_Toc91071077</vt:lpwstr>
      </vt:variant>
      <vt:variant>
        <vt:i4>1507391</vt:i4>
      </vt:variant>
      <vt:variant>
        <vt:i4>272</vt:i4>
      </vt:variant>
      <vt:variant>
        <vt:i4>0</vt:i4>
      </vt:variant>
      <vt:variant>
        <vt:i4>5</vt:i4>
      </vt:variant>
      <vt:variant>
        <vt:lpwstr/>
      </vt:variant>
      <vt:variant>
        <vt:lpwstr>_Toc91071076</vt:lpwstr>
      </vt:variant>
      <vt:variant>
        <vt:i4>1310783</vt:i4>
      </vt:variant>
      <vt:variant>
        <vt:i4>266</vt:i4>
      </vt:variant>
      <vt:variant>
        <vt:i4>0</vt:i4>
      </vt:variant>
      <vt:variant>
        <vt:i4>5</vt:i4>
      </vt:variant>
      <vt:variant>
        <vt:lpwstr/>
      </vt:variant>
      <vt:variant>
        <vt:lpwstr>_Toc91071075</vt:lpwstr>
      </vt:variant>
      <vt:variant>
        <vt:i4>1376319</vt:i4>
      </vt:variant>
      <vt:variant>
        <vt:i4>260</vt:i4>
      </vt:variant>
      <vt:variant>
        <vt:i4>0</vt:i4>
      </vt:variant>
      <vt:variant>
        <vt:i4>5</vt:i4>
      </vt:variant>
      <vt:variant>
        <vt:lpwstr/>
      </vt:variant>
      <vt:variant>
        <vt:lpwstr>_Toc91071074</vt:lpwstr>
      </vt:variant>
      <vt:variant>
        <vt:i4>1179711</vt:i4>
      </vt:variant>
      <vt:variant>
        <vt:i4>254</vt:i4>
      </vt:variant>
      <vt:variant>
        <vt:i4>0</vt:i4>
      </vt:variant>
      <vt:variant>
        <vt:i4>5</vt:i4>
      </vt:variant>
      <vt:variant>
        <vt:lpwstr/>
      </vt:variant>
      <vt:variant>
        <vt:lpwstr>_Toc91071073</vt:lpwstr>
      </vt:variant>
      <vt:variant>
        <vt:i4>1245247</vt:i4>
      </vt:variant>
      <vt:variant>
        <vt:i4>248</vt:i4>
      </vt:variant>
      <vt:variant>
        <vt:i4>0</vt:i4>
      </vt:variant>
      <vt:variant>
        <vt:i4>5</vt:i4>
      </vt:variant>
      <vt:variant>
        <vt:lpwstr/>
      </vt:variant>
      <vt:variant>
        <vt:lpwstr>_Toc91071072</vt:lpwstr>
      </vt:variant>
      <vt:variant>
        <vt:i4>1048639</vt:i4>
      </vt:variant>
      <vt:variant>
        <vt:i4>242</vt:i4>
      </vt:variant>
      <vt:variant>
        <vt:i4>0</vt:i4>
      </vt:variant>
      <vt:variant>
        <vt:i4>5</vt:i4>
      </vt:variant>
      <vt:variant>
        <vt:lpwstr/>
      </vt:variant>
      <vt:variant>
        <vt:lpwstr>_Toc91071071</vt:lpwstr>
      </vt:variant>
      <vt:variant>
        <vt:i4>1114175</vt:i4>
      </vt:variant>
      <vt:variant>
        <vt:i4>236</vt:i4>
      </vt:variant>
      <vt:variant>
        <vt:i4>0</vt:i4>
      </vt:variant>
      <vt:variant>
        <vt:i4>5</vt:i4>
      </vt:variant>
      <vt:variant>
        <vt:lpwstr/>
      </vt:variant>
      <vt:variant>
        <vt:lpwstr>_Toc91071070</vt:lpwstr>
      </vt:variant>
      <vt:variant>
        <vt:i4>1572926</vt:i4>
      </vt:variant>
      <vt:variant>
        <vt:i4>230</vt:i4>
      </vt:variant>
      <vt:variant>
        <vt:i4>0</vt:i4>
      </vt:variant>
      <vt:variant>
        <vt:i4>5</vt:i4>
      </vt:variant>
      <vt:variant>
        <vt:lpwstr/>
      </vt:variant>
      <vt:variant>
        <vt:lpwstr>_Toc91071069</vt:lpwstr>
      </vt:variant>
      <vt:variant>
        <vt:i4>1638462</vt:i4>
      </vt:variant>
      <vt:variant>
        <vt:i4>224</vt:i4>
      </vt:variant>
      <vt:variant>
        <vt:i4>0</vt:i4>
      </vt:variant>
      <vt:variant>
        <vt:i4>5</vt:i4>
      </vt:variant>
      <vt:variant>
        <vt:lpwstr/>
      </vt:variant>
      <vt:variant>
        <vt:lpwstr>_Toc91071068</vt:lpwstr>
      </vt:variant>
      <vt:variant>
        <vt:i4>1441854</vt:i4>
      </vt:variant>
      <vt:variant>
        <vt:i4>218</vt:i4>
      </vt:variant>
      <vt:variant>
        <vt:i4>0</vt:i4>
      </vt:variant>
      <vt:variant>
        <vt:i4>5</vt:i4>
      </vt:variant>
      <vt:variant>
        <vt:lpwstr/>
      </vt:variant>
      <vt:variant>
        <vt:lpwstr>_Toc91071067</vt:lpwstr>
      </vt:variant>
      <vt:variant>
        <vt:i4>1507390</vt:i4>
      </vt:variant>
      <vt:variant>
        <vt:i4>212</vt:i4>
      </vt:variant>
      <vt:variant>
        <vt:i4>0</vt:i4>
      </vt:variant>
      <vt:variant>
        <vt:i4>5</vt:i4>
      </vt:variant>
      <vt:variant>
        <vt:lpwstr/>
      </vt:variant>
      <vt:variant>
        <vt:lpwstr>_Toc91071066</vt:lpwstr>
      </vt:variant>
      <vt:variant>
        <vt:i4>1310782</vt:i4>
      </vt:variant>
      <vt:variant>
        <vt:i4>206</vt:i4>
      </vt:variant>
      <vt:variant>
        <vt:i4>0</vt:i4>
      </vt:variant>
      <vt:variant>
        <vt:i4>5</vt:i4>
      </vt:variant>
      <vt:variant>
        <vt:lpwstr/>
      </vt:variant>
      <vt:variant>
        <vt:lpwstr>_Toc91071065</vt:lpwstr>
      </vt:variant>
      <vt:variant>
        <vt:i4>1376318</vt:i4>
      </vt:variant>
      <vt:variant>
        <vt:i4>200</vt:i4>
      </vt:variant>
      <vt:variant>
        <vt:i4>0</vt:i4>
      </vt:variant>
      <vt:variant>
        <vt:i4>5</vt:i4>
      </vt:variant>
      <vt:variant>
        <vt:lpwstr/>
      </vt:variant>
      <vt:variant>
        <vt:lpwstr>_Toc91071064</vt:lpwstr>
      </vt:variant>
      <vt:variant>
        <vt:i4>1179710</vt:i4>
      </vt:variant>
      <vt:variant>
        <vt:i4>194</vt:i4>
      </vt:variant>
      <vt:variant>
        <vt:i4>0</vt:i4>
      </vt:variant>
      <vt:variant>
        <vt:i4>5</vt:i4>
      </vt:variant>
      <vt:variant>
        <vt:lpwstr/>
      </vt:variant>
      <vt:variant>
        <vt:lpwstr>_Toc91071063</vt:lpwstr>
      </vt:variant>
      <vt:variant>
        <vt:i4>1245246</vt:i4>
      </vt:variant>
      <vt:variant>
        <vt:i4>188</vt:i4>
      </vt:variant>
      <vt:variant>
        <vt:i4>0</vt:i4>
      </vt:variant>
      <vt:variant>
        <vt:i4>5</vt:i4>
      </vt:variant>
      <vt:variant>
        <vt:lpwstr/>
      </vt:variant>
      <vt:variant>
        <vt:lpwstr>_Toc91071062</vt:lpwstr>
      </vt:variant>
      <vt:variant>
        <vt:i4>1048638</vt:i4>
      </vt:variant>
      <vt:variant>
        <vt:i4>182</vt:i4>
      </vt:variant>
      <vt:variant>
        <vt:i4>0</vt:i4>
      </vt:variant>
      <vt:variant>
        <vt:i4>5</vt:i4>
      </vt:variant>
      <vt:variant>
        <vt:lpwstr/>
      </vt:variant>
      <vt:variant>
        <vt:lpwstr>_Toc91071061</vt:lpwstr>
      </vt:variant>
      <vt:variant>
        <vt:i4>1114174</vt:i4>
      </vt:variant>
      <vt:variant>
        <vt:i4>176</vt:i4>
      </vt:variant>
      <vt:variant>
        <vt:i4>0</vt:i4>
      </vt:variant>
      <vt:variant>
        <vt:i4>5</vt:i4>
      </vt:variant>
      <vt:variant>
        <vt:lpwstr/>
      </vt:variant>
      <vt:variant>
        <vt:lpwstr>_Toc91071060</vt:lpwstr>
      </vt:variant>
      <vt:variant>
        <vt:i4>1572925</vt:i4>
      </vt:variant>
      <vt:variant>
        <vt:i4>170</vt:i4>
      </vt:variant>
      <vt:variant>
        <vt:i4>0</vt:i4>
      </vt:variant>
      <vt:variant>
        <vt:i4>5</vt:i4>
      </vt:variant>
      <vt:variant>
        <vt:lpwstr/>
      </vt:variant>
      <vt:variant>
        <vt:lpwstr>_Toc91071059</vt:lpwstr>
      </vt:variant>
      <vt:variant>
        <vt:i4>1638461</vt:i4>
      </vt:variant>
      <vt:variant>
        <vt:i4>164</vt:i4>
      </vt:variant>
      <vt:variant>
        <vt:i4>0</vt:i4>
      </vt:variant>
      <vt:variant>
        <vt:i4>5</vt:i4>
      </vt:variant>
      <vt:variant>
        <vt:lpwstr/>
      </vt:variant>
      <vt:variant>
        <vt:lpwstr>_Toc91071058</vt:lpwstr>
      </vt:variant>
      <vt:variant>
        <vt:i4>1441853</vt:i4>
      </vt:variant>
      <vt:variant>
        <vt:i4>158</vt:i4>
      </vt:variant>
      <vt:variant>
        <vt:i4>0</vt:i4>
      </vt:variant>
      <vt:variant>
        <vt:i4>5</vt:i4>
      </vt:variant>
      <vt:variant>
        <vt:lpwstr/>
      </vt:variant>
      <vt:variant>
        <vt:lpwstr>_Toc91071057</vt:lpwstr>
      </vt:variant>
      <vt:variant>
        <vt:i4>1507389</vt:i4>
      </vt:variant>
      <vt:variant>
        <vt:i4>152</vt:i4>
      </vt:variant>
      <vt:variant>
        <vt:i4>0</vt:i4>
      </vt:variant>
      <vt:variant>
        <vt:i4>5</vt:i4>
      </vt:variant>
      <vt:variant>
        <vt:lpwstr/>
      </vt:variant>
      <vt:variant>
        <vt:lpwstr>_Toc91071056</vt:lpwstr>
      </vt:variant>
      <vt:variant>
        <vt:i4>1310781</vt:i4>
      </vt:variant>
      <vt:variant>
        <vt:i4>146</vt:i4>
      </vt:variant>
      <vt:variant>
        <vt:i4>0</vt:i4>
      </vt:variant>
      <vt:variant>
        <vt:i4>5</vt:i4>
      </vt:variant>
      <vt:variant>
        <vt:lpwstr/>
      </vt:variant>
      <vt:variant>
        <vt:lpwstr>_Toc91071055</vt:lpwstr>
      </vt:variant>
      <vt:variant>
        <vt:i4>1376317</vt:i4>
      </vt:variant>
      <vt:variant>
        <vt:i4>140</vt:i4>
      </vt:variant>
      <vt:variant>
        <vt:i4>0</vt:i4>
      </vt:variant>
      <vt:variant>
        <vt:i4>5</vt:i4>
      </vt:variant>
      <vt:variant>
        <vt:lpwstr/>
      </vt:variant>
      <vt:variant>
        <vt:lpwstr>_Toc91071054</vt:lpwstr>
      </vt:variant>
      <vt:variant>
        <vt:i4>1179709</vt:i4>
      </vt:variant>
      <vt:variant>
        <vt:i4>134</vt:i4>
      </vt:variant>
      <vt:variant>
        <vt:i4>0</vt:i4>
      </vt:variant>
      <vt:variant>
        <vt:i4>5</vt:i4>
      </vt:variant>
      <vt:variant>
        <vt:lpwstr/>
      </vt:variant>
      <vt:variant>
        <vt:lpwstr>_Toc91071053</vt:lpwstr>
      </vt:variant>
      <vt:variant>
        <vt:i4>1245245</vt:i4>
      </vt:variant>
      <vt:variant>
        <vt:i4>128</vt:i4>
      </vt:variant>
      <vt:variant>
        <vt:i4>0</vt:i4>
      </vt:variant>
      <vt:variant>
        <vt:i4>5</vt:i4>
      </vt:variant>
      <vt:variant>
        <vt:lpwstr/>
      </vt:variant>
      <vt:variant>
        <vt:lpwstr>_Toc91071052</vt:lpwstr>
      </vt:variant>
      <vt:variant>
        <vt:i4>1048637</vt:i4>
      </vt:variant>
      <vt:variant>
        <vt:i4>122</vt:i4>
      </vt:variant>
      <vt:variant>
        <vt:i4>0</vt:i4>
      </vt:variant>
      <vt:variant>
        <vt:i4>5</vt:i4>
      </vt:variant>
      <vt:variant>
        <vt:lpwstr/>
      </vt:variant>
      <vt:variant>
        <vt:lpwstr>_Toc91071051</vt:lpwstr>
      </vt:variant>
      <vt:variant>
        <vt:i4>1114173</vt:i4>
      </vt:variant>
      <vt:variant>
        <vt:i4>116</vt:i4>
      </vt:variant>
      <vt:variant>
        <vt:i4>0</vt:i4>
      </vt:variant>
      <vt:variant>
        <vt:i4>5</vt:i4>
      </vt:variant>
      <vt:variant>
        <vt:lpwstr/>
      </vt:variant>
      <vt:variant>
        <vt:lpwstr>_Toc91071050</vt:lpwstr>
      </vt:variant>
      <vt:variant>
        <vt:i4>1572924</vt:i4>
      </vt:variant>
      <vt:variant>
        <vt:i4>110</vt:i4>
      </vt:variant>
      <vt:variant>
        <vt:i4>0</vt:i4>
      </vt:variant>
      <vt:variant>
        <vt:i4>5</vt:i4>
      </vt:variant>
      <vt:variant>
        <vt:lpwstr/>
      </vt:variant>
      <vt:variant>
        <vt:lpwstr>_Toc91071049</vt:lpwstr>
      </vt:variant>
      <vt:variant>
        <vt:i4>1638460</vt:i4>
      </vt:variant>
      <vt:variant>
        <vt:i4>104</vt:i4>
      </vt:variant>
      <vt:variant>
        <vt:i4>0</vt:i4>
      </vt:variant>
      <vt:variant>
        <vt:i4>5</vt:i4>
      </vt:variant>
      <vt:variant>
        <vt:lpwstr/>
      </vt:variant>
      <vt:variant>
        <vt:lpwstr>_Toc91071048</vt:lpwstr>
      </vt:variant>
      <vt:variant>
        <vt:i4>1441852</vt:i4>
      </vt:variant>
      <vt:variant>
        <vt:i4>98</vt:i4>
      </vt:variant>
      <vt:variant>
        <vt:i4>0</vt:i4>
      </vt:variant>
      <vt:variant>
        <vt:i4>5</vt:i4>
      </vt:variant>
      <vt:variant>
        <vt:lpwstr/>
      </vt:variant>
      <vt:variant>
        <vt:lpwstr>_Toc91071047</vt:lpwstr>
      </vt:variant>
      <vt:variant>
        <vt:i4>1507388</vt:i4>
      </vt:variant>
      <vt:variant>
        <vt:i4>92</vt:i4>
      </vt:variant>
      <vt:variant>
        <vt:i4>0</vt:i4>
      </vt:variant>
      <vt:variant>
        <vt:i4>5</vt:i4>
      </vt:variant>
      <vt:variant>
        <vt:lpwstr/>
      </vt:variant>
      <vt:variant>
        <vt:lpwstr>_Toc91071046</vt:lpwstr>
      </vt:variant>
      <vt:variant>
        <vt:i4>1310780</vt:i4>
      </vt:variant>
      <vt:variant>
        <vt:i4>86</vt:i4>
      </vt:variant>
      <vt:variant>
        <vt:i4>0</vt:i4>
      </vt:variant>
      <vt:variant>
        <vt:i4>5</vt:i4>
      </vt:variant>
      <vt:variant>
        <vt:lpwstr/>
      </vt:variant>
      <vt:variant>
        <vt:lpwstr>_Toc91071045</vt:lpwstr>
      </vt:variant>
      <vt:variant>
        <vt:i4>1376316</vt:i4>
      </vt:variant>
      <vt:variant>
        <vt:i4>80</vt:i4>
      </vt:variant>
      <vt:variant>
        <vt:i4>0</vt:i4>
      </vt:variant>
      <vt:variant>
        <vt:i4>5</vt:i4>
      </vt:variant>
      <vt:variant>
        <vt:lpwstr/>
      </vt:variant>
      <vt:variant>
        <vt:lpwstr>_Toc91071044</vt:lpwstr>
      </vt:variant>
      <vt:variant>
        <vt:i4>1179708</vt:i4>
      </vt:variant>
      <vt:variant>
        <vt:i4>74</vt:i4>
      </vt:variant>
      <vt:variant>
        <vt:i4>0</vt:i4>
      </vt:variant>
      <vt:variant>
        <vt:i4>5</vt:i4>
      </vt:variant>
      <vt:variant>
        <vt:lpwstr/>
      </vt:variant>
      <vt:variant>
        <vt:lpwstr>_Toc91071043</vt:lpwstr>
      </vt:variant>
      <vt:variant>
        <vt:i4>1245244</vt:i4>
      </vt:variant>
      <vt:variant>
        <vt:i4>68</vt:i4>
      </vt:variant>
      <vt:variant>
        <vt:i4>0</vt:i4>
      </vt:variant>
      <vt:variant>
        <vt:i4>5</vt:i4>
      </vt:variant>
      <vt:variant>
        <vt:lpwstr/>
      </vt:variant>
      <vt:variant>
        <vt:lpwstr>_Toc91071042</vt:lpwstr>
      </vt:variant>
      <vt:variant>
        <vt:i4>1048636</vt:i4>
      </vt:variant>
      <vt:variant>
        <vt:i4>62</vt:i4>
      </vt:variant>
      <vt:variant>
        <vt:i4>0</vt:i4>
      </vt:variant>
      <vt:variant>
        <vt:i4>5</vt:i4>
      </vt:variant>
      <vt:variant>
        <vt:lpwstr/>
      </vt:variant>
      <vt:variant>
        <vt:lpwstr>_Toc91071041</vt:lpwstr>
      </vt:variant>
      <vt:variant>
        <vt:i4>1114172</vt:i4>
      </vt:variant>
      <vt:variant>
        <vt:i4>56</vt:i4>
      </vt:variant>
      <vt:variant>
        <vt:i4>0</vt:i4>
      </vt:variant>
      <vt:variant>
        <vt:i4>5</vt:i4>
      </vt:variant>
      <vt:variant>
        <vt:lpwstr/>
      </vt:variant>
      <vt:variant>
        <vt:lpwstr>_Toc91071040</vt:lpwstr>
      </vt:variant>
      <vt:variant>
        <vt:i4>1572923</vt:i4>
      </vt:variant>
      <vt:variant>
        <vt:i4>50</vt:i4>
      </vt:variant>
      <vt:variant>
        <vt:i4>0</vt:i4>
      </vt:variant>
      <vt:variant>
        <vt:i4>5</vt:i4>
      </vt:variant>
      <vt:variant>
        <vt:lpwstr/>
      </vt:variant>
      <vt:variant>
        <vt:lpwstr>_Toc91071039</vt:lpwstr>
      </vt:variant>
      <vt:variant>
        <vt:i4>1638459</vt:i4>
      </vt:variant>
      <vt:variant>
        <vt:i4>44</vt:i4>
      </vt:variant>
      <vt:variant>
        <vt:i4>0</vt:i4>
      </vt:variant>
      <vt:variant>
        <vt:i4>5</vt:i4>
      </vt:variant>
      <vt:variant>
        <vt:lpwstr/>
      </vt:variant>
      <vt:variant>
        <vt:lpwstr>_Toc91071038</vt:lpwstr>
      </vt:variant>
      <vt:variant>
        <vt:i4>1441851</vt:i4>
      </vt:variant>
      <vt:variant>
        <vt:i4>38</vt:i4>
      </vt:variant>
      <vt:variant>
        <vt:i4>0</vt:i4>
      </vt:variant>
      <vt:variant>
        <vt:i4>5</vt:i4>
      </vt:variant>
      <vt:variant>
        <vt:lpwstr/>
      </vt:variant>
      <vt:variant>
        <vt:lpwstr>_Toc91071037</vt:lpwstr>
      </vt:variant>
      <vt:variant>
        <vt:i4>1507387</vt:i4>
      </vt:variant>
      <vt:variant>
        <vt:i4>32</vt:i4>
      </vt:variant>
      <vt:variant>
        <vt:i4>0</vt:i4>
      </vt:variant>
      <vt:variant>
        <vt:i4>5</vt:i4>
      </vt:variant>
      <vt:variant>
        <vt:lpwstr/>
      </vt:variant>
      <vt:variant>
        <vt:lpwstr>_Toc91071036</vt:lpwstr>
      </vt:variant>
      <vt:variant>
        <vt:i4>1310779</vt:i4>
      </vt:variant>
      <vt:variant>
        <vt:i4>26</vt:i4>
      </vt:variant>
      <vt:variant>
        <vt:i4>0</vt:i4>
      </vt:variant>
      <vt:variant>
        <vt:i4>5</vt:i4>
      </vt:variant>
      <vt:variant>
        <vt:lpwstr/>
      </vt:variant>
      <vt:variant>
        <vt:lpwstr>_Toc91071035</vt:lpwstr>
      </vt:variant>
      <vt:variant>
        <vt:i4>1376315</vt:i4>
      </vt:variant>
      <vt:variant>
        <vt:i4>20</vt:i4>
      </vt:variant>
      <vt:variant>
        <vt:i4>0</vt:i4>
      </vt:variant>
      <vt:variant>
        <vt:i4>5</vt:i4>
      </vt:variant>
      <vt:variant>
        <vt:lpwstr/>
      </vt:variant>
      <vt:variant>
        <vt:lpwstr>_Toc91071034</vt:lpwstr>
      </vt:variant>
      <vt:variant>
        <vt:i4>1179707</vt:i4>
      </vt:variant>
      <vt:variant>
        <vt:i4>14</vt:i4>
      </vt:variant>
      <vt:variant>
        <vt:i4>0</vt:i4>
      </vt:variant>
      <vt:variant>
        <vt:i4>5</vt:i4>
      </vt:variant>
      <vt:variant>
        <vt:lpwstr/>
      </vt:variant>
      <vt:variant>
        <vt:lpwstr>_Toc91071033</vt:lpwstr>
      </vt:variant>
      <vt:variant>
        <vt:i4>1245243</vt:i4>
      </vt:variant>
      <vt:variant>
        <vt:i4>8</vt:i4>
      </vt:variant>
      <vt:variant>
        <vt:i4>0</vt:i4>
      </vt:variant>
      <vt:variant>
        <vt:i4>5</vt:i4>
      </vt:variant>
      <vt:variant>
        <vt:lpwstr/>
      </vt:variant>
      <vt:variant>
        <vt:lpwstr>_Toc91071032</vt:lpwstr>
      </vt:variant>
      <vt:variant>
        <vt:i4>1048635</vt:i4>
      </vt:variant>
      <vt:variant>
        <vt:i4>2</vt:i4>
      </vt:variant>
      <vt:variant>
        <vt:i4>0</vt:i4>
      </vt:variant>
      <vt:variant>
        <vt:i4>5</vt:i4>
      </vt:variant>
      <vt:variant>
        <vt:lpwstr/>
      </vt:variant>
      <vt:variant>
        <vt:lpwstr>_Toc91071031</vt:lpwstr>
      </vt:variant>
      <vt:variant>
        <vt:i4>6160411</vt:i4>
      </vt:variant>
      <vt:variant>
        <vt:i4>0</vt:i4>
      </vt:variant>
      <vt:variant>
        <vt:i4>0</vt:i4>
      </vt:variant>
      <vt:variant>
        <vt:i4>5</vt:i4>
      </vt:variant>
      <vt:variant>
        <vt:lpwstr>https://www.sanluisobispo.com/news/local/article39110382.html</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2021-09-10T15:35:00Z</cp:lastPrinted>
  <dcterms:created xsi:type="dcterms:W3CDTF">2022-04-18T13:07:26Z</dcterms:created>
  <dcterms:modified xsi:type="dcterms:W3CDTF">2022-04-18T13:07:26Z</dcterms:modified>
</cp:coreProperties>
</file>