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0421" w:rsidP="007E526C" w:rsidRDefault="00535ABF" w14:paraId="7677642B" w14:textId="0A5A599C">
      <w:pPr>
        <w:tabs>
          <w:tab w:val="center" w:pos="4500"/>
          <w:tab w:val="right" w:pos="9360"/>
        </w:tabs>
        <w:spacing w:line="240" w:lineRule="auto"/>
        <w:ind w:firstLine="0"/>
      </w:pPr>
      <w:r>
        <w:t>COM/ARD/</w:t>
      </w:r>
      <w:r w:rsidR="00EA3D5B">
        <w:t>mph</w:t>
      </w:r>
      <w:r w:rsidR="007E526C">
        <w:t>/jnf</w:t>
      </w:r>
      <w:r w:rsidR="007E0FEE">
        <w:tab/>
      </w:r>
      <w:r w:rsidR="00DA7B5D">
        <w:tab/>
      </w:r>
      <w:r w:rsidR="00C418A0">
        <w:rPr>
          <w:b/>
        </w:rPr>
        <w:t>Date of Issuance 4/22/2022</w:t>
      </w:r>
    </w:p>
    <w:p w:rsidRPr="00EE4315" w:rsidR="008C2A53" w:rsidP="00632207" w:rsidRDefault="008C2A53" w14:paraId="72592B13" w14:textId="094A004C">
      <w:pPr>
        <w:spacing w:line="240" w:lineRule="auto"/>
        <w:jc w:val="right"/>
        <w:rPr>
          <w:b/>
        </w:rPr>
      </w:pPr>
    </w:p>
    <w:p w:rsidR="00DA7B5D" w:rsidP="008F0116" w:rsidRDefault="00DA7B5D" w14:paraId="17748E56" w14:textId="77777777">
      <w:pPr>
        <w:ind w:firstLine="0"/>
      </w:pPr>
    </w:p>
    <w:p w:rsidR="00DA7B5D" w:rsidP="008E648D" w:rsidRDefault="00DA7B5D" w14:paraId="6D852958" w14:textId="4E5E6910">
      <w:pPr>
        <w:spacing w:line="240" w:lineRule="auto"/>
        <w:ind w:left="1080" w:hanging="1080"/>
      </w:pPr>
      <w:r>
        <w:t>Decision</w:t>
      </w:r>
      <w:r w:rsidR="00C418A0">
        <w:t> </w:t>
      </w:r>
      <w:r w:rsidRPr="00C418A0" w:rsidR="00C418A0">
        <w:t>22-04-055</w:t>
      </w:r>
      <w:r w:rsidR="00C418A0">
        <w:t xml:space="preserve">  April 21, 2022</w:t>
      </w:r>
    </w:p>
    <w:p w:rsidRPr="00EE3060" w:rsidR="00C418A0" w:rsidP="008E648D" w:rsidRDefault="00C418A0" w14:paraId="44E83511" w14:textId="77777777">
      <w:pPr>
        <w:spacing w:line="240" w:lineRule="auto"/>
        <w:ind w:left="1080" w:hanging="1080"/>
      </w:pPr>
    </w:p>
    <w:p w:rsidR="00DA7B5D" w:rsidP="00C418A0" w:rsidRDefault="00DA7B5D" w14:paraId="28900656" w14:textId="77777777">
      <w:pPr>
        <w:spacing w:line="240" w:lineRule="auto"/>
        <w:jc w:val="center"/>
        <w:rPr>
          <w:u w:val="single"/>
        </w:rPr>
      </w:pPr>
    </w:p>
    <w:p w:rsidR="00DA7B5D" w:rsidP="00BB0243" w:rsidRDefault="00DA7B5D" w14:paraId="384FE457"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6BF7A1F0"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00E725FC" w14:paraId="51BFD681" w14:textId="77777777">
        <w:trPr>
          <w:jc w:val="center"/>
        </w:trPr>
        <w:tc>
          <w:tcPr>
            <w:tcW w:w="5040" w:type="dxa"/>
            <w:tcBorders>
              <w:top w:val="nil"/>
              <w:left w:val="nil"/>
              <w:bottom w:val="single" w:color="auto" w:sz="4" w:space="0"/>
              <w:right w:val="single" w:color="auto" w:sz="4" w:space="0"/>
            </w:tcBorders>
          </w:tcPr>
          <w:p w:rsidRPr="00DA7B5D" w:rsidR="00DA7B5D" w:rsidP="00C10B5F" w:rsidRDefault="00DB43A5" w14:paraId="160C6735" w14:textId="49ABA0F5">
            <w:pPr>
              <w:spacing w:line="240" w:lineRule="auto"/>
              <w:ind w:firstLine="0"/>
              <w:rPr>
                <w:rFonts w:cs="Arial"/>
                <w:szCs w:val="26"/>
              </w:rPr>
            </w:pPr>
            <w:r w:rsidRPr="003937DD">
              <w:rPr>
                <w:rFonts w:cs="Arial"/>
                <w:szCs w:val="26"/>
              </w:rPr>
              <w:t>Order Instituting Rulemaking Regarding Broadband Infrastructure Deployment and to Support Service Providers in the State of California</w:t>
            </w:r>
            <w:r>
              <w:rPr>
                <w:rFonts w:cs="Arial"/>
                <w:szCs w:val="26"/>
              </w:rPr>
              <w:t>.</w:t>
            </w:r>
            <w:r w:rsidRPr="00DA7B5D" w:rsidR="00DA7B5D">
              <w:rPr>
                <w:rFonts w:cs="Arial"/>
                <w:szCs w:val="26"/>
              </w:rPr>
              <w:br/>
            </w:r>
          </w:p>
        </w:tc>
        <w:tc>
          <w:tcPr>
            <w:tcW w:w="5040" w:type="dxa"/>
            <w:tcBorders>
              <w:top w:val="nil"/>
              <w:left w:val="single" w:color="auto" w:sz="4" w:space="0"/>
              <w:bottom w:val="nil"/>
              <w:right w:val="nil"/>
            </w:tcBorders>
            <w:vAlign w:val="center"/>
          </w:tcPr>
          <w:p w:rsidRPr="00DA7B5D" w:rsidR="00DA7B5D" w:rsidP="00BC12B6" w:rsidRDefault="00DB43A5" w14:paraId="74E008D5" w14:textId="4BA83728">
            <w:pPr>
              <w:rPr>
                <w:rFonts w:cs="Arial"/>
                <w:szCs w:val="26"/>
              </w:rPr>
            </w:pPr>
            <w:r w:rsidRPr="003937DD">
              <w:rPr>
                <w:rFonts w:cs="Arial"/>
                <w:szCs w:val="26"/>
              </w:rPr>
              <w:t>Rulemaking 20-09-001</w:t>
            </w:r>
          </w:p>
        </w:tc>
      </w:tr>
    </w:tbl>
    <w:p w:rsidR="00DA7B5D" w:rsidP="008F0116" w:rsidRDefault="00DA7B5D" w14:paraId="4794E7E8" w14:textId="77777777">
      <w:pPr>
        <w:spacing w:line="240" w:lineRule="auto"/>
        <w:ind w:firstLine="0"/>
        <w:rPr>
          <w:rFonts w:ascii="Arial" w:hAnsi="Arial" w:cs="Arial"/>
          <w:sz w:val="24"/>
          <w:szCs w:val="24"/>
        </w:rPr>
      </w:pPr>
    </w:p>
    <w:p w:rsidR="00DA7B5D" w:rsidP="008F0116" w:rsidRDefault="00DA7B5D" w14:paraId="36918F57" w14:textId="77777777">
      <w:pPr>
        <w:spacing w:line="240" w:lineRule="auto"/>
        <w:ind w:firstLine="0"/>
        <w:rPr>
          <w:rFonts w:ascii="Arial" w:hAnsi="Arial" w:cs="Arial"/>
          <w:sz w:val="24"/>
          <w:szCs w:val="24"/>
        </w:rPr>
      </w:pPr>
    </w:p>
    <w:p w:rsidR="00A13D1F" w:rsidP="00A13D1F" w:rsidRDefault="00A13D1F" w14:paraId="6F91DEA7" w14:textId="77777777">
      <w:pPr>
        <w:pStyle w:val="Dummy"/>
        <w:jc w:val="center"/>
      </w:pPr>
      <w:bookmarkStart w:name="_Toc94637175" w:id="0"/>
      <w:bookmarkStart w:name="_Toc101519055" w:id="1"/>
      <w:r>
        <w:t>DECISION ADOPTING FEDERAL FUNDING ACCOUNT RULES</w:t>
      </w:r>
      <w:bookmarkEnd w:id="0"/>
      <w:bookmarkEnd w:id="1"/>
    </w:p>
    <w:p w:rsidR="00F92385" w:rsidP="00B3087D" w:rsidRDefault="00F92385" w14:paraId="5022CEBA" w14:textId="361B1D12">
      <w:pPr>
        <w:pStyle w:val="Dummy"/>
        <w:jc w:val="center"/>
      </w:pPr>
    </w:p>
    <w:p w:rsidR="008E05B5" w:rsidP="008E05B5" w:rsidRDefault="008E05B5" w14:paraId="552BF0C7" w14:textId="77777777"/>
    <w:p w:rsidRPr="008E05B5" w:rsidR="008E05B5" w:rsidP="008E05B5" w:rsidRDefault="008E05B5" w14:paraId="0934D134" w14:textId="626198B3">
      <w:pPr>
        <w:sectPr w:rsidRPr="008E05B5" w:rsidR="008E05B5" w:rsidSect="00A75DA7">
          <w:footerReference w:type="first" r:id="rId8"/>
          <w:pgSz w:w="12240" w:h="15840"/>
          <w:pgMar w:top="1440" w:right="1440" w:bottom="1440" w:left="1440" w:header="720" w:footer="720" w:gutter="0"/>
          <w:pgNumType w:start="1"/>
          <w:cols w:space="720"/>
          <w:titlePg/>
          <w:docGrid w:linePitch="360"/>
        </w:sectPr>
      </w:pPr>
    </w:p>
    <w:p w:rsidRPr="001E2A62" w:rsidR="00D50119" w:rsidP="00F76650" w:rsidRDefault="00D50119" w14:paraId="4A4A6E23" w14:textId="77777777">
      <w:pPr>
        <w:pStyle w:val="Main"/>
        <w:rPr>
          <w:rFonts w:ascii="Book Antiqua" w:hAnsi="Book Antiqua"/>
        </w:rPr>
      </w:pPr>
      <w:r w:rsidRPr="001E2A62">
        <w:rPr>
          <w:rFonts w:ascii="Book Antiqua" w:hAnsi="Book Antiqua"/>
        </w:rPr>
        <w:lastRenderedPageBreak/>
        <w:t>TABLE OF CONTENTS</w:t>
      </w:r>
    </w:p>
    <w:p w:rsidRPr="00D50119" w:rsidR="00D50119" w:rsidP="007E0FEE" w:rsidRDefault="00D50119" w14:paraId="2470220A" w14:textId="77777777">
      <w:pPr>
        <w:tabs>
          <w:tab w:val="right" w:pos="9360"/>
        </w:tabs>
        <w:ind w:firstLine="0"/>
      </w:pPr>
      <w:r w:rsidRPr="00D50119">
        <w:rPr>
          <w:b/>
        </w:rPr>
        <w:t>Title</w:t>
      </w:r>
      <w:r>
        <w:tab/>
      </w:r>
      <w:r w:rsidRPr="00D50119">
        <w:rPr>
          <w:b/>
        </w:rPr>
        <w:t>Page</w:t>
      </w:r>
    </w:p>
    <w:sdt>
      <w:sdtPr>
        <w:id w:val="-1224440197"/>
        <w:docPartObj>
          <w:docPartGallery w:val="Table of Contents"/>
          <w:docPartUnique/>
        </w:docPartObj>
      </w:sdtPr>
      <w:sdtEndPr>
        <w:rPr>
          <w:b/>
          <w:bCs/>
          <w:noProof/>
        </w:rPr>
      </w:sdtEndPr>
      <w:sdtContent>
        <w:p w:rsidR="00E41BD4" w:rsidRDefault="007D073E" w14:paraId="453D032C" w14:textId="300B6AAE">
          <w:pPr>
            <w:pStyle w:val="TOC1"/>
            <w:tabs>
              <w:tab w:val="right" w:leader="dot" w:pos="9350"/>
            </w:tabs>
            <w:rPr>
              <w:rFonts w:asciiTheme="minorHAnsi" w:hAnsiTheme="minorHAnsi" w:cstheme="minorBidi"/>
              <w:noProof/>
              <w:sz w:val="22"/>
            </w:rPr>
          </w:pPr>
          <w:r>
            <w:rPr>
              <w:rFonts w:asciiTheme="minorHAnsi" w:hAnsiTheme="minorHAnsi"/>
              <w:sz w:val="22"/>
            </w:rPr>
            <w:fldChar w:fldCharType="begin"/>
          </w:r>
          <w:r>
            <w:rPr>
              <w:rFonts w:asciiTheme="minorHAnsi" w:hAnsiTheme="minorHAnsi"/>
              <w:sz w:val="22"/>
            </w:rPr>
            <w:instrText xml:space="preserve"> TOC \o "1-3" \h \z \u </w:instrText>
          </w:r>
          <w:r>
            <w:rPr>
              <w:rFonts w:asciiTheme="minorHAnsi" w:hAnsiTheme="minorHAnsi"/>
              <w:sz w:val="22"/>
            </w:rPr>
            <w:fldChar w:fldCharType="separate"/>
          </w:r>
          <w:hyperlink w:history="1" w:anchor="_Toc101519055">
            <w:r w:rsidRPr="00136222" w:rsidR="00E41BD4">
              <w:rPr>
                <w:rStyle w:val="Hyperlink"/>
                <w:noProof/>
              </w:rPr>
              <w:t>DECISION ADOPTING FEDERAL FUNDING ACCOUNT RULES</w:t>
            </w:r>
            <w:r w:rsidR="00E41BD4">
              <w:rPr>
                <w:noProof/>
                <w:webHidden/>
              </w:rPr>
              <w:tab/>
            </w:r>
            <w:r w:rsidR="00E41BD4">
              <w:rPr>
                <w:noProof/>
                <w:webHidden/>
              </w:rPr>
              <w:fldChar w:fldCharType="begin"/>
            </w:r>
            <w:r w:rsidR="00E41BD4">
              <w:rPr>
                <w:noProof/>
                <w:webHidden/>
              </w:rPr>
              <w:instrText xml:space="preserve"> PAGEREF _Toc101519055 \h </w:instrText>
            </w:r>
            <w:r w:rsidR="00E41BD4">
              <w:rPr>
                <w:noProof/>
                <w:webHidden/>
              </w:rPr>
            </w:r>
            <w:r w:rsidR="00E41BD4">
              <w:rPr>
                <w:noProof/>
                <w:webHidden/>
              </w:rPr>
              <w:fldChar w:fldCharType="separate"/>
            </w:r>
            <w:r w:rsidR="00E41BD4">
              <w:rPr>
                <w:noProof/>
                <w:webHidden/>
              </w:rPr>
              <w:t>1</w:t>
            </w:r>
            <w:r w:rsidR="00E41BD4">
              <w:rPr>
                <w:noProof/>
                <w:webHidden/>
              </w:rPr>
              <w:fldChar w:fldCharType="end"/>
            </w:r>
          </w:hyperlink>
        </w:p>
        <w:p w:rsidR="00E41BD4" w:rsidRDefault="00E41BD4" w14:paraId="50AF7F9B" w14:textId="2D42B52F">
          <w:pPr>
            <w:pStyle w:val="TOC1"/>
            <w:tabs>
              <w:tab w:val="right" w:leader="dot" w:pos="9350"/>
            </w:tabs>
            <w:rPr>
              <w:rFonts w:asciiTheme="minorHAnsi" w:hAnsiTheme="minorHAnsi" w:cstheme="minorBidi"/>
              <w:noProof/>
              <w:sz w:val="22"/>
            </w:rPr>
          </w:pPr>
          <w:hyperlink w:history="1" w:anchor="_Toc101519056">
            <w:r w:rsidRPr="00136222">
              <w:rPr>
                <w:rStyle w:val="Hyperlink"/>
                <w:noProof/>
              </w:rPr>
              <w:t>Summary</w:t>
            </w:r>
            <w:r>
              <w:rPr>
                <w:noProof/>
                <w:webHidden/>
              </w:rPr>
              <w:tab/>
            </w:r>
            <w:r>
              <w:rPr>
                <w:noProof/>
                <w:webHidden/>
              </w:rPr>
              <w:fldChar w:fldCharType="begin"/>
            </w:r>
            <w:r>
              <w:rPr>
                <w:noProof/>
                <w:webHidden/>
              </w:rPr>
              <w:instrText xml:space="preserve"> PAGEREF _Toc101519056 \h </w:instrText>
            </w:r>
            <w:r>
              <w:rPr>
                <w:noProof/>
                <w:webHidden/>
              </w:rPr>
            </w:r>
            <w:r>
              <w:rPr>
                <w:noProof/>
                <w:webHidden/>
              </w:rPr>
              <w:fldChar w:fldCharType="separate"/>
            </w:r>
            <w:r>
              <w:rPr>
                <w:noProof/>
                <w:webHidden/>
              </w:rPr>
              <w:t>2</w:t>
            </w:r>
            <w:r>
              <w:rPr>
                <w:noProof/>
                <w:webHidden/>
              </w:rPr>
              <w:fldChar w:fldCharType="end"/>
            </w:r>
          </w:hyperlink>
        </w:p>
        <w:p w:rsidR="00E41BD4" w:rsidRDefault="00E41BD4" w14:paraId="77BF483A" w14:textId="27478689">
          <w:pPr>
            <w:pStyle w:val="TOC1"/>
            <w:tabs>
              <w:tab w:val="right" w:leader="dot" w:pos="9350"/>
            </w:tabs>
            <w:rPr>
              <w:rFonts w:asciiTheme="minorHAnsi" w:hAnsiTheme="minorHAnsi" w:cstheme="minorBidi"/>
              <w:noProof/>
              <w:sz w:val="22"/>
            </w:rPr>
          </w:pPr>
          <w:hyperlink w:history="1" w:anchor="_Toc101519057">
            <w:r w:rsidRPr="00136222">
              <w:rPr>
                <w:rStyle w:val="Hyperlink"/>
                <w:noProof/>
              </w:rPr>
              <w:t>1.</w:t>
            </w:r>
            <w:r>
              <w:rPr>
                <w:rFonts w:asciiTheme="minorHAnsi" w:hAnsiTheme="minorHAnsi" w:cstheme="minorBidi"/>
                <w:noProof/>
                <w:sz w:val="22"/>
              </w:rPr>
              <w:tab/>
            </w:r>
            <w:r w:rsidRPr="00136222">
              <w:rPr>
                <w:rStyle w:val="Hyperlink"/>
                <w:noProof/>
              </w:rPr>
              <w:t>Factual and Procedural Background</w:t>
            </w:r>
            <w:r>
              <w:rPr>
                <w:noProof/>
                <w:webHidden/>
              </w:rPr>
              <w:tab/>
            </w:r>
            <w:r>
              <w:rPr>
                <w:noProof/>
                <w:webHidden/>
              </w:rPr>
              <w:fldChar w:fldCharType="begin"/>
            </w:r>
            <w:r>
              <w:rPr>
                <w:noProof/>
                <w:webHidden/>
              </w:rPr>
              <w:instrText xml:space="preserve"> PAGEREF _Toc101519057 \h </w:instrText>
            </w:r>
            <w:r>
              <w:rPr>
                <w:noProof/>
                <w:webHidden/>
              </w:rPr>
            </w:r>
            <w:r>
              <w:rPr>
                <w:noProof/>
                <w:webHidden/>
              </w:rPr>
              <w:fldChar w:fldCharType="separate"/>
            </w:r>
            <w:r>
              <w:rPr>
                <w:noProof/>
                <w:webHidden/>
              </w:rPr>
              <w:t>2</w:t>
            </w:r>
            <w:r>
              <w:rPr>
                <w:noProof/>
                <w:webHidden/>
              </w:rPr>
              <w:fldChar w:fldCharType="end"/>
            </w:r>
          </w:hyperlink>
        </w:p>
        <w:p w:rsidR="00E41BD4" w:rsidRDefault="00E41BD4" w14:paraId="0042E0FF" w14:textId="3F5AB71A">
          <w:pPr>
            <w:pStyle w:val="TOC2"/>
            <w:tabs>
              <w:tab w:val="right" w:leader="dot" w:pos="9350"/>
            </w:tabs>
            <w:rPr>
              <w:rFonts w:asciiTheme="minorHAnsi" w:hAnsiTheme="minorHAnsi" w:cstheme="minorBidi"/>
              <w:noProof/>
              <w:sz w:val="22"/>
            </w:rPr>
          </w:pPr>
          <w:hyperlink w:history="1" w:anchor="_Toc101519058">
            <w:r w:rsidRPr="00136222">
              <w:rPr>
                <w:rStyle w:val="Hyperlink"/>
                <w:noProof/>
              </w:rPr>
              <w:t>1.1.</w:t>
            </w:r>
            <w:r>
              <w:rPr>
                <w:rFonts w:asciiTheme="minorHAnsi" w:hAnsiTheme="minorHAnsi" w:cstheme="minorBidi"/>
                <w:noProof/>
                <w:sz w:val="22"/>
              </w:rPr>
              <w:tab/>
            </w:r>
            <w:r w:rsidRPr="00136222">
              <w:rPr>
                <w:rStyle w:val="Hyperlink"/>
                <w:noProof/>
              </w:rPr>
              <w:t>Procedural Background</w:t>
            </w:r>
            <w:r>
              <w:rPr>
                <w:noProof/>
                <w:webHidden/>
              </w:rPr>
              <w:tab/>
            </w:r>
            <w:r>
              <w:rPr>
                <w:noProof/>
                <w:webHidden/>
              </w:rPr>
              <w:fldChar w:fldCharType="begin"/>
            </w:r>
            <w:r>
              <w:rPr>
                <w:noProof/>
                <w:webHidden/>
              </w:rPr>
              <w:instrText xml:space="preserve"> PAGEREF _Toc101519058 \h </w:instrText>
            </w:r>
            <w:r>
              <w:rPr>
                <w:noProof/>
                <w:webHidden/>
              </w:rPr>
            </w:r>
            <w:r>
              <w:rPr>
                <w:noProof/>
                <w:webHidden/>
              </w:rPr>
              <w:fldChar w:fldCharType="separate"/>
            </w:r>
            <w:r>
              <w:rPr>
                <w:noProof/>
                <w:webHidden/>
              </w:rPr>
              <w:t>2</w:t>
            </w:r>
            <w:r>
              <w:rPr>
                <w:noProof/>
                <w:webHidden/>
              </w:rPr>
              <w:fldChar w:fldCharType="end"/>
            </w:r>
          </w:hyperlink>
        </w:p>
        <w:p w:rsidR="00E41BD4" w:rsidRDefault="00E41BD4" w14:paraId="20BE36EF" w14:textId="632470A7">
          <w:pPr>
            <w:pStyle w:val="TOC2"/>
            <w:tabs>
              <w:tab w:val="right" w:leader="dot" w:pos="9350"/>
            </w:tabs>
            <w:rPr>
              <w:rFonts w:asciiTheme="minorHAnsi" w:hAnsiTheme="minorHAnsi" w:cstheme="minorBidi"/>
              <w:noProof/>
              <w:sz w:val="22"/>
            </w:rPr>
          </w:pPr>
          <w:hyperlink w:history="1" w:anchor="_Toc101519059">
            <w:r w:rsidRPr="00136222">
              <w:rPr>
                <w:rStyle w:val="Hyperlink"/>
                <w:noProof/>
              </w:rPr>
              <w:t>1.2.</w:t>
            </w:r>
            <w:r>
              <w:rPr>
                <w:rFonts w:asciiTheme="minorHAnsi" w:hAnsiTheme="minorHAnsi" w:cstheme="minorBidi"/>
                <w:noProof/>
                <w:sz w:val="22"/>
              </w:rPr>
              <w:tab/>
            </w:r>
            <w:r w:rsidRPr="00136222">
              <w:rPr>
                <w:rStyle w:val="Hyperlink"/>
                <w:noProof/>
              </w:rPr>
              <w:t>Factual Background</w:t>
            </w:r>
            <w:r>
              <w:rPr>
                <w:noProof/>
                <w:webHidden/>
              </w:rPr>
              <w:tab/>
            </w:r>
            <w:r>
              <w:rPr>
                <w:noProof/>
                <w:webHidden/>
              </w:rPr>
              <w:fldChar w:fldCharType="begin"/>
            </w:r>
            <w:r>
              <w:rPr>
                <w:noProof/>
                <w:webHidden/>
              </w:rPr>
              <w:instrText xml:space="preserve"> PAGEREF _Toc101519059 \h </w:instrText>
            </w:r>
            <w:r>
              <w:rPr>
                <w:noProof/>
                <w:webHidden/>
              </w:rPr>
            </w:r>
            <w:r>
              <w:rPr>
                <w:noProof/>
                <w:webHidden/>
              </w:rPr>
              <w:fldChar w:fldCharType="separate"/>
            </w:r>
            <w:r>
              <w:rPr>
                <w:noProof/>
                <w:webHidden/>
              </w:rPr>
              <w:t>6</w:t>
            </w:r>
            <w:r>
              <w:rPr>
                <w:noProof/>
                <w:webHidden/>
              </w:rPr>
              <w:fldChar w:fldCharType="end"/>
            </w:r>
          </w:hyperlink>
        </w:p>
        <w:p w:rsidR="00E41BD4" w:rsidRDefault="00E41BD4" w14:paraId="3C4E2D51" w14:textId="32C61EAA">
          <w:pPr>
            <w:pStyle w:val="TOC1"/>
            <w:tabs>
              <w:tab w:val="right" w:leader="dot" w:pos="9350"/>
            </w:tabs>
            <w:rPr>
              <w:rFonts w:asciiTheme="minorHAnsi" w:hAnsiTheme="minorHAnsi" w:cstheme="minorBidi"/>
              <w:noProof/>
              <w:sz w:val="22"/>
            </w:rPr>
          </w:pPr>
          <w:hyperlink w:history="1" w:anchor="_Toc101519060">
            <w:r w:rsidRPr="00136222">
              <w:rPr>
                <w:rStyle w:val="Hyperlink"/>
                <w:noProof/>
              </w:rPr>
              <w:t>2.</w:t>
            </w:r>
            <w:r>
              <w:rPr>
                <w:rFonts w:asciiTheme="minorHAnsi" w:hAnsiTheme="minorHAnsi" w:cstheme="minorBidi"/>
                <w:noProof/>
                <w:sz w:val="22"/>
              </w:rPr>
              <w:tab/>
            </w:r>
            <w:r w:rsidRPr="00136222">
              <w:rPr>
                <w:rStyle w:val="Hyperlink"/>
                <w:noProof/>
              </w:rPr>
              <w:t>Jurisdiction</w:t>
            </w:r>
            <w:r>
              <w:rPr>
                <w:noProof/>
                <w:webHidden/>
              </w:rPr>
              <w:tab/>
            </w:r>
            <w:r>
              <w:rPr>
                <w:noProof/>
                <w:webHidden/>
              </w:rPr>
              <w:fldChar w:fldCharType="begin"/>
            </w:r>
            <w:r>
              <w:rPr>
                <w:noProof/>
                <w:webHidden/>
              </w:rPr>
              <w:instrText xml:space="preserve"> PAGEREF _Toc101519060 \h </w:instrText>
            </w:r>
            <w:r>
              <w:rPr>
                <w:noProof/>
                <w:webHidden/>
              </w:rPr>
            </w:r>
            <w:r>
              <w:rPr>
                <w:noProof/>
                <w:webHidden/>
              </w:rPr>
              <w:fldChar w:fldCharType="separate"/>
            </w:r>
            <w:r>
              <w:rPr>
                <w:noProof/>
                <w:webHidden/>
              </w:rPr>
              <w:t>6</w:t>
            </w:r>
            <w:r>
              <w:rPr>
                <w:noProof/>
                <w:webHidden/>
              </w:rPr>
              <w:fldChar w:fldCharType="end"/>
            </w:r>
          </w:hyperlink>
        </w:p>
        <w:p w:rsidR="00E41BD4" w:rsidRDefault="00E41BD4" w14:paraId="1E2D5106" w14:textId="45BF2120">
          <w:pPr>
            <w:pStyle w:val="TOC1"/>
            <w:tabs>
              <w:tab w:val="right" w:leader="dot" w:pos="9350"/>
            </w:tabs>
            <w:rPr>
              <w:rFonts w:asciiTheme="minorHAnsi" w:hAnsiTheme="minorHAnsi" w:cstheme="minorBidi"/>
              <w:noProof/>
              <w:sz w:val="22"/>
            </w:rPr>
          </w:pPr>
          <w:hyperlink w:history="1" w:anchor="_Toc101519061">
            <w:r w:rsidRPr="00136222">
              <w:rPr>
                <w:rStyle w:val="Hyperlink"/>
                <w:noProof/>
              </w:rPr>
              <w:t>3.</w:t>
            </w:r>
            <w:r>
              <w:rPr>
                <w:rFonts w:asciiTheme="minorHAnsi" w:hAnsiTheme="minorHAnsi" w:cstheme="minorBidi"/>
                <w:noProof/>
                <w:sz w:val="22"/>
              </w:rPr>
              <w:tab/>
            </w:r>
            <w:r w:rsidRPr="00136222">
              <w:rPr>
                <w:rStyle w:val="Hyperlink"/>
                <w:noProof/>
              </w:rPr>
              <w:t>Issues Before the Commission</w:t>
            </w:r>
            <w:r>
              <w:rPr>
                <w:noProof/>
                <w:webHidden/>
              </w:rPr>
              <w:tab/>
            </w:r>
            <w:r>
              <w:rPr>
                <w:noProof/>
                <w:webHidden/>
              </w:rPr>
              <w:fldChar w:fldCharType="begin"/>
            </w:r>
            <w:r>
              <w:rPr>
                <w:noProof/>
                <w:webHidden/>
              </w:rPr>
              <w:instrText xml:space="preserve"> PAGEREF _Toc101519061 \h </w:instrText>
            </w:r>
            <w:r>
              <w:rPr>
                <w:noProof/>
                <w:webHidden/>
              </w:rPr>
            </w:r>
            <w:r>
              <w:rPr>
                <w:noProof/>
                <w:webHidden/>
              </w:rPr>
              <w:fldChar w:fldCharType="separate"/>
            </w:r>
            <w:r>
              <w:rPr>
                <w:noProof/>
                <w:webHidden/>
              </w:rPr>
              <w:t>7</w:t>
            </w:r>
            <w:r>
              <w:rPr>
                <w:noProof/>
                <w:webHidden/>
              </w:rPr>
              <w:fldChar w:fldCharType="end"/>
            </w:r>
          </w:hyperlink>
        </w:p>
        <w:p w:rsidR="00E41BD4" w:rsidRDefault="00E41BD4" w14:paraId="4B8A096D" w14:textId="29DA44C4">
          <w:pPr>
            <w:pStyle w:val="TOC1"/>
            <w:tabs>
              <w:tab w:val="right" w:leader="dot" w:pos="9350"/>
            </w:tabs>
            <w:rPr>
              <w:rFonts w:asciiTheme="minorHAnsi" w:hAnsiTheme="minorHAnsi" w:cstheme="minorBidi"/>
              <w:noProof/>
              <w:sz w:val="22"/>
            </w:rPr>
          </w:pPr>
          <w:hyperlink w:history="1" w:anchor="_Toc101519062">
            <w:r w:rsidRPr="00136222">
              <w:rPr>
                <w:rStyle w:val="Hyperlink"/>
                <w:noProof/>
              </w:rPr>
              <w:t>4.</w:t>
            </w:r>
            <w:r>
              <w:rPr>
                <w:rFonts w:asciiTheme="minorHAnsi" w:hAnsiTheme="minorHAnsi" w:cstheme="minorBidi"/>
                <w:noProof/>
                <w:sz w:val="22"/>
              </w:rPr>
              <w:tab/>
            </w:r>
            <w:r w:rsidRPr="00136222">
              <w:rPr>
                <w:rStyle w:val="Hyperlink"/>
                <w:noProof/>
              </w:rPr>
              <w:t>Eligible Areas</w:t>
            </w:r>
            <w:r>
              <w:rPr>
                <w:noProof/>
                <w:webHidden/>
              </w:rPr>
              <w:tab/>
            </w:r>
            <w:r>
              <w:rPr>
                <w:noProof/>
                <w:webHidden/>
              </w:rPr>
              <w:fldChar w:fldCharType="begin"/>
            </w:r>
            <w:r>
              <w:rPr>
                <w:noProof/>
                <w:webHidden/>
              </w:rPr>
              <w:instrText xml:space="preserve"> PAGEREF _Toc101519062 \h </w:instrText>
            </w:r>
            <w:r>
              <w:rPr>
                <w:noProof/>
                <w:webHidden/>
              </w:rPr>
            </w:r>
            <w:r>
              <w:rPr>
                <w:noProof/>
                <w:webHidden/>
              </w:rPr>
              <w:fldChar w:fldCharType="separate"/>
            </w:r>
            <w:r>
              <w:rPr>
                <w:noProof/>
                <w:webHidden/>
              </w:rPr>
              <w:t>12</w:t>
            </w:r>
            <w:r>
              <w:rPr>
                <w:noProof/>
                <w:webHidden/>
              </w:rPr>
              <w:fldChar w:fldCharType="end"/>
            </w:r>
          </w:hyperlink>
        </w:p>
        <w:p w:rsidR="00E41BD4" w:rsidRDefault="00E41BD4" w14:paraId="099887EC" w14:textId="1B1F254B">
          <w:pPr>
            <w:pStyle w:val="TOC2"/>
            <w:tabs>
              <w:tab w:val="right" w:leader="dot" w:pos="9350"/>
            </w:tabs>
            <w:rPr>
              <w:rFonts w:asciiTheme="minorHAnsi" w:hAnsiTheme="minorHAnsi" w:cstheme="minorBidi"/>
              <w:noProof/>
              <w:sz w:val="22"/>
            </w:rPr>
          </w:pPr>
          <w:hyperlink w:history="1" w:anchor="_Toc101519063">
            <w:r w:rsidRPr="00136222">
              <w:rPr>
                <w:rStyle w:val="Hyperlink"/>
                <w:noProof/>
              </w:rPr>
              <w:t>4.1.</w:t>
            </w:r>
            <w:r>
              <w:rPr>
                <w:rFonts w:asciiTheme="minorHAnsi" w:hAnsiTheme="minorHAnsi" w:cstheme="minorBidi"/>
                <w:noProof/>
                <w:sz w:val="22"/>
              </w:rPr>
              <w:tab/>
            </w:r>
            <w:r w:rsidRPr="00136222">
              <w:rPr>
                <w:rStyle w:val="Hyperlink"/>
                <w:noProof/>
              </w:rPr>
              <w:t>Party Positions</w:t>
            </w:r>
            <w:r>
              <w:rPr>
                <w:noProof/>
                <w:webHidden/>
              </w:rPr>
              <w:tab/>
            </w:r>
            <w:r>
              <w:rPr>
                <w:noProof/>
                <w:webHidden/>
              </w:rPr>
              <w:fldChar w:fldCharType="begin"/>
            </w:r>
            <w:r>
              <w:rPr>
                <w:noProof/>
                <w:webHidden/>
              </w:rPr>
              <w:instrText xml:space="preserve"> PAGEREF _Toc101519063 \h </w:instrText>
            </w:r>
            <w:r>
              <w:rPr>
                <w:noProof/>
                <w:webHidden/>
              </w:rPr>
            </w:r>
            <w:r>
              <w:rPr>
                <w:noProof/>
                <w:webHidden/>
              </w:rPr>
              <w:fldChar w:fldCharType="separate"/>
            </w:r>
            <w:r>
              <w:rPr>
                <w:noProof/>
                <w:webHidden/>
              </w:rPr>
              <w:t>13</w:t>
            </w:r>
            <w:r>
              <w:rPr>
                <w:noProof/>
                <w:webHidden/>
              </w:rPr>
              <w:fldChar w:fldCharType="end"/>
            </w:r>
          </w:hyperlink>
        </w:p>
        <w:p w:rsidR="00E41BD4" w:rsidRDefault="00E41BD4" w14:paraId="3BA31CBC" w14:textId="6A12DC5E">
          <w:pPr>
            <w:pStyle w:val="TOC2"/>
            <w:tabs>
              <w:tab w:val="right" w:leader="dot" w:pos="9350"/>
            </w:tabs>
            <w:rPr>
              <w:rFonts w:asciiTheme="minorHAnsi" w:hAnsiTheme="minorHAnsi" w:cstheme="minorBidi"/>
              <w:noProof/>
              <w:sz w:val="22"/>
            </w:rPr>
          </w:pPr>
          <w:hyperlink w:history="1" w:anchor="_Toc101519064">
            <w:r w:rsidRPr="00136222">
              <w:rPr>
                <w:rStyle w:val="Hyperlink"/>
                <w:noProof/>
              </w:rPr>
              <w:t>4.2.</w:t>
            </w:r>
            <w:r>
              <w:rPr>
                <w:rFonts w:asciiTheme="minorHAnsi" w:hAnsiTheme="minorHAnsi" w:cstheme="minorBidi"/>
                <w:noProof/>
                <w:sz w:val="22"/>
              </w:rPr>
              <w:tab/>
            </w:r>
            <w:r w:rsidRPr="00136222">
              <w:rPr>
                <w:rStyle w:val="Hyperlink"/>
                <w:noProof/>
              </w:rPr>
              <w:t>Discussion</w:t>
            </w:r>
            <w:r>
              <w:rPr>
                <w:noProof/>
                <w:webHidden/>
              </w:rPr>
              <w:tab/>
            </w:r>
            <w:r>
              <w:rPr>
                <w:noProof/>
                <w:webHidden/>
              </w:rPr>
              <w:fldChar w:fldCharType="begin"/>
            </w:r>
            <w:r>
              <w:rPr>
                <w:noProof/>
                <w:webHidden/>
              </w:rPr>
              <w:instrText xml:space="preserve"> PAGEREF _Toc101519064 \h </w:instrText>
            </w:r>
            <w:r>
              <w:rPr>
                <w:noProof/>
                <w:webHidden/>
              </w:rPr>
            </w:r>
            <w:r>
              <w:rPr>
                <w:noProof/>
                <w:webHidden/>
              </w:rPr>
              <w:fldChar w:fldCharType="separate"/>
            </w:r>
            <w:r>
              <w:rPr>
                <w:noProof/>
                <w:webHidden/>
              </w:rPr>
              <w:t>19</w:t>
            </w:r>
            <w:r>
              <w:rPr>
                <w:noProof/>
                <w:webHidden/>
              </w:rPr>
              <w:fldChar w:fldCharType="end"/>
            </w:r>
          </w:hyperlink>
        </w:p>
        <w:p w:rsidR="00E41BD4" w:rsidRDefault="00E41BD4" w14:paraId="7B923461" w14:textId="08D4A77C">
          <w:pPr>
            <w:pStyle w:val="TOC1"/>
            <w:tabs>
              <w:tab w:val="right" w:leader="dot" w:pos="9350"/>
            </w:tabs>
            <w:rPr>
              <w:rFonts w:asciiTheme="minorHAnsi" w:hAnsiTheme="minorHAnsi" w:cstheme="minorBidi"/>
              <w:noProof/>
              <w:sz w:val="22"/>
            </w:rPr>
          </w:pPr>
          <w:hyperlink w:history="1" w:anchor="_Toc101519065">
            <w:r w:rsidRPr="00136222">
              <w:rPr>
                <w:rStyle w:val="Hyperlink"/>
                <w:noProof/>
              </w:rPr>
              <w:t>5.</w:t>
            </w:r>
            <w:r>
              <w:rPr>
                <w:rFonts w:asciiTheme="minorHAnsi" w:hAnsiTheme="minorHAnsi" w:cstheme="minorBidi"/>
                <w:noProof/>
                <w:sz w:val="22"/>
              </w:rPr>
              <w:tab/>
            </w:r>
            <w:r w:rsidRPr="00136222">
              <w:rPr>
                <w:rStyle w:val="Hyperlink"/>
                <w:noProof/>
              </w:rPr>
              <w:t>Project Identification and Prioritization</w:t>
            </w:r>
            <w:r>
              <w:rPr>
                <w:noProof/>
                <w:webHidden/>
              </w:rPr>
              <w:tab/>
            </w:r>
            <w:r>
              <w:rPr>
                <w:noProof/>
                <w:webHidden/>
              </w:rPr>
              <w:fldChar w:fldCharType="begin"/>
            </w:r>
            <w:r>
              <w:rPr>
                <w:noProof/>
                <w:webHidden/>
              </w:rPr>
              <w:instrText xml:space="preserve"> PAGEREF _Toc101519065 \h </w:instrText>
            </w:r>
            <w:r>
              <w:rPr>
                <w:noProof/>
                <w:webHidden/>
              </w:rPr>
            </w:r>
            <w:r>
              <w:rPr>
                <w:noProof/>
                <w:webHidden/>
              </w:rPr>
              <w:fldChar w:fldCharType="separate"/>
            </w:r>
            <w:r>
              <w:rPr>
                <w:noProof/>
                <w:webHidden/>
              </w:rPr>
              <w:t>21</w:t>
            </w:r>
            <w:r>
              <w:rPr>
                <w:noProof/>
                <w:webHidden/>
              </w:rPr>
              <w:fldChar w:fldCharType="end"/>
            </w:r>
          </w:hyperlink>
        </w:p>
        <w:p w:rsidR="00E41BD4" w:rsidRDefault="00E41BD4" w14:paraId="32F07682" w14:textId="745D2E7A">
          <w:pPr>
            <w:pStyle w:val="TOC2"/>
            <w:tabs>
              <w:tab w:val="right" w:leader="dot" w:pos="9350"/>
            </w:tabs>
            <w:rPr>
              <w:rFonts w:asciiTheme="minorHAnsi" w:hAnsiTheme="minorHAnsi" w:cstheme="minorBidi"/>
              <w:noProof/>
              <w:sz w:val="22"/>
            </w:rPr>
          </w:pPr>
          <w:hyperlink w:history="1" w:anchor="_Toc101519066">
            <w:r w:rsidRPr="00136222">
              <w:rPr>
                <w:rStyle w:val="Hyperlink"/>
                <w:noProof/>
              </w:rPr>
              <w:t>5.1.</w:t>
            </w:r>
            <w:r>
              <w:rPr>
                <w:rFonts w:asciiTheme="minorHAnsi" w:hAnsiTheme="minorHAnsi" w:cstheme="minorBidi"/>
                <w:noProof/>
                <w:sz w:val="22"/>
              </w:rPr>
              <w:tab/>
            </w:r>
            <w:r w:rsidRPr="00136222">
              <w:rPr>
                <w:rStyle w:val="Hyperlink"/>
                <w:noProof/>
              </w:rPr>
              <w:t>Party Positions</w:t>
            </w:r>
            <w:r>
              <w:rPr>
                <w:noProof/>
                <w:webHidden/>
              </w:rPr>
              <w:tab/>
            </w:r>
            <w:r>
              <w:rPr>
                <w:noProof/>
                <w:webHidden/>
              </w:rPr>
              <w:fldChar w:fldCharType="begin"/>
            </w:r>
            <w:r>
              <w:rPr>
                <w:noProof/>
                <w:webHidden/>
              </w:rPr>
              <w:instrText xml:space="preserve"> PAGEREF _Toc101519066 \h </w:instrText>
            </w:r>
            <w:r>
              <w:rPr>
                <w:noProof/>
                <w:webHidden/>
              </w:rPr>
            </w:r>
            <w:r>
              <w:rPr>
                <w:noProof/>
                <w:webHidden/>
              </w:rPr>
              <w:fldChar w:fldCharType="separate"/>
            </w:r>
            <w:r>
              <w:rPr>
                <w:noProof/>
                <w:webHidden/>
              </w:rPr>
              <w:t>22</w:t>
            </w:r>
            <w:r>
              <w:rPr>
                <w:noProof/>
                <w:webHidden/>
              </w:rPr>
              <w:fldChar w:fldCharType="end"/>
            </w:r>
          </w:hyperlink>
        </w:p>
        <w:p w:rsidR="00E41BD4" w:rsidRDefault="00E41BD4" w14:paraId="4DFF2A13" w14:textId="7B7A73B7">
          <w:pPr>
            <w:pStyle w:val="TOC2"/>
            <w:tabs>
              <w:tab w:val="right" w:leader="dot" w:pos="9350"/>
            </w:tabs>
            <w:rPr>
              <w:rFonts w:asciiTheme="minorHAnsi" w:hAnsiTheme="minorHAnsi" w:cstheme="minorBidi"/>
              <w:noProof/>
              <w:sz w:val="22"/>
            </w:rPr>
          </w:pPr>
          <w:hyperlink w:history="1" w:anchor="_Toc101519067">
            <w:r w:rsidRPr="00136222">
              <w:rPr>
                <w:rStyle w:val="Hyperlink"/>
                <w:noProof/>
              </w:rPr>
              <w:t>5.2.</w:t>
            </w:r>
            <w:r>
              <w:rPr>
                <w:rFonts w:asciiTheme="minorHAnsi" w:hAnsiTheme="minorHAnsi" w:cstheme="minorBidi"/>
                <w:noProof/>
                <w:sz w:val="22"/>
              </w:rPr>
              <w:tab/>
            </w:r>
            <w:r w:rsidRPr="00136222">
              <w:rPr>
                <w:rStyle w:val="Hyperlink"/>
                <w:noProof/>
              </w:rPr>
              <w:t>Discussion</w:t>
            </w:r>
            <w:r>
              <w:rPr>
                <w:noProof/>
                <w:webHidden/>
              </w:rPr>
              <w:tab/>
            </w:r>
            <w:r>
              <w:rPr>
                <w:noProof/>
                <w:webHidden/>
              </w:rPr>
              <w:fldChar w:fldCharType="begin"/>
            </w:r>
            <w:r>
              <w:rPr>
                <w:noProof/>
                <w:webHidden/>
              </w:rPr>
              <w:instrText xml:space="preserve"> PAGEREF _Toc101519067 \h </w:instrText>
            </w:r>
            <w:r>
              <w:rPr>
                <w:noProof/>
                <w:webHidden/>
              </w:rPr>
            </w:r>
            <w:r>
              <w:rPr>
                <w:noProof/>
                <w:webHidden/>
              </w:rPr>
              <w:fldChar w:fldCharType="separate"/>
            </w:r>
            <w:r>
              <w:rPr>
                <w:noProof/>
                <w:webHidden/>
              </w:rPr>
              <w:t>25</w:t>
            </w:r>
            <w:r>
              <w:rPr>
                <w:noProof/>
                <w:webHidden/>
              </w:rPr>
              <w:fldChar w:fldCharType="end"/>
            </w:r>
          </w:hyperlink>
        </w:p>
        <w:p w:rsidR="00E41BD4" w:rsidRDefault="00E41BD4" w14:paraId="50FDF45E" w14:textId="0CD304AF">
          <w:pPr>
            <w:pStyle w:val="TOC1"/>
            <w:tabs>
              <w:tab w:val="right" w:leader="dot" w:pos="9350"/>
            </w:tabs>
            <w:rPr>
              <w:rFonts w:asciiTheme="minorHAnsi" w:hAnsiTheme="minorHAnsi" w:cstheme="minorBidi"/>
              <w:noProof/>
              <w:sz w:val="22"/>
            </w:rPr>
          </w:pPr>
          <w:hyperlink w:history="1" w:anchor="_Toc101519068">
            <w:r w:rsidRPr="00136222">
              <w:rPr>
                <w:rStyle w:val="Hyperlink"/>
                <w:noProof/>
              </w:rPr>
              <w:t>6.</w:t>
            </w:r>
            <w:r>
              <w:rPr>
                <w:rFonts w:asciiTheme="minorHAnsi" w:hAnsiTheme="minorHAnsi" w:cstheme="minorBidi"/>
                <w:noProof/>
                <w:sz w:val="22"/>
              </w:rPr>
              <w:tab/>
            </w:r>
            <w:r w:rsidRPr="00136222">
              <w:rPr>
                <w:rStyle w:val="Hyperlink"/>
                <w:noProof/>
              </w:rPr>
              <w:t>IOU Fiber Pilots</w:t>
            </w:r>
            <w:r>
              <w:rPr>
                <w:noProof/>
                <w:webHidden/>
              </w:rPr>
              <w:tab/>
            </w:r>
            <w:r>
              <w:rPr>
                <w:noProof/>
                <w:webHidden/>
              </w:rPr>
              <w:fldChar w:fldCharType="begin"/>
            </w:r>
            <w:r>
              <w:rPr>
                <w:noProof/>
                <w:webHidden/>
              </w:rPr>
              <w:instrText xml:space="preserve"> PAGEREF _Toc101519068 \h </w:instrText>
            </w:r>
            <w:r>
              <w:rPr>
                <w:noProof/>
                <w:webHidden/>
              </w:rPr>
            </w:r>
            <w:r>
              <w:rPr>
                <w:noProof/>
                <w:webHidden/>
              </w:rPr>
              <w:fldChar w:fldCharType="separate"/>
            </w:r>
            <w:r>
              <w:rPr>
                <w:noProof/>
                <w:webHidden/>
              </w:rPr>
              <w:t>25</w:t>
            </w:r>
            <w:r>
              <w:rPr>
                <w:noProof/>
                <w:webHidden/>
              </w:rPr>
              <w:fldChar w:fldCharType="end"/>
            </w:r>
          </w:hyperlink>
        </w:p>
        <w:p w:rsidR="00E41BD4" w:rsidRDefault="00E41BD4" w14:paraId="39948F58" w14:textId="51850E98">
          <w:pPr>
            <w:pStyle w:val="TOC2"/>
            <w:tabs>
              <w:tab w:val="right" w:leader="dot" w:pos="9350"/>
            </w:tabs>
            <w:rPr>
              <w:rFonts w:asciiTheme="minorHAnsi" w:hAnsiTheme="minorHAnsi" w:cstheme="minorBidi"/>
              <w:noProof/>
              <w:sz w:val="22"/>
            </w:rPr>
          </w:pPr>
          <w:hyperlink w:history="1" w:anchor="_Toc101519069">
            <w:r w:rsidRPr="00136222">
              <w:rPr>
                <w:rStyle w:val="Hyperlink"/>
                <w:noProof/>
              </w:rPr>
              <w:t>6.1.</w:t>
            </w:r>
            <w:r>
              <w:rPr>
                <w:rFonts w:asciiTheme="minorHAnsi" w:hAnsiTheme="minorHAnsi" w:cstheme="minorBidi"/>
                <w:noProof/>
                <w:sz w:val="22"/>
              </w:rPr>
              <w:tab/>
            </w:r>
            <w:r w:rsidRPr="00136222">
              <w:rPr>
                <w:rStyle w:val="Hyperlink"/>
                <w:noProof/>
              </w:rPr>
              <w:t>Party Positions</w:t>
            </w:r>
            <w:r>
              <w:rPr>
                <w:noProof/>
                <w:webHidden/>
              </w:rPr>
              <w:tab/>
            </w:r>
            <w:r>
              <w:rPr>
                <w:noProof/>
                <w:webHidden/>
              </w:rPr>
              <w:fldChar w:fldCharType="begin"/>
            </w:r>
            <w:r>
              <w:rPr>
                <w:noProof/>
                <w:webHidden/>
              </w:rPr>
              <w:instrText xml:space="preserve"> PAGEREF _Toc101519069 \h </w:instrText>
            </w:r>
            <w:r>
              <w:rPr>
                <w:noProof/>
                <w:webHidden/>
              </w:rPr>
            </w:r>
            <w:r>
              <w:rPr>
                <w:noProof/>
                <w:webHidden/>
              </w:rPr>
              <w:fldChar w:fldCharType="separate"/>
            </w:r>
            <w:r>
              <w:rPr>
                <w:noProof/>
                <w:webHidden/>
              </w:rPr>
              <w:t>26</w:t>
            </w:r>
            <w:r>
              <w:rPr>
                <w:noProof/>
                <w:webHidden/>
              </w:rPr>
              <w:fldChar w:fldCharType="end"/>
            </w:r>
          </w:hyperlink>
        </w:p>
        <w:p w:rsidR="00E41BD4" w:rsidRDefault="00E41BD4" w14:paraId="134BEA9A" w14:textId="53B97AE6">
          <w:pPr>
            <w:pStyle w:val="TOC2"/>
            <w:tabs>
              <w:tab w:val="right" w:leader="dot" w:pos="9350"/>
            </w:tabs>
            <w:rPr>
              <w:rFonts w:asciiTheme="minorHAnsi" w:hAnsiTheme="minorHAnsi" w:cstheme="minorBidi"/>
              <w:noProof/>
              <w:sz w:val="22"/>
            </w:rPr>
          </w:pPr>
          <w:hyperlink w:history="1" w:anchor="_Toc101519070">
            <w:r w:rsidRPr="00136222">
              <w:rPr>
                <w:rStyle w:val="Hyperlink"/>
                <w:noProof/>
              </w:rPr>
              <w:t>6.2.</w:t>
            </w:r>
            <w:r>
              <w:rPr>
                <w:rFonts w:asciiTheme="minorHAnsi" w:hAnsiTheme="minorHAnsi" w:cstheme="minorBidi"/>
                <w:noProof/>
                <w:sz w:val="22"/>
              </w:rPr>
              <w:tab/>
            </w:r>
            <w:r w:rsidRPr="00136222">
              <w:rPr>
                <w:rStyle w:val="Hyperlink"/>
                <w:noProof/>
              </w:rPr>
              <w:t>Discussion</w:t>
            </w:r>
            <w:r>
              <w:rPr>
                <w:noProof/>
                <w:webHidden/>
              </w:rPr>
              <w:tab/>
            </w:r>
            <w:r>
              <w:rPr>
                <w:noProof/>
                <w:webHidden/>
              </w:rPr>
              <w:fldChar w:fldCharType="begin"/>
            </w:r>
            <w:r>
              <w:rPr>
                <w:noProof/>
                <w:webHidden/>
              </w:rPr>
              <w:instrText xml:space="preserve"> PAGEREF _Toc101519070 \h </w:instrText>
            </w:r>
            <w:r>
              <w:rPr>
                <w:noProof/>
                <w:webHidden/>
              </w:rPr>
            </w:r>
            <w:r>
              <w:rPr>
                <w:noProof/>
                <w:webHidden/>
              </w:rPr>
              <w:fldChar w:fldCharType="separate"/>
            </w:r>
            <w:r>
              <w:rPr>
                <w:noProof/>
                <w:webHidden/>
              </w:rPr>
              <w:t>28</w:t>
            </w:r>
            <w:r>
              <w:rPr>
                <w:noProof/>
                <w:webHidden/>
              </w:rPr>
              <w:fldChar w:fldCharType="end"/>
            </w:r>
          </w:hyperlink>
        </w:p>
        <w:p w:rsidR="00E41BD4" w:rsidRDefault="00E41BD4" w14:paraId="6273E24C" w14:textId="2C1FD9C5">
          <w:pPr>
            <w:pStyle w:val="TOC1"/>
            <w:tabs>
              <w:tab w:val="right" w:leader="dot" w:pos="9350"/>
            </w:tabs>
            <w:rPr>
              <w:rFonts w:asciiTheme="minorHAnsi" w:hAnsiTheme="minorHAnsi" w:cstheme="minorBidi"/>
              <w:noProof/>
              <w:sz w:val="22"/>
            </w:rPr>
          </w:pPr>
          <w:hyperlink w:history="1" w:anchor="_Toc101519071">
            <w:r w:rsidRPr="00136222">
              <w:rPr>
                <w:rStyle w:val="Hyperlink"/>
                <w:noProof/>
              </w:rPr>
              <w:t>7.</w:t>
            </w:r>
            <w:r>
              <w:rPr>
                <w:rFonts w:asciiTheme="minorHAnsi" w:hAnsiTheme="minorHAnsi" w:cstheme="minorBidi"/>
                <w:noProof/>
                <w:sz w:val="22"/>
              </w:rPr>
              <w:tab/>
            </w:r>
            <w:r w:rsidRPr="00136222">
              <w:rPr>
                <w:rStyle w:val="Hyperlink"/>
                <w:noProof/>
              </w:rPr>
              <w:t>Apportionment of Funds</w:t>
            </w:r>
            <w:r>
              <w:rPr>
                <w:noProof/>
                <w:webHidden/>
              </w:rPr>
              <w:tab/>
            </w:r>
            <w:r>
              <w:rPr>
                <w:noProof/>
                <w:webHidden/>
              </w:rPr>
              <w:fldChar w:fldCharType="begin"/>
            </w:r>
            <w:r>
              <w:rPr>
                <w:noProof/>
                <w:webHidden/>
              </w:rPr>
              <w:instrText xml:space="preserve"> PAGEREF _Toc101519071 \h </w:instrText>
            </w:r>
            <w:r>
              <w:rPr>
                <w:noProof/>
                <w:webHidden/>
              </w:rPr>
            </w:r>
            <w:r>
              <w:rPr>
                <w:noProof/>
                <w:webHidden/>
              </w:rPr>
              <w:fldChar w:fldCharType="separate"/>
            </w:r>
            <w:r>
              <w:rPr>
                <w:noProof/>
                <w:webHidden/>
              </w:rPr>
              <w:t>28</w:t>
            </w:r>
            <w:r>
              <w:rPr>
                <w:noProof/>
                <w:webHidden/>
              </w:rPr>
              <w:fldChar w:fldCharType="end"/>
            </w:r>
          </w:hyperlink>
        </w:p>
        <w:p w:rsidR="00E41BD4" w:rsidRDefault="00E41BD4" w14:paraId="12BD5AF9" w14:textId="25974B5B">
          <w:pPr>
            <w:pStyle w:val="TOC2"/>
            <w:tabs>
              <w:tab w:val="right" w:leader="dot" w:pos="9350"/>
            </w:tabs>
            <w:rPr>
              <w:rFonts w:asciiTheme="minorHAnsi" w:hAnsiTheme="minorHAnsi" w:cstheme="minorBidi"/>
              <w:noProof/>
              <w:sz w:val="22"/>
            </w:rPr>
          </w:pPr>
          <w:hyperlink w:history="1" w:anchor="_Toc101519072">
            <w:r w:rsidRPr="00136222">
              <w:rPr>
                <w:rStyle w:val="Hyperlink"/>
                <w:noProof/>
              </w:rPr>
              <w:t>7.1.</w:t>
            </w:r>
            <w:r>
              <w:rPr>
                <w:rFonts w:asciiTheme="minorHAnsi" w:hAnsiTheme="minorHAnsi" w:cstheme="minorBidi"/>
                <w:noProof/>
                <w:sz w:val="22"/>
              </w:rPr>
              <w:tab/>
            </w:r>
            <w:r w:rsidRPr="00136222">
              <w:rPr>
                <w:rStyle w:val="Hyperlink"/>
                <w:noProof/>
              </w:rPr>
              <w:t>Party Positions</w:t>
            </w:r>
            <w:r>
              <w:rPr>
                <w:noProof/>
                <w:webHidden/>
              </w:rPr>
              <w:tab/>
            </w:r>
            <w:r>
              <w:rPr>
                <w:noProof/>
                <w:webHidden/>
              </w:rPr>
              <w:fldChar w:fldCharType="begin"/>
            </w:r>
            <w:r>
              <w:rPr>
                <w:noProof/>
                <w:webHidden/>
              </w:rPr>
              <w:instrText xml:space="preserve"> PAGEREF _Toc101519072 \h </w:instrText>
            </w:r>
            <w:r>
              <w:rPr>
                <w:noProof/>
                <w:webHidden/>
              </w:rPr>
            </w:r>
            <w:r>
              <w:rPr>
                <w:noProof/>
                <w:webHidden/>
              </w:rPr>
              <w:fldChar w:fldCharType="separate"/>
            </w:r>
            <w:r>
              <w:rPr>
                <w:noProof/>
                <w:webHidden/>
              </w:rPr>
              <w:t>29</w:t>
            </w:r>
            <w:r>
              <w:rPr>
                <w:noProof/>
                <w:webHidden/>
              </w:rPr>
              <w:fldChar w:fldCharType="end"/>
            </w:r>
          </w:hyperlink>
        </w:p>
        <w:p w:rsidR="00E41BD4" w:rsidRDefault="00E41BD4" w14:paraId="0557C260" w14:textId="5FC39FDA">
          <w:pPr>
            <w:pStyle w:val="TOC2"/>
            <w:tabs>
              <w:tab w:val="right" w:leader="dot" w:pos="9350"/>
            </w:tabs>
            <w:rPr>
              <w:rFonts w:asciiTheme="minorHAnsi" w:hAnsiTheme="minorHAnsi" w:cstheme="minorBidi"/>
              <w:noProof/>
              <w:sz w:val="22"/>
            </w:rPr>
          </w:pPr>
          <w:hyperlink w:history="1" w:anchor="_Toc101519073">
            <w:r w:rsidRPr="00136222">
              <w:rPr>
                <w:rStyle w:val="Hyperlink"/>
                <w:noProof/>
              </w:rPr>
              <w:t>7.2.</w:t>
            </w:r>
            <w:r>
              <w:rPr>
                <w:rFonts w:asciiTheme="minorHAnsi" w:hAnsiTheme="minorHAnsi" w:cstheme="minorBidi"/>
                <w:noProof/>
                <w:sz w:val="22"/>
              </w:rPr>
              <w:tab/>
            </w:r>
            <w:r w:rsidRPr="00136222">
              <w:rPr>
                <w:rStyle w:val="Hyperlink"/>
                <w:noProof/>
              </w:rPr>
              <w:t>Discussion</w:t>
            </w:r>
            <w:r>
              <w:rPr>
                <w:noProof/>
                <w:webHidden/>
              </w:rPr>
              <w:tab/>
            </w:r>
            <w:r>
              <w:rPr>
                <w:noProof/>
                <w:webHidden/>
              </w:rPr>
              <w:fldChar w:fldCharType="begin"/>
            </w:r>
            <w:r>
              <w:rPr>
                <w:noProof/>
                <w:webHidden/>
              </w:rPr>
              <w:instrText xml:space="preserve"> PAGEREF _Toc101519073 \h </w:instrText>
            </w:r>
            <w:r>
              <w:rPr>
                <w:noProof/>
                <w:webHidden/>
              </w:rPr>
            </w:r>
            <w:r>
              <w:rPr>
                <w:noProof/>
                <w:webHidden/>
              </w:rPr>
              <w:fldChar w:fldCharType="separate"/>
            </w:r>
            <w:r>
              <w:rPr>
                <w:noProof/>
                <w:webHidden/>
              </w:rPr>
              <w:t>32</w:t>
            </w:r>
            <w:r>
              <w:rPr>
                <w:noProof/>
                <w:webHidden/>
              </w:rPr>
              <w:fldChar w:fldCharType="end"/>
            </w:r>
          </w:hyperlink>
        </w:p>
        <w:p w:rsidR="00E41BD4" w:rsidRDefault="00E41BD4" w14:paraId="12C88E08" w14:textId="2E7E1FEE">
          <w:pPr>
            <w:pStyle w:val="TOC1"/>
            <w:tabs>
              <w:tab w:val="right" w:leader="dot" w:pos="9350"/>
            </w:tabs>
            <w:rPr>
              <w:rFonts w:asciiTheme="minorHAnsi" w:hAnsiTheme="minorHAnsi" w:cstheme="minorBidi"/>
              <w:noProof/>
              <w:sz w:val="22"/>
            </w:rPr>
          </w:pPr>
          <w:hyperlink w:history="1" w:anchor="_Toc101519074">
            <w:r w:rsidRPr="00136222">
              <w:rPr>
                <w:rStyle w:val="Hyperlink"/>
                <w:noProof/>
              </w:rPr>
              <w:t>8.</w:t>
            </w:r>
            <w:r>
              <w:rPr>
                <w:rFonts w:asciiTheme="minorHAnsi" w:hAnsiTheme="minorHAnsi" w:cstheme="minorBidi"/>
                <w:noProof/>
                <w:sz w:val="22"/>
              </w:rPr>
              <w:tab/>
            </w:r>
            <w:r w:rsidRPr="00136222">
              <w:rPr>
                <w:rStyle w:val="Hyperlink"/>
                <w:noProof/>
              </w:rPr>
              <w:t>Application Evaluation Criteria</w:t>
            </w:r>
            <w:r>
              <w:rPr>
                <w:noProof/>
                <w:webHidden/>
              </w:rPr>
              <w:tab/>
            </w:r>
            <w:r>
              <w:rPr>
                <w:noProof/>
                <w:webHidden/>
              </w:rPr>
              <w:fldChar w:fldCharType="begin"/>
            </w:r>
            <w:r>
              <w:rPr>
                <w:noProof/>
                <w:webHidden/>
              </w:rPr>
              <w:instrText xml:space="preserve"> PAGEREF _Toc101519074 \h </w:instrText>
            </w:r>
            <w:r>
              <w:rPr>
                <w:noProof/>
                <w:webHidden/>
              </w:rPr>
            </w:r>
            <w:r>
              <w:rPr>
                <w:noProof/>
                <w:webHidden/>
              </w:rPr>
              <w:fldChar w:fldCharType="separate"/>
            </w:r>
            <w:r>
              <w:rPr>
                <w:noProof/>
                <w:webHidden/>
              </w:rPr>
              <w:t>35</w:t>
            </w:r>
            <w:r>
              <w:rPr>
                <w:noProof/>
                <w:webHidden/>
              </w:rPr>
              <w:fldChar w:fldCharType="end"/>
            </w:r>
          </w:hyperlink>
        </w:p>
        <w:p w:rsidR="00E41BD4" w:rsidRDefault="00E41BD4" w14:paraId="32FD8261" w14:textId="57BF0FCB">
          <w:pPr>
            <w:pStyle w:val="TOC2"/>
            <w:tabs>
              <w:tab w:val="right" w:leader="dot" w:pos="9350"/>
            </w:tabs>
            <w:rPr>
              <w:rFonts w:asciiTheme="minorHAnsi" w:hAnsiTheme="minorHAnsi" w:cstheme="minorBidi"/>
              <w:noProof/>
              <w:sz w:val="22"/>
            </w:rPr>
          </w:pPr>
          <w:hyperlink w:history="1" w:anchor="_Toc101519075">
            <w:r w:rsidRPr="00136222">
              <w:rPr>
                <w:rStyle w:val="Hyperlink"/>
                <w:noProof/>
              </w:rPr>
              <w:t>8.1.</w:t>
            </w:r>
            <w:r>
              <w:rPr>
                <w:rFonts w:asciiTheme="minorHAnsi" w:hAnsiTheme="minorHAnsi" w:cstheme="minorBidi"/>
                <w:noProof/>
                <w:sz w:val="22"/>
              </w:rPr>
              <w:tab/>
            </w:r>
            <w:r w:rsidRPr="00136222">
              <w:rPr>
                <w:rStyle w:val="Hyperlink"/>
                <w:noProof/>
              </w:rPr>
              <w:t>Party Positions</w:t>
            </w:r>
            <w:r>
              <w:rPr>
                <w:noProof/>
                <w:webHidden/>
              </w:rPr>
              <w:tab/>
            </w:r>
            <w:r>
              <w:rPr>
                <w:noProof/>
                <w:webHidden/>
              </w:rPr>
              <w:fldChar w:fldCharType="begin"/>
            </w:r>
            <w:r>
              <w:rPr>
                <w:noProof/>
                <w:webHidden/>
              </w:rPr>
              <w:instrText xml:space="preserve"> PAGEREF _Toc101519075 \h </w:instrText>
            </w:r>
            <w:r>
              <w:rPr>
                <w:noProof/>
                <w:webHidden/>
              </w:rPr>
            </w:r>
            <w:r>
              <w:rPr>
                <w:noProof/>
                <w:webHidden/>
              </w:rPr>
              <w:fldChar w:fldCharType="separate"/>
            </w:r>
            <w:r>
              <w:rPr>
                <w:noProof/>
                <w:webHidden/>
              </w:rPr>
              <w:t>36</w:t>
            </w:r>
            <w:r>
              <w:rPr>
                <w:noProof/>
                <w:webHidden/>
              </w:rPr>
              <w:fldChar w:fldCharType="end"/>
            </w:r>
          </w:hyperlink>
        </w:p>
        <w:p w:rsidR="00E41BD4" w:rsidRDefault="00E41BD4" w14:paraId="427F82ED" w14:textId="3414A4F0">
          <w:pPr>
            <w:pStyle w:val="TOC2"/>
            <w:tabs>
              <w:tab w:val="right" w:leader="dot" w:pos="9350"/>
            </w:tabs>
            <w:rPr>
              <w:rFonts w:asciiTheme="minorHAnsi" w:hAnsiTheme="minorHAnsi" w:cstheme="minorBidi"/>
              <w:noProof/>
              <w:sz w:val="22"/>
            </w:rPr>
          </w:pPr>
          <w:hyperlink w:history="1" w:anchor="_Toc101519076">
            <w:r w:rsidRPr="00136222">
              <w:rPr>
                <w:rStyle w:val="Hyperlink"/>
                <w:noProof/>
              </w:rPr>
              <w:t>8.2.</w:t>
            </w:r>
            <w:r>
              <w:rPr>
                <w:rFonts w:asciiTheme="minorHAnsi" w:hAnsiTheme="minorHAnsi" w:cstheme="minorBidi"/>
                <w:noProof/>
                <w:sz w:val="22"/>
              </w:rPr>
              <w:tab/>
            </w:r>
            <w:r w:rsidRPr="00136222">
              <w:rPr>
                <w:rStyle w:val="Hyperlink"/>
                <w:noProof/>
              </w:rPr>
              <w:t>Discussion</w:t>
            </w:r>
            <w:r>
              <w:rPr>
                <w:noProof/>
                <w:webHidden/>
              </w:rPr>
              <w:tab/>
            </w:r>
            <w:r>
              <w:rPr>
                <w:noProof/>
                <w:webHidden/>
              </w:rPr>
              <w:fldChar w:fldCharType="begin"/>
            </w:r>
            <w:r>
              <w:rPr>
                <w:noProof/>
                <w:webHidden/>
              </w:rPr>
              <w:instrText xml:space="preserve"> PAGEREF _Toc101519076 \h </w:instrText>
            </w:r>
            <w:r>
              <w:rPr>
                <w:noProof/>
                <w:webHidden/>
              </w:rPr>
            </w:r>
            <w:r>
              <w:rPr>
                <w:noProof/>
                <w:webHidden/>
              </w:rPr>
              <w:fldChar w:fldCharType="separate"/>
            </w:r>
            <w:r>
              <w:rPr>
                <w:noProof/>
                <w:webHidden/>
              </w:rPr>
              <w:t>39</w:t>
            </w:r>
            <w:r>
              <w:rPr>
                <w:noProof/>
                <w:webHidden/>
              </w:rPr>
              <w:fldChar w:fldCharType="end"/>
            </w:r>
          </w:hyperlink>
        </w:p>
        <w:p w:rsidR="00E41BD4" w:rsidRDefault="00E41BD4" w14:paraId="30CEA713" w14:textId="2933EAF0">
          <w:pPr>
            <w:pStyle w:val="TOC1"/>
            <w:tabs>
              <w:tab w:val="right" w:leader="dot" w:pos="9350"/>
            </w:tabs>
            <w:rPr>
              <w:rFonts w:asciiTheme="minorHAnsi" w:hAnsiTheme="minorHAnsi" w:cstheme="minorBidi"/>
              <w:noProof/>
              <w:sz w:val="22"/>
            </w:rPr>
          </w:pPr>
          <w:hyperlink w:history="1" w:anchor="_Toc101519077">
            <w:r w:rsidRPr="00136222">
              <w:rPr>
                <w:rStyle w:val="Hyperlink"/>
                <w:noProof/>
              </w:rPr>
              <w:t>9.</w:t>
            </w:r>
            <w:r>
              <w:rPr>
                <w:rFonts w:asciiTheme="minorHAnsi" w:hAnsiTheme="minorHAnsi" w:cstheme="minorBidi"/>
                <w:noProof/>
                <w:sz w:val="22"/>
              </w:rPr>
              <w:tab/>
            </w:r>
            <w:r w:rsidRPr="00136222">
              <w:rPr>
                <w:rStyle w:val="Hyperlink"/>
                <w:noProof/>
              </w:rPr>
              <w:t>Leveraging Other Funds</w:t>
            </w:r>
            <w:r>
              <w:rPr>
                <w:noProof/>
                <w:webHidden/>
              </w:rPr>
              <w:tab/>
            </w:r>
            <w:r>
              <w:rPr>
                <w:noProof/>
                <w:webHidden/>
              </w:rPr>
              <w:fldChar w:fldCharType="begin"/>
            </w:r>
            <w:r>
              <w:rPr>
                <w:noProof/>
                <w:webHidden/>
              </w:rPr>
              <w:instrText xml:space="preserve"> PAGEREF _Toc101519077 \h </w:instrText>
            </w:r>
            <w:r>
              <w:rPr>
                <w:noProof/>
                <w:webHidden/>
              </w:rPr>
            </w:r>
            <w:r>
              <w:rPr>
                <w:noProof/>
                <w:webHidden/>
              </w:rPr>
              <w:fldChar w:fldCharType="separate"/>
            </w:r>
            <w:r>
              <w:rPr>
                <w:noProof/>
                <w:webHidden/>
              </w:rPr>
              <w:t>41</w:t>
            </w:r>
            <w:r>
              <w:rPr>
                <w:noProof/>
                <w:webHidden/>
              </w:rPr>
              <w:fldChar w:fldCharType="end"/>
            </w:r>
          </w:hyperlink>
        </w:p>
        <w:p w:rsidR="00E41BD4" w:rsidRDefault="00E41BD4" w14:paraId="02EC49BD" w14:textId="53C6223C">
          <w:pPr>
            <w:pStyle w:val="TOC2"/>
            <w:tabs>
              <w:tab w:val="right" w:leader="dot" w:pos="9350"/>
            </w:tabs>
            <w:rPr>
              <w:rFonts w:asciiTheme="minorHAnsi" w:hAnsiTheme="minorHAnsi" w:cstheme="minorBidi"/>
              <w:noProof/>
              <w:sz w:val="22"/>
            </w:rPr>
          </w:pPr>
          <w:hyperlink w:history="1" w:anchor="_Toc101519078">
            <w:r w:rsidRPr="00136222">
              <w:rPr>
                <w:rStyle w:val="Hyperlink"/>
                <w:noProof/>
              </w:rPr>
              <w:t>9.1.</w:t>
            </w:r>
            <w:r>
              <w:rPr>
                <w:rFonts w:asciiTheme="minorHAnsi" w:hAnsiTheme="minorHAnsi" w:cstheme="minorBidi"/>
                <w:noProof/>
                <w:sz w:val="22"/>
              </w:rPr>
              <w:tab/>
            </w:r>
            <w:r w:rsidRPr="00136222">
              <w:rPr>
                <w:rStyle w:val="Hyperlink"/>
                <w:noProof/>
              </w:rPr>
              <w:t>Party Positions</w:t>
            </w:r>
            <w:r>
              <w:rPr>
                <w:noProof/>
                <w:webHidden/>
              </w:rPr>
              <w:tab/>
            </w:r>
            <w:r>
              <w:rPr>
                <w:noProof/>
                <w:webHidden/>
              </w:rPr>
              <w:fldChar w:fldCharType="begin"/>
            </w:r>
            <w:r>
              <w:rPr>
                <w:noProof/>
                <w:webHidden/>
              </w:rPr>
              <w:instrText xml:space="preserve"> PAGEREF _Toc101519078 \h </w:instrText>
            </w:r>
            <w:r>
              <w:rPr>
                <w:noProof/>
                <w:webHidden/>
              </w:rPr>
            </w:r>
            <w:r>
              <w:rPr>
                <w:noProof/>
                <w:webHidden/>
              </w:rPr>
              <w:fldChar w:fldCharType="separate"/>
            </w:r>
            <w:r>
              <w:rPr>
                <w:noProof/>
                <w:webHidden/>
              </w:rPr>
              <w:t>41</w:t>
            </w:r>
            <w:r>
              <w:rPr>
                <w:noProof/>
                <w:webHidden/>
              </w:rPr>
              <w:fldChar w:fldCharType="end"/>
            </w:r>
          </w:hyperlink>
        </w:p>
        <w:p w:rsidR="00E41BD4" w:rsidRDefault="00E41BD4" w14:paraId="3DD5963A" w14:textId="17C7A7C9">
          <w:pPr>
            <w:pStyle w:val="TOC2"/>
            <w:tabs>
              <w:tab w:val="right" w:leader="dot" w:pos="9350"/>
            </w:tabs>
            <w:rPr>
              <w:rFonts w:asciiTheme="minorHAnsi" w:hAnsiTheme="minorHAnsi" w:cstheme="minorBidi"/>
              <w:noProof/>
              <w:sz w:val="22"/>
            </w:rPr>
          </w:pPr>
          <w:hyperlink w:history="1" w:anchor="_Toc101519079">
            <w:r w:rsidRPr="00136222">
              <w:rPr>
                <w:rStyle w:val="Hyperlink"/>
                <w:noProof/>
              </w:rPr>
              <w:t>9.2.</w:t>
            </w:r>
            <w:r>
              <w:rPr>
                <w:rFonts w:asciiTheme="minorHAnsi" w:hAnsiTheme="minorHAnsi" w:cstheme="minorBidi"/>
                <w:noProof/>
                <w:sz w:val="22"/>
              </w:rPr>
              <w:tab/>
            </w:r>
            <w:r w:rsidRPr="00136222">
              <w:rPr>
                <w:rStyle w:val="Hyperlink"/>
                <w:noProof/>
              </w:rPr>
              <w:t>Discussion</w:t>
            </w:r>
            <w:r>
              <w:rPr>
                <w:noProof/>
                <w:webHidden/>
              </w:rPr>
              <w:tab/>
            </w:r>
            <w:r>
              <w:rPr>
                <w:noProof/>
                <w:webHidden/>
              </w:rPr>
              <w:fldChar w:fldCharType="begin"/>
            </w:r>
            <w:r>
              <w:rPr>
                <w:noProof/>
                <w:webHidden/>
              </w:rPr>
              <w:instrText xml:space="preserve"> PAGEREF _Toc101519079 \h </w:instrText>
            </w:r>
            <w:r>
              <w:rPr>
                <w:noProof/>
                <w:webHidden/>
              </w:rPr>
            </w:r>
            <w:r>
              <w:rPr>
                <w:noProof/>
                <w:webHidden/>
              </w:rPr>
              <w:fldChar w:fldCharType="separate"/>
            </w:r>
            <w:r>
              <w:rPr>
                <w:noProof/>
                <w:webHidden/>
              </w:rPr>
              <w:t>42</w:t>
            </w:r>
            <w:r>
              <w:rPr>
                <w:noProof/>
                <w:webHidden/>
              </w:rPr>
              <w:fldChar w:fldCharType="end"/>
            </w:r>
          </w:hyperlink>
        </w:p>
        <w:p w:rsidR="00E41BD4" w:rsidRDefault="00E41BD4" w14:paraId="45F0FC40" w14:textId="591E0C8D">
          <w:pPr>
            <w:pStyle w:val="TOC1"/>
            <w:tabs>
              <w:tab w:val="right" w:leader="dot" w:pos="9350"/>
            </w:tabs>
            <w:rPr>
              <w:rFonts w:asciiTheme="minorHAnsi" w:hAnsiTheme="minorHAnsi" w:cstheme="minorBidi"/>
              <w:noProof/>
              <w:sz w:val="22"/>
            </w:rPr>
          </w:pPr>
          <w:hyperlink w:history="1" w:anchor="_Toc101519080">
            <w:r w:rsidRPr="00136222">
              <w:rPr>
                <w:rStyle w:val="Hyperlink"/>
                <w:noProof/>
              </w:rPr>
              <w:t>10.</w:t>
            </w:r>
            <w:r>
              <w:rPr>
                <w:rFonts w:asciiTheme="minorHAnsi" w:hAnsiTheme="minorHAnsi" w:cstheme="minorBidi"/>
                <w:noProof/>
                <w:sz w:val="22"/>
              </w:rPr>
              <w:tab/>
            </w:r>
            <w:r w:rsidRPr="00136222">
              <w:rPr>
                <w:rStyle w:val="Hyperlink"/>
                <w:noProof/>
              </w:rPr>
              <w:t>Eligible Entities</w:t>
            </w:r>
            <w:r>
              <w:rPr>
                <w:noProof/>
                <w:webHidden/>
              </w:rPr>
              <w:tab/>
            </w:r>
            <w:r>
              <w:rPr>
                <w:noProof/>
                <w:webHidden/>
              </w:rPr>
              <w:fldChar w:fldCharType="begin"/>
            </w:r>
            <w:r>
              <w:rPr>
                <w:noProof/>
                <w:webHidden/>
              </w:rPr>
              <w:instrText xml:space="preserve"> PAGEREF _Toc101519080 \h </w:instrText>
            </w:r>
            <w:r>
              <w:rPr>
                <w:noProof/>
                <w:webHidden/>
              </w:rPr>
            </w:r>
            <w:r>
              <w:rPr>
                <w:noProof/>
                <w:webHidden/>
              </w:rPr>
              <w:fldChar w:fldCharType="separate"/>
            </w:r>
            <w:r>
              <w:rPr>
                <w:noProof/>
                <w:webHidden/>
              </w:rPr>
              <w:t>43</w:t>
            </w:r>
            <w:r>
              <w:rPr>
                <w:noProof/>
                <w:webHidden/>
              </w:rPr>
              <w:fldChar w:fldCharType="end"/>
            </w:r>
          </w:hyperlink>
        </w:p>
        <w:p w:rsidR="00E41BD4" w:rsidRDefault="00E41BD4" w14:paraId="4909F12D" w14:textId="5A8376AC">
          <w:pPr>
            <w:pStyle w:val="TOC2"/>
            <w:tabs>
              <w:tab w:val="left" w:pos="1296"/>
              <w:tab w:val="right" w:leader="dot" w:pos="9350"/>
            </w:tabs>
            <w:rPr>
              <w:rFonts w:asciiTheme="minorHAnsi" w:hAnsiTheme="minorHAnsi" w:cstheme="minorBidi"/>
              <w:noProof/>
              <w:sz w:val="22"/>
            </w:rPr>
          </w:pPr>
          <w:hyperlink w:history="1" w:anchor="_Toc101519081">
            <w:r w:rsidRPr="00136222">
              <w:rPr>
                <w:rStyle w:val="Hyperlink"/>
                <w:noProof/>
              </w:rPr>
              <w:t>10.1.</w:t>
            </w:r>
            <w:r>
              <w:rPr>
                <w:rFonts w:asciiTheme="minorHAnsi" w:hAnsiTheme="minorHAnsi" w:cstheme="minorBidi"/>
                <w:noProof/>
                <w:sz w:val="22"/>
              </w:rPr>
              <w:tab/>
            </w:r>
            <w:r w:rsidRPr="00136222">
              <w:rPr>
                <w:rStyle w:val="Hyperlink"/>
                <w:noProof/>
              </w:rPr>
              <w:t>Party Positions</w:t>
            </w:r>
            <w:r>
              <w:rPr>
                <w:noProof/>
                <w:webHidden/>
              </w:rPr>
              <w:tab/>
            </w:r>
            <w:r>
              <w:rPr>
                <w:noProof/>
                <w:webHidden/>
              </w:rPr>
              <w:fldChar w:fldCharType="begin"/>
            </w:r>
            <w:r>
              <w:rPr>
                <w:noProof/>
                <w:webHidden/>
              </w:rPr>
              <w:instrText xml:space="preserve"> PAGEREF _Toc101519081 \h </w:instrText>
            </w:r>
            <w:r>
              <w:rPr>
                <w:noProof/>
                <w:webHidden/>
              </w:rPr>
            </w:r>
            <w:r>
              <w:rPr>
                <w:noProof/>
                <w:webHidden/>
              </w:rPr>
              <w:fldChar w:fldCharType="separate"/>
            </w:r>
            <w:r>
              <w:rPr>
                <w:noProof/>
                <w:webHidden/>
              </w:rPr>
              <w:t>44</w:t>
            </w:r>
            <w:r>
              <w:rPr>
                <w:noProof/>
                <w:webHidden/>
              </w:rPr>
              <w:fldChar w:fldCharType="end"/>
            </w:r>
          </w:hyperlink>
        </w:p>
        <w:p w:rsidR="00E41BD4" w:rsidRDefault="00E41BD4" w14:paraId="1D762198" w14:textId="7AC799F0">
          <w:pPr>
            <w:pStyle w:val="TOC2"/>
            <w:tabs>
              <w:tab w:val="left" w:pos="1296"/>
              <w:tab w:val="right" w:leader="dot" w:pos="9350"/>
            </w:tabs>
            <w:rPr>
              <w:rFonts w:asciiTheme="minorHAnsi" w:hAnsiTheme="minorHAnsi" w:cstheme="minorBidi"/>
              <w:noProof/>
              <w:sz w:val="22"/>
            </w:rPr>
          </w:pPr>
          <w:hyperlink w:history="1" w:anchor="_Toc101519082">
            <w:r w:rsidRPr="00136222">
              <w:rPr>
                <w:rStyle w:val="Hyperlink"/>
                <w:noProof/>
              </w:rPr>
              <w:t>10.2.</w:t>
            </w:r>
            <w:r>
              <w:rPr>
                <w:rFonts w:asciiTheme="minorHAnsi" w:hAnsiTheme="minorHAnsi" w:cstheme="minorBidi"/>
                <w:noProof/>
                <w:sz w:val="22"/>
              </w:rPr>
              <w:tab/>
            </w:r>
            <w:r w:rsidRPr="00136222">
              <w:rPr>
                <w:rStyle w:val="Hyperlink"/>
                <w:noProof/>
              </w:rPr>
              <w:t>Discussion</w:t>
            </w:r>
            <w:r>
              <w:rPr>
                <w:noProof/>
                <w:webHidden/>
              </w:rPr>
              <w:tab/>
            </w:r>
            <w:r>
              <w:rPr>
                <w:noProof/>
                <w:webHidden/>
              </w:rPr>
              <w:fldChar w:fldCharType="begin"/>
            </w:r>
            <w:r>
              <w:rPr>
                <w:noProof/>
                <w:webHidden/>
              </w:rPr>
              <w:instrText xml:space="preserve"> PAGEREF _Toc101519082 \h </w:instrText>
            </w:r>
            <w:r>
              <w:rPr>
                <w:noProof/>
                <w:webHidden/>
              </w:rPr>
            </w:r>
            <w:r>
              <w:rPr>
                <w:noProof/>
                <w:webHidden/>
              </w:rPr>
              <w:fldChar w:fldCharType="separate"/>
            </w:r>
            <w:r>
              <w:rPr>
                <w:noProof/>
                <w:webHidden/>
              </w:rPr>
              <w:t>46</w:t>
            </w:r>
            <w:r>
              <w:rPr>
                <w:noProof/>
                <w:webHidden/>
              </w:rPr>
              <w:fldChar w:fldCharType="end"/>
            </w:r>
          </w:hyperlink>
        </w:p>
        <w:p w:rsidR="00E41BD4" w:rsidRDefault="00E41BD4" w14:paraId="57F37A51" w14:textId="2A08CEDA">
          <w:pPr>
            <w:pStyle w:val="TOC1"/>
            <w:tabs>
              <w:tab w:val="right" w:leader="dot" w:pos="9350"/>
            </w:tabs>
            <w:rPr>
              <w:rFonts w:asciiTheme="minorHAnsi" w:hAnsiTheme="minorHAnsi" w:cstheme="minorBidi"/>
              <w:noProof/>
              <w:sz w:val="22"/>
            </w:rPr>
          </w:pPr>
          <w:hyperlink w:history="1" w:anchor="_Toc101519083">
            <w:r w:rsidRPr="00136222">
              <w:rPr>
                <w:rStyle w:val="Hyperlink"/>
                <w:noProof/>
              </w:rPr>
              <w:t>11.</w:t>
            </w:r>
            <w:r>
              <w:rPr>
                <w:rFonts w:asciiTheme="minorHAnsi" w:hAnsiTheme="minorHAnsi" w:cstheme="minorBidi"/>
                <w:noProof/>
                <w:sz w:val="22"/>
              </w:rPr>
              <w:tab/>
            </w:r>
            <w:r w:rsidRPr="00136222">
              <w:rPr>
                <w:rStyle w:val="Hyperlink"/>
                <w:noProof/>
              </w:rPr>
              <w:t>Funding of Middle Mile Infrastructure</w:t>
            </w:r>
            <w:r>
              <w:rPr>
                <w:noProof/>
                <w:webHidden/>
              </w:rPr>
              <w:tab/>
            </w:r>
            <w:r>
              <w:rPr>
                <w:noProof/>
                <w:webHidden/>
              </w:rPr>
              <w:fldChar w:fldCharType="begin"/>
            </w:r>
            <w:r>
              <w:rPr>
                <w:noProof/>
                <w:webHidden/>
              </w:rPr>
              <w:instrText xml:space="preserve"> PAGEREF _Toc101519083 \h </w:instrText>
            </w:r>
            <w:r>
              <w:rPr>
                <w:noProof/>
                <w:webHidden/>
              </w:rPr>
            </w:r>
            <w:r>
              <w:rPr>
                <w:noProof/>
                <w:webHidden/>
              </w:rPr>
              <w:fldChar w:fldCharType="separate"/>
            </w:r>
            <w:r>
              <w:rPr>
                <w:noProof/>
                <w:webHidden/>
              </w:rPr>
              <w:t>47</w:t>
            </w:r>
            <w:r>
              <w:rPr>
                <w:noProof/>
                <w:webHidden/>
              </w:rPr>
              <w:fldChar w:fldCharType="end"/>
            </w:r>
          </w:hyperlink>
        </w:p>
        <w:p w:rsidR="00E41BD4" w:rsidRDefault="00E41BD4" w14:paraId="32A854D0" w14:textId="6992C283">
          <w:pPr>
            <w:pStyle w:val="TOC2"/>
            <w:tabs>
              <w:tab w:val="left" w:pos="1296"/>
              <w:tab w:val="right" w:leader="dot" w:pos="9350"/>
            </w:tabs>
            <w:rPr>
              <w:rFonts w:asciiTheme="minorHAnsi" w:hAnsiTheme="minorHAnsi" w:cstheme="minorBidi"/>
              <w:noProof/>
              <w:sz w:val="22"/>
            </w:rPr>
          </w:pPr>
          <w:hyperlink w:history="1" w:anchor="_Toc101519084">
            <w:r w:rsidRPr="00136222">
              <w:rPr>
                <w:rStyle w:val="Hyperlink"/>
                <w:noProof/>
              </w:rPr>
              <w:t>11.1.</w:t>
            </w:r>
            <w:r>
              <w:rPr>
                <w:rFonts w:asciiTheme="minorHAnsi" w:hAnsiTheme="minorHAnsi" w:cstheme="minorBidi"/>
                <w:noProof/>
                <w:sz w:val="22"/>
              </w:rPr>
              <w:tab/>
            </w:r>
            <w:r w:rsidRPr="00136222">
              <w:rPr>
                <w:rStyle w:val="Hyperlink"/>
                <w:noProof/>
              </w:rPr>
              <w:t>Party Positions</w:t>
            </w:r>
            <w:r>
              <w:rPr>
                <w:noProof/>
                <w:webHidden/>
              </w:rPr>
              <w:tab/>
            </w:r>
            <w:r>
              <w:rPr>
                <w:noProof/>
                <w:webHidden/>
              </w:rPr>
              <w:fldChar w:fldCharType="begin"/>
            </w:r>
            <w:r>
              <w:rPr>
                <w:noProof/>
                <w:webHidden/>
              </w:rPr>
              <w:instrText xml:space="preserve"> PAGEREF _Toc101519084 \h </w:instrText>
            </w:r>
            <w:r>
              <w:rPr>
                <w:noProof/>
                <w:webHidden/>
              </w:rPr>
            </w:r>
            <w:r>
              <w:rPr>
                <w:noProof/>
                <w:webHidden/>
              </w:rPr>
              <w:fldChar w:fldCharType="separate"/>
            </w:r>
            <w:r>
              <w:rPr>
                <w:noProof/>
                <w:webHidden/>
              </w:rPr>
              <w:t>48</w:t>
            </w:r>
            <w:r>
              <w:rPr>
                <w:noProof/>
                <w:webHidden/>
              </w:rPr>
              <w:fldChar w:fldCharType="end"/>
            </w:r>
          </w:hyperlink>
        </w:p>
        <w:p w:rsidR="00E41BD4" w:rsidRDefault="00E41BD4" w14:paraId="7ECA6BCD" w14:textId="16AAF14F">
          <w:pPr>
            <w:pStyle w:val="TOC2"/>
            <w:tabs>
              <w:tab w:val="left" w:pos="1296"/>
              <w:tab w:val="right" w:leader="dot" w:pos="9350"/>
            </w:tabs>
            <w:rPr>
              <w:rFonts w:asciiTheme="minorHAnsi" w:hAnsiTheme="minorHAnsi" w:cstheme="minorBidi"/>
              <w:noProof/>
              <w:sz w:val="22"/>
            </w:rPr>
          </w:pPr>
          <w:hyperlink w:history="1" w:anchor="_Toc101519085">
            <w:r w:rsidRPr="00136222">
              <w:rPr>
                <w:rStyle w:val="Hyperlink"/>
                <w:noProof/>
              </w:rPr>
              <w:t>11.2.</w:t>
            </w:r>
            <w:r>
              <w:rPr>
                <w:rFonts w:asciiTheme="minorHAnsi" w:hAnsiTheme="minorHAnsi" w:cstheme="minorBidi"/>
                <w:noProof/>
                <w:sz w:val="22"/>
              </w:rPr>
              <w:tab/>
            </w:r>
            <w:r w:rsidRPr="00136222">
              <w:rPr>
                <w:rStyle w:val="Hyperlink"/>
                <w:noProof/>
              </w:rPr>
              <w:t>Discussion</w:t>
            </w:r>
            <w:r>
              <w:rPr>
                <w:noProof/>
                <w:webHidden/>
              </w:rPr>
              <w:tab/>
            </w:r>
            <w:r>
              <w:rPr>
                <w:noProof/>
                <w:webHidden/>
              </w:rPr>
              <w:fldChar w:fldCharType="begin"/>
            </w:r>
            <w:r>
              <w:rPr>
                <w:noProof/>
                <w:webHidden/>
              </w:rPr>
              <w:instrText xml:space="preserve"> PAGEREF _Toc101519085 \h </w:instrText>
            </w:r>
            <w:r>
              <w:rPr>
                <w:noProof/>
                <w:webHidden/>
              </w:rPr>
            </w:r>
            <w:r>
              <w:rPr>
                <w:noProof/>
                <w:webHidden/>
              </w:rPr>
              <w:fldChar w:fldCharType="separate"/>
            </w:r>
            <w:r>
              <w:rPr>
                <w:noProof/>
                <w:webHidden/>
              </w:rPr>
              <w:t>49</w:t>
            </w:r>
            <w:r>
              <w:rPr>
                <w:noProof/>
                <w:webHidden/>
              </w:rPr>
              <w:fldChar w:fldCharType="end"/>
            </w:r>
          </w:hyperlink>
        </w:p>
        <w:p w:rsidR="00E41BD4" w:rsidRDefault="00E41BD4" w14:paraId="3696992D" w14:textId="6DDEFC06">
          <w:pPr>
            <w:pStyle w:val="TOC1"/>
            <w:tabs>
              <w:tab w:val="right" w:leader="dot" w:pos="9350"/>
            </w:tabs>
            <w:rPr>
              <w:rFonts w:asciiTheme="minorHAnsi" w:hAnsiTheme="minorHAnsi" w:cstheme="minorBidi"/>
              <w:noProof/>
              <w:sz w:val="22"/>
            </w:rPr>
          </w:pPr>
          <w:hyperlink w:history="1" w:anchor="_Toc101519086">
            <w:r w:rsidRPr="00136222">
              <w:rPr>
                <w:rStyle w:val="Hyperlink"/>
                <w:noProof/>
              </w:rPr>
              <w:t>12.</w:t>
            </w:r>
            <w:r>
              <w:rPr>
                <w:rFonts w:asciiTheme="minorHAnsi" w:hAnsiTheme="minorHAnsi" w:cstheme="minorBidi"/>
                <w:noProof/>
                <w:sz w:val="22"/>
              </w:rPr>
              <w:tab/>
            </w:r>
            <w:r w:rsidRPr="00136222">
              <w:rPr>
                <w:rStyle w:val="Hyperlink"/>
                <w:noProof/>
              </w:rPr>
              <w:t>Open Access</w:t>
            </w:r>
            <w:r>
              <w:rPr>
                <w:noProof/>
                <w:webHidden/>
              </w:rPr>
              <w:tab/>
            </w:r>
            <w:r>
              <w:rPr>
                <w:noProof/>
                <w:webHidden/>
              </w:rPr>
              <w:fldChar w:fldCharType="begin"/>
            </w:r>
            <w:r>
              <w:rPr>
                <w:noProof/>
                <w:webHidden/>
              </w:rPr>
              <w:instrText xml:space="preserve"> PAGEREF _Toc101519086 \h </w:instrText>
            </w:r>
            <w:r>
              <w:rPr>
                <w:noProof/>
                <w:webHidden/>
              </w:rPr>
            </w:r>
            <w:r>
              <w:rPr>
                <w:noProof/>
                <w:webHidden/>
              </w:rPr>
              <w:fldChar w:fldCharType="separate"/>
            </w:r>
            <w:r>
              <w:rPr>
                <w:noProof/>
                <w:webHidden/>
              </w:rPr>
              <w:t>50</w:t>
            </w:r>
            <w:r>
              <w:rPr>
                <w:noProof/>
                <w:webHidden/>
              </w:rPr>
              <w:fldChar w:fldCharType="end"/>
            </w:r>
          </w:hyperlink>
        </w:p>
        <w:p w:rsidR="00E41BD4" w:rsidRDefault="00E41BD4" w14:paraId="4A7F1702" w14:textId="485A41B2">
          <w:pPr>
            <w:pStyle w:val="TOC2"/>
            <w:tabs>
              <w:tab w:val="left" w:pos="1296"/>
              <w:tab w:val="right" w:leader="dot" w:pos="9350"/>
            </w:tabs>
            <w:rPr>
              <w:rFonts w:asciiTheme="minorHAnsi" w:hAnsiTheme="minorHAnsi" w:cstheme="minorBidi"/>
              <w:noProof/>
              <w:sz w:val="22"/>
            </w:rPr>
          </w:pPr>
          <w:hyperlink w:history="1" w:anchor="_Toc101519087">
            <w:r w:rsidRPr="00136222">
              <w:rPr>
                <w:rStyle w:val="Hyperlink"/>
                <w:noProof/>
              </w:rPr>
              <w:t>12.1.</w:t>
            </w:r>
            <w:r>
              <w:rPr>
                <w:rFonts w:asciiTheme="minorHAnsi" w:hAnsiTheme="minorHAnsi" w:cstheme="minorBidi"/>
                <w:noProof/>
                <w:sz w:val="22"/>
              </w:rPr>
              <w:tab/>
            </w:r>
            <w:r w:rsidRPr="00136222">
              <w:rPr>
                <w:rStyle w:val="Hyperlink"/>
                <w:noProof/>
              </w:rPr>
              <w:t>Party Positions</w:t>
            </w:r>
            <w:r>
              <w:rPr>
                <w:noProof/>
                <w:webHidden/>
              </w:rPr>
              <w:tab/>
            </w:r>
            <w:r>
              <w:rPr>
                <w:noProof/>
                <w:webHidden/>
              </w:rPr>
              <w:fldChar w:fldCharType="begin"/>
            </w:r>
            <w:r>
              <w:rPr>
                <w:noProof/>
                <w:webHidden/>
              </w:rPr>
              <w:instrText xml:space="preserve"> PAGEREF _Toc101519087 \h </w:instrText>
            </w:r>
            <w:r>
              <w:rPr>
                <w:noProof/>
                <w:webHidden/>
              </w:rPr>
            </w:r>
            <w:r>
              <w:rPr>
                <w:noProof/>
                <w:webHidden/>
              </w:rPr>
              <w:fldChar w:fldCharType="separate"/>
            </w:r>
            <w:r>
              <w:rPr>
                <w:noProof/>
                <w:webHidden/>
              </w:rPr>
              <w:t>51</w:t>
            </w:r>
            <w:r>
              <w:rPr>
                <w:noProof/>
                <w:webHidden/>
              </w:rPr>
              <w:fldChar w:fldCharType="end"/>
            </w:r>
          </w:hyperlink>
        </w:p>
        <w:p w:rsidR="00E41BD4" w:rsidRDefault="00E41BD4" w14:paraId="08A28265" w14:textId="0848C457">
          <w:pPr>
            <w:pStyle w:val="TOC2"/>
            <w:tabs>
              <w:tab w:val="left" w:pos="1296"/>
              <w:tab w:val="right" w:leader="dot" w:pos="9350"/>
            </w:tabs>
            <w:rPr>
              <w:rFonts w:asciiTheme="minorHAnsi" w:hAnsiTheme="minorHAnsi" w:cstheme="minorBidi"/>
              <w:noProof/>
              <w:sz w:val="22"/>
            </w:rPr>
          </w:pPr>
          <w:hyperlink w:history="1" w:anchor="_Toc101519088">
            <w:r w:rsidRPr="00136222">
              <w:rPr>
                <w:rStyle w:val="Hyperlink"/>
                <w:noProof/>
              </w:rPr>
              <w:t>12.2.</w:t>
            </w:r>
            <w:r>
              <w:rPr>
                <w:rFonts w:asciiTheme="minorHAnsi" w:hAnsiTheme="minorHAnsi" w:cstheme="minorBidi"/>
                <w:noProof/>
                <w:sz w:val="22"/>
              </w:rPr>
              <w:tab/>
            </w:r>
            <w:r w:rsidRPr="00136222">
              <w:rPr>
                <w:rStyle w:val="Hyperlink"/>
                <w:noProof/>
              </w:rPr>
              <w:t>Discussion</w:t>
            </w:r>
            <w:r>
              <w:rPr>
                <w:noProof/>
                <w:webHidden/>
              </w:rPr>
              <w:tab/>
            </w:r>
            <w:r>
              <w:rPr>
                <w:noProof/>
                <w:webHidden/>
              </w:rPr>
              <w:fldChar w:fldCharType="begin"/>
            </w:r>
            <w:r>
              <w:rPr>
                <w:noProof/>
                <w:webHidden/>
              </w:rPr>
              <w:instrText xml:space="preserve"> PAGEREF _Toc101519088 \h </w:instrText>
            </w:r>
            <w:r>
              <w:rPr>
                <w:noProof/>
                <w:webHidden/>
              </w:rPr>
            </w:r>
            <w:r>
              <w:rPr>
                <w:noProof/>
                <w:webHidden/>
              </w:rPr>
              <w:fldChar w:fldCharType="separate"/>
            </w:r>
            <w:r>
              <w:rPr>
                <w:noProof/>
                <w:webHidden/>
              </w:rPr>
              <w:t>52</w:t>
            </w:r>
            <w:r>
              <w:rPr>
                <w:noProof/>
                <w:webHidden/>
              </w:rPr>
              <w:fldChar w:fldCharType="end"/>
            </w:r>
          </w:hyperlink>
        </w:p>
        <w:p w:rsidR="00E41BD4" w:rsidRDefault="00E41BD4" w14:paraId="5D7107EC" w14:textId="7D0472F0">
          <w:pPr>
            <w:pStyle w:val="TOC1"/>
            <w:tabs>
              <w:tab w:val="right" w:leader="dot" w:pos="9350"/>
            </w:tabs>
            <w:rPr>
              <w:rFonts w:asciiTheme="minorHAnsi" w:hAnsiTheme="minorHAnsi" w:cstheme="minorBidi"/>
              <w:noProof/>
              <w:sz w:val="22"/>
            </w:rPr>
          </w:pPr>
          <w:hyperlink w:history="1" w:anchor="_Toc101519089">
            <w:r w:rsidRPr="00136222">
              <w:rPr>
                <w:rStyle w:val="Hyperlink"/>
                <w:noProof/>
              </w:rPr>
              <w:t>13.</w:t>
            </w:r>
            <w:r>
              <w:rPr>
                <w:rFonts w:asciiTheme="minorHAnsi" w:hAnsiTheme="minorHAnsi" w:cstheme="minorBidi"/>
                <w:noProof/>
                <w:sz w:val="22"/>
              </w:rPr>
              <w:tab/>
            </w:r>
            <w:r w:rsidRPr="00136222">
              <w:rPr>
                <w:rStyle w:val="Hyperlink"/>
                <w:noProof/>
              </w:rPr>
              <w:t>Minimum Performance Criteria</w:t>
            </w:r>
            <w:r>
              <w:rPr>
                <w:noProof/>
                <w:webHidden/>
              </w:rPr>
              <w:tab/>
            </w:r>
            <w:r>
              <w:rPr>
                <w:noProof/>
                <w:webHidden/>
              </w:rPr>
              <w:fldChar w:fldCharType="begin"/>
            </w:r>
            <w:r>
              <w:rPr>
                <w:noProof/>
                <w:webHidden/>
              </w:rPr>
              <w:instrText xml:space="preserve"> PAGEREF _Toc101519089 \h </w:instrText>
            </w:r>
            <w:r>
              <w:rPr>
                <w:noProof/>
                <w:webHidden/>
              </w:rPr>
            </w:r>
            <w:r>
              <w:rPr>
                <w:noProof/>
                <w:webHidden/>
              </w:rPr>
              <w:fldChar w:fldCharType="separate"/>
            </w:r>
            <w:r>
              <w:rPr>
                <w:noProof/>
                <w:webHidden/>
              </w:rPr>
              <w:t>52</w:t>
            </w:r>
            <w:r>
              <w:rPr>
                <w:noProof/>
                <w:webHidden/>
              </w:rPr>
              <w:fldChar w:fldCharType="end"/>
            </w:r>
          </w:hyperlink>
        </w:p>
        <w:p w:rsidR="00E41BD4" w:rsidRDefault="00E41BD4" w14:paraId="5449E185" w14:textId="2B3C44CC">
          <w:pPr>
            <w:pStyle w:val="TOC2"/>
            <w:tabs>
              <w:tab w:val="left" w:pos="1296"/>
              <w:tab w:val="right" w:leader="dot" w:pos="9350"/>
            </w:tabs>
            <w:rPr>
              <w:rFonts w:asciiTheme="minorHAnsi" w:hAnsiTheme="minorHAnsi" w:cstheme="minorBidi"/>
              <w:noProof/>
              <w:sz w:val="22"/>
            </w:rPr>
          </w:pPr>
          <w:hyperlink w:history="1" w:anchor="_Toc101519090">
            <w:r w:rsidRPr="00136222">
              <w:rPr>
                <w:rStyle w:val="Hyperlink"/>
                <w:noProof/>
              </w:rPr>
              <w:t>13.1.</w:t>
            </w:r>
            <w:r>
              <w:rPr>
                <w:rFonts w:asciiTheme="minorHAnsi" w:hAnsiTheme="minorHAnsi" w:cstheme="minorBidi"/>
                <w:noProof/>
                <w:sz w:val="22"/>
              </w:rPr>
              <w:tab/>
            </w:r>
            <w:r w:rsidRPr="00136222">
              <w:rPr>
                <w:rStyle w:val="Hyperlink"/>
                <w:noProof/>
              </w:rPr>
              <w:t>Party Positions</w:t>
            </w:r>
            <w:r>
              <w:rPr>
                <w:noProof/>
                <w:webHidden/>
              </w:rPr>
              <w:tab/>
            </w:r>
            <w:r>
              <w:rPr>
                <w:noProof/>
                <w:webHidden/>
              </w:rPr>
              <w:fldChar w:fldCharType="begin"/>
            </w:r>
            <w:r>
              <w:rPr>
                <w:noProof/>
                <w:webHidden/>
              </w:rPr>
              <w:instrText xml:space="preserve"> PAGEREF _Toc101519090 \h </w:instrText>
            </w:r>
            <w:r>
              <w:rPr>
                <w:noProof/>
                <w:webHidden/>
              </w:rPr>
            </w:r>
            <w:r>
              <w:rPr>
                <w:noProof/>
                <w:webHidden/>
              </w:rPr>
              <w:fldChar w:fldCharType="separate"/>
            </w:r>
            <w:r>
              <w:rPr>
                <w:noProof/>
                <w:webHidden/>
              </w:rPr>
              <w:t>53</w:t>
            </w:r>
            <w:r>
              <w:rPr>
                <w:noProof/>
                <w:webHidden/>
              </w:rPr>
              <w:fldChar w:fldCharType="end"/>
            </w:r>
          </w:hyperlink>
        </w:p>
        <w:p w:rsidR="00E41BD4" w:rsidRDefault="00E41BD4" w14:paraId="315D7DAA" w14:textId="6AA90732">
          <w:pPr>
            <w:pStyle w:val="TOC2"/>
            <w:tabs>
              <w:tab w:val="left" w:pos="1296"/>
              <w:tab w:val="right" w:leader="dot" w:pos="9350"/>
            </w:tabs>
            <w:rPr>
              <w:rFonts w:asciiTheme="minorHAnsi" w:hAnsiTheme="minorHAnsi" w:cstheme="minorBidi"/>
              <w:noProof/>
              <w:sz w:val="22"/>
            </w:rPr>
          </w:pPr>
          <w:hyperlink w:history="1" w:anchor="_Toc101519091">
            <w:r w:rsidRPr="00136222">
              <w:rPr>
                <w:rStyle w:val="Hyperlink"/>
                <w:noProof/>
              </w:rPr>
              <w:t>13.2.</w:t>
            </w:r>
            <w:r>
              <w:rPr>
                <w:rFonts w:asciiTheme="minorHAnsi" w:hAnsiTheme="minorHAnsi" w:cstheme="minorBidi"/>
                <w:noProof/>
                <w:sz w:val="22"/>
              </w:rPr>
              <w:tab/>
            </w:r>
            <w:r w:rsidRPr="00136222">
              <w:rPr>
                <w:rStyle w:val="Hyperlink"/>
                <w:noProof/>
              </w:rPr>
              <w:t>Discussion</w:t>
            </w:r>
            <w:r>
              <w:rPr>
                <w:noProof/>
                <w:webHidden/>
              </w:rPr>
              <w:tab/>
            </w:r>
            <w:r>
              <w:rPr>
                <w:noProof/>
                <w:webHidden/>
              </w:rPr>
              <w:fldChar w:fldCharType="begin"/>
            </w:r>
            <w:r>
              <w:rPr>
                <w:noProof/>
                <w:webHidden/>
              </w:rPr>
              <w:instrText xml:space="preserve"> PAGEREF _Toc101519091 \h </w:instrText>
            </w:r>
            <w:r>
              <w:rPr>
                <w:noProof/>
                <w:webHidden/>
              </w:rPr>
            </w:r>
            <w:r>
              <w:rPr>
                <w:noProof/>
                <w:webHidden/>
              </w:rPr>
              <w:fldChar w:fldCharType="separate"/>
            </w:r>
            <w:r>
              <w:rPr>
                <w:noProof/>
                <w:webHidden/>
              </w:rPr>
              <w:t>56</w:t>
            </w:r>
            <w:r>
              <w:rPr>
                <w:noProof/>
                <w:webHidden/>
              </w:rPr>
              <w:fldChar w:fldCharType="end"/>
            </w:r>
          </w:hyperlink>
        </w:p>
        <w:p w:rsidR="00E41BD4" w:rsidRDefault="00E41BD4" w14:paraId="6AAAAE22" w14:textId="5F6C78DF">
          <w:pPr>
            <w:pStyle w:val="TOC1"/>
            <w:tabs>
              <w:tab w:val="right" w:leader="dot" w:pos="9350"/>
            </w:tabs>
            <w:rPr>
              <w:rFonts w:asciiTheme="minorHAnsi" w:hAnsiTheme="minorHAnsi" w:cstheme="minorBidi"/>
              <w:noProof/>
              <w:sz w:val="22"/>
            </w:rPr>
          </w:pPr>
          <w:hyperlink w:history="1" w:anchor="_Toc101519092">
            <w:r w:rsidRPr="00136222">
              <w:rPr>
                <w:rStyle w:val="Hyperlink"/>
                <w:noProof/>
              </w:rPr>
              <w:t>14.</w:t>
            </w:r>
            <w:r>
              <w:rPr>
                <w:rFonts w:asciiTheme="minorHAnsi" w:hAnsiTheme="minorHAnsi" w:cstheme="minorBidi"/>
                <w:noProof/>
                <w:sz w:val="22"/>
              </w:rPr>
              <w:tab/>
            </w:r>
            <w:r w:rsidRPr="00136222">
              <w:rPr>
                <w:rStyle w:val="Hyperlink"/>
                <w:noProof/>
              </w:rPr>
              <w:t>Affordability</w:t>
            </w:r>
            <w:r>
              <w:rPr>
                <w:noProof/>
                <w:webHidden/>
              </w:rPr>
              <w:tab/>
            </w:r>
            <w:r>
              <w:rPr>
                <w:noProof/>
                <w:webHidden/>
              </w:rPr>
              <w:fldChar w:fldCharType="begin"/>
            </w:r>
            <w:r>
              <w:rPr>
                <w:noProof/>
                <w:webHidden/>
              </w:rPr>
              <w:instrText xml:space="preserve"> PAGEREF _Toc101519092 \h </w:instrText>
            </w:r>
            <w:r>
              <w:rPr>
                <w:noProof/>
                <w:webHidden/>
              </w:rPr>
            </w:r>
            <w:r>
              <w:rPr>
                <w:noProof/>
                <w:webHidden/>
              </w:rPr>
              <w:fldChar w:fldCharType="separate"/>
            </w:r>
            <w:r>
              <w:rPr>
                <w:noProof/>
                <w:webHidden/>
              </w:rPr>
              <w:t>57</w:t>
            </w:r>
            <w:r>
              <w:rPr>
                <w:noProof/>
                <w:webHidden/>
              </w:rPr>
              <w:fldChar w:fldCharType="end"/>
            </w:r>
          </w:hyperlink>
        </w:p>
        <w:p w:rsidR="00E41BD4" w:rsidRDefault="00E41BD4" w14:paraId="30E74437" w14:textId="70FE0720">
          <w:pPr>
            <w:pStyle w:val="TOC2"/>
            <w:tabs>
              <w:tab w:val="left" w:pos="1296"/>
              <w:tab w:val="right" w:leader="dot" w:pos="9350"/>
            </w:tabs>
            <w:rPr>
              <w:rFonts w:asciiTheme="minorHAnsi" w:hAnsiTheme="minorHAnsi" w:cstheme="minorBidi"/>
              <w:noProof/>
              <w:sz w:val="22"/>
            </w:rPr>
          </w:pPr>
          <w:hyperlink w:history="1" w:anchor="_Toc101519093">
            <w:r w:rsidRPr="00136222">
              <w:rPr>
                <w:rStyle w:val="Hyperlink"/>
                <w:noProof/>
              </w:rPr>
              <w:t>14.1.</w:t>
            </w:r>
            <w:r>
              <w:rPr>
                <w:rFonts w:asciiTheme="minorHAnsi" w:hAnsiTheme="minorHAnsi" w:cstheme="minorBidi"/>
                <w:noProof/>
                <w:sz w:val="22"/>
              </w:rPr>
              <w:tab/>
            </w:r>
            <w:r w:rsidRPr="00136222">
              <w:rPr>
                <w:rStyle w:val="Hyperlink"/>
                <w:noProof/>
              </w:rPr>
              <w:t>Party Positions</w:t>
            </w:r>
            <w:r>
              <w:rPr>
                <w:noProof/>
                <w:webHidden/>
              </w:rPr>
              <w:tab/>
            </w:r>
            <w:r>
              <w:rPr>
                <w:noProof/>
                <w:webHidden/>
              </w:rPr>
              <w:fldChar w:fldCharType="begin"/>
            </w:r>
            <w:r>
              <w:rPr>
                <w:noProof/>
                <w:webHidden/>
              </w:rPr>
              <w:instrText xml:space="preserve"> PAGEREF _Toc101519093 \h </w:instrText>
            </w:r>
            <w:r>
              <w:rPr>
                <w:noProof/>
                <w:webHidden/>
              </w:rPr>
            </w:r>
            <w:r>
              <w:rPr>
                <w:noProof/>
                <w:webHidden/>
              </w:rPr>
              <w:fldChar w:fldCharType="separate"/>
            </w:r>
            <w:r>
              <w:rPr>
                <w:noProof/>
                <w:webHidden/>
              </w:rPr>
              <w:t>58</w:t>
            </w:r>
            <w:r>
              <w:rPr>
                <w:noProof/>
                <w:webHidden/>
              </w:rPr>
              <w:fldChar w:fldCharType="end"/>
            </w:r>
          </w:hyperlink>
        </w:p>
        <w:p w:rsidR="00E41BD4" w:rsidRDefault="00E41BD4" w14:paraId="3330C11B" w14:textId="56D26C44">
          <w:pPr>
            <w:pStyle w:val="TOC2"/>
            <w:tabs>
              <w:tab w:val="left" w:pos="1296"/>
              <w:tab w:val="right" w:leader="dot" w:pos="9350"/>
            </w:tabs>
            <w:rPr>
              <w:rFonts w:asciiTheme="minorHAnsi" w:hAnsiTheme="minorHAnsi" w:cstheme="minorBidi"/>
              <w:noProof/>
              <w:sz w:val="22"/>
            </w:rPr>
          </w:pPr>
          <w:hyperlink w:history="1" w:anchor="_Toc101519094">
            <w:r w:rsidRPr="00136222">
              <w:rPr>
                <w:rStyle w:val="Hyperlink"/>
                <w:noProof/>
              </w:rPr>
              <w:t>14.2.</w:t>
            </w:r>
            <w:r>
              <w:rPr>
                <w:rFonts w:asciiTheme="minorHAnsi" w:hAnsiTheme="minorHAnsi" w:cstheme="minorBidi"/>
                <w:noProof/>
                <w:sz w:val="22"/>
              </w:rPr>
              <w:tab/>
            </w:r>
            <w:r w:rsidRPr="00136222">
              <w:rPr>
                <w:rStyle w:val="Hyperlink"/>
                <w:noProof/>
              </w:rPr>
              <w:t>Discussion</w:t>
            </w:r>
            <w:r>
              <w:rPr>
                <w:noProof/>
                <w:webHidden/>
              </w:rPr>
              <w:tab/>
            </w:r>
            <w:r>
              <w:rPr>
                <w:noProof/>
                <w:webHidden/>
              </w:rPr>
              <w:fldChar w:fldCharType="begin"/>
            </w:r>
            <w:r>
              <w:rPr>
                <w:noProof/>
                <w:webHidden/>
              </w:rPr>
              <w:instrText xml:space="preserve"> PAGEREF _Toc101519094 \h </w:instrText>
            </w:r>
            <w:r>
              <w:rPr>
                <w:noProof/>
                <w:webHidden/>
              </w:rPr>
            </w:r>
            <w:r>
              <w:rPr>
                <w:noProof/>
                <w:webHidden/>
              </w:rPr>
              <w:fldChar w:fldCharType="separate"/>
            </w:r>
            <w:r>
              <w:rPr>
                <w:noProof/>
                <w:webHidden/>
              </w:rPr>
              <w:t>63</w:t>
            </w:r>
            <w:r>
              <w:rPr>
                <w:noProof/>
                <w:webHidden/>
              </w:rPr>
              <w:fldChar w:fldCharType="end"/>
            </w:r>
          </w:hyperlink>
        </w:p>
        <w:p w:rsidR="00E41BD4" w:rsidRDefault="00E41BD4" w14:paraId="706CFB74" w14:textId="4BF0090A">
          <w:pPr>
            <w:pStyle w:val="TOC1"/>
            <w:tabs>
              <w:tab w:val="right" w:leader="dot" w:pos="9350"/>
            </w:tabs>
            <w:rPr>
              <w:rFonts w:asciiTheme="minorHAnsi" w:hAnsiTheme="minorHAnsi" w:cstheme="minorBidi"/>
              <w:noProof/>
              <w:sz w:val="22"/>
            </w:rPr>
          </w:pPr>
          <w:hyperlink w:history="1" w:anchor="_Toc101519095">
            <w:r w:rsidRPr="00136222">
              <w:rPr>
                <w:rStyle w:val="Hyperlink"/>
                <w:noProof/>
              </w:rPr>
              <w:t>15.</w:t>
            </w:r>
            <w:r>
              <w:rPr>
                <w:rFonts w:asciiTheme="minorHAnsi" w:hAnsiTheme="minorHAnsi" w:cstheme="minorBidi"/>
                <w:noProof/>
                <w:sz w:val="22"/>
              </w:rPr>
              <w:tab/>
            </w:r>
            <w:r w:rsidRPr="00136222">
              <w:rPr>
                <w:rStyle w:val="Hyperlink"/>
                <w:noProof/>
              </w:rPr>
              <w:t>Reimbursable Expenses</w:t>
            </w:r>
            <w:r>
              <w:rPr>
                <w:noProof/>
                <w:webHidden/>
              </w:rPr>
              <w:tab/>
            </w:r>
            <w:r>
              <w:rPr>
                <w:noProof/>
                <w:webHidden/>
              </w:rPr>
              <w:fldChar w:fldCharType="begin"/>
            </w:r>
            <w:r>
              <w:rPr>
                <w:noProof/>
                <w:webHidden/>
              </w:rPr>
              <w:instrText xml:space="preserve"> PAGEREF _Toc101519095 \h </w:instrText>
            </w:r>
            <w:r>
              <w:rPr>
                <w:noProof/>
                <w:webHidden/>
              </w:rPr>
            </w:r>
            <w:r>
              <w:rPr>
                <w:noProof/>
                <w:webHidden/>
              </w:rPr>
              <w:fldChar w:fldCharType="separate"/>
            </w:r>
            <w:r>
              <w:rPr>
                <w:noProof/>
                <w:webHidden/>
              </w:rPr>
              <w:t>66</w:t>
            </w:r>
            <w:r>
              <w:rPr>
                <w:noProof/>
                <w:webHidden/>
              </w:rPr>
              <w:fldChar w:fldCharType="end"/>
            </w:r>
          </w:hyperlink>
        </w:p>
        <w:p w:rsidR="00E41BD4" w:rsidRDefault="00E41BD4" w14:paraId="1FF77865" w14:textId="61FF3E92">
          <w:pPr>
            <w:pStyle w:val="TOC2"/>
            <w:tabs>
              <w:tab w:val="left" w:pos="1296"/>
              <w:tab w:val="right" w:leader="dot" w:pos="9350"/>
            </w:tabs>
            <w:rPr>
              <w:rFonts w:asciiTheme="minorHAnsi" w:hAnsiTheme="minorHAnsi" w:cstheme="minorBidi"/>
              <w:noProof/>
              <w:sz w:val="22"/>
            </w:rPr>
          </w:pPr>
          <w:hyperlink w:history="1" w:anchor="_Toc101519096">
            <w:r w:rsidRPr="00136222">
              <w:rPr>
                <w:rStyle w:val="Hyperlink"/>
                <w:noProof/>
              </w:rPr>
              <w:t>15.1.</w:t>
            </w:r>
            <w:r>
              <w:rPr>
                <w:rFonts w:asciiTheme="minorHAnsi" w:hAnsiTheme="minorHAnsi" w:cstheme="minorBidi"/>
                <w:noProof/>
                <w:sz w:val="22"/>
              </w:rPr>
              <w:tab/>
            </w:r>
            <w:r w:rsidRPr="00136222">
              <w:rPr>
                <w:rStyle w:val="Hyperlink"/>
                <w:noProof/>
              </w:rPr>
              <w:t>Party Positions</w:t>
            </w:r>
            <w:r>
              <w:rPr>
                <w:noProof/>
                <w:webHidden/>
              </w:rPr>
              <w:tab/>
            </w:r>
            <w:r>
              <w:rPr>
                <w:noProof/>
                <w:webHidden/>
              </w:rPr>
              <w:fldChar w:fldCharType="begin"/>
            </w:r>
            <w:r>
              <w:rPr>
                <w:noProof/>
                <w:webHidden/>
              </w:rPr>
              <w:instrText xml:space="preserve"> PAGEREF _Toc101519096 \h </w:instrText>
            </w:r>
            <w:r>
              <w:rPr>
                <w:noProof/>
                <w:webHidden/>
              </w:rPr>
            </w:r>
            <w:r>
              <w:rPr>
                <w:noProof/>
                <w:webHidden/>
              </w:rPr>
              <w:fldChar w:fldCharType="separate"/>
            </w:r>
            <w:r>
              <w:rPr>
                <w:noProof/>
                <w:webHidden/>
              </w:rPr>
              <w:t>67</w:t>
            </w:r>
            <w:r>
              <w:rPr>
                <w:noProof/>
                <w:webHidden/>
              </w:rPr>
              <w:fldChar w:fldCharType="end"/>
            </w:r>
          </w:hyperlink>
        </w:p>
        <w:p w:rsidR="00E41BD4" w:rsidRDefault="00E41BD4" w14:paraId="73D279DA" w14:textId="6DB2F605">
          <w:pPr>
            <w:pStyle w:val="TOC2"/>
            <w:tabs>
              <w:tab w:val="left" w:pos="1296"/>
              <w:tab w:val="right" w:leader="dot" w:pos="9350"/>
            </w:tabs>
            <w:rPr>
              <w:rFonts w:asciiTheme="minorHAnsi" w:hAnsiTheme="minorHAnsi" w:cstheme="minorBidi"/>
              <w:noProof/>
              <w:sz w:val="22"/>
            </w:rPr>
          </w:pPr>
          <w:hyperlink w:history="1" w:anchor="_Toc101519097">
            <w:r w:rsidRPr="00136222">
              <w:rPr>
                <w:rStyle w:val="Hyperlink"/>
                <w:noProof/>
              </w:rPr>
              <w:t>15.2.</w:t>
            </w:r>
            <w:r>
              <w:rPr>
                <w:rFonts w:asciiTheme="minorHAnsi" w:hAnsiTheme="minorHAnsi" w:cstheme="minorBidi"/>
                <w:noProof/>
                <w:sz w:val="22"/>
              </w:rPr>
              <w:tab/>
            </w:r>
            <w:r w:rsidRPr="00136222">
              <w:rPr>
                <w:rStyle w:val="Hyperlink"/>
                <w:noProof/>
              </w:rPr>
              <w:t>Discussion</w:t>
            </w:r>
            <w:r>
              <w:rPr>
                <w:noProof/>
                <w:webHidden/>
              </w:rPr>
              <w:tab/>
            </w:r>
            <w:r>
              <w:rPr>
                <w:noProof/>
                <w:webHidden/>
              </w:rPr>
              <w:fldChar w:fldCharType="begin"/>
            </w:r>
            <w:r>
              <w:rPr>
                <w:noProof/>
                <w:webHidden/>
              </w:rPr>
              <w:instrText xml:space="preserve"> PAGEREF _Toc101519097 \h </w:instrText>
            </w:r>
            <w:r>
              <w:rPr>
                <w:noProof/>
                <w:webHidden/>
              </w:rPr>
            </w:r>
            <w:r>
              <w:rPr>
                <w:noProof/>
                <w:webHidden/>
              </w:rPr>
              <w:fldChar w:fldCharType="separate"/>
            </w:r>
            <w:r>
              <w:rPr>
                <w:noProof/>
                <w:webHidden/>
              </w:rPr>
              <w:t>67</w:t>
            </w:r>
            <w:r>
              <w:rPr>
                <w:noProof/>
                <w:webHidden/>
              </w:rPr>
              <w:fldChar w:fldCharType="end"/>
            </w:r>
          </w:hyperlink>
        </w:p>
        <w:p w:rsidR="00E41BD4" w:rsidRDefault="00E41BD4" w14:paraId="6C99A51E" w14:textId="70A6FC4F">
          <w:pPr>
            <w:pStyle w:val="TOC1"/>
            <w:tabs>
              <w:tab w:val="right" w:leader="dot" w:pos="9350"/>
            </w:tabs>
            <w:rPr>
              <w:rFonts w:asciiTheme="minorHAnsi" w:hAnsiTheme="minorHAnsi" w:cstheme="minorBidi"/>
              <w:noProof/>
              <w:sz w:val="22"/>
            </w:rPr>
          </w:pPr>
          <w:hyperlink w:history="1" w:anchor="_Toc101519098">
            <w:r w:rsidRPr="00136222">
              <w:rPr>
                <w:rStyle w:val="Hyperlink"/>
                <w:noProof/>
              </w:rPr>
              <w:t>16.</w:t>
            </w:r>
            <w:r>
              <w:rPr>
                <w:rFonts w:asciiTheme="minorHAnsi" w:hAnsiTheme="minorHAnsi" w:cstheme="minorBidi"/>
                <w:noProof/>
                <w:sz w:val="22"/>
              </w:rPr>
              <w:tab/>
            </w:r>
            <w:r w:rsidRPr="00136222">
              <w:rPr>
                <w:rStyle w:val="Hyperlink"/>
                <w:noProof/>
              </w:rPr>
              <w:t>Information Required from Applicants</w:t>
            </w:r>
            <w:r>
              <w:rPr>
                <w:noProof/>
                <w:webHidden/>
              </w:rPr>
              <w:tab/>
            </w:r>
            <w:r>
              <w:rPr>
                <w:noProof/>
                <w:webHidden/>
              </w:rPr>
              <w:fldChar w:fldCharType="begin"/>
            </w:r>
            <w:r>
              <w:rPr>
                <w:noProof/>
                <w:webHidden/>
              </w:rPr>
              <w:instrText xml:space="preserve"> PAGEREF _Toc101519098 \h </w:instrText>
            </w:r>
            <w:r>
              <w:rPr>
                <w:noProof/>
                <w:webHidden/>
              </w:rPr>
            </w:r>
            <w:r>
              <w:rPr>
                <w:noProof/>
                <w:webHidden/>
              </w:rPr>
              <w:fldChar w:fldCharType="separate"/>
            </w:r>
            <w:r>
              <w:rPr>
                <w:noProof/>
                <w:webHidden/>
              </w:rPr>
              <w:t>68</w:t>
            </w:r>
            <w:r>
              <w:rPr>
                <w:noProof/>
                <w:webHidden/>
              </w:rPr>
              <w:fldChar w:fldCharType="end"/>
            </w:r>
          </w:hyperlink>
        </w:p>
        <w:p w:rsidR="00E41BD4" w:rsidRDefault="00E41BD4" w14:paraId="5D6052BA" w14:textId="7B18C8A1">
          <w:pPr>
            <w:pStyle w:val="TOC2"/>
            <w:tabs>
              <w:tab w:val="left" w:pos="1296"/>
              <w:tab w:val="right" w:leader="dot" w:pos="9350"/>
            </w:tabs>
            <w:rPr>
              <w:rFonts w:asciiTheme="minorHAnsi" w:hAnsiTheme="minorHAnsi" w:cstheme="minorBidi"/>
              <w:noProof/>
              <w:sz w:val="22"/>
            </w:rPr>
          </w:pPr>
          <w:hyperlink w:history="1" w:anchor="_Toc101519099">
            <w:r w:rsidRPr="00136222">
              <w:rPr>
                <w:rStyle w:val="Hyperlink"/>
                <w:noProof/>
              </w:rPr>
              <w:t>16.1.</w:t>
            </w:r>
            <w:r>
              <w:rPr>
                <w:rFonts w:asciiTheme="minorHAnsi" w:hAnsiTheme="minorHAnsi" w:cstheme="minorBidi"/>
                <w:noProof/>
                <w:sz w:val="22"/>
              </w:rPr>
              <w:tab/>
            </w:r>
            <w:r w:rsidRPr="00136222">
              <w:rPr>
                <w:rStyle w:val="Hyperlink"/>
                <w:noProof/>
              </w:rPr>
              <w:t>Party Positions</w:t>
            </w:r>
            <w:r>
              <w:rPr>
                <w:noProof/>
                <w:webHidden/>
              </w:rPr>
              <w:tab/>
            </w:r>
            <w:r>
              <w:rPr>
                <w:noProof/>
                <w:webHidden/>
              </w:rPr>
              <w:fldChar w:fldCharType="begin"/>
            </w:r>
            <w:r>
              <w:rPr>
                <w:noProof/>
                <w:webHidden/>
              </w:rPr>
              <w:instrText xml:space="preserve"> PAGEREF _Toc101519099 \h </w:instrText>
            </w:r>
            <w:r>
              <w:rPr>
                <w:noProof/>
                <w:webHidden/>
              </w:rPr>
            </w:r>
            <w:r>
              <w:rPr>
                <w:noProof/>
                <w:webHidden/>
              </w:rPr>
              <w:fldChar w:fldCharType="separate"/>
            </w:r>
            <w:r>
              <w:rPr>
                <w:noProof/>
                <w:webHidden/>
              </w:rPr>
              <w:t>69</w:t>
            </w:r>
            <w:r>
              <w:rPr>
                <w:noProof/>
                <w:webHidden/>
              </w:rPr>
              <w:fldChar w:fldCharType="end"/>
            </w:r>
          </w:hyperlink>
        </w:p>
        <w:p w:rsidR="00E41BD4" w:rsidRDefault="00E41BD4" w14:paraId="535299E3" w14:textId="16B4716D">
          <w:pPr>
            <w:pStyle w:val="TOC2"/>
            <w:tabs>
              <w:tab w:val="left" w:pos="1296"/>
              <w:tab w:val="right" w:leader="dot" w:pos="9350"/>
            </w:tabs>
            <w:rPr>
              <w:rFonts w:asciiTheme="minorHAnsi" w:hAnsiTheme="minorHAnsi" w:cstheme="minorBidi"/>
              <w:noProof/>
              <w:sz w:val="22"/>
            </w:rPr>
          </w:pPr>
          <w:hyperlink w:history="1" w:anchor="_Toc101519100">
            <w:r w:rsidRPr="00136222">
              <w:rPr>
                <w:rStyle w:val="Hyperlink"/>
                <w:noProof/>
              </w:rPr>
              <w:t>16.2.</w:t>
            </w:r>
            <w:r>
              <w:rPr>
                <w:rFonts w:asciiTheme="minorHAnsi" w:hAnsiTheme="minorHAnsi" w:cstheme="minorBidi"/>
                <w:noProof/>
                <w:sz w:val="22"/>
              </w:rPr>
              <w:tab/>
            </w:r>
            <w:r w:rsidRPr="00136222">
              <w:rPr>
                <w:rStyle w:val="Hyperlink"/>
                <w:noProof/>
              </w:rPr>
              <w:t>Discussion</w:t>
            </w:r>
            <w:r>
              <w:rPr>
                <w:noProof/>
                <w:webHidden/>
              </w:rPr>
              <w:tab/>
            </w:r>
            <w:r>
              <w:rPr>
                <w:noProof/>
                <w:webHidden/>
              </w:rPr>
              <w:fldChar w:fldCharType="begin"/>
            </w:r>
            <w:r>
              <w:rPr>
                <w:noProof/>
                <w:webHidden/>
              </w:rPr>
              <w:instrText xml:space="preserve"> PAGEREF _Toc101519100 \h </w:instrText>
            </w:r>
            <w:r>
              <w:rPr>
                <w:noProof/>
                <w:webHidden/>
              </w:rPr>
            </w:r>
            <w:r>
              <w:rPr>
                <w:noProof/>
                <w:webHidden/>
              </w:rPr>
              <w:fldChar w:fldCharType="separate"/>
            </w:r>
            <w:r>
              <w:rPr>
                <w:noProof/>
                <w:webHidden/>
              </w:rPr>
              <w:t>70</w:t>
            </w:r>
            <w:r>
              <w:rPr>
                <w:noProof/>
                <w:webHidden/>
              </w:rPr>
              <w:fldChar w:fldCharType="end"/>
            </w:r>
          </w:hyperlink>
        </w:p>
        <w:p w:rsidR="00E41BD4" w:rsidRDefault="00E41BD4" w14:paraId="22E67E05" w14:textId="2A36427F">
          <w:pPr>
            <w:pStyle w:val="TOC1"/>
            <w:tabs>
              <w:tab w:val="right" w:leader="dot" w:pos="9350"/>
            </w:tabs>
            <w:rPr>
              <w:rFonts w:asciiTheme="minorHAnsi" w:hAnsiTheme="minorHAnsi" w:cstheme="minorBidi"/>
              <w:noProof/>
              <w:sz w:val="22"/>
            </w:rPr>
          </w:pPr>
          <w:hyperlink w:history="1" w:anchor="_Toc101519101">
            <w:r w:rsidRPr="00136222">
              <w:rPr>
                <w:rStyle w:val="Hyperlink"/>
                <w:noProof/>
              </w:rPr>
              <w:t>17.</w:t>
            </w:r>
            <w:r>
              <w:rPr>
                <w:rFonts w:asciiTheme="minorHAnsi" w:hAnsiTheme="minorHAnsi" w:cstheme="minorBidi"/>
                <w:noProof/>
                <w:sz w:val="22"/>
              </w:rPr>
              <w:tab/>
            </w:r>
            <w:r w:rsidRPr="00136222">
              <w:rPr>
                <w:rStyle w:val="Hyperlink"/>
                <w:noProof/>
              </w:rPr>
              <w:t>Application Submission Timelines</w:t>
            </w:r>
            <w:r>
              <w:rPr>
                <w:noProof/>
                <w:webHidden/>
              </w:rPr>
              <w:tab/>
            </w:r>
            <w:r>
              <w:rPr>
                <w:noProof/>
                <w:webHidden/>
              </w:rPr>
              <w:fldChar w:fldCharType="begin"/>
            </w:r>
            <w:r>
              <w:rPr>
                <w:noProof/>
                <w:webHidden/>
              </w:rPr>
              <w:instrText xml:space="preserve"> PAGEREF _Toc101519101 \h </w:instrText>
            </w:r>
            <w:r>
              <w:rPr>
                <w:noProof/>
                <w:webHidden/>
              </w:rPr>
            </w:r>
            <w:r>
              <w:rPr>
                <w:noProof/>
                <w:webHidden/>
              </w:rPr>
              <w:fldChar w:fldCharType="separate"/>
            </w:r>
            <w:r>
              <w:rPr>
                <w:noProof/>
                <w:webHidden/>
              </w:rPr>
              <w:t>71</w:t>
            </w:r>
            <w:r>
              <w:rPr>
                <w:noProof/>
                <w:webHidden/>
              </w:rPr>
              <w:fldChar w:fldCharType="end"/>
            </w:r>
          </w:hyperlink>
        </w:p>
        <w:p w:rsidR="00E41BD4" w:rsidRDefault="00E41BD4" w14:paraId="7F7D5683" w14:textId="3E348EF6">
          <w:pPr>
            <w:pStyle w:val="TOC2"/>
            <w:tabs>
              <w:tab w:val="left" w:pos="1296"/>
              <w:tab w:val="right" w:leader="dot" w:pos="9350"/>
            </w:tabs>
            <w:rPr>
              <w:rFonts w:asciiTheme="minorHAnsi" w:hAnsiTheme="minorHAnsi" w:cstheme="minorBidi"/>
              <w:noProof/>
              <w:sz w:val="22"/>
            </w:rPr>
          </w:pPr>
          <w:hyperlink w:history="1" w:anchor="_Toc101519102">
            <w:r w:rsidRPr="00136222">
              <w:rPr>
                <w:rStyle w:val="Hyperlink"/>
                <w:noProof/>
              </w:rPr>
              <w:t>17.1.</w:t>
            </w:r>
            <w:r>
              <w:rPr>
                <w:rFonts w:asciiTheme="minorHAnsi" w:hAnsiTheme="minorHAnsi" w:cstheme="minorBidi"/>
                <w:noProof/>
                <w:sz w:val="22"/>
              </w:rPr>
              <w:tab/>
            </w:r>
            <w:r w:rsidRPr="00136222">
              <w:rPr>
                <w:rStyle w:val="Hyperlink"/>
                <w:noProof/>
              </w:rPr>
              <w:t>Party Positions</w:t>
            </w:r>
            <w:r>
              <w:rPr>
                <w:noProof/>
                <w:webHidden/>
              </w:rPr>
              <w:tab/>
            </w:r>
            <w:r>
              <w:rPr>
                <w:noProof/>
                <w:webHidden/>
              </w:rPr>
              <w:fldChar w:fldCharType="begin"/>
            </w:r>
            <w:r>
              <w:rPr>
                <w:noProof/>
                <w:webHidden/>
              </w:rPr>
              <w:instrText xml:space="preserve"> PAGEREF _Toc101519102 \h </w:instrText>
            </w:r>
            <w:r>
              <w:rPr>
                <w:noProof/>
                <w:webHidden/>
              </w:rPr>
            </w:r>
            <w:r>
              <w:rPr>
                <w:noProof/>
                <w:webHidden/>
              </w:rPr>
              <w:fldChar w:fldCharType="separate"/>
            </w:r>
            <w:r>
              <w:rPr>
                <w:noProof/>
                <w:webHidden/>
              </w:rPr>
              <w:t>71</w:t>
            </w:r>
            <w:r>
              <w:rPr>
                <w:noProof/>
                <w:webHidden/>
              </w:rPr>
              <w:fldChar w:fldCharType="end"/>
            </w:r>
          </w:hyperlink>
        </w:p>
        <w:p w:rsidR="00E41BD4" w:rsidRDefault="00E41BD4" w14:paraId="066CD17C" w14:textId="02476109">
          <w:pPr>
            <w:pStyle w:val="TOC2"/>
            <w:tabs>
              <w:tab w:val="left" w:pos="1296"/>
              <w:tab w:val="right" w:leader="dot" w:pos="9350"/>
            </w:tabs>
            <w:rPr>
              <w:rFonts w:asciiTheme="minorHAnsi" w:hAnsiTheme="minorHAnsi" w:cstheme="minorBidi"/>
              <w:noProof/>
              <w:sz w:val="22"/>
            </w:rPr>
          </w:pPr>
          <w:hyperlink w:history="1" w:anchor="_Toc101519103">
            <w:r w:rsidRPr="00136222">
              <w:rPr>
                <w:rStyle w:val="Hyperlink"/>
                <w:noProof/>
              </w:rPr>
              <w:t>17.2.</w:t>
            </w:r>
            <w:r>
              <w:rPr>
                <w:rFonts w:asciiTheme="minorHAnsi" w:hAnsiTheme="minorHAnsi" w:cstheme="minorBidi"/>
                <w:noProof/>
                <w:sz w:val="22"/>
              </w:rPr>
              <w:tab/>
            </w:r>
            <w:r w:rsidRPr="00136222">
              <w:rPr>
                <w:rStyle w:val="Hyperlink"/>
                <w:noProof/>
              </w:rPr>
              <w:t>Discussion</w:t>
            </w:r>
            <w:r>
              <w:rPr>
                <w:noProof/>
                <w:webHidden/>
              </w:rPr>
              <w:tab/>
            </w:r>
            <w:r>
              <w:rPr>
                <w:noProof/>
                <w:webHidden/>
              </w:rPr>
              <w:fldChar w:fldCharType="begin"/>
            </w:r>
            <w:r>
              <w:rPr>
                <w:noProof/>
                <w:webHidden/>
              </w:rPr>
              <w:instrText xml:space="preserve"> PAGEREF _Toc101519103 \h </w:instrText>
            </w:r>
            <w:r>
              <w:rPr>
                <w:noProof/>
                <w:webHidden/>
              </w:rPr>
            </w:r>
            <w:r>
              <w:rPr>
                <w:noProof/>
                <w:webHidden/>
              </w:rPr>
              <w:fldChar w:fldCharType="separate"/>
            </w:r>
            <w:r>
              <w:rPr>
                <w:noProof/>
                <w:webHidden/>
              </w:rPr>
              <w:t>72</w:t>
            </w:r>
            <w:r>
              <w:rPr>
                <w:noProof/>
                <w:webHidden/>
              </w:rPr>
              <w:fldChar w:fldCharType="end"/>
            </w:r>
          </w:hyperlink>
        </w:p>
        <w:p w:rsidR="00E41BD4" w:rsidRDefault="00E41BD4" w14:paraId="17AD391F" w14:textId="376063B0">
          <w:pPr>
            <w:pStyle w:val="TOC1"/>
            <w:tabs>
              <w:tab w:val="right" w:leader="dot" w:pos="9350"/>
            </w:tabs>
            <w:rPr>
              <w:rFonts w:asciiTheme="minorHAnsi" w:hAnsiTheme="minorHAnsi" w:cstheme="minorBidi"/>
              <w:noProof/>
              <w:sz w:val="22"/>
            </w:rPr>
          </w:pPr>
          <w:hyperlink w:history="1" w:anchor="_Toc101519104">
            <w:r w:rsidRPr="00136222">
              <w:rPr>
                <w:rStyle w:val="Hyperlink"/>
                <w:noProof/>
              </w:rPr>
              <w:t>18.</w:t>
            </w:r>
            <w:r>
              <w:rPr>
                <w:rFonts w:asciiTheme="minorHAnsi" w:hAnsiTheme="minorHAnsi" w:cstheme="minorBidi"/>
                <w:noProof/>
                <w:sz w:val="22"/>
              </w:rPr>
              <w:tab/>
            </w:r>
            <w:r w:rsidRPr="00136222">
              <w:rPr>
                <w:rStyle w:val="Hyperlink"/>
                <w:noProof/>
              </w:rPr>
              <w:t>Posting of Applications</w:t>
            </w:r>
            <w:r>
              <w:rPr>
                <w:noProof/>
                <w:webHidden/>
              </w:rPr>
              <w:tab/>
            </w:r>
            <w:r>
              <w:rPr>
                <w:noProof/>
                <w:webHidden/>
              </w:rPr>
              <w:fldChar w:fldCharType="begin"/>
            </w:r>
            <w:r>
              <w:rPr>
                <w:noProof/>
                <w:webHidden/>
              </w:rPr>
              <w:instrText xml:space="preserve"> PAGEREF _Toc101519104 \h </w:instrText>
            </w:r>
            <w:r>
              <w:rPr>
                <w:noProof/>
                <w:webHidden/>
              </w:rPr>
            </w:r>
            <w:r>
              <w:rPr>
                <w:noProof/>
                <w:webHidden/>
              </w:rPr>
              <w:fldChar w:fldCharType="separate"/>
            </w:r>
            <w:r>
              <w:rPr>
                <w:noProof/>
                <w:webHidden/>
              </w:rPr>
              <w:t>72</w:t>
            </w:r>
            <w:r>
              <w:rPr>
                <w:noProof/>
                <w:webHidden/>
              </w:rPr>
              <w:fldChar w:fldCharType="end"/>
            </w:r>
          </w:hyperlink>
        </w:p>
        <w:p w:rsidR="00E41BD4" w:rsidRDefault="00E41BD4" w14:paraId="6B752124" w14:textId="4B589E9C">
          <w:pPr>
            <w:pStyle w:val="TOC2"/>
            <w:tabs>
              <w:tab w:val="left" w:pos="1296"/>
              <w:tab w:val="right" w:leader="dot" w:pos="9350"/>
            </w:tabs>
            <w:rPr>
              <w:rFonts w:asciiTheme="minorHAnsi" w:hAnsiTheme="minorHAnsi" w:cstheme="minorBidi"/>
              <w:noProof/>
              <w:sz w:val="22"/>
            </w:rPr>
          </w:pPr>
          <w:hyperlink w:history="1" w:anchor="_Toc101519105">
            <w:r w:rsidRPr="00136222">
              <w:rPr>
                <w:rStyle w:val="Hyperlink"/>
                <w:noProof/>
              </w:rPr>
              <w:t>18.1.</w:t>
            </w:r>
            <w:r>
              <w:rPr>
                <w:rFonts w:asciiTheme="minorHAnsi" w:hAnsiTheme="minorHAnsi" w:cstheme="minorBidi"/>
                <w:noProof/>
                <w:sz w:val="22"/>
              </w:rPr>
              <w:tab/>
            </w:r>
            <w:r w:rsidRPr="00136222">
              <w:rPr>
                <w:rStyle w:val="Hyperlink"/>
                <w:noProof/>
              </w:rPr>
              <w:t>Party Positions</w:t>
            </w:r>
            <w:r>
              <w:rPr>
                <w:noProof/>
                <w:webHidden/>
              </w:rPr>
              <w:tab/>
            </w:r>
            <w:r>
              <w:rPr>
                <w:noProof/>
                <w:webHidden/>
              </w:rPr>
              <w:fldChar w:fldCharType="begin"/>
            </w:r>
            <w:r>
              <w:rPr>
                <w:noProof/>
                <w:webHidden/>
              </w:rPr>
              <w:instrText xml:space="preserve"> PAGEREF _Toc101519105 \h </w:instrText>
            </w:r>
            <w:r>
              <w:rPr>
                <w:noProof/>
                <w:webHidden/>
              </w:rPr>
            </w:r>
            <w:r>
              <w:rPr>
                <w:noProof/>
                <w:webHidden/>
              </w:rPr>
              <w:fldChar w:fldCharType="separate"/>
            </w:r>
            <w:r>
              <w:rPr>
                <w:noProof/>
                <w:webHidden/>
              </w:rPr>
              <w:t>73</w:t>
            </w:r>
            <w:r>
              <w:rPr>
                <w:noProof/>
                <w:webHidden/>
              </w:rPr>
              <w:fldChar w:fldCharType="end"/>
            </w:r>
          </w:hyperlink>
        </w:p>
        <w:p w:rsidR="00E41BD4" w:rsidRDefault="00E41BD4" w14:paraId="07855BD7" w14:textId="74B383CF">
          <w:pPr>
            <w:pStyle w:val="TOC2"/>
            <w:tabs>
              <w:tab w:val="left" w:pos="1296"/>
              <w:tab w:val="right" w:leader="dot" w:pos="9350"/>
            </w:tabs>
            <w:rPr>
              <w:rFonts w:asciiTheme="minorHAnsi" w:hAnsiTheme="minorHAnsi" w:cstheme="minorBidi"/>
              <w:noProof/>
              <w:sz w:val="22"/>
            </w:rPr>
          </w:pPr>
          <w:hyperlink w:history="1" w:anchor="_Toc101519106">
            <w:r w:rsidRPr="00136222">
              <w:rPr>
                <w:rStyle w:val="Hyperlink"/>
                <w:noProof/>
              </w:rPr>
              <w:t>18.2.</w:t>
            </w:r>
            <w:r>
              <w:rPr>
                <w:rFonts w:asciiTheme="minorHAnsi" w:hAnsiTheme="minorHAnsi" w:cstheme="minorBidi"/>
                <w:noProof/>
                <w:sz w:val="22"/>
              </w:rPr>
              <w:tab/>
            </w:r>
            <w:r w:rsidRPr="00136222">
              <w:rPr>
                <w:rStyle w:val="Hyperlink"/>
                <w:noProof/>
              </w:rPr>
              <w:t>Discussion</w:t>
            </w:r>
            <w:r>
              <w:rPr>
                <w:noProof/>
                <w:webHidden/>
              </w:rPr>
              <w:tab/>
            </w:r>
            <w:r>
              <w:rPr>
                <w:noProof/>
                <w:webHidden/>
              </w:rPr>
              <w:fldChar w:fldCharType="begin"/>
            </w:r>
            <w:r>
              <w:rPr>
                <w:noProof/>
                <w:webHidden/>
              </w:rPr>
              <w:instrText xml:space="preserve"> PAGEREF _Toc101519106 \h </w:instrText>
            </w:r>
            <w:r>
              <w:rPr>
                <w:noProof/>
                <w:webHidden/>
              </w:rPr>
            </w:r>
            <w:r>
              <w:rPr>
                <w:noProof/>
                <w:webHidden/>
              </w:rPr>
              <w:fldChar w:fldCharType="separate"/>
            </w:r>
            <w:r>
              <w:rPr>
                <w:noProof/>
                <w:webHidden/>
              </w:rPr>
              <w:t>73</w:t>
            </w:r>
            <w:r>
              <w:rPr>
                <w:noProof/>
                <w:webHidden/>
              </w:rPr>
              <w:fldChar w:fldCharType="end"/>
            </w:r>
          </w:hyperlink>
        </w:p>
        <w:p w:rsidR="00E41BD4" w:rsidRDefault="00E41BD4" w14:paraId="22210107" w14:textId="1F839E9A">
          <w:pPr>
            <w:pStyle w:val="TOC1"/>
            <w:tabs>
              <w:tab w:val="right" w:leader="dot" w:pos="9350"/>
            </w:tabs>
            <w:rPr>
              <w:rFonts w:asciiTheme="minorHAnsi" w:hAnsiTheme="minorHAnsi" w:cstheme="minorBidi"/>
              <w:noProof/>
              <w:sz w:val="22"/>
            </w:rPr>
          </w:pPr>
          <w:hyperlink w:history="1" w:anchor="_Toc101519107">
            <w:r w:rsidRPr="00136222">
              <w:rPr>
                <w:rStyle w:val="Hyperlink"/>
                <w:noProof/>
              </w:rPr>
              <w:t>19.</w:t>
            </w:r>
            <w:r>
              <w:rPr>
                <w:rFonts w:asciiTheme="minorHAnsi" w:hAnsiTheme="minorHAnsi" w:cstheme="minorBidi"/>
                <w:noProof/>
                <w:sz w:val="22"/>
              </w:rPr>
              <w:tab/>
            </w:r>
            <w:r w:rsidRPr="00136222">
              <w:rPr>
                <w:rStyle w:val="Hyperlink"/>
                <w:noProof/>
              </w:rPr>
              <w:t>Application Objections</w:t>
            </w:r>
            <w:r>
              <w:rPr>
                <w:noProof/>
                <w:webHidden/>
              </w:rPr>
              <w:tab/>
            </w:r>
            <w:r>
              <w:rPr>
                <w:noProof/>
                <w:webHidden/>
              </w:rPr>
              <w:fldChar w:fldCharType="begin"/>
            </w:r>
            <w:r>
              <w:rPr>
                <w:noProof/>
                <w:webHidden/>
              </w:rPr>
              <w:instrText xml:space="preserve"> PAGEREF _Toc101519107 \h </w:instrText>
            </w:r>
            <w:r>
              <w:rPr>
                <w:noProof/>
                <w:webHidden/>
              </w:rPr>
            </w:r>
            <w:r>
              <w:rPr>
                <w:noProof/>
                <w:webHidden/>
              </w:rPr>
              <w:fldChar w:fldCharType="separate"/>
            </w:r>
            <w:r>
              <w:rPr>
                <w:noProof/>
                <w:webHidden/>
              </w:rPr>
              <w:t>73</w:t>
            </w:r>
            <w:r>
              <w:rPr>
                <w:noProof/>
                <w:webHidden/>
              </w:rPr>
              <w:fldChar w:fldCharType="end"/>
            </w:r>
          </w:hyperlink>
        </w:p>
        <w:p w:rsidR="00E41BD4" w:rsidRDefault="00E41BD4" w14:paraId="67312CAD" w14:textId="560CEC10">
          <w:pPr>
            <w:pStyle w:val="TOC2"/>
            <w:tabs>
              <w:tab w:val="left" w:pos="1296"/>
              <w:tab w:val="right" w:leader="dot" w:pos="9350"/>
            </w:tabs>
            <w:rPr>
              <w:rFonts w:asciiTheme="minorHAnsi" w:hAnsiTheme="minorHAnsi" w:cstheme="minorBidi"/>
              <w:noProof/>
              <w:sz w:val="22"/>
            </w:rPr>
          </w:pPr>
          <w:hyperlink w:history="1" w:anchor="_Toc101519108">
            <w:r w:rsidRPr="00136222">
              <w:rPr>
                <w:rStyle w:val="Hyperlink"/>
                <w:noProof/>
              </w:rPr>
              <w:t>19.1.</w:t>
            </w:r>
            <w:r>
              <w:rPr>
                <w:rFonts w:asciiTheme="minorHAnsi" w:hAnsiTheme="minorHAnsi" w:cstheme="minorBidi"/>
                <w:noProof/>
                <w:sz w:val="22"/>
              </w:rPr>
              <w:tab/>
            </w:r>
            <w:r w:rsidRPr="00136222">
              <w:rPr>
                <w:rStyle w:val="Hyperlink"/>
                <w:noProof/>
              </w:rPr>
              <w:t>Party Positions</w:t>
            </w:r>
            <w:r>
              <w:rPr>
                <w:noProof/>
                <w:webHidden/>
              </w:rPr>
              <w:tab/>
            </w:r>
            <w:r>
              <w:rPr>
                <w:noProof/>
                <w:webHidden/>
              </w:rPr>
              <w:fldChar w:fldCharType="begin"/>
            </w:r>
            <w:r>
              <w:rPr>
                <w:noProof/>
                <w:webHidden/>
              </w:rPr>
              <w:instrText xml:space="preserve"> PAGEREF _Toc101519108 \h </w:instrText>
            </w:r>
            <w:r>
              <w:rPr>
                <w:noProof/>
                <w:webHidden/>
              </w:rPr>
            </w:r>
            <w:r>
              <w:rPr>
                <w:noProof/>
                <w:webHidden/>
              </w:rPr>
              <w:fldChar w:fldCharType="separate"/>
            </w:r>
            <w:r>
              <w:rPr>
                <w:noProof/>
                <w:webHidden/>
              </w:rPr>
              <w:t>75</w:t>
            </w:r>
            <w:r>
              <w:rPr>
                <w:noProof/>
                <w:webHidden/>
              </w:rPr>
              <w:fldChar w:fldCharType="end"/>
            </w:r>
          </w:hyperlink>
        </w:p>
        <w:p w:rsidR="00E41BD4" w:rsidRDefault="00E41BD4" w14:paraId="648BDF75" w14:textId="0C1F1333">
          <w:pPr>
            <w:pStyle w:val="TOC2"/>
            <w:tabs>
              <w:tab w:val="left" w:pos="1296"/>
              <w:tab w:val="right" w:leader="dot" w:pos="9350"/>
            </w:tabs>
            <w:rPr>
              <w:rFonts w:asciiTheme="minorHAnsi" w:hAnsiTheme="minorHAnsi" w:cstheme="minorBidi"/>
              <w:noProof/>
              <w:sz w:val="22"/>
            </w:rPr>
          </w:pPr>
          <w:hyperlink w:history="1" w:anchor="_Toc101519109">
            <w:r w:rsidRPr="00136222">
              <w:rPr>
                <w:rStyle w:val="Hyperlink"/>
                <w:noProof/>
              </w:rPr>
              <w:t>19.2.</w:t>
            </w:r>
            <w:r>
              <w:rPr>
                <w:rFonts w:asciiTheme="minorHAnsi" w:hAnsiTheme="minorHAnsi" w:cstheme="minorBidi"/>
                <w:noProof/>
                <w:sz w:val="22"/>
              </w:rPr>
              <w:tab/>
            </w:r>
            <w:r w:rsidRPr="00136222">
              <w:rPr>
                <w:rStyle w:val="Hyperlink"/>
                <w:noProof/>
              </w:rPr>
              <w:t>Discussion</w:t>
            </w:r>
            <w:r>
              <w:rPr>
                <w:noProof/>
                <w:webHidden/>
              </w:rPr>
              <w:tab/>
            </w:r>
            <w:r>
              <w:rPr>
                <w:noProof/>
                <w:webHidden/>
              </w:rPr>
              <w:fldChar w:fldCharType="begin"/>
            </w:r>
            <w:r>
              <w:rPr>
                <w:noProof/>
                <w:webHidden/>
              </w:rPr>
              <w:instrText xml:space="preserve"> PAGEREF _Toc101519109 \h </w:instrText>
            </w:r>
            <w:r>
              <w:rPr>
                <w:noProof/>
                <w:webHidden/>
              </w:rPr>
            </w:r>
            <w:r>
              <w:rPr>
                <w:noProof/>
                <w:webHidden/>
              </w:rPr>
              <w:fldChar w:fldCharType="separate"/>
            </w:r>
            <w:r>
              <w:rPr>
                <w:noProof/>
                <w:webHidden/>
              </w:rPr>
              <w:t>77</w:t>
            </w:r>
            <w:r>
              <w:rPr>
                <w:noProof/>
                <w:webHidden/>
              </w:rPr>
              <w:fldChar w:fldCharType="end"/>
            </w:r>
          </w:hyperlink>
        </w:p>
        <w:p w:rsidR="00E41BD4" w:rsidRDefault="00E41BD4" w14:paraId="650879F2" w14:textId="52AF46E8">
          <w:pPr>
            <w:pStyle w:val="TOC1"/>
            <w:tabs>
              <w:tab w:val="right" w:leader="dot" w:pos="9350"/>
            </w:tabs>
            <w:rPr>
              <w:rFonts w:asciiTheme="minorHAnsi" w:hAnsiTheme="minorHAnsi" w:cstheme="minorBidi"/>
              <w:noProof/>
              <w:sz w:val="22"/>
            </w:rPr>
          </w:pPr>
          <w:hyperlink w:history="1" w:anchor="_Toc101519110">
            <w:r w:rsidRPr="00136222">
              <w:rPr>
                <w:rStyle w:val="Hyperlink"/>
                <w:noProof/>
              </w:rPr>
              <w:t>20.</w:t>
            </w:r>
            <w:r>
              <w:rPr>
                <w:rFonts w:asciiTheme="minorHAnsi" w:hAnsiTheme="minorHAnsi" w:cstheme="minorBidi"/>
                <w:noProof/>
                <w:sz w:val="22"/>
              </w:rPr>
              <w:tab/>
            </w:r>
            <w:r w:rsidRPr="00136222">
              <w:rPr>
                <w:rStyle w:val="Hyperlink"/>
                <w:noProof/>
              </w:rPr>
              <w:t>Ministerial Review</w:t>
            </w:r>
            <w:r>
              <w:rPr>
                <w:noProof/>
                <w:webHidden/>
              </w:rPr>
              <w:tab/>
            </w:r>
            <w:r>
              <w:rPr>
                <w:noProof/>
                <w:webHidden/>
              </w:rPr>
              <w:fldChar w:fldCharType="begin"/>
            </w:r>
            <w:r>
              <w:rPr>
                <w:noProof/>
                <w:webHidden/>
              </w:rPr>
              <w:instrText xml:space="preserve"> PAGEREF _Toc101519110 \h </w:instrText>
            </w:r>
            <w:r>
              <w:rPr>
                <w:noProof/>
                <w:webHidden/>
              </w:rPr>
            </w:r>
            <w:r>
              <w:rPr>
                <w:noProof/>
                <w:webHidden/>
              </w:rPr>
              <w:fldChar w:fldCharType="separate"/>
            </w:r>
            <w:r>
              <w:rPr>
                <w:noProof/>
                <w:webHidden/>
              </w:rPr>
              <w:t>81</w:t>
            </w:r>
            <w:r>
              <w:rPr>
                <w:noProof/>
                <w:webHidden/>
              </w:rPr>
              <w:fldChar w:fldCharType="end"/>
            </w:r>
          </w:hyperlink>
        </w:p>
        <w:p w:rsidR="00E41BD4" w:rsidRDefault="00E41BD4" w14:paraId="113B2F14" w14:textId="64EB339B">
          <w:pPr>
            <w:pStyle w:val="TOC2"/>
            <w:tabs>
              <w:tab w:val="left" w:pos="1296"/>
              <w:tab w:val="right" w:leader="dot" w:pos="9350"/>
            </w:tabs>
            <w:rPr>
              <w:rFonts w:asciiTheme="minorHAnsi" w:hAnsiTheme="minorHAnsi" w:cstheme="minorBidi"/>
              <w:noProof/>
              <w:sz w:val="22"/>
            </w:rPr>
          </w:pPr>
          <w:hyperlink w:history="1" w:anchor="_Toc101519111">
            <w:r w:rsidRPr="00136222">
              <w:rPr>
                <w:rStyle w:val="Hyperlink"/>
                <w:noProof/>
              </w:rPr>
              <w:t>20.1.</w:t>
            </w:r>
            <w:r>
              <w:rPr>
                <w:rFonts w:asciiTheme="minorHAnsi" w:hAnsiTheme="minorHAnsi" w:cstheme="minorBidi"/>
                <w:noProof/>
                <w:sz w:val="22"/>
              </w:rPr>
              <w:tab/>
            </w:r>
            <w:r w:rsidRPr="00136222">
              <w:rPr>
                <w:rStyle w:val="Hyperlink"/>
                <w:noProof/>
              </w:rPr>
              <w:t>Party Positions</w:t>
            </w:r>
            <w:r>
              <w:rPr>
                <w:noProof/>
                <w:webHidden/>
              </w:rPr>
              <w:tab/>
            </w:r>
            <w:r>
              <w:rPr>
                <w:noProof/>
                <w:webHidden/>
              </w:rPr>
              <w:fldChar w:fldCharType="begin"/>
            </w:r>
            <w:r>
              <w:rPr>
                <w:noProof/>
                <w:webHidden/>
              </w:rPr>
              <w:instrText xml:space="preserve"> PAGEREF _Toc101519111 \h </w:instrText>
            </w:r>
            <w:r>
              <w:rPr>
                <w:noProof/>
                <w:webHidden/>
              </w:rPr>
            </w:r>
            <w:r>
              <w:rPr>
                <w:noProof/>
                <w:webHidden/>
              </w:rPr>
              <w:fldChar w:fldCharType="separate"/>
            </w:r>
            <w:r>
              <w:rPr>
                <w:noProof/>
                <w:webHidden/>
              </w:rPr>
              <w:t>81</w:t>
            </w:r>
            <w:r>
              <w:rPr>
                <w:noProof/>
                <w:webHidden/>
              </w:rPr>
              <w:fldChar w:fldCharType="end"/>
            </w:r>
          </w:hyperlink>
        </w:p>
        <w:p w:rsidR="00E41BD4" w:rsidRDefault="00E41BD4" w14:paraId="2689D6E7" w14:textId="6EEDB123">
          <w:pPr>
            <w:pStyle w:val="TOC2"/>
            <w:tabs>
              <w:tab w:val="left" w:pos="1296"/>
              <w:tab w:val="right" w:leader="dot" w:pos="9350"/>
            </w:tabs>
            <w:rPr>
              <w:rFonts w:asciiTheme="minorHAnsi" w:hAnsiTheme="minorHAnsi" w:cstheme="minorBidi"/>
              <w:noProof/>
              <w:sz w:val="22"/>
            </w:rPr>
          </w:pPr>
          <w:hyperlink w:history="1" w:anchor="_Toc101519112">
            <w:r w:rsidRPr="00136222">
              <w:rPr>
                <w:rStyle w:val="Hyperlink"/>
                <w:noProof/>
              </w:rPr>
              <w:t>20.2.</w:t>
            </w:r>
            <w:r>
              <w:rPr>
                <w:rFonts w:asciiTheme="minorHAnsi" w:hAnsiTheme="minorHAnsi" w:cstheme="minorBidi"/>
                <w:noProof/>
                <w:sz w:val="22"/>
              </w:rPr>
              <w:tab/>
            </w:r>
            <w:r w:rsidRPr="00136222">
              <w:rPr>
                <w:rStyle w:val="Hyperlink"/>
                <w:noProof/>
              </w:rPr>
              <w:t>Discussion</w:t>
            </w:r>
            <w:r>
              <w:rPr>
                <w:noProof/>
                <w:webHidden/>
              </w:rPr>
              <w:tab/>
            </w:r>
            <w:r>
              <w:rPr>
                <w:noProof/>
                <w:webHidden/>
              </w:rPr>
              <w:fldChar w:fldCharType="begin"/>
            </w:r>
            <w:r>
              <w:rPr>
                <w:noProof/>
                <w:webHidden/>
              </w:rPr>
              <w:instrText xml:space="preserve"> PAGEREF _Toc101519112 \h </w:instrText>
            </w:r>
            <w:r>
              <w:rPr>
                <w:noProof/>
                <w:webHidden/>
              </w:rPr>
            </w:r>
            <w:r>
              <w:rPr>
                <w:noProof/>
                <w:webHidden/>
              </w:rPr>
              <w:fldChar w:fldCharType="separate"/>
            </w:r>
            <w:r>
              <w:rPr>
                <w:noProof/>
                <w:webHidden/>
              </w:rPr>
              <w:t>82</w:t>
            </w:r>
            <w:r>
              <w:rPr>
                <w:noProof/>
                <w:webHidden/>
              </w:rPr>
              <w:fldChar w:fldCharType="end"/>
            </w:r>
          </w:hyperlink>
        </w:p>
        <w:p w:rsidR="00E41BD4" w:rsidRDefault="00E41BD4" w14:paraId="11061E15" w14:textId="75DA0C35">
          <w:pPr>
            <w:pStyle w:val="TOC1"/>
            <w:tabs>
              <w:tab w:val="right" w:leader="dot" w:pos="9350"/>
            </w:tabs>
            <w:rPr>
              <w:rFonts w:asciiTheme="minorHAnsi" w:hAnsiTheme="minorHAnsi" w:cstheme="minorBidi"/>
              <w:noProof/>
              <w:sz w:val="22"/>
            </w:rPr>
          </w:pPr>
          <w:hyperlink w:history="1" w:anchor="_Toc101519113">
            <w:r w:rsidRPr="00136222">
              <w:rPr>
                <w:rStyle w:val="Hyperlink"/>
                <w:noProof/>
              </w:rPr>
              <w:t>21.</w:t>
            </w:r>
            <w:r>
              <w:rPr>
                <w:rFonts w:asciiTheme="minorHAnsi" w:hAnsiTheme="minorHAnsi" w:cstheme="minorBidi"/>
                <w:noProof/>
                <w:sz w:val="22"/>
              </w:rPr>
              <w:tab/>
            </w:r>
            <w:r w:rsidRPr="00136222">
              <w:rPr>
                <w:rStyle w:val="Hyperlink"/>
                <w:noProof/>
              </w:rPr>
              <w:t>Reporting Requirements</w:t>
            </w:r>
            <w:r>
              <w:rPr>
                <w:noProof/>
                <w:webHidden/>
              </w:rPr>
              <w:tab/>
            </w:r>
            <w:r>
              <w:rPr>
                <w:noProof/>
                <w:webHidden/>
              </w:rPr>
              <w:fldChar w:fldCharType="begin"/>
            </w:r>
            <w:r>
              <w:rPr>
                <w:noProof/>
                <w:webHidden/>
              </w:rPr>
              <w:instrText xml:space="preserve"> PAGEREF _Toc101519113 \h </w:instrText>
            </w:r>
            <w:r>
              <w:rPr>
                <w:noProof/>
                <w:webHidden/>
              </w:rPr>
            </w:r>
            <w:r>
              <w:rPr>
                <w:noProof/>
                <w:webHidden/>
              </w:rPr>
              <w:fldChar w:fldCharType="separate"/>
            </w:r>
            <w:r>
              <w:rPr>
                <w:noProof/>
                <w:webHidden/>
              </w:rPr>
              <w:t>83</w:t>
            </w:r>
            <w:r>
              <w:rPr>
                <w:noProof/>
                <w:webHidden/>
              </w:rPr>
              <w:fldChar w:fldCharType="end"/>
            </w:r>
          </w:hyperlink>
        </w:p>
        <w:p w:rsidR="00E41BD4" w:rsidRDefault="00E41BD4" w14:paraId="32BCCE04" w14:textId="6C3A9B3D">
          <w:pPr>
            <w:pStyle w:val="TOC2"/>
            <w:tabs>
              <w:tab w:val="left" w:pos="1296"/>
              <w:tab w:val="right" w:leader="dot" w:pos="9350"/>
            </w:tabs>
            <w:rPr>
              <w:rFonts w:asciiTheme="minorHAnsi" w:hAnsiTheme="minorHAnsi" w:cstheme="minorBidi"/>
              <w:noProof/>
              <w:sz w:val="22"/>
            </w:rPr>
          </w:pPr>
          <w:hyperlink w:history="1" w:anchor="_Toc101519114">
            <w:r w:rsidRPr="00136222">
              <w:rPr>
                <w:rStyle w:val="Hyperlink"/>
                <w:noProof/>
              </w:rPr>
              <w:t>21.1.</w:t>
            </w:r>
            <w:r>
              <w:rPr>
                <w:rFonts w:asciiTheme="minorHAnsi" w:hAnsiTheme="minorHAnsi" w:cstheme="minorBidi"/>
                <w:noProof/>
                <w:sz w:val="22"/>
              </w:rPr>
              <w:tab/>
            </w:r>
            <w:r w:rsidRPr="00136222">
              <w:rPr>
                <w:rStyle w:val="Hyperlink"/>
                <w:noProof/>
              </w:rPr>
              <w:t>Party Positions</w:t>
            </w:r>
            <w:r>
              <w:rPr>
                <w:noProof/>
                <w:webHidden/>
              </w:rPr>
              <w:tab/>
            </w:r>
            <w:r>
              <w:rPr>
                <w:noProof/>
                <w:webHidden/>
              </w:rPr>
              <w:fldChar w:fldCharType="begin"/>
            </w:r>
            <w:r>
              <w:rPr>
                <w:noProof/>
                <w:webHidden/>
              </w:rPr>
              <w:instrText xml:space="preserve"> PAGEREF _Toc101519114 \h </w:instrText>
            </w:r>
            <w:r>
              <w:rPr>
                <w:noProof/>
                <w:webHidden/>
              </w:rPr>
            </w:r>
            <w:r>
              <w:rPr>
                <w:noProof/>
                <w:webHidden/>
              </w:rPr>
              <w:fldChar w:fldCharType="separate"/>
            </w:r>
            <w:r>
              <w:rPr>
                <w:noProof/>
                <w:webHidden/>
              </w:rPr>
              <w:t>84</w:t>
            </w:r>
            <w:r>
              <w:rPr>
                <w:noProof/>
                <w:webHidden/>
              </w:rPr>
              <w:fldChar w:fldCharType="end"/>
            </w:r>
          </w:hyperlink>
        </w:p>
        <w:p w:rsidR="00E41BD4" w:rsidRDefault="00E41BD4" w14:paraId="103846BF" w14:textId="3022C0A1">
          <w:pPr>
            <w:pStyle w:val="TOC2"/>
            <w:tabs>
              <w:tab w:val="left" w:pos="1296"/>
              <w:tab w:val="right" w:leader="dot" w:pos="9350"/>
            </w:tabs>
            <w:rPr>
              <w:rFonts w:asciiTheme="minorHAnsi" w:hAnsiTheme="minorHAnsi" w:cstheme="minorBidi"/>
              <w:noProof/>
              <w:sz w:val="22"/>
            </w:rPr>
          </w:pPr>
          <w:hyperlink w:history="1" w:anchor="_Toc101519115">
            <w:r w:rsidRPr="00136222">
              <w:rPr>
                <w:rStyle w:val="Hyperlink"/>
                <w:noProof/>
              </w:rPr>
              <w:t>21.2.</w:t>
            </w:r>
            <w:r>
              <w:rPr>
                <w:rFonts w:asciiTheme="minorHAnsi" w:hAnsiTheme="minorHAnsi" w:cstheme="minorBidi"/>
                <w:noProof/>
                <w:sz w:val="22"/>
              </w:rPr>
              <w:tab/>
            </w:r>
            <w:r w:rsidRPr="00136222">
              <w:rPr>
                <w:rStyle w:val="Hyperlink"/>
                <w:noProof/>
              </w:rPr>
              <w:t>Discussion</w:t>
            </w:r>
            <w:r>
              <w:rPr>
                <w:noProof/>
                <w:webHidden/>
              </w:rPr>
              <w:tab/>
            </w:r>
            <w:r>
              <w:rPr>
                <w:noProof/>
                <w:webHidden/>
              </w:rPr>
              <w:fldChar w:fldCharType="begin"/>
            </w:r>
            <w:r>
              <w:rPr>
                <w:noProof/>
                <w:webHidden/>
              </w:rPr>
              <w:instrText xml:space="preserve"> PAGEREF _Toc101519115 \h </w:instrText>
            </w:r>
            <w:r>
              <w:rPr>
                <w:noProof/>
                <w:webHidden/>
              </w:rPr>
            </w:r>
            <w:r>
              <w:rPr>
                <w:noProof/>
                <w:webHidden/>
              </w:rPr>
              <w:fldChar w:fldCharType="separate"/>
            </w:r>
            <w:r>
              <w:rPr>
                <w:noProof/>
                <w:webHidden/>
              </w:rPr>
              <w:t>86</w:t>
            </w:r>
            <w:r>
              <w:rPr>
                <w:noProof/>
                <w:webHidden/>
              </w:rPr>
              <w:fldChar w:fldCharType="end"/>
            </w:r>
          </w:hyperlink>
        </w:p>
        <w:p w:rsidR="00E41BD4" w:rsidRDefault="00E41BD4" w14:paraId="59FED850" w14:textId="40AEE446">
          <w:pPr>
            <w:pStyle w:val="TOC1"/>
            <w:tabs>
              <w:tab w:val="right" w:leader="dot" w:pos="9350"/>
            </w:tabs>
            <w:rPr>
              <w:rFonts w:asciiTheme="minorHAnsi" w:hAnsiTheme="minorHAnsi" w:cstheme="minorBidi"/>
              <w:noProof/>
              <w:sz w:val="22"/>
            </w:rPr>
          </w:pPr>
          <w:hyperlink w:history="1" w:anchor="_Toc101519116">
            <w:r w:rsidRPr="00136222">
              <w:rPr>
                <w:rStyle w:val="Hyperlink"/>
                <w:noProof/>
              </w:rPr>
              <w:t>22.</w:t>
            </w:r>
            <w:r>
              <w:rPr>
                <w:rFonts w:asciiTheme="minorHAnsi" w:hAnsiTheme="minorHAnsi" w:cstheme="minorBidi"/>
                <w:noProof/>
                <w:sz w:val="22"/>
              </w:rPr>
              <w:tab/>
            </w:r>
            <w:r w:rsidRPr="00136222">
              <w:rPr>
                <w:rStyle w:val="Hyperlink"/>
                <w:noProof/>
              </w:rPr>
              <w:t>Payment</w:t>
            </w:r>
            <w:r>
              <w:rPr>
                <w:noProof/>
                <w:webHidden/>
              </w:rPr>
              <w:tab/>
            </w:r>
            <w:r>
              <w:rPr>
                <w:noProof/>
                <w:webHidden/>
              </w:rPr>
              <w:fldChar w:fldCharType="begin"/>
            </w:r>
            <w:r>
              <w:rPr>
                <w:noProof/>
                <w:webHidden/>
              </w:rPr>
              <w:instrText xml:space="preserve"> PAGEREF _Toc101519116 \h </w:instrText>
            </w:r>
            <w:r>
              <w:rPr>
                <w:noProof/>
                <w:webHidden/>
              </w:rPr>
            </w:r>
            <w:r>
              <w:rPr>
                <w:noProof/>
                <w:webHidden/>
              </w:rPr>
              <w:fldChar w:fldCharType="separate"/>
            </w:r>
            <w:r>
              <w:rPr>
                <w:noProof/>
                <w:webHidden/>
              </w:rPr>
              <w:t>87</w:t>
            </w:r>
            <w:r>
              <w:rPr>
                <w:noProof/>
                <w:webHidden/>
              </w:rPr>
              <w:fldChar w:fldCharType="end"/>
            </w:r>
          </w:hyperlink>
        </w:p>
        <w:p w:rsidR="00E41BD4" w:rsidRDefault="00E41BD4" w14:paraId="20BD677B" w14:textId="170A47A1">
          <w:pPr>
            <w:pStyle w:val="TOC2"/>
            <w:tabs>
              <w:tab w:val="left" w:pos="1296"/>
              <w:tab w:val="right" w:leader="dot" w:pos="9350"/>
            </w:tabs>
            <w:rPr>
              <w:rFonts w:asciiTheme="minorHAnsi" w:hAnsiTheme="minorHAnsi" w:cstheme="minorBidi"/>
              <w:noProof/>
              <w:sz w:val="22"/>
            </w:rPr>
          </w:pPr>
          <w:hyperlink w:history="1" w:anchor="_Toc101519117">
            <w:r w:rsidRPr="00136222">
              <w:rPr>
                <w:rStyle w:val="Hyperlink"/>
                <w:noProof/>
              </w:rPr>
              <w:t>22.1.</w:t>
            </w:r>
            <w:r>
              <w:rPr>
                <w:rFonts w:asciiTheme="minorHAnsi" w:hAnsiTheme="minorHAnsi" w:cstheme="minorBidi"/>
                <w:noProof/>
                <w:sz w:val="22"/>
              </w:rPr>
              <w:tab/>
            </w:r>
            <w:r w:rsidRPr="00136222">
              <w:rPr>
                <w:rStyle w:val="Hyperlink"/>
                <w:noProof/>
              </w:rPr>
              <w:t>Party Positions</w:t>
            </w:r>
            <w:r>
              <w:rPr>
                <w:noProof/>
                <w:webHidden/>
              </w:rPr>
              <w:tab/>
            </w:r>
            <w:r>
              <w:rPr>
                <w:noProof/>
                <w:webHidden/>
              </w:rPr>
              <w:fldChar w:fldCharType="begin"/>
            </w:r>
            <w:r>
              <w:rPr>
                <w:noProof/>
                <w:webHidden/>
              </w:rPr>
              <w:instrText xml:space="preserve"> PAGEREF _Toc101519117 \h </w:instrText>
            </w:r>
            <w:r>
              <w:rPr>
                <w:noProof/>
                <w:webHidden/>
              </w:rPr>
            </w:r>
            <w:r>
              <w:rPr>
                <w:noProof/>
                <w:webHidden/>
              </w:rPr>
              <w:fldChar w:fldCharType="separate"/>
            </w:r>
            <w:r>
              <w:rPr>
                <w:noProof/>
                <w:webHidden/>
              </w:rPr>
              <w:t>89</w:t>
            </w:r>
            <w:r>
              <w:rPr>
                <w:noProof/>
                <w:webHidden/>
              </w:rPr>
              <w:fldChar w:fldCharType="end"/>
            </w:r>
          </w:hyperlink>
        </w:p>
        <w:p w:rsidR="00E41BD4" w:rsidRDefault="00E41BD4" w14:paraId="1D379B2C" w14:textId="6F91F90A">
          <w:pPr>
            <w:pStyle w:val="TOC2"/>
            <w:tabs>
              <w:tab w:val="left" w:pos="1296"/>
              <w:tab w:val="right" w:leader="dot" w:pos="9350"/>
            </w:tabs>
            <w:rPr>
              <w:rFonts w:asciiTheme="minorHAnsi" w:hAnsiTheme="minorHAnsi" w:cstheme="minorBidi"/>
              <w:noProof/>
              <w:sz w:val="22"/>
            </w:rPr>
          </w:pPr>
          <w:hyperlink w:history="1" w:anchor="_Toc101519118">
            <w:r w:rsidRPr="00136222">
              <w:rPr>
                <w:rStyle w:val="Hyperlink"/>
                <w:noProof/>
              </w:rPr>
              <w:t>22.2.</w:t>
            </w:r>
            <w:r>
              <w:rPr>
                <w:rFonts w:asciiTheme="minorHAnsi" w:hAnsiTheme="minorHAnsi" w:cstheme="minorBidi"/>
                <w:noProof/>
                <w:sz w:val="22"/>
              </w:rPr>
              <w:tab/>
            </w:r>
            <w:r w:rsidRPr="00136222">
              <w:rPr>
                <w:rStyle w:val="Hyperlink"/>
                <w:noProof/>
              </w:rPr>
              <w:t>Discussion</w:t>
            </w:r>
            <w:r>
              <w:rPr>
                <w:noProof/>
                <w:webHidden/>
              </w:rPr>
              <w:tab/>
            </w:r>
            <w:r>
              <w:rPr>
                <w:noProof/>
                <w:webHidden/>
              </w:rPr>
              <w:fldChar w:fldCharType="begin"/>
            </w:r>
            <w:r>
              <w:rPr>
                <w:noProof/>
                <w:webHidden/>
              </w:rPr>
              <w:instrText xml:space="preserve"> PAGEREF _Toc101519118 \h </w:instrText>
            </w:r>
            <w:r>
              <w:rPr>
                <w:noProof/>
                <w:webHidden/>
              </w:rPr>
            </w:r>
            <w:r>
              <w:rPr>
                <w:noProof/>
                <w:webHidden/>
              </w:rPr>
              <w:fldChar w:fldCharType="separate"/>
            </w:r>
            <w:r>
              <w:rPr>
                <w:noProof/>
                <w:webHidden/>
              </w:rPr>
              <w:t>89</w:t>
            </w:r>
            <w:r>
              <w:rPr>
                <w:noProof/>
                <w:webHidden/>
              </w:rPr>
              <w:fldChar w:fldCharType="end"/>
            </w:r>
          </w:hyperlink>
        </w:p>
        <w:p w:rsidR="00E41BD4" w:rsidRDefault="00E41BD4" w14:paraId="7948B761" w14:textId="1B981F2E">
          <w:pPr>
            <w:pStyle w:val="TOC1"/>
            <w:tabs>
              <w:tab w:val="right" w:leader="dot" w:pos="9350"/>
            </w:tabs>
            <w:rPr>
              <w:rFonts w:asciiTheme="minorHAnsi" w:hAnsiTheme="minorHAnsi" w:cstheme="minorBidi"/>
              <w:noProof/>
              <w:sz w:val="22"/>
            </w:rPr>
          </w:pPr>
          <w:hyperlink w:history="1" w:anchor="_Toc101519119">
            <w:r w:rsidRPr="00136222">
              <w:rPr>
                <w:rStyle w:val="Hyperlink"/>
                <w:noProof/>
              </w:rPr>
              <w:t>23.</w:t>
            </w:r>
            <w:r>
              <w:rPr>
                <w:rFonts w:asciiTheme="minorHAnsi" w:hAnsiTheme="minorHAnsi" w:cstheme="minorBidi"/>
                <w:noProof/>
                <w:sz w:val="22"/>
              </w:rPr>
              <w:tab/>
            </w:r>
            <w:r w:rsidRPr="00136222">
              <w:rPr>
                <w:rStyle w:val="Hyperlink"/>
                <w:noProof/>
              </w:rPr>
              <w:t>CEQA Payments</w:t>
            </w:r>
            <w:r>
              <w:rPr>
                <w:noProof/>
                <w:webHidden/>
              </w:rPr>
              <w:tab/>
            </w:r>
            <w:r>
              <w:rPr>
                <w:noProof/>
                <w:webHidden/>
              </w:rPr>
              <w:fldChar w:fldCharType="begin"/>
            </w:r>
            <w:r>
              <w:rPr>
                <w:noProof/>
                <w:webHidden/>
              </w:rPr>
              <w:instrText xml:space="preserve"> PAGEREF _Toc101519119 \h </w:instrText>
            </w:r>
            <w:r>
              <w:rPr>
                <w:noProof/>
                <w:webHidden/>
              </w:rPr>
            </w:r>
            <w:r>
              <w:rPr>
                <w:noProof/>
                <w:webHidden/>
              </w:rPr>
              <w:fldChar w:fldCharType="separate"/>
            </w:r>
            <w:r>
              <w:rPr>
                <w:noProof/>
                <w:webHidden/>
              </w:rPr>
              <w:t>89</w:t>
            </w:r>
            <w:r>
              <w:rPr>
                <w:noProof/>
                <w:webHidden/>
              </w:rPr>
              <w:fldChar w:fldCharType="end"/>
            </w:r>
          </w:hyperlink>
        </w:p>
        <w:p w:rsidR="00E41BD4" w:rsidRDefault="00E41BD4" w14:paraId="75B0009E" w14:textId="2081AF4F">
          <w:pPr>
            <w:pStyle w:val="TOC2"/>
            <w:tabs>
              <w:tab w:val="left" w:pos="1296"/>
              <w:tab w:val="right" w:leader="dot" w:pos="9350"/>
            </w:tabs>
            <w:rPr>
              <w:rFonts w:asciiTheme="minorHAnsi" w:hAnsiTheme="minorHAnsi" w:cstheme="minorBidi"/>
              <w:noProof/>
              <w:sz w:val="22"/>
            </w:rPr>
          </w:pPr>
          <w:hyperlink w:history="1" w:anchor="_Toc101519120">
            <w:r w:rsidRPr="00136222">
              <w:rPr>
                <w:rStyle w:val="Hyperlink"/>
                <w:noProof/>
              </w:rPr>
              <w:t>23.1.</w:t>
            </w:r>
            <w:r>
              <w:rPr>
                <w:rFonts w:asciiTheme="minorHAnsi" w:hAnsiTheme="minorHAnsi" w:cstheme="minorBidi"/>
                <w:noProof/>
                <w:sz w:val="22"/>
              </w:rPr>
              <w:tab/>
            </w:r>
            <w:r w:rsidRPr="00136222">
              <w:rPr>
                <w:rStyle w:val="Hyperlink"/>
                <w:noProof/>
              </w:rPr>
              <w:t>Party Positions</w:t>
            </w:r>
            <w:r>
              <w:rPr>
                <w:noProof/>
                <w:webHidden/>
              </w:rPr>
              <w:tab/>
            </w:r>
            <w:r>
              <w:rPr>
                <w:noProof/>
                <w:webHidden/>
              </w:rPr>
              <w:fldChar w:fldCharType="begin"/>
            </w:r>
            <w:r>
              <w:rPr>
                <w:noProof/>
                <w:webHidden/>
              </w:rPr>
              <w:instrText xml:space="preserve"> PAGEREF _Toc101519120 \h </w:instrText>
            </w:r>
            <w:r>
              <w:rPr>
                <w:noProof/>
                <w:webHidden/>
              </w:rPr>
            </w:r>
            <w:r>
              <w:rPr>
                <w:noProof/>
                <w:webHidden/>
              </w:rPr>
              <w:fldChar w:fldCharType="separate"/>
            </w:r>
            <w:r>
              <w:rPr>
                <w:noProof/>
                <w:webHidden/>
              </w:rPr>
              <w:t>89</w:t>
            </w:r>
            <w:r>
              <w:rPr>
                <w:noProof/>
                <w:webHidden/>
              </w:rPr>
              <w:fldChar w:fldCharType="end"/>
            </w:r>
          </w:hyperlink>
        </w:p>
        <w:p w:rsidR="00E41BD4" w:rsidRDefault="00E41BD4" w14:paraId="7C149B51" w14:textId="27535D1C">
          <w:pPr>
            <w:pStyle w:val="TOC2"/>
            <w:tabs>
              <w:tab w:val="left" w:pos="1296"/>
              <w:tab w:val="right" w:leader="dot" w:pos="9350"/>
            </w:tabs>
            <w:rPr>
              <w:rFonts w:asciiTheme="minorHAnsi" w:hAnsiTheme="minorHAnsi" w:cstheme="minorBidi"/>
              <w:noProof/>
              <w:sz w:val="22"/>
            </w:rPr>
          </w:pPr>
          <w:hyperlink w:history="1" w:anchor="_Toc101519121">
            <w:r w:rsidRPr="00136222">
              <w:rPr>
                <w:rStyle w:val="Hyperlink"/>
                <w:noProof/>
              </w:rPr>
              <w:t>23.2.</w:t>
            </w:r>
            <w:r>
              <w:rPr>
                <w:rFonts w:asciiTheme="minorHAnsi" w:hAnsiTheme="minorHAnsi" w:cstheme="minorBidi"/>
                <w:noProof/>
                <w:sz w:val="22"/>
              </w:rPr>
              <w:tab/>
            </w:r>
            <w:r w:rsidRPr="00136222">
              <w:rPr>
                <w:rStyle w:val="Hyperlink"/>
                <w:noProof/>
              </w:rPr>
              <w:t>Discussion</w:t>
            </w:r>
            <w:r>
              <w:rPr>
                <w:noProof/>
                <w:webHidden/>
              </w:rPr>
              <w:tab/>
            </w:r>
            <w:r>
              <w:rPr>
                <w:noProof/>
                <w:webHidden/>
              </w:rPr>
              <w:fldChar w:fldCharType="begin"/>
            </w:r>
            <w:r>
              <w:rPr>
                <w:noProof/>
                <w:webHidden/>
              </w:rPr>
              <w:instrText xml:space="preserve"> PAGEREF _Toc101519121 \h </w:instrText>
            </w:r>
            <w:r>
              <w:rPr>
                <w:noProof/>
                <w:webHidden/>
              </w:rPr>
            </w:r>
            <w:r>
              <w:rPr>
                <w:noProof/>
                <w:webHidden/>
              </w:rPr>
              <w:fldChar w:fldCharType="separate"/>
            </w:r>
            <w:r>
              <w:rPr>
                <w:noProof/>
                <w:webHidden/>
              </w:rPr>
              <w:t>89</w:t>
            </w:r>
            <w:r>
              <w:rPr>
                <w:noProof/>
                <w:webHidden/>
              </w:rPr>
              <w:fldChar w:fldCharType="end"/>
            </w:r>
          </w:hyperlink>
        </w:p>
        <w:p w:rsidR="00E41BD4" w:rsidRDefault="00E41BD4" w14:paraId="3D975E40" w14:textId="66EDCAE2">
          <w:pPr>
            <w:pStyle w:val="TOC1"/>
            <w:tabs>
              <w:tab w:val="right" w:leader="dot" w:pos="9350"/>
            </w:tabs>
            <w:rPr>
              <w:rFonts w:asciiTheme="minorHAnsi" w:hAnsiTheme="minorHAnsi" w:cstheme="minorBidi"/>
              <w:noProof/>
              <w:sz w:val="22"/>
            </w:rPr>
          </w:pPr>
          <w:hyperlink w:history="1" w:anchor="_Toc101519122">
            <w:r w:rsidRPr="00136222">
              <w:rPr>
                <w:rStyle w:val="Hyperlink"/>
                <w:noProof/>
              </w:rPr>
              <w:t>24.</w:t>
            </w:r>
            <w:r>
              <w:rPr>
                <w:rFonts w:asciiTheme="minorHAnsi" w:hAnsiTheme="minorHAnsi" w:cstheme="minorBidi"/>
                <w:noProof/>
                <w:sz w:val="22"/>
              </w:rPr>
              <w:tab/>
            </w:r>
            <w:r w:rsidRPr="00136222">
              <w:rPr>
                <w:rStyle w:val="Hyperlink"/>
                <w:noProof/>
              </w:rPr>
              <w:t>Execution, Performance and Grant Termination</w:t>
            </w:r>
            <w:r>
              <w:rPr>
                <w:noProof/>
                <w:webHidden/>
              </w:rPr>
              <w:tab/>
            </w:r>
            <w:r>
              <w:rPr>
                <w:noProof/>
                <w:webHidden/>
              </w:rPr>
              <w:fldChar w:fldCharType="begin"/>
            </w:r>
            <w:r>
              <w:rPr>
                <w:noProof/>
                <w:webHidden/>
              </w:rPr>
              <w:instrText xml:space="preserve"> PAGEREF _Toc101519122 \h </w:instrText>
            </w:r>
            <w:r>
              <w:rPr>
                <w:noProof/>
                <w:webHidden/>
              </w:rPr>
            </w:r>
            <w:r>
              <w:rPr>
                <w:noProof/>
                <w:webHidden/>
              </w:rPr>
              <w:fldChar w:fldCharType="separate"/>
            </w:r>
            <w:r>
              <w:rPr>
                <w:noProof/>
                <w:webHidden/>
              </w:rPr>
              <w:t>90</w:t>
            </w:r>
            <w:r>
              <w:rPr>
                <w:noProof/>
                <w:webHidden/>
              </w:rPr>
              <w:fldChar w:fldCharType="end"/>
            </w:r>
          </w:hyperlink>
        </w:p>
        <w:p w:rsidR="00E41BD4" w:rsidRDefault="00E41BD4" w14:paraId="73077F69" w14:textId="50E7FD59">
          <w:pPr>
            <w:pStyle w:val="TOC2"/>
            <w:tabs>
              <w:tab w:val="left" w:pos="1296"/>
              <w:tab w:val="right" w:leader="dot" w:pos="9350"/>
            </w:tabs>
            <w:rPr>
              <w:rFonts w:asciiTheme="minorHAnsi" w:hAnsiTheme="minorHAnsi" w:cstheme="minorBidi"/>
              <w:noProof/>
              <w:sz w:val="22"/>
            </w:rPr>
          </w:pPr>
          <w:hyperlink w:history="1" w:anchor="_Toc101519123">
            <w:r w:rsidRPr="00136222">
              <w:rPr>
                <w:rStyle w:val="Hyperlink"/>
                <w:noProof/>
              </w:rPr>
              <w:t>24.1.</w:t>
            </w:r>
            <w:r>
              <w:rPr>
                <w:rFonts w:asciiTheme="minorHAnsi" w:hAnsiTheme="minorHAnsi" w:cstheme="minorBidi"/>
                <w:noProof/>
                <w:sz w:val="22"/>
              </w:rPr>
              <w:tab/>
            </w:r>
            <w:r w:rsidRPr="00136222">
              <w:rPr>
                <w:rStyle w:val="Hyperlink"/>
                <w:noProof/>
              </w:rPr>
              <w:t>Party Positions</w:t>
            </w:r>
            <w:r>
              <w:rPr>
                <w:noProof/>
                <w:webHidden/>
              </w:rPr>
              <w:tab/>
            </w:r>
            <w:r>
              <w:rPr>
                <w:noProof/>
                <w:webHidden/>
              </w:rPr>
              <w:fldChar w:fldCharType="begin"/>
            </w:r>
            <w:r>
              <w:rPr>
                <w:noProof/>
                <w:webHidden/>
              </w:rPr>
              <w:instrText xml:space="preserve"> PAGEREF _Toc101519123 \h </w:instrText>
            </w:r>
            <w:r>
              <w:rPr>
                <w:noProof/>
                <w:webHidden/>
              </w:rPr>
            </w:r>
            <w:r>
              <w:rPr>
                <w:noProof/>
                <w:webHidden/>
              </w:rPr>
              <w:fldChar w:fldCharType="separate"/>
            </w:r>
            <w:r>
              <w:rPr>
                <w:noProof/>
                <w:webHidden/>
              </w:rPr>
              <w:t>90</w:t>
            </w:r>
            <w:r>
              <w:rPr>
                <w:noProof/>
                <w:webHidden/>
              </w:rPr>
              <w:fldChar w:fldCharType="end"/>
            </w:r>
          </w:hyperlink>
        </w:p>
        <w:p w:rsidR="00E41BD4" w:rsidRDefault="00E41BD4" w14:paraId="01AFC7E6" w14:textId="55AA4E50">
          <w:pPr>
            <w:pStyle w:val="TOC2"/>
            <w:tabs>
              <w:tab w:val="left" w:pos="1296"/>
              <w:tab w:val="right" w:leader="dot" w:pos="9350"/>
            </w:tabs>
            <w:rPr>
              <w:rFonts w:asciiTheme="minorHAnsi" w:hAnsiTheme="minorHAnsi" w:cstheme="minorBidi"/>
              <w:noProof/>
              <w:sz w:val="22"/>
            </w:rPr>
          </w:pPr>
          <w:hyperlink w:history="1" w:anchor="_Toc101519124">
            <w:r w:rsidRPr="00136222">
              <w:rPr>
                <w:rStyle w:val="Hyperlink"/>
                <w:noProof/>
              </w:rPr>
              <w:t>24.2.</w:t>
            </w:r>
            <w:r>
              <w:rPr>
                <w:rFonts w:asciiTheme="minorHAnsi" w:hAnsiTheme="minorHAnsi" w:cstheme="minorBidi"/>
                <w:noProof/>
                <w:sz w:val="22"/>
              </w:rPr>
              <w:tab/>
            </w:r>
            <w:r w:rsidRPr="00136222">
              <w:rPr>
                <w:rStyle w:val="Hyperlink"/>
                <w:noProof/>
              </w:rPr>
              <w:t>Discussion</w:t>
            </w:r>
            <w:r>
              <w:rPr>
                <w:noProof/>
                <w:webHidden/>
              </w:rPr>
              <w:tab/>
            </w:r>
            <w:r>
              <w:rPr>
                <w:noProof/>
                <w:webHidden/>
              </w:rPr>
              <w:fldChar w:fldCharType="begin"/>
            </w:r>
            <w:r>
              <w:rPr>
                <w:noProof/>
                <w:webHidden/>
              </w:rPr>
              <w:instrText xml:space="preserve"> PAGEREF _Toc101519124 \h </w:instrText>
            </w:r>
            <w:r>
              <w:rPr>
                <w:noProof/>
                <w:webHidden/>
              </w:rPr>
            </w:r>
            <w:r>
              <w:rPr>
                <w:noProof/>
                <w:webHidden/>
              </w:rPr>
              <w:fldChar w:fldCharType="separate"/>
            </w:r>
            <w:r>
              <w:rPr>
                <w:noProof/>
                <w:webHidden/>
              </w:rPr>
              <w:t>91</w:t>
            </w:r>
            <w:r>
              <w:rPr>
                <w:noProof/>
                <w:webHidden/>
              </w:rPr>
              <w:fldChar w:fldCharType="end"/>
            </w:r>
          </w:hyperlink>
        </w:p>
        <w:p w:rsidR="00E41BD4" w:rsidRDefault="00E41BD4" w14:paraId="4F9473A2" w14:textId="35E27032">
          <w:pPr>
            <w:pStyle w:val="TOC1"/>
            <w:tabs>
              <w:tab w:val="right" w:leader="dot" w:pos="9350"/>
            </w:tabs>
            <w:rPr>
              <w:rFonts w:asciiTheme="minorHAnsi" w:hAnsiTheme="minorHAnsi" w:cstheme="minorBidi"/>
              <w:noProof/>
              <w:sz w:val="22"/>
            </w:rPr>
          </w:pPr>
          <w:hyperlink w:history="1" w:anchor="_Toc101519125">
            <w:r w:rsidRPr="00136222">
              <w:rPr>
                <w:rStyle w:val="Hyperlink"/>
                <w:noProof/>
              </w:rPr>
              <w:t>25.</w:t>
            </w:r>
            <w:r>
              <w:rPr>
                <w:rFonts w:asciiTheme="minorHAnsi" w:hAnsiTheme="minorHAnsi" w:cstheme="minorBidi"/>
                <w:noProof/>
                <w:sz w:val="22"/>
              </w:rPr>
              <w:tab/>
            </w:r>
            <w:r w:rsidRPr="00136222">
              <w:rPr>
                <w:rStyle w:val="Hyperlink"/>
                <w:noProof/>
              </w:rPr>
              <w:t>Transfer of Grant and/or Assets Built Using Grant Funding</w:t>
            </w:r>
            <w:r>
              <w:rPr>
                <w:noProof/>
                <w:webHidden/>
              </w:rPr>
              <w:tab/>
            </w:r>
            <w:r>
              <w:rPr>
                <w:noProof/>
                <w:webHidden/>
              </w:rPr>
              <w:fldChar w:fldCharType="begin"/>
            </w:r>
            <w:r>
              <w:rPr>
                <w:noProof/>
                <w:webHidden/>
              </w:rPr>
              <w:instrText xml:space="preserve"> PAGEREF _Toc101519125 \h </w:instrText>
            </w:r>
            <w:r>
              <w:rPr>
                <w:noProof/>
                <w:webHidden/>
              </w:rPr>
            </w:r>
            <w:r>
              <w:rPr>
                <w:noProof/>
                <w:webHidden/>
              </w:rPr>
              <w:fldChar w:fldCharType="separate"/>
            </w:r>
            <w:r>
              <w:rPr>
                <w:noProof/>
                <w:webHidden/>
              </w:rPr>
              <w:t>91</w:t>
            </w:r>
            <w:r>
              <w:rPr>
                <w:noProof/>
                <w:webHidden/>
              </w:rPr>
              <w:fldChar w:fldCharType="end"/>
            </w:r>
          </w:hyperlink>
        </w:p>
        <w:p w:rsidR="00E41BD4" w:rsidRDefault="00E41BD4" w14:paraId="0D24E6B9" w14:textId="4A1851FF">
          <w:pPr>
            <w:pStyle w:val="TOC2"/>
            <w:tabs>
              <w:tab w:val="left" w:pos="1296"/>
              <w:tab w:val="right" w:leader="dot" w:pos="9350"/>
            </w:tabs>
            <w:rPr>
              <w:rFonts w:asciiTheme="minorHAnsi" w:hAnsiTheme="minorHAnsi" w:cstheme="minorBidi"/>
              <w:noProof/>
              <w:sz w:val="22"/>
            </w:rPr>
          </w:pPr>
          <w:hyperlink w:history="1" w:anchor="_Toc101519126">
            <w:r w:rsidRPr="00136222">
              <w:rPr>
                <w:rStyle w:val="Hyperlink"/>
                <w:noProof/>
              </w:rPr>
              <w:t>25.1.</w:t>
            </w:r>
            <w:r>
              <w:rPr>
                <w:rFonts w:asciiTheme="minorHAnsi" w:hAnsiTheme="minorHAnsi" w:cstheme="minorBidi"/>
                <w:noProof/>
                <w:sz w:val="22"/>
              </w:rPr>
              <w:tab/>
            </w:r>
            <w:r w:rsidRPr="00136222">
              <w:rPr>
                <w:rStyle w:val="Hyperlink"/>
                <w:noProof/>
              </w:rPr>
              <w:t>Party Positions</w:t>
            </w:r>
            <w:r>
              <w:rPr>
                <w:noProof/>
                <w:webHidden/>
              </w:rPr>
              <w:tab/>
            </w:r>
            <w:r>
              <w:rPr>
                <w:noProof/>
                <w:webHidden/>
              </w:rPr>
              <w:fldChar w:fldCharType="begin"/>
            </w:r>
            <w:r>
              <w:rPr>
                <w:noProof/>
                <w:webHidden/>
              </w:rPr>
              <w:instrText xml:space="preserve"> PAGEREF _Toc101519126 \h </w:instrText>
            </w:r>
            <w:r>
              <w:rPr>
                <w:noProof/>
                <w:webHidden/>
              </w:rPr>
            </w:r>
            <w:r>
              <w:rPr>
                <w:noProof/>
                <w:webHidden/>
              </w:rPr>
              <w:fldChar w:fldCharType="separate"/>
            </w:r>
            <w:r>
              <w:rPr>
                <w:noProof/>
                <w:webHidden/>
              </w:rPr>
              <w:t>92</w:t>
            </w:r>
            <w:r>
              <w:rPr>
                <w:noProof/>
                <w:webHidden/>
              </w:rPr>
              <w:fldChar w:fldCharType="end"/>
            </w:r>
          </w:hyperlink>
        </w:p>
        <w:p w:rsidR="00E41BD4" w:rsidRDefault="00E41BD4" w14:paraId="5BB3FBA8" w14:textId="2375A8AE">
          <w:pPr>
            <w:pStyle w:val="TOC2"/>
            <w:tabs>
              <w:tab w:val="left" w:pos="1296"/>
              <w:tab w:val="right" w:leader="dot" w:pos="9350"/>
            </w:tabs>
            <w:rPr>
              <w:rFonts w:asciiTheme="minorHAnsi" w:hAnsiTheme="minorHAnsi" w:cstheme="minorBidi"/>
              <w:noProof/>
              <w:sz w:val="22"/>
            </w:rPr>
          </w:pPr>
          <w:hyperlink w:history="1" w:anchor="_Toc101519127">
            <w:r w:rsidRPr="00136222">
              <w:rPr>
                <w:rStyle w:val="Hyperlink"/>
                <w:noProof/>
              </w:rPr>
              <w:t>25.2.</w:t>
            </w:r>
            <w:r>
              <w:rPr>
                <w:rFonts w:asciiTheme="minorHAnsi" w:hAnsiTheme="minorHAnsi" w:cstheme="minorBidi"/>
                <w:noProof/>
                <w:sz w:val="22"/>
              </w:rPr>
              <w:tab/>
            </w:r>
            <w:r w:rsidRPr="00136222">
              <w:rPr>
                <w:rStyle w:val="Hyperlink"/>
                <w:noProof/>
              </w:rPr>
              <w:t>Discussion</w:t>
            </w:r>
            <w:r>
              <w:rPr>
                <w:noProof/>
                <w:webHidden/>
              </w:rPr>
              <w:tab/>
            </w:r>
            <w:r>
              <w:rPr>
                <w:noProof/>
                <w:webHidden/>
              </w:rPr>
              <w:fldChar w:fldCharType="begin"/>
            </w:r>
            <w:r>
              <w:rPr>
                <w:noProof/>
                <w:webHidden/>
              </w:rPr>
              <w:instrText xml:space="preserve"> PAGEREF _Toc101519127 \h </w:instrText>
            </w:r>
            <w:r>
              <w:rPr>
                <w:noProof/>
                <w:webHidden/>
              </w:rPr>
            </w:r>
            <w:r>
              <w:rPr>
                <w:noProof/>
                <w:webHidden/>
              </w:rPr>
              <w:fldChar w:fldCharType="separate"/>
            </w:r>
            <w:r>
              <w:rPr>
                <w:noProof/>
                <w:webHidden/>
              </w:rPr>
              <w:t>93</w:t>
            </w:r>
            <w:r>
              <w:rPr>
                <w:noProof/>
                <w:webHidden/>
              </w:rPr>
              <w:fldChar w:fldCharType="end"/>
            </w:r>
          </w:hyperlink>
        </w:p>
        <w:p w:rsidR="00E41BD4" w:rsidRDefault="00E41BD4" w14:paraId="22CA3B91" w14:textId="4EE26CA5">
          <w:pPr>
            <w:pStyle w:val="TOC1"/>
            <w:tabs>
              <w:tab w:val="right" w:leader="dot" w:pos="9350"/>
            </w:tabs>
            <w:rPr>
              <w:rFonts w:asciiTheme="minorHAnsi" w:hAnsiTheme="minorHAnsi" w:cstheme="minorBidi"/>
              <w:noProof/>
              <w:sz w:val="22"/>
            </w:rPr>
          </w:pPr>
          <w:hyperlink w:history="1" w:anchor="_Toc101519128">
            <w:r w:rsidRPr="00136222">
              <w:rPr>
                <w:rStyle w:val="Hyperlink"/>
                <w:noProof/>
              </w:rPr>
              <w:t>26.</w:t>
            </w:r>
            <w:r>
              <w:rPr>
                <w:rFonts w:asciiTheme="minorHAnsi" w:hAnsiTheme="minorHAnsi" w:cstheme="minorBidi"/>
                <w:noProof/>
                <w:sz w:val="22"/>
              </w:rPr>
              <w:tab/>
            </w:r>
            <w:r w:rsidRPr="00136222">
              <w:rPr>
                <w:rStyle w:val="Hyperlink"/>
                <w:noProof/>
              </w:rPr>
              <w:t>Audit Compliance</w:t>
            </w:r>
            <w:r>
              <w:rPr>
                <w:noProof/>
                <w:webHidden/>
              </w:rPr>
              <w:tab/>
            </w:r>
            <w:r>
              <w:rPr>
                <w:noProof/>
                <w:webHidden/>
              </w:rPr>
              <w:fldChar w:fldCharType="begin"/>
            </w:r>
            <w:r>
              <w:rPr>
                <w:noProof/>
                <w:webHidden/>
              </w:rPr>
              <w:instrText xml:space="preserve"> PAGEREF _Toc101519128 \h </w:instrText>
            </w:r>
            <w:r>
              <w:rPr>
                <w:noProof/>
                <w:webHidden/>
              </w:rPr>
            </w:r>
            <w:r>
              <w:rPr>
                <w:noProof/>
                <w:webHidden/>
              </w:rPr>
              <w:fldChar w:fldCharType="separate"/>
            </w:r>
            <w:r>
              <w:rPr>
                <w:noProof/>
                <w:webHidden/>
              </w:rPr>
              <w:t>93</w:t>
            </w:r>
            <w:r>
              <w:rPr>
                <w:noProof/>
                <w:webHidden/>
              </w:rPr>
              <w:fldChar w:fldCharType="end"/>
            </w:r>
          </w:hyperlink>
        </w:p>
        <w:p w:rsidR="00E41BD4" w:rsidRDefault="00E41BD4" w14:paraId="435BF3DB" w14:textId="43770BD3">
          <w:pPr>
            <w:pStyle w:val="TOC2"/>
            <w:tabs>
              <w:tab w:val="left" w:pos="1296"/>
              <w:tab w:val="right" w:leader="dot" w:pos="9350"/>
            </w:tabs>
            <w:rPr>
              <w:rFonts w:asciiTheme="minorHAnsi" w:hAnsiTheme="minorHAnsi" w:cstheme="minorBidi"/>
              <w:noProof/>
              <w:sz w:val="22"/>
            </w:rPr>
          </w:pPr>
          <w:hyperlink w:history="1" w:anchor="_Toc101519129">
            <w:r w:rsidRPr="00136222">
              <w:rPr>
                <w:rStyle w:val="Hyperlink"/>
                <w:noProof/>
              </w:rPr>
              <w:t>26.1.</w:t>
            </w:r>
            <w:r>
              <w:rPr>
                <w:rFonts w:asciiTheme="minorHAnsi" w:hAnsiTheme="minorHAnsi" w:cstheme="minorBidi"/>
                <w:noProof/>
                <w:sz w:val="22"/>
              </w:rPr>
              <w:tab/>
            </w:r>
            <w:r w:rsidRPr="00136222">
              <w:rPr>
                <w:rStyle w:val="Hyperlink"/>
                <w:noProof/>
              </w:rPr>
              <w:t>Party Positions</w:t>
            </w:r>
            <w:r>
              <w:rPr>
                <w:noProof/>
                <w:webHidden/>
              </w:rPr>
              <w:tab/>
            </w:r>
            <w:r>
              <w:rPr>
                <w:noProof/>
                <w:webHidden/>
              </w:rPr>
              <w:fldChar w:fldCharType="begin"/>
            </w:r>
            <w:r>
              <w:rPr>
                <w:noProof/>
                <w:webHidden/>
              </w:rPr>
              <w:instrText xml:space="preserve"> PAGEREF _Toc101519129 \h </w:instrText>
            </w:r>
            <w:r>
              <w:rPr>
                <w:noProof/>
                <w:webHidden/>
              </w:rPr>
            </w:r>
            <w:r>
              <w:rPr>
                <w:noProof/>
                <w:webHidden/>
              </w:rPr>
              <w:fldChar w:fldCharType="separate"/>
            </w:r>
            <w:r>
              <w:rPr>
                <w:noProof/>
                <w:webHidden/>
              </w:rPr>
              <w:t>93</w:t>
            </w:r>
            <w:r>
              <w:rPr>
                <w:noProof/>
                <w:webHidden/>
              </w:rPr>
              <w:fldChar w:fldCharType="end"/>
            </w:r>
          </w:hyperlink>
        </w:p>
        <w:p w:rsidR="00E41BD4" w:rsidRDefault="00E41BD4" w14:paraId="39A6EBA8" w14:textId="6A3EEC49">
          <w:pPr>
            <w:pStyle w:val="TOC2"/>
            <w:tabs>
              <w:tab w:val="left" w:pos="1296"/>
              <w:tab w:val="right" w:leader="dot" w:pos="9350"/>
            </w:tabs>
            <w:rPr>
              <w:rFonts w:asciiTheme="minorHAnsi" w:hAnsiTheme="minorHAnsi" w:cstheme="minorBidi"/>
              <w:noProof/>
              <w:sz w:val="22"/>
            </w:rPr>
          </w:pPr>
          <w:hyperlink w:history="1" w:anchor="_Toc101519130">
            <w:r w:rsidRPr="00136222">
              <w:rPr>
                <w:rStyle w:val="Hyperlink"/>
                <w:noProof/>
              </w:rPr>
              <w:t>26.2.</w:t>
            </w:r>
            <w:r>
              <w:rPr>
                <w:rFonts w:asciiTheme="minorHAnsi" w:hAnsiTheme="minorHAnsi" w:cstheme="minorBidi"/>
                <w:noProof/>
                <w:sz w:val="22"/>
              </w:rPr>
              <w:tab/>
            </w:r>
            <w:r w:rsidRPr="00136222">
              <w:rPr>
                <w:rStyle w:val="Hyperlink"/>
                <w:noProof/>
              </w:rPr>
              <w:t>Discussion</w:t>
            </w:r>
            <w:r>
              <w:rPr>
                <w:noProof/>
                <w:webHidden/>
              </w:rPr>
              <w:tab/>
            </w:r>
            <w:r>
              <w:rPr>
                <w:noProof/>
                <w:webHidden/>
              </w:rPr>
              <w:fldChar w:fldCharType="begin"/>
            </w:r>
            <w:r>
              <w:rPr>
                <w:noProof/>
                <w:webHidden/>
              </w:rPr>
              <w:instrText xml:space="preserve"> PAGEREF _Toc101519130 \h </w:instrText>
            </w:r>
            <w:r>
              <w:rPr>
                <w:noProof/>
                <w:webHidden/>
              </w:rPr>
            </w:r>
            <w:r>
              <w:rPr>
                <w:noProof/>
                <w:webHidden/>
              </w:rPr>
              <w:fldChar w:fldCharType="separate"/>
            </w:r>
            <w:r>
              <w:rPr>
                <w:noProof/>
                <w:webHidden/>
              </w:rPr>
              <w:t>93</w:t>
            </w:r>
            <w:r>
              <w:rPr>
                <w:noProof/>
                <w:webHidden/>
              </w:rPr>
              <w:fldChar w:fldCharType="end"/>
            </w:r>
          </w:hyperlink>
        </w:p>
        <w:p w:rsidR="00E41BD4" w:rsidRDefault="00E41BD4" w14:paraId="53AB505D" w14:textId="0A17E0ED">
          <w:pPr>
            <w:pStyle w:val="TOC1"/>
            <w:tabs>
              <w:tab w:val="right" w:leader="dot" w:pos="9350"/>
            </w:tabs>
            <w:rPr>
              <w:rFonts w:asciiTheme="minorHAnsi" w:hAnsiTheme="minorHAnsi" w:cstheme="minorBidi"/>
              <w:noProof/>
              <w:sz w:val="22"/>
            </w:rPr>
          </w:pPr>
          <w:hyperlink w:history="1" w:anchor="_Toc101519131">
            <w:r w:rsidRPr="00136222">
              <w:rPr>
                <w:rStyle w:val="Hyperlink"/>
                <w:noProof/>
              </w:rPr>
              <w:t>27.</w:t>
            </w:r>
            <w:r>
              <w:rPr>
                <w:rFonts w:asciiTheme="minorHAnsi" w:hAnsiTheme="minorHAnsi" w:cstheme="minorBidi"/>
                <w:noProof/>
                <w:sz w:val="22"/>
              </w:rPr>
              <w:tab/>
            </w:r>
            <w:r w:rsidRPr="00136222">
              <w:rPr>
                <w:rStyle w:val="Hyperlink"/>
                <w:noProof/>
              </w:rPr>
              <w:t>Conclusion</w:t>
            </w:r>
            <w:r>
              <w:rPr>
                <w:noProof/>
                <w:webHidden/>
              </w:rPr>
              <w:tab/>
            </w:r>
            <w:r>
              <w:rPr>
                <w:noProof/>
                <w:webHidden/>
              </w:rPr>
              <w:fldChar w:fldCharType="begin"/>
            </w:r>
            <w:r>
              <w:rPr>
                <w:noProof/>
                <w:webHidden/>
              </w:rPr>
              <w:instrText xml:space="preserve"> PAGEREF _Toc101519131 \h </w:instrText>
            </w:r>
            <w:r>
              <w:rPr>
                <w:noProof/>
                <w:webHidden/>
              </w:rPr>
            </w:r>
            <w:r>
              <w:rPr>
                <w:noProof/>
                <w:webHidden/>
              </w:rPr>
              <w:fldChar w:fldCharType="separate"/>
            </w:r>
            <w:r>
              <w:rPr>
                <w:noProof/>
                <w:webHidden/>
              </w:rPr>
              <w:t>94</w:t>
            </w:r>
            <w:r>
              <w:rPr>
                <w:noProof/>
                <w:webHidden/>
              </w:rPr>
              <w:fldChar w:fldCharType="end"/>
            </w:r>
          </w:hyperlink>
        </w:p>
        <w:p w:rsidR="00E41BD4" w:rsidRDefault="00E41BD4" w14:paraId="6E36F2CC" w14:textId="2D83168A">
          <w:pPr>
            <w:pStyle w:val="TOC1"/>
            <w:tabs>
              <w:tab w:val="right" w:leader="dot" w:pos="9350"/>
            </w:tabs>
            <w:rPr>
              <w:rFonts w:asciiTheme="minorHAnsi" w:hAnsiTheme="minorHAnsi" w:cstheme="minorBidi"/>
              <w:noProof/>
              <w:sz w:val="22"/>
            </w:rPr>
          </w:pPr>
          <w:hyperlink w:history="1" w:anchor="_Toc101519132">
            <w:r w:rsidRPr="00136222">
              <w:rPr>
                <w:rStyle w:val="Hyperlink"/>
                <w:noProof/>
              </w:rPr>
              <w:t>28.</w:t>
            </w:r>
            <w:r>
              <w:rPr>
                <w:rFonts w:asciiTheme="minorHAnsi" w:hAnsiTheme="minorHAnsi" w:cstheme="minorBidi"/>
                <w:noProof/>
                <w:sz w:val="22"/>
              </w:rPr>
              <w:tab/>
            </w:r>
            <w:r w:rsidRPr="00136222">
              <w:rPr>
                <w:rStyle w:val="Hyperlink"/>
                <w:noProof/>
              </w:rPr>
              <w:t>Comments on Proposed Decision</w:t>
            </w:r>
            <w:r>
              <w:rPr>
                <w:noProof/>
                <w:webHidden/>
              </w:rPr>
              <w:tab/>
            </w:r>
            <w:r>
              <w:rPr>
                <w:noProof/>
                <w:webHidden/>
              </w:rPr>
              <w:fldChar w:fldCharType="begin"/>
            </w:r>
            <w:r>
              <w:rPr>
                <w:noProof/>
                <w:webHidden/>
              </w:rPr>
              <w:instrText xml:space="preserve"> PAGEREF _Toc101519132 \h </w:instrText>
            </w:r>
            <w:r>
              <w:rPr>
                <w:noProof/>
                <w:webHidden/>
              </w:rPr>
            </w:r>
            <w:r>
              <w:rPr>
                <w:noProof/>
                <w:webHidden/>
              </w:rPr>
              <w:fldChar w:fldCharType="separate"/>
            </w:r>
            <w:r>
              <w:rPr>
                <w:noProof/>
                <w:webHidden/>
              </w:rPr>
              <w:t>94</w:t>
            </w:r>
            <w:r>
              <w:rPr>
                <w:noProof/>
                <w:webHidden/>
              </w:rPr>
              <w:fldChar w:fldCharType="end"/>
            </w:r>
          </w:hyperlink>
        </w:p>
        <w:p w:rsidR="00E41BD4" w:rsidRDefault="00E41BD4" w14:paraId="4D0D7558" w14:textId="045F601B">
          <w:pPr>
            <w:pStyle w:val="TOC1"/>
            <w:tabs>
              <w:tab w:val="right" w:leader="dot" w:pos="9350"/>
            </w:tabs>
            <w:rPr>
              <w:rFonts w:asciiTheme="minorHAnsi" w:hAnsiTheme="minorHAnsi" w:cstheme="minorBidi"/>
              <w:noProof/>
              <w:sz w:val="22"/>
            </w:rPr>
          </w:pPr>
          <w:hyperlink w:history="1" w:anchor="_Toc101519133">
            <w:r w:rsidRPr="00136222">
              <w:rPr>
                <w:rStyle w:val="Hyperlink"/>
                <w:noProof/>
              </w:rPr>
              <w:t>29.</w:t>
            </w:r>
            <w:r>
              <w:rPr>
                <w:rFonts w:asciiTheme="minorHAnsi" w:hAnsiTheme="minorHAnsi" w:cstheme="minorBidi"/>
                <w:noProof/>
                <w:sz w:val="22"/>
              </w:rPr>
              <w:tab/>
            </w:r>
            <w:r w:rsidRPr="00136222">
              <w:rPr>
                <w:rStyle w:val="Hyperlink"/>
                <w:noProof/>
              </w:rPr>
              <w:t>Assignment of Proceeding</w:t>
            </w:r>
            <w:r>
              <w:rPr>
                <w:noProof/>
                <w:webHidden/>
              </w:rPr>
              <w:tab/>
            </w:r>
            <w:r>
              <w:rPr>
                <w:noProof/>
                <w:webHidden/>
              </w:rPr>
              <w:fldChar w:fldCharType="begin"/>
            </w:r>
            <w:r>
              <w:rPr>
                <w:noProof/>
                <w:webHidden/>
              </w:rPr>
              <w:instrText xml:space="preserve"> PAGEREF _Toc101519133 \h </w:instrText>
            </w:r>
            <w:r>
              <w:rPr>
                <w:noProof/>
                <w:webHidden/>
              </w:rPr>
            </w:r>
            <w:r>
              <w:rPr>
                <w:noProof/>
                <w:webHidden/>
              </w:rPr>
              <w:fldChar w:fldCharType="separate"/>
            </w:r>
            <w:r>
              <w:rPr>
                <w:noProof/>
                <w:webHidden/>
              </w:rPr>
              <w:t>99</w:t>
            </w:r>
            <w:r>
              <w:rPr>
                <w:noProof/>
                <w:webHidden/>
              </w:rPr>
              <w:fldChar w:fldCharType="end"/>
            </w:r>
          </w:hyperlink>
        </w:p>
        <w:p w:rsidR="00E41BD4" w:rsidRDefault="00E41BD4" w14:paraId="185B86EA" w14:textId="573629B7">
          <w:pPr>
            <w:pStyle w:val="TOC1"/>
            <w:tabs>
              <w:tab w:val="right" w:leader="dot" w:pos="9350"/>
            </w:tabs>
            <w:rPr>
              <w:rFonts w:asciiTheme="minorHAnsi" w:hAnsiTheme="minorHAnsi" w:cstheme="minorBidi"/>
              <w:noProof/>
              <w:sz w:val="22"/>
            </w:rPr>
          </w:pPr>
          <w:hyperlink w:history="1" w:anchor="_Toc101519134">
            <w:r w:rsidRPr="00136222">
              <w:rPr>
                <w:rStyle w:val="Hyperlink"/>
                <w:noProof/>
              </w:rPr>
              <w:t>Findings of Fact</w:t>
            </w:r>
            <w:r>
              <w:rPr>
                <w:noProof/>
                <w:webHidden/>
              </w:rPr>
              <w:tab/>
            </w:r>
            <w:r>
              <w:rPr>
                <w:noProof/>
                <w:webHidden/>
              </w:rPr>
              <w:fldChar w:fldCharType="begin"/>
            </w:r>
            <w:r>
              <w:rPr>
                <w:noProof/>
                <w:webHidden/>
              </w:rPr>
              <w:instrText xml:space="preserve"> PAGEREF _Toc101519134 \h </w:instrText>
            </w:r>
            <w:r>
              <w:rPr>
                <w:noProof/>
                <w:webHidden/>
              </w:rPr>
            </w:r>
            <w:r>
              <w:rPr>
                <w:noProof/>
                <w:webHidden/>
              </w:rPr>
              <w:fldChar w:fldCharType="separate"/>
            </w:r>
            <w:r>
              <w:rPr>
                <w:noProof/>
                <w:webHidden/>
              </w:rPr>
              <w:t>100</w:t>
            </w:r>
            <w:r>
              <w:rPr>
                <w:noProof/>
                <w:webHidden/>
              </w:rPr>
              <w:fldChar w:fldCharType="end"/>
            </w:r>
          </w:hyperlink>
        </w:p>
        <w:p w:rsidR="00E41BD4" w:rsidRDefault="00E41BD4" w14:paraId="0A537F99" w14:textId="5ADEDB22">
          <w:pPr>
            <w:pStyle w:val="TOC1"/>
            <w:tabs>
              <w:tab w:val="right" w:leader="dot" w:pos="9350"/>
            </w:tabs>
            <w:rPr>
              <w:rFonts w:asciiTheme="minorHAnsi" w:hAnsiTheme="minorHAnsi" w:cstheme="minorBidi"/>
              <w:noProof/>
              <w:sz w:val="22"/>
            </w:rPr>
          </w:pPr>
          <w:hyperlink w:history="1" w:anchor="_Toc101519135">
            <w:r w:rsidRPr="00136222">
              <w:rPr>
                <w:rStyle w:val="Hyperlink"/>
                <w:noProof/>
              </w:rPr>
              <w:t>Conclusions of Law</w:t>
            </w:r>
            <w:r>
              <w:rPr>
                <w:noProof/>
                <w:webHidden/>
              </w:rPr>
              <w:tab/>
            </w:r>
            <w:r>
              <w:rPr>
                <w:noProof/>
                <w:webHidden/>
              </w:rPr>
              <w:fldChar w:fldCharType="begin"/>
            </w:r>
            <w:r>
              <w:rPr>
                <w:noProof/>
                <w:webHidden/>
              </w:rPr>
              <w:instrText xml:space="preserve"> PAGEREF _Toc101519135 \h </w:instrText>
            </w:r>
            <w:r>
              <w:rPr>
                <w:noProof/>
                <w:webHidden/>
              </w:rPr>
            </w:r>
            <w:r>
              <w:rPr>
                <w:noProof/>
                <w:webHidden/>
              </w:rPr>
              <w:fldChar w:fldCharType="separate"/>
            </w:r>
            <w:r>
              <w:rPr>
                <w:noProof/>
                <w:webHidden/>
              </w:rPr>
              <w:t>102</w:t>
            </w:r>
            <w:r>
              <w:rPr>
                <w:noProof/>
                <w:webHidden/>
              </w:rPr>
              <w:fldChar w:fldCharType="end"/>
            </w:r>
          </w:hyperlink>
        </w:p>
        <w:p w:rsidR="00E41BD4" w:rsidRDefault="00E41BD4" w14:paraId="4052DA16" w14:textId="7B64887B">
          <w:pPr>
            <w:pStyle w:val="TOC1"/>
            <w:tabs>
              <w:tab w:val="right" w:leader="dot" w:pos="9350"/>
            </w:tabs>
            <w:rPr>
              <w:rFonts w:asciiTheme="minorHAnsi" w:hAnsiTheme="minorHAnsi" w:cstheme="minorBidi"/>
              <w:noProof/>
              <w:sz w:val="22"/>
            </w:rPr>
          </w:pPr>
          <w:hyperlink w:history="1" w:anchor="_Toc101519136">
            <w:r w:rsidRPr="00136222">
              <w:rPr>
                <w:rStyle w:val="Hyperlink"/>
                <w:noProof/>
              </w:rPr>
              <w:t>ORDER</w:t>
            </w:r>
            <w:r>
              <w:rPr>
                <w:noProof/>
                <w:webHidden/>
              </w:rPr>
              <w:tab/>
            </w:r>
            <w:r>
              <w:rPr>
                <w:noProof/>
                <w:webHidden/>
              </w:rPr>
              <w:fldChar w:fldCharType="begin"/>
            </w:r>
            <w:r>
              <w:rPr>
                <w:noProof/>
                <w:webHidden/>
              </w:rPr>
              <w:instrText xml:space="preserve"> PAGEREF _Toc101519136 \h </w:instrText>
            </w:r>
            <w:r>
              <w:rPr>
                <w:noProof/>
                <w:webHidden/>
              </w:rPr>
            </w:r>
            <w:r>
              <w:rPr>
                <w:noProof/>
                <w:webHidden/>
              </w:rPr>
              <w:fldChar w:fldCharType="separate"/>
            </w:r>
            <w:r>
              <w:rPr>
                <w:noProof/>
                <w:webHidden/>
              </w:rPr>
              <w:t>104</w:t>
            </w:r>
            <w:r>
              <w:rPr>
                <w:noProof/>
                <w:webHidden/>
              </w:rPr>
              <w:fldChar w:fldCharType="end"/>
            </w:r>
          </w:hyperlink>
        </w:p>
        <w:p w:rsidR="00D82A43" w:rsidP="007D073E" w:rsidRDefault="007D073E" w14:paraId="6F9CDC1E" w14:textId="45855F19">
          <w:pPr>
            <w:pStyle w:val="TOC1"/>
            <w:tabs>
              <w:tab w:val="right" w:leader="dot" w:pos="9350"/>
            </w:tabs>
          </w:pPr>
          <w:r>
            <w:rPr>
              <w:rFonts w:asciiTheme="minorHAnsi" w:hAnsiTheme="minorHAnsi"/>
              <w:sz w:val="22"/>
            </w:rPr>
            <w:fldChar w:fldCharType="end"/>
          </w:r>
        </w:p>
      </w:sdtContent>
    </w:sdt>
    <w:p w:rsidRPr="0098655A" w:rsidR="00747336" w:rsidP="00747336" w:rsidRDefault="00747336" w14:paraId="1720B9AC" w14:textId="77777777">
      <w:pPr>
        <w:spacing w:line="240" w:lineRule="auto"/>
        <w:ind w:firstLine="0"/>
        <w:rPr>
          <w:rFonts w:cs="Arial"/>
          <w:szCs w:val="26"/>
        </w:rPr>
      </w:pPr>
      <w:r w:rsidRPr="0098655A">
        <w:rPr>
          <w:rFonts w:cs="Arial"/>
          <w:b/>
          <w:szCs w:val="26"/>
        </w:rPr>
        <w:t>Appendix A</w:t>
      </w:r>
      <w:r w:rsidRPr="0098655A">
        <w:rPr>
          <w:rFonts w:cs="Arial"/>
          <w:szCs w:val="26"/>
        </w:rPr>
        <w:t xml:space="preserve"> –</w:t>
      </w:r>
      <w:r>
        <w:rPr>
          <w:rFonts w:cs="Arial"/>
          <w:szCs w:val="26"/>
        </w:rPr>
        <w:t xml:space="preserve"> Revised Federal Funding Account Grant Program Rules</w:t>
      </w:r>
    </w:p>
    <w:p w:rsidRPr="00747336" w:rsidR="00D44DB6" w:rsidP="00D44DB6" w:rsidRDefault="00D44DB6" w14:paraId="69FFEC21" w14:textId="77777777">
      <w:pPr>
        <w:spacing w:line="240" w:lineRule="auto"/>
        <w:ind w:firstLine="0"/>
        <w:rPr>
          <w:rFonts w:cs="Arial"/>
          <w:iCs/>
          <w:szCs w:val="26"/>
        </w:rPr>
      </w:pPr>
    </w:p>
    <w:p w:rsidR="00747336" w:rsidP="00D44DB6" w:rsidRDefault="00747336" w14:paraId="06A03EC3" w14:textId="77777777">
      <w:pPr>
        <w:spacing w:line="240" w:lineRule="auto"/>
        <w:ind w:firstLine="0"/>
        <w:rPr>
          <w:rFonts w:cs="Arial"/>
          <w:i/>
          <w:szCs w:val="26"/>
        </w:rPr>
      </w:pPr>
    </w:p>
    <w:p w:rsidRPr="00D44DB6" w:rsidR="00747336" w:rsidP="00D44DB6" w:rsidRDefault="00747336" w14:paraId="5E6DC0EA" w14:textId="793F25F6">
      <w:pPr>
        <w:spacing w:line="240" w:lineRule="auto"/>
        <w:ind w:firstLine="0"/>
        <w:rPr>
          <w:rFonts w:cs="Arial"/>
          <w:i/>
          <w:szCs w:val="26"/>
        </w:rPr>
        <w:sectPr w:rsidRPr="00D44DB6" w:rsidR="00747336" w:rsidSect="00D44DB6">
          <w:headerReference w:type="default" r:id="rId9"/>
          <w:footerReference w:type="default" r:id="rId10"/>
          <w:pgSz w:w="12240" w:h="15840"/>
          <w:pgMar w:top="1728" w:right="1440" w:bottom="1440" w:left="1440" w:header="720" w:footer="720" w:gutter="0"/>
          <w:pgNumType w:fmt="lowerRoman" w:start="1"/>
          <w:cols w:space="720"/>
          <w:docGrid w:linePitch="360"/>
        </w:sectPr>
      </w:pPr>
    </w:p>
    <w:p w:rsidR="00887C1D" w:rsidP="00DD1673" w:rsidRDefault="00887C1D" w14:paraId="0916CF59" w14:textId="528F3E03">
      <w:pPr>
        <w:pStyle w:val="Main"/>
      </w:pPr>
      <w:r>
        <w:lastRenderedPageBreak/>
        <w:t>DECISION ADOPTING FEDERAL FUNDING ACCOUNT RULES</w:t>
      </w:r>
    </w:p>
    <w:p w:rsidR="0098655A" w:rsidP="00D82A43" w:rsidRDefault="0098655A" w14:paraId="338ECB24" w14:textId="7E0DF227">
      <w:pPr>
        <w:pStyle w:val="Main"/>
        <w:spacing w:after="240"/>
      </w:pPr>
    </w:p>
    <w:p w:rsidR="005A148C" w:rsidP="005A148C" w:rsidRDefault="005A148C" w14:paraId="081400C5" w14:textId="1028E98A">
      <w:pPr>
        <w:pStyle w:val="Dummy"/>
      </w:pPr>
      <w:bookmarkStart w:name="_Toc8123714" w:id="2"/>
      <w:bookmarkStart w:name="_Toc101519056" w:id="3"/>
      <w:r>
        <w:t>Summary</w:t>
      </w:r>
      <w:bookmarkEnd w:id="2"/>
      <w:bookmarkEnd w:id="3"/>
    </w:p>
    <w:p w:rsidR="00A13D1F" w:rsidP="00A13D1F" w:rsidRDefault="00A13D1F" w14:paraId="60E04CAA" w14:textId="4169B1BF">
      <w:pPr>
        <w:pStyle w:val="Standard"/>
      </w:pPr>
      <w:r>
        <w:t xml:space="preserve">This decision adopts rules for the Federal Funding Account (FFA) created by Senate Bill (SB) 156 and funded through the federal American Rescue Plan Act of 2021 (Public Law No. 117-2), and the rules issued by </w:t>
      </w:r>
      <w:r w:rsidRPr="000B4E7E">
        <w:t>the U.S. Treasury Department.</w:t>
      </w:r>
      <w:r>
        <w:t xml:space="preserve"> The FFA is a new two-billion-dollar grant program focused on building broadband Internet infrastructure to communities without access to Internet service at sufficient and reliable speeds. The rules adopted in this decision i</w:t>
      </w:r>
      <w:r w:rsidRPr="00B05A9B">
        <w:t xml:space="preserve">nclude, among other items, the following subjects:  project eligibility, application </w:t>
      </w:r>
      <w:r>
        <w:t>objections</w:t>
      </w:r>
      <w:r w:rsidRPr="00B05A9B">
        <w:t xml:space="preserve">, </w:t>
      </w:r>
      <w:r>
        <w:t xml:space="preserve">allocating FFA funding between rural and urban counties, </w:t>
      </w:r>
      <w:r w:rsidRPr="00B05A9B">
        <w:t xml:space="preserve">reimbursing grantees, a ministerial review process whereby </w:t>
      </w:r>
      <w:r>
        <w:t>Communications Division S</w:t>
      </w:r>
      <w:r w:rsidRPr="00B05A9B">
        <w:t>taff may approve certain projects</w:t>
      </w:r>
      <w:r w:rsidR="002051E2">
        <w:t>,</w:t>
      </w:r>
      <w:r w:rsidRPr="00B05A9B">
        <w:t xml:space="preserve"> and minimum performance standards for grantees.</w:t>
      </w:r>
    </w:p>
    <w:p w:rsidR="00A13D1F" w:rsidP="00A13D1F" w:rsidRDefault="00A13D1F" w14:paraId="17E9FD3D" w14:textId="77777777">
      <w:pPr>
        <w:pStyle w:val="Standard"/>
      </w:pPr>
      <w:r>
        <w:t>This proceeding remains open.</w:t>
      </w:r>
    </w:p>
    <w:p w:rsidR="00A13D1F" w:rsidP="00887C1D" w:rsidRDefault="00A13D1F" w14:paraId="06A4BAB8" w14:textId="45A53508">
      <w:pPr>
        <w:pStyle w:val="Heading1"/>
      </w:pPr>
      <w:bookmarkStart w:name="_Toc94637177" w:id="4"/>
      <w:bookmarkStart w:name="_Toc101519057" w:id="5"/>
      <w:r>
        <w:t xml:space="preserve">Factual and </w:t>
      </w:r>
      <w:r w:rsidRPr="00887C1D">
        <w:t>Procedural</w:t>
      </w:r>
      <w:r>
        <w:t xml:space="preserve"> Background</w:t>
      </w:r>
      <w:bookmarkEnd w:id="4"/>
      <w:bookmarkEnd w:id="5"/>
    </w:p>
    <w:p w:rsidRPr="001B6B88" w:rsidR="00A13D1F" w:rsidP="00887C1D" w:rsidRDefault="00A13D1F" w14:paraId="789BE91A" w14:textId="77777777">
      <w:pPr>
        <w:pStyle w:val="Standard"/>
      </w:pPr>
      <w:r w:rsidRPr="00D41D64">
        <w:t>Th</w:t>
      </w:r>
      <w:r>
        <w:t xml:space="preserve">e California Public Utilities </w:t>
      </w:r>
      <w:r w:rsidRPr="00D41D64">
        <w:t xml:space="preserve">Commission </w:t>
      </w:r>
      <w:r>
        <w:t xml:space="preserve">(Commission) </w:t>
      </w:r>
      <w:r w:rsidRPr="00D41D64">
        <w:t>initiate</w:t>
      </w:r>
      <w:r>
        <w:t xml:space="preserve">d the Broadband for All proceeding </w:t>
      </w:r>
      <w:r w:rsidRPr="00D41D64">
        <w:t xml:space="preserve">to set the strategic direction and changes necessary to </w:t>
      </w:r>
      <w:r w:rsidRPr="00090A99">
        <w:t xml:space="preserve">expeditiously </w:t>
      </w:r>
      <w:r w:rsidRPr="00D41D64">
        <w:t xml:space="preserve">deploy reliable, fast, and affordable broadband </w:t>
      </w:r>
      <w:r>
        <w:t>I</w:t>
      </w:r>
      <w:r w:rsidRPr="00D41D64">
        <w:t xml:space="preserve">nternet access services that connect all Californians.    </w:t>
      </w:r>
    </w:p>
    <w:p w:rsidRPr="00121089" w:rsidR="00A13D1F" w:rsidP="00F72D40" w:rsidRDefault="00A13D1F" w14:paraId="104A767F" w14:textId="6572D889">
      <w:pPr>
        <w:pStyle w:val="Heading2"/>
      </w:pPr>
      <w:bookmarkStart w:name="_Toc94637178" w:id="6"/>
      <w:bookmarkStart w:name="_Toc101519058" w:id="7"/>
      <w:r w:rsidRPr="00F72D40">
        <w:t>Procedural</w:t>
      </w:r>
      <w:r>
        <w:t xml:space="preserve"> </w:t>
      </w:r>
      <w:r w:rsidRPr="00121089">
        <w:t>Background</w:t>
      </w:r>
      <w:bookmarkEnd w:id="6"/>
      <w:bookmarkEnd w:id="7"/>
    </w:p>
    <w:p w:rsidR="00A13D1F" w:rsidP="00F72D40" w:rsidRDefault="00A13D1F" w14:paraId="13B096EB" w14:textId="6FC8899E">
      <w:pPr>
        <w:pStyle w:val="Standard"/>
      </w:pPr>
      <w:r w:rsidRPr="00F72D40">
        <w:t>Governor</w:t>
      </w:r>
      <w:r>
        <w:t xml:space="preserve"> Gavin Newsom issued Executive Order N-73-20 on </w:t>
      </w:r>
      <w:r w:rsidR="00F72D40">
        <w:br/>
      </w:r>
      <w:r>
        <w:t>August 14, 2020, directing state agencies to accomplish 15 specific actions to help bridge the digital divide, including ordering state agencies to pursue a minimum broadband speed goal of 100 Mbps download to guide infrastructure investments and program implementation to benefit all Californians.</w:t>
      </w:r>
    </w:p>
    <w:p w:rsidR="00A13D1F" w:rsidP="00A13D1F" w:rsidRDefault="00A13D1F" w14:paraId="789A725C" w14:textId="77777777">
      <w:pPr>
        <w:pStyle w:val="Standard"/>
      </w:pPr>
      <w:r>
        <w:lastRenderedPageBreak/>
        <w:t xml:space="preserve">On September 10, 2020, this Commission opened this Rulemaking </w:t>
      </w:r>
      <w:r w:rsidRPr="004A6686">
        <w:t xml:space="preserve">to set the strategic direction and </w:t>
      </w:r>
      <w:r>
        <w:t xml:space="preserve">make the </w:t>
      </w:r>
      <w:r w:rsidRPr="004A6686">
        <w:t xml:space="preserve">changes necessary to </w:t>
      </w:r>
      <w:r w:rsidRPr="00F7260A">
        <w:t xml:space="preserve">expeditiously </w:t>
      </w:r>
      <w:r w:rsidRPr="004A6686">
        <w:t xml:space="preserve">deploy reliable, fast, and affordable broadband </w:t>
      </w:r>
      <w:r>
        <w:t>I</w:t>
      </w:r>
      <w:r w:rsidRPr="004A6686">
        <w:t xml:space="preserve">nternet access services that connect all Californians. </w:t>
      </w:r>
      <w:r>
        <w:t>As stated above, t</w:t>
      </w:r>
      <w:r w:rsidRPr="002C713B">
        <w:t>his</w:t>
      </w:r>
      <w:r>
        <w:t xml:space="preserve"> proceeding </w:t>
      </w:r>
      <w:r w:rsidRPr="004A6686">
        <w:t>will explor</w:t>
      </w:r>
      <w:r>
        <w:t>e</w:t>
      </w:r>
      <w:r w:rsidRPr="004A6686">
        <w:t xml:space="preserve"> </w:t>
      </w:r>
      <w:r>
        <w:t xml:space="preserve">near-term </w:t>
      </w:r>
      <w:r w:rsidRPr="004A6686">
        <w:t>and medium-term actions to achieve this goal</w:t>
      </w:r>
      <w:r>
        <w:t>.</w:t>
      </w:r>
    </w:p>
    <w:p w:rsidR="00A13D1F" w:rsidP="007536D5" w:rsidRDefault="00A13D1F" w14:paraId="58222E14" w14:textId="77777777">
      <w:pPr>
        <w:pStyle w:val="Standard"/>
      </w:pPr>
      <w:r>
        <w:t xml:space="preserve">A </w:t>
      </w:r>
      <w:r w:rsidRPr="007536D5">
        <w:t>prehearing</w:t>
      </w:r>
      <w:r>
        <w:t xml:space="preserve"> conference (PHC) was held on November 10, 2020, to discuss the issues of law and fact, determine the need for hearing, set the schedule for resolving the matter, and address other matters, as necessary. </w:t>
      </w:r>
    </w:p>
    <w:p w:rsidR="00A13D1F" w:rsidP="007536D5" w:rsidRDefault="00A13D1F" w14:paraId="324E9C71" w14:textId="77777777">
      <w:pPr>
        <w:pStyle w:val="Standard"/>
      </w:pPr>
      <w:r>
        <w:t xml:space="preserve">On December 28, </w:t>
      </w:r>
      <w:r w:rsidRPr="007536D5">
        <w:t>2020</w:t>
      </w:r>
      <w:r>
        <w:t xml:space="preserve">, the assigned Commissioner issued a Scoping Memorandum and Ruling (Scoping Memo) that divided this proceeding into three phases.  </w:t>
      </w:r>
    </w:p>
    <w:p w:rsidR="00A13D1F" w:rsidP="007536D5" w:rsidRDefault="00A13D1F" w14:paraId="0CD47977" w14:textId="77777777">
      <w:pPr>
        <w:pStyle w:val="Standard"/>
      </w:pPr>
      <w:r>
        <w:t xml:space="preserve">On March 11, 2021, </w:t>
      </w:r>
      <w:r w:rsidRPr="007536D5">
        <w:t>President</w:t>
      </w:r>
      <w:r>
        <w:t xml:space="preserve"> Biden signed into law the American Rescue</w:t>
      </w:r>
    </w:p>
    <w:p w:rsidR="00A13D1F" w:rsidP="00A13D1F" w:rsidRDefault="00A13D1F" w14:paraId="4E44789C" w14:textId="77777777">
      <w:pPr>
        <w:pStyle w:val="Standard"/>
        <w:ind w:firstLine="0"/>
      </w:pPr>
      <w:r>
        <w:t>Plan Act of 2021 (ARPA),</w:t>
      </w:r>
      <w:r>
        <w:rPr>
          <w:rStyle w:val="FootnoteReference"/>
        </w:rPr>
        <w:footnoteReference w:id="2"/>
      </w:r>
      <w:r>
        <w:t xml:space="preserve"> also called the COVID-19 Stimulus Package or American Rescue Plan, which appropriated funds for states to deploy last-mile broadband Internet networks. This law requires funds be expended by the end of 2024 and projects to be completed by the end of 2026.</w:t>
      </w:r>
    </w:p>
    <w:p w:rsidR="00A13D1F" w:rsidP="00A13D1F" w:rsidRDefault="00A13D1F" w14:paraId="33D3E339" w14:textId="77777777">
      <w:pPr>
        <w:pStyle w:val="Standard"/>
      </w:pPr>
      <w:r>
        <w:t>On July 20, 2021, Governor Newsom signed SB 156 into law, creating the Federal Funding Account,</w:t>
      </w:r>
      <w:r>
        <w:rPr>
          <w:rStyle w:val="FootnoteReference"/>
        </w:rPr>
        <w:footnoteReference w:id="3"/>
      </w:r>
      <w:r>
        <w:t xml:space="preserve"> with this Commission being responsible for implementing the new grant program. The Second Amended Scoping Memorandum and Ruling, (Second Amended Scoping Memo) in the instant proceeding, issued on August 2, 2021, adds certain issues associated with the </w:t>
      </w:r>
      <w:r>
        <w:lastRenderedPageBreak/>
        <w:t>implementation of SB 156 to the scope of this proceeding, including implementation of the Federal Funding Account in Phase III.</w:t>
      </w:r>
    </w:p>
    <w:p w:rsidR="00A13D1F" w:rsidP="00995C98" w:rsidRDefault="00A13D1F" w14:paraId="62C0C06C" w14:textId="3B42EA65">
      <w:pPr>
        <w:pStyle w:val="Standard"/>
      </w:pPr>
      <w:r>
        <w:t xml:space="preserve">On September 23, 2021, the Assigned Commissioner issued a ruling requesting comment on a Staff Proposal for the rules that would implement the Federal Funding Account grant program (ACR). On October 29, 2021, the following parties filed and served comments on this proposal: </w:t>
      </w:r>
      <w:r w:rsidR="00D75EDE">
        <w:t xml:space="preserve"> </w:t>
      </w:r>
      <w:r>
        <w:t xml:space="preserve">AARP California (AARP); </w:t>
      </w:r>
      <w:r w:rsidRPr="00CB7CB6">
        <w:t>Pacific Bell Telephone Company</w:t>
      </w:r>
      <w:r>
        <w:t xml:space="preserve"> dba AT&amp;T California (AT&amp;T); Borrego Springs Revitalization Committee; Central Coast Broadband Consortium (CCBC); </w:t>
      </w:r>
      <w:r w:rsidRPr="00E17A56">
        <w:t>California Cable and Telecommunications Association</w:t>
      </w:r>
      <w:r>
        <w:t xml:space="preserve"> (CCTA); </w:t>
      </w:r>
      <w:r w:rsidRPr="00E17A56">
        <w:t>Corporation for Education Network Initiatives In California</w:t>
      </w:r>
      <w:r>
        <w:t xml:space="preserve"> (CENIC); </w:t>
      </w:r>
      <w:r w:rsidRPr="00E17A56">
        <w:t>California Emerging Technology Fund</w:t>
      </w:r>
      <w:r>
        <w:t xml:space="preserve"> (CETF); </w:t>
      </w:r>
      <w:r w:rsidRPr="00E17A56">
        <w:t>Center for Accessible Technology</w:t>
      </w:r>
      <w:r>
        <w:t xml:space="preserve"> (CforAT); City and County of San Francisco (San Francisco); Coachella Valley Association of Governments (CVAG); </w:t>
      </w:r>
      <w:r w:rsidRPr="00CB7CB6">
        <w:t>Comc</w:t>
      </w:r>
      <w:r>
        <w:t xml:space="preserve">ast </w:t>
      </w:r>
      <w:r w:rsidRPr="00CB7CB6">
        <w:t>Phone of California, LLC</w:t>
      </w:r>
      <w:r>
        <w:t xml:space="preserve"> (Comcast); County of Los Angeles; County of Santa Clara (Santa Clara); </w:t>
      </w:r>
      <w:r w:rsidRPr="00503143">
        <w:t>Communications Workers of America, District 9</w:t>
      </w:r>
      <w:r>
        <w:t xml:space="preserve"> (CWA); Frederick L. Pilot; </w:t>
      </w:r>
      <w:r w:rsidRPr="00E17A56">
        <w:t>Frontier Communications of the Southwest Inc.,</w:t>
      </w:r>
      <w:r>
        <w:t xml:space="preserve"> </w:t>
      </w:r>
      <w:r w:rsidRPr="00E17A56">
        <w:t>Frontier California Inc.,</w:t>
      </w:r>
      <w:r>
        <w:t xml:space="preserve"> and </w:t>
      </w:r>
      <w:r w:rsidRPr="00E17A56">
        <w:t>Citizens Telecommunications Company of California Inc.</w:t>
      </w:r>
      <w:r>
        <w:t xml:space="preserve"> (Frontier); Geolinks; Greenlining Institute; Joint Wireless Internet Service Providers (WISPs);</w:t>
      </w:r>
      <w:r>
        <w:rPr>
          <w:rStyle w:val="FootnoteReference"/>
        </w:rPr>
        <w:footnoteReference w:id="4"/>
      </w:r>
      <w:r>
        <w:t xml:space="preserve"> </w:t>
      </w:r>
      <w:r w:rsidRPr="00503143">
        <w:t>Los Angeles County Economic Development Corporation</w:t>
      </w:r>
      <w:r>
        <w:t xml:space="preserve"> (LAEDC); </w:t>
      </w:r>
      <w:r w:rsidRPr="00503143">
        <w:t>Next Century Cities</w:t>
      </w:r>
      <w:r>
        <w:t xml:space="preserve"> (NCC); </w:t>
      </w:r>
      <w:r w:rsidRPr="00E17A56">
        <w:t>National Diversity Coalition</w:t>
      </w:r>
      <w:r>
        <w:t xml:space="preserve"> (NDC); The Public Advocates Office at the California Public Utilities Commission (Cal Advocates); </w:t>
      </w:r>
      <w:r w:rsidRPr="00F5366B">
        <w:t>Rural County Representatives of California</w:t>
      </w:r>
      <w:r>
        <w:t xml:space="preserve"> (RCRC); </w:t>
      </w:r>
      <w:r w:rsidRPr="00364C53">
        <w:t>San Diego Association of Governments</w:t>
      </w:r>
      <w:r>
        <w:t xml:space="preserve"> (SANDAG) </w:t>
      </w:r>
      <w:r w:rsidRPr="00397A8D">
        <w:t>Small Business Utility Advocates</w:t>
      </w:r>
      <w:r>
        <w:t xml:space="preserve"> (SBUA); </w:t>
      </w:r>
      <w:r w:rsidRPr="00F5366B">
        <w:t>Southern California Association of Governments</w:t>
      </w:r>
      <w:r>
        <w:t xml:space="preserve"> (SCAG); </w:t>
      </w:r>
      <w:r w:rsidRPr="00503143">
        <w:t>Southern California Edison Company</w:t>
      </w:r>
      <w:r>
        <w:t xml:space="preserve"> (SCE); </w:t>
      </w:r>
      <w:r w:rsidRPr="00CB7CB6">
        <w:t xml:space="preserve">San Diego </w:t>
      </w:r>
      <w:r w:rsidRPr="00CB7CB6">
        <w:lastRenderedPageBreak/>
        <w:t>Gas &amp; Electric Company</w:t>
      </w:r>
      <w:r>
        <w:t xml:space="preserve"> (SDG&amp;E); Small Local Exchange Carriers (LECs);</w:t>
      </w:r>
      <w:r>
        <w:rPr>
          <w:rStyle w:val="FootnoteReference"/>
        </w:rPr>
        <w:footnoteReference w:id="5"/>
      </w:r>
      <w:r>
        <w:t xml:space="preserve"> LCB Communications LLC and South Valley Internet (LCB Communications and South Valley Internet); T</w:t>
      </w:r>
      <w:r w:rsidRPr="00397A8D">
        <w:t>he Utility Reform Network</w:t>
      </w:r>
      <w:r>
        <w:t xml:space="preserve"> (TURN); UNITE-LA; and Cellco Partnership (U 3001 C) and MCImetro Access Transmission Services LLC (U 5253 C) (collectively, “Verizon”).</w:t>
      </w:r>
    </w:p>
    <w:p w:rsidR="00D75EDE" w:rsidP="00D75EDE" w:rsidRDefault="00A13D1F" w14:paraId="41350D55" w14:textId="77777777">
      <w:pPr>
        <w:pStyle w:val="Standard"/>
        <w:ind w:left="360" w:firstLine="360"/>
      </w:pPr>
      <w:r>
        <w:t>On November 15, 2021, the following parties filed and served reply</w:t>
      </w:r>
      <w:r w:rsidR="00D75EDE">
        <w:t xml:space="preserve"> </w:t>
      </w:r>
    </w:p>
    <w:p w:rsidR="00A13D1F" w:rsidP="00A13D1F" w:rsidRDefault="00A13D1F" w14:paraId="5B398D60" w14:textId="5A13B511">
      <w:pPr>
        <w:pStyle w:val="Standard"/>
        <w:ind w:firstLine="0"/>
      </w:pPr>
      <w:r>
        <w:t xml:space="preserve">comments to this proposal: AARP; AT&amp;T; CCTA; CENIC; CETF; CforAT; Frederick L Pilot; Frontier; Geolinks; Mono County; NDC; Cal Advocates; SBUA; SCE; Small LECs; TURN; </w:t>
      </w:r>
      <w:r w:rsidRPr="00E17A56">
        <w:t>Utility Consumers' Action Network</w:t>
      </w:r>
      <w:r>
        <w:t xml:space="preserve"> (UCAN); and Verizon.</w:t>
      </w:r>
    </w:p>
    <w:p w:rsidR="00A13D1F" w:rsidP="000A5FED" w:rsidRDefault="00A13D1F" w14:paraId="49F17BEF" w14:textId="41163135">
      <w:pPr>
        <w:pStyle w:val="Standard"/>
      </w:pPr>
      <w:r>
        <w:t xml:space="preserve">On November 10, 2021, the assigned ALJ issued a ruling requesting comment on the proposed apportionment of funds for the Federal Funding Account grant program. The following parties filed and served comments on </w:t>
      </w:r>
      <w:r w:rsidR="00C3285C">
        <w:br/>
      </w:r>
      <w:r>
        <w:t xml:space="preserve">November 30, 2021: County of Los Angeles; RCRC; Small LECs; CCTA; SANDAG; County of Santa Clara; TURN; UNITE-LA, Inc; CETF; SBUA; LAEDC; County of Mendocino; NDC; UCAN; North Bay North Coast Broadband Consortium; The #OaklandUndivided Coalition; SCAG; and Frederick L. Pilot. </w:t>
      </w:r>
    </w:p>
    <w:p w:rsidR="00D75EDE" w:rsidP="00D75EDE" w:rsidRDefault="00A13D1F" w14:paraId="1EE0AD21" w14:textId="77777777">
      <w:pPr>
        <w:pStyle w:val="Standard"/>
        <w:ind w:left="360" w:firstLine="360"/>
      </w:pPr>
      <w:r>
        <w:t>On December 10, 2021, the following parties filed and served reply</w:t>
      </w:r>
    </w:p>
    <w:p w:rsidR="00A13D1F" w:rsidP="00A13D1F" w:rsidRDefault="00A13D1F" w14:paraId="4FAF697B" w14:textId="338C2028">
      <w:pPr>
        <w:pStyle w:val="Standard"/>
        <w:ind w:firstLine="0"/>
      </w:pPr>
      <w:r>
        <w:t>comments:</w:t>
      </w:r>
      <w:r w:rsidR="00267EC6">
        <w:t xml:space="preserve">  </w:t>
      </w:r>
      <w:r>
        <w:t>UCAN; San Francisco; Cal Advocates; NDC;</w:t>
      </w:r>
      <w:r w:rsidR="00F12339">
        <w:t xml:space="preserve"> </w:t>
      </w:r>
      <w:r>
        <w:t>SBUA;</w:t>
      </w:r>
      <w:r w:rsidR="00862001">
        <w:t xml:space="preserve"> </w:t>
      </w:r>
      <w:r>
        <w:t>TURN; North Bay North Coast Broadband Consortium; CCTA; Central Coast Broadband Consortium; and CETF.</w:t>
      </w:r>
    </w:p>
    <w:p w:rsidR="00A13D1F" w:rsidP="00864A70" w:rsidRDefault="00A13D1F" w14:paraId="176E8102" w14:textId="49DEA154">
      <w:pPr>
        <w:pStyle w:val="Heading2"/>
      </w:pPr>
      <w:bookmarkStart w:name="_Toc94461502" w:id="8"/>
      <w:bookmarkStart w:name="_Toc94637179" w:id="9"/>
      <w:bookmarkStart w:name="_Toc101519059" w:id="10"/>
      <w:bookmarkEnd w:id="8"/>
      <w:r>
        <w:lastRenderedPageBreak/>
        <w:t>Factual Background</w:t>
      </w:r>
      <w:bookmarkEnd w:id="9"/>
      <w:bookmarkEnd w:id="10"/>
    </w:p>
    <w:p w:rsidRPr="00052F64" w:rsidR="00A13D1F" w:rsidP="00864A70" w:rsidRDefault="00A13D1F" w14:paraId="0557DDBB" w14:textId="6A62089A">
      <w:pPr>
        <w:pStyle w:val="Standard"/>
      </w:pPr>
      <w:r w:rsidRPr="00864A70">
        <w:t>Communities</w:t>
      </w:r>
      <w:r w:rsidRPr="5B051B87">
        <w:t xml:space="preserve"> across California </w:t>
      </w:r>
      <w:r>
        <w:t>face</w:t>
      </w:r>
      <w:r w:rsidRPr="5B051B87">
        <w:t xml:space="preserve"> </w:t>
      </w:r>
      <w:r>
        <w:t>a multitude of barriers</w:t>
      </w:r>
      <w:r w:rsidRPr="5B051B87">
        <w:t xml:space="preserve"> </w:t>
      </w:r>
      <w:r>
        <w:t>for the</w:t>
      </w:r>
      <w:r w:rsidRPr="5B051B87">
        <w:t xml:space="preserve"> deploy</w:t>
      </w:r>
      <w:r>
        <w:t>ment of</w:t>
      </w:r>
      <w:r w:rsidRPr="5B051B87">
        <w:t xml:space="preserve"> resilient and accessible </w:t>
      </w:r>
      <w:r>
        <w:t xml:space="preserve">broadband </w:t>
      </w:r>
      <w:r w:rsidRPr="5B051B87">
        <w:t>networks</w:t>
      </w:r>
      <w:r>
        <w:t>. Broadband Internet access and service in u</w:t>
      </w:r>
      <w:r w:rsidRPr="5B051B87">
        <w:t xml:space="preserve">rban communities </w:t>
      </w:r>
      <w:r>
        <w:t>varies by</w:t>
      </w:r>
      <w:r w:rsidRPr="5B051B87">
        <w:t xml:space="preserve"> neighborhood</w:t>
      </w:r>
      <w:r>
        <w:t>. Rural areas of the state</w:t>
      </w:r>
      <w:r w:rsidRPr="5B051B87">
        <w:t xml:space="preserve"> often lack </w:t>
      </w:r>
      <w:r>
        <w:t xml:space="preserve">the infrastructure for </w:t>
      </w:r>
      <w:r w:rsidRPr="5B051B87">
        <w:t xml:space="preserve">sufficient wireline and wireless </w:t>
      </w:r>
      <w:r w:rsidRPr="001A2C15">
        <w:t xml:space="preserve">broadband </w:t>
      </w:r>
      <w:r w:rsidR="000B7201">
        <w:t>I</w:t>
      </w:r>
      <w:r w:rsidRPr="001A2C15" w:rsidR="000B7201">
        <w:t xml:space="preserve">nternet </w:t>
      </w:r>
      <w:r w:rsidRPr="001A2C15">
        <w:t>access service</w:t>
      </w:r>
      <w:r w:rsidRPr="5B051B87">
        <w:t xml:space="preserve">. </w:t>
      </w:r>
      <w:r>
        <w:t xml:space="preserve">The </w:t>
      </w:r>
      <w:r w:rsidRPr="00871F8F">
        <w:t>COVID</w:t>
      </w:r>
      <w:r>
        <w:t>-19 pandemic has highlighted the extent to which broadband access is essential for public safety, public health and welfare, education, and economic resilience, adding greater urgency to developing new strategies and expand on existing successful measures to deploy reliable networks with affordable service</w:t>
      </w:r>
      <w:r w:rsidRPr="00871F8F">
        <w:t>.</w:t>
      </w:r>
      <w:r w:rsidRPr="00810A7D">
        <w:rPr>
          <w:rStyle w:val="normaltextrun"/>
        </w:rPr>
        <w:t xml:space="preserve"> </w:t>
      </w:r>
    </w:p>
    <w:p w:rsidR="00A13D1F" w:rsidP="00864A70" w:rsidRDefault="00A13D1F" w14:paraId="16E204A9" w14:textId="392D98B1">
      <w:pPr>
        <w:pStyle w:val="Heading1"/>
      </w:pPr>
      <w:bookmarkStart w:name="_Toc94637180" w:id="11"/>
      <w:bookmarkStart w:name="_Toc101519060" w:id="12"/>
      <w:r w:rsidRPr="00864A70">
        <w:t>Jurisdiction</w:t>
      </w:r>
      <w:bookmarkEnd w:id="11"/>
      <w:bookmarkEnd w:id="12"/>
    </w:p>
    <w:p w:rsidR="00A13D1F" w:rsidP="00864A70" w:rsidRDefault="00A13D1F" w14:paraId="77D983EF" w14:textId="62908EFC">
      <w:pPr>
        <w:pStyle w:val="Standard"/>
      </w:pPr>
      <w:r w:rsidRPr="00864A70">
        <w:t>Among</w:t>
      </w:r>
      <w:r>
        <w:t xml:space="preserve"> other items, SB 156 requires the Commission to implement a program (Program) using federal funds to connect unserved and underserved communities by applicable federal deadlines. The Program must be consistent with Part 35 of Title 31 of the Code of Federal Regulations (CFR) and any conditions or guidelines applicable to this one-time federal infrastructure funds. </w:t>
      </w:r>
    </w:p>
    <w:p w:rsidR="00A13D1F" w:rsidP="00A13D1F" w:rsidRDefault="00A13D1F" w14:paraId="6EA75F08" w14:textId="77777777">
      <w:pPr>
        <w:pStyle w:val="Standard"/>
      </w:pPr>
      <w:r>
        <w:t>The enacted California 2021-2022 Budget allocates two billion dollars ($2,000,000,000) to the Program to fund the deployment of last-mile broadband infrastructure.</w:t>
      </w:r>
      <w:r>
        <w:rPr>
          <w:rStyle w:val="FootnoteReference"/>
        </w:rPr>
        <w:footnoteReference w:id="6"/>
      </w:r>
      <w:r>
        <w:t xml:space="preserve"> By June 30, 2023, the Commission must allocate one billion dollars ($1,000,000,000) in urban counties and one billion dollars ($1,000,000,000) in rural counties.</w:t>
      </w:r>
      <w:r>
        <w:rPr>
          <w:rStyle w:val="FootnoteReference"/>
        </w:rPr>
        <w:footnoteReference w:id="7"/>
      </w:r>
      <w:r>
        <w:t xml:space="preserve"> The Commission must initially allocate five million dollars ($5,000,000) in each county.</w:t>
      </w:r>
      <w:r>
        <w:rPr>
          <w:rStyle w:val="FootnoteReference"/>
        </w:rPr>
        <w:footnoteReference w:id="8"/>
      </w:r>
      <w:r>
        <w:t xml:space="preserve"> The Commission must allocate the remaining funds </w:t>
      </w:r>
      <w:r>
        <w:lastRenderedPageBreak/>
        <w:t>based on each county’s proportionate share of households without access to broadband Internet access service with at least 100 megabits per second (Mbps) download speeds.</w:t>
      </w:r>
      <w:r>
        <w:rPr>
          <w:rStyle w:val="FootnoteReference"/>
        </w:rPr>
        <w:footnoteReference w:id="9"/>
      </w:r>
    </w:p>
    <w:p w:rsidRPr="0063491C" w:rsidR="00A13D1F" w:rsidP="00A13D1F" w:rsidRDefault="00A13D1F" w14:paraId="25F5B5D0" w14:textId="77777777">
      <w:pPr>
        <w:pStyle w:val="Standard"/>
      </w:pPr>
      <w:r>
        <w:t>The Secretary of the U.S. Treasury Department (Treasury) issued an Interim Final Rule (Interim Final Rule), effective May 17, 2021, to implement the Coronavirus State Fiscal Recovery Fund (SLFRF) established under the American Rescue Plan</w:t>
      </w:r>
      <w:r w:rsidRPr="00C73653">
        <w:t xml:space="preserve"> </w:t>
      </w:r>
      <w:r>
        <w:t>Act.</w:t>
      </w:r>
      <w:r>
        <w:rPr>
          <w:rStyle w:val="FootnoteReference"/>
        </w:rPr>
        <w:footnoteReference w:id="10"/>
      </w:r>
      <w:r>
        <w:t xml:space="preserve"> Treasury also issued a SLFRF Frequently Asked Questions (FAQ) document to provide additional guidance on how funds should be utilized.</w:t>
      </w:r>
      <w:r>
        <w:rPr>
          <w:rStyle w:val="FootnoteReference"/>
        </w:rPr>
        <w:footnoteReference w:id="11"/>
      </w:r>
      <w:r>
        <w:t xml:space="preserve"> Treasury issued its Final Rule (Final Rule) on January 6, 2022,</w:t>
      </w:r>
      <w:r>
        <w:rPr>
          <w:rStyle w:val="FootnoteReference"/>
        </w:rPr>
        <w:footnoteReference w:id="12"/>
      </w:r>
      <w:r>
        <w:t xml:space="preserve"> </w:t>
      </w:r>
      <w:r w:rsidRPr="00217082">
        <w:t>adopt</w:t>
      </w:r>
      <w:r>
        <w:t>ing</w:t>
      </w:r>
      <w:r w:rsidRPr="00217082">
        <w:t xml:space="preserve"> </w:t>
      </w:r>
      <w:r>
        <w:t>many of the provisions in the I</w:t>
      </w:r>
      <w:r w:rsidRPr="00217082">
        <w:t xml:space="preserve">nterim </w:t>
      </w:r>
      <w:r>
        <w:t>F</w:t>
      </w:r>
      <w:r w:rsidRPr="00217082">
        <w:t xml:space="preserve">inal </w:t>
      </w:r>
      <w:r>
        <w:t>R</w:t>
      </w:r>
      <w:r w:rsidRPr="00217082">
        <w:t xml:space="preserve">ule, with </w:t>
      </w:r>
      <w:r>
        <w:t xml:space="preserve">some </w:t>
      </w:r>
      <w:r w:rsidRPr="00217082">
        <w:t xml:space="preserve">amendments. </w:t>
      </w:r>
      <w:r>
        <w:t>The Final Rule is effective April 1, 2022.</w:t>
      </w:r>
    </w:p>
    <w:p w:rsidR="00A13D1F" w:rsidP="005D158F" w:rsidRDefault="00A13D1F" w14:paraId="5E4CA26F" w14:textId="70A3D49D">
      <w:pPr>
        <w:pStyle w:val="Heading1"/>
      </w:pPr>
      <w:bookmarkStart w:name="_Toc94637181" w:id="13"/>
      <w:bookmarkStart w:name="_Toc101519061" w:id="14"/>
      <w:r>
        <w:t xml:space="preserve">Issues </w:t>
      </w:r>
      <w:r w:rsidRPr="005D158F">
        <w:t>Before</w:t>
      </w:r>
      <w:r>
        <w:t xml:space="preserve"> the Commission</w:t>
      </w:r>
      <w:bookmarkEnd w:id="13"/>
      <w:bookmarkEnd w:id="14"/>
    </w:p>
    <w:p w:rsidR="00A13D1F" w:rsidP="005D158F" w:rsidRDefault="00A13D1F" w14:paraId="3D006D2B" w14:textId="5ECA43B8">
      <w:pPr>
        <w:pStyle w:val="Standard"/>
      </w:pPr>
      <w:r>
        <w:t>The Second Amended Scoping Memo adds a new Phase III to this proceeding. Phase III includes two separate tasks:  1) the collection of public comments that will assist with the development of the locations for the statewide open-access middle mile network; and 2) the adoption of rules for the Federal Funding Account. The scope of this decision is the development of the rules governing the Federal Funding Account</w:t>
      </w:r>
      <w:r w:rsidR="00D75EDE">
        <w:t xml:space="preserve"> (FFA)</w:t>
      </w:r>
      <w:r>
        <w:t xml:space="preserve">, focused on last-mile Internet connections, including whether the Commission should adopt the Staff Proposal or refine it. Additionally, the </w:t>
      </w:r>
      <w:r w:rsidRPr="00F55108">
        <w:t>September 23, 2021 A</w:t>
      </w:r>
      <w:r>
        <w:t>CR asked for comment on the questions and issues discussed below:</w:t>
      </w:r>
      <w:r w:rsidRPr="00EB1228">
        <w:t xml:space="preserve">   </w:t>
      </w:r>
    </w:p>
    <w:p w:rsidRPr="00EB1228" w:rsidR="00A13D1F" w:rsidP="000975E3" w:rsidRDefault="00A13D1F" w14:paraId="5468D33A" w14:textId="77777777">
      <w:pPr>
        <w:pStyle w:val="Standard"/>
        <w:numPr>
          <w:ilvl w:val="6"/>
          <w:numId w:val="1"/>
        </w:numPr>
        <w:spacing w:after="120" w:line="240" w:lineRule="auto"/>
        <w:ind w:right="1440"/>
      </w:pPr>
      <w:r w:rsidRPr="0004331F">
        <w:rPr>
          <w:u w:val="single"/>
        </w:rPr>
        <w:lastRenderedPageBreak/>
        <w:t>Compliance with Federal Guidance:</w:t>
      </w:r>
      <w:r w:rsidRPr="0004331F">
        <w:t xml:space="preserve">  SB 156 requires the Commission to adopt program rules that are consistent with Part 35 of Title 31 of the CFRs.</w:t>
      </w:r>
    </w:p>
    <w:p w:rsidRPr="00EB1228" w:rsidR="00A13D1F" w:rsidP="000975E3" w:rsidRDefault="00A13D1F" w14:paraId="547C3248" w14:textId="77777777">
      <w:pPr>
        <w:numPr>
          <w:ilvl w:val="0"/>
          <w:numId w:val="12"/>
        </w:numPr>
        <w:spacing w:after="120" w:line="240" w:lineRule="auto"/>
        <w:ind w:right="1440"/>
      </w:pPr>
      <w:r w:rsidRPr="00EB1228">
        <w:t xml:space="preserve">Are the rules in the Staff Proposal consistent with </w:t>
      </w:r>
      <w:r w:rsidRPr="00EB1228">
        <w:br/>
        <w:t>Part 35 of Title 31 of the CFRs?</w:t>
      </w:r>
    </w:p>
    <w:p w:rsidRPr="00EB1228" w:rsidR="00A13D1F" w:rsidP="000975E3" w:rsidRDefault="00A13D1F" w14:paraId="3BA1E8AC" w14:textId="1094D272">
      <w:pPr>
        <w:numPr>
          <w:ilvl w:val="0"/>
          <w:numId w:val="12"/>
        </w:numPr>
        <w:spacing w:after="120" w:line="240" w:lineRule="auto"/>
        <w:ind w:right="1440"/>
      </w:pPr>
      <w:r w:rsidRPr="00EB1228">
        <w:t>What modifications should be made to the Staff Proposal to improve consistency with Part 35 of Title 31 of the CFRs? Please provide an explanation of any suggestions, as well as edits in redline as an attachment to your comments.</w:t>
      </w:r>
    </w:p>
    <w:p w:rsidRPr="00EB1228" w:rsidR="00A13D1F" w:rsidP="000975E3" w:rsidRDefault="00A13D1F" w14:paraId="4D67D345" w14:textId="77777777">
      <w:pPr>
        <w:pStyle w:val="Standard"/>
        <w:numPr>
          <w:ilvl w:val="6"/>
          <w:numId w:val="1"/>
        </w:numPr>
        <w:spacing w:after="120" w:line="240" w:lineRule="auto"/>
        <w:ind w:right="1440"/>
      </w:pPr>
      <w:r w:rsidRPr="001E4412">
        <w:rPr>
          <w:u w:val="single"/>
        </w:rPr>
        <w:t>Priority Project Areas</w:t>
      </w:r>
      <w:r w:rsidRPr="00FD25BA">
        <w:t>:</w:t>
      </w:r>
      <w:r w:rsidRPr="00EB1228">
        <w:t xml:space="preserve">  The Staff Proposal envisions that Communications Division</w:t>
      </w:r>
      <w:r>
        <w:t xml:space="preserve"> (CD)</w:t>
      </w:r>
      <w:r w:rsidRPr="00EB1228">
        <w:t xml:space="preserve"> Staff will publish proposed priority project areas that are coordinated with the Commission’s obligation to assist in preparing definitive plans for deploying necessary infrastructure in each county, including coordination across contiguous counties.   FFA Applicants will apply for grants to offer broadband Internet service to these defined areas. </w:t>
      </w:r>
    </w:p>
    <w:p w:rsidRPr="00EB1228" w:rsidR="00A13D1F" w:rsidP="000975E3" w:rsidRDefault="00A13D1F" w14:paraId="2320CE2B" w14:textId="77777777">
      <w:pPr>
        <w:numPr>
          <w:ilvl w:val="0"/>
          <w:numId w:val="12"/>
        </w:numPr>
        <w:spacing w:after="120" w:line="240" w:lineRule="auto"/>
        <w:ind w:right="1440"/>
      </w:pPr>
      <w:r w:rsidRPr="00EB1228">
        <w:t>What information should the C</w:t>
      </w:r>
      <w:r>
        <w:t>D</w:t>
      </w:r>
      <w:r w:rsidRPr="00EB1228">
        <w:t xml:space="preserve"> Staff take into consideration in developing these priority areas?</w:t>
      </w:r>
    </w:p>
    <w:p w:rsidRPr="00C241BD" w:rsidR="00A13D1F" w:rsidP="000975E3" w:rsidRDefault="00A13D1F" w14:paraId="3C9201C4" w14:textId="77777777">
      <w:pPr>
        <w:numPr>
          <w:ilvl w:val="0"/>
          <w:numId w:val="12"/>
        </w:numPr>
        <w:spacing w:after="120" w:line="240" w:lineRule="auto"/>
        <w:ind w:right="1440"/>
        <w:rPr>
          <w:rFonts w:asciiTheme="minorHAnsi" w:hAnsiTheme="minorHAnsi"/>
          <w:sz w:val="22"/>
        </w:rPr>
      </w:pPr>
      <w:r w:rsidRPr="00EB1228">
        <w:t xml:space="preserve">Do the criteria in </w:t>
      </w:r>
      <w:r>
        <w:t>“</w:t>
      </w:r>
      <w:r w:rsidRPr="00EB1228">
        <w:t>Section 12. Application Objections</w:t>
      </w:r>
      <w:r>
        <w:t>”</w:t>
      </w:r>
      <w:r w:rsidRPr="00EB1228">
        <w:t xml:space="preserve"> balance the need to ensure a fair process for an Internet service provider asserting it already serves a proposed priority project area, with the need to award grants in an expeditious manner? Do parties propose additional or different criteria?</w:t>
      </w:r>
    </w:p>
    <w:p w:rsidRPr="001E4412" w:rsidR="00A13D1F" w:rsidP="000975E3" w:rsidRDefault="00A13D1F" w14:paraId="485A943E" w14:textId="77777777">
      <w:pPr>
        <w:pStyle w:val="ListParagraph"/>
        <w:numPr>
          <w:ilvl w:val="6"/>
          <w:numId w:val="1"/>
        </w:numPr>
        <w:spacing w:after="120" w:line="240" w:lineRule="auto"/>
        <w:ind w:right="1440"/>
        <w:rPr>
          <w:rFonts w:eastAsia="Times New Roman"/>
          <w:u w:val="single"/>
        </w:rPr>
      </w:pPr>
      <w:r w:rsidRPr="001E4412">
        <w:rPr>
          <w:rFonts w:eastAsia="Times New Roman"/>
          <w:u w:val="single"/>
        </w:rPr>
        <w:t>Coordination with other Grant Programs:</w:t>
      </w:r>
      <w:r w:rsidRPr="001E4412">
        <w:rPr>
          <w:rFonts w:eastAsia="Times New Roman"/>
        </w:rPr>
        <w:t xml:space="preserve">  There is significant funding available and being considered at the state and federal levels for broadband infrastructure.</w:t>
      </w:r>
    </w:p>
    <w:p w:rsidRPr="00EB1228" w:rsidR="00A13D1F" w:rsidP="000975E3" w:rsidRDefault="00A13D1F" w14:paraId="55F5F8C5" w14:textId="77777777">
      <w:pPr>
        <w:numPr>
          <w:ilvl w:val="0"/>
          <w:numId w:val="12"/>
        </w:numPr>
        <w:spacing w:after="120" w:line="240" w:lineRule="auto"/>
        <w:ind w:right="1440"/>
      </w:pPr>
      <w:r w:rsidRPr="00EB1228">
        <w:t>How can the FFA best coordinate and leverage these other broadband infrastructure funds?</w:t>
      </w:r>
    </w:p>
    <w:p w:rsidRPr="001E4412" w:rsidR="00A13D1F" w:rsidP="000975E3" w:rsidRDefault="00A13D1F" w14:paraId="58558D22" w14:textId="77777777">
      <w:pPr>
        <w:pStyle w:val="ListParagraph"/>
        <w:numPr>
          <w:ilvl w:val="6"/>
          <w:numId w:val="1"/>
        </w:numPr>
        <w:spacing w:after="120" w:line="240" w:lineRule="auto"/>
        <w:ind w:right="1440"/>
        <w:rPr>
          <w:rFonts w:eastAsia="Times New Roman"/>
        </w:rPr>
      </w:pPr>
      <w:r w:rsidRPr="001E4412">
        <w:rPr>
          <w:rFonts w:eastAsia="Times New Roman"/>
          <w:u w:val="single"/>
        </w:rPr>
        <w:t>Affordability:</w:t>
      </w:r>
      <w:r w:rsidRPr="001E4412">
        <w:rPr>
          <w:rFonts w:eastAsia="Times New Roman"/>
        </w:rPr>
        <w:t xml:space="preserve">  The Interim Rule encourages recipients to consider ways to integrate affordability options into their program design. </w:t>
      </w:r>
    </w:p>
    <w:p w:rsidRPr="00EB1228" w:rsidR="00A13D1F" w:rsidP="000975E3" w:rsidRDefault="00A13D1F" w14:paraId="65143CF2" w14:textId="77777777">
      <w:pPr>
        <w:numPr>
          <w:ilvl w:val="0"/>
          <w:numId w:val="12"/>
        </w:numPr>
        <w:spacing w:after="120" w:line="240" w:lineRule="auto"/>
        <w:ind w:right="1440"/>
      </w:pPr>
      <w:r w:rsidRPr="00EB1228">
        <w:t xml:space="preserve">How should the Commission define affordability? </w:t>
      </w:r>
    </w:p>
    <w:p w:rsidRPr="00EB1228" w:rsidR="00A13D1F" w:rsidP="000975E3" w:rsidRDefault="00A13D1F" w14:paraId="547309D2" w14:textId="77777777">
      <w:pPr>
        <w:numPr>
          <w:ilvl w:val="0"/>
          <w:numId w:val="12"/>
        </w:numPr>
        <w:spacing w:after="120" w:line="240" w:lineRule="auto"/>
        <w:ind w:right="1440"/>
      </w:pPr>
      <w:r w:rsidRPr="00EB1228">
        <w:lastRenderedPageBreak/>
        <w:t xml:space="preserve">How should the Commission consider a preference or requirement for affordable offers that are not </w:t>
      </w:r>
      <w:r w:rsidRPr="00EB1228">
        <w:br/>
        <w:t xml:space="preserve">income-qualified? </w:t>
      </w:r>
    </w:p>
    <w:p w:rsidRPr="00EB1228" w:rsidR="00A13D1F" w:rsidP="000975E3" w:rsidRDefault="00A13D1F" w14:paraId="5C4CAB6F" w14:textId="77777777">
      <w:pPr>
        <w:numPr>
          <w:ilvl w:val="0"/>
          <w:numId w:val="12"/>
        </w:numPr>
        <w:spacing w:after="120" w:line="240" w:lineRule="auto"/>
        <w:ind w:right="1440"/>
      </w:pPr>
      <w:r w:rsidRPr="00EB1228">
        <w:t>Should the Commission consider other low-income preferences or requirements as a percentage of the Federal Poverty Level? Or categorical eligibility such as any service connection in a Qualified Census Tract?</w:t>
      </w:r>
    </w:p>
    <w:p w:rsidRPr="00EB1228" w:rsidR="00A13D1F" w:rsidP="000975E3" w:rsidRDefault="00A13D1F" w14:paraId="04599B9E" w14:textId="77777777">
      <w:pPr>
        <w:numPr>
          <w:ilvl w:val="0"/>
          <w:numId w:val="12"/>
        </w:numPr>
        <w:spacing w:after="120" w:line="240" w:lineRule="auto"/>
        <w:ind w:right="1440"/>
      </w:pPr>
      <w:r w:rsidRPr="00EB1228">
        <w:t xml:space="preserve">How should the Commission consider low-income or affordable offers that allow for enrollment based on participation in any California public assistance program? </w:t>
      </w:r>
    </w:p>
    <w:p w:rsidRPr="00EB1228" w:rsidR="00A13D1F" w:rsidP="000975E3" w:rsidRDefault="00A13D1F" w14:paraId="7CB3AB26" w14:textId="77777777">
      <w:pPr>
        <w:numPr>
          <w:ilvl w:val="0"/>
          <w:numId w:val="12"/>
        </w:numPr>
        <w:spacing w:after="120" w:line="240" w:lineRule="auto"/>
        <w:ind w:right="1440"/>
      </w:pPr>
      <w:r w:rsidRPr="00EB1228">
        <w:t>What should be the term for which an affordable or low-income offer is provided and what is the rationale for the term?</w:t>
      </w:r>
    </w:p>
    <w:p w:rsidRPr="00EB1228" w:rsidR="00A13D1F" w:rsidP="000975E3" w:rsidRDefault="00A13D1F" w14:paraId="13B9DE33" w14:textId="77777777">
      <w:pPr>
        <w:numPr>
          <w:ilvl w:val="0"/>
          <w:numId w:val="12"/>
        </w:numPr>
        <w:spacing w:after="120" w:line="240" w:lineRule="auto"/>
        <w:ind w:right="1440"/>
      </w:pPr>
      <w:r w:rsidRPr="00EB1228">
        <w:t>Is it reasonable to require applicants provide Lifeline</w:t>
      </w:r>
      <w:r>
        <w:rPr>
          <w:rStyle w:val="FootnoteReference"/>
        </w:rPr>
        <w:footnoteReference w:id="13"/>
      </w:r>
      <w:r>
        <w:t xml:space="preserve"> </w:t>
      </w:r>
      <w:r w:rsidRPr="00EB1228">
        <w:t>services, as well as the Emergency Broadband Benefit, or its successor?</w:t>
      </w:r>
    </w:p>
    <w:p w:rsidRPr="001E4412" w:rsidR="00A13D1F" w:rsidP="000975E3" w:rsidRDefault="00A13D1F" w14:paraId="5C8DF4B6" w14:textId="77777777">
      <w:pPr>
        <w:pStyle w:val="ListParagraph"/>
        <w:numPr>
          <w:ilvl w:val="6"/>
          <w:numId w:val="1"/>
        </w:numPr>
        <w:spacing w:after="120" w:line="240" w:lineRule="auto"/>
        <w:ind w:right="1440"/>
        <w:rPr>
          <w:rFonts w:eastAsia="Times New Roman"/>
        </w:rPr>
      </w:pPr>
      <w:r w:rsidRPr="001E4412">
        <w:rPr>
          <w:rFonts w:eastAsia="Times New Roman"/>
          <w:u w:val="single"/>
        </w:rPr>
        <w:t>Eligible Areas</w:t>
      </w:r>
      <w:r w:rsidRPr="001E4412">
        <w:rPr>
          <w:rFonts w:eastAsia="Times New Roman"/>
        </w:rPr>
        <w:t xml:space="preserve">:  The Staff Proposal directs the focus of last mile projects to be in unserved areas </w:t>
      </w:r>
      <w:r w:rsidRPr="00EB1228">
        <w:t>that lack access to a wireline connection capable of reliably delivering at least minimum speeds of 25 Mbps download and 3 Mbps upload.</w:t>
      </w:r>
      <w:r w:rsidRPr="001E4412">
        <w:rPr>
          <w:rFonts w:eastAsia="Times New Roman"/>
        </w:rPr>
        <w:t xml:space="preserve"> </w:t>
      </w:r>
    </w:p>
    <w:p w:rsidR="00A13D1F" w:rsidP="000975E3" w:rsidRDefault="00A13D1F" w14:paraId="4CF1CE12" w14:textId="77777777">
      <w:pPr>
        <w:numPr>
          <w:ilvl w:val="0"/>
          <w:numId w:val="15"/>
        </w:numPr>
        <w:spacing w:after="120" w:line="240" w:lineRule="auto"/>
        <w:ind w:right="1440"/>
        <w:rPr>
          <w:rFonts w:eastAsia="Times New Roman"/>
        </w:rPr>
      </w:pPr>
      <w:r w:rsidRPr="00EB1228">
        <w:rPr>
          <w:rFonts w:eastAsia="Times New Roman"/>
        </w:rPr>
        <w:t xml:space="preserve">How should the Commission consider eligible areas? </w:t>
      </w:r>
    </w:p>
    <w:p w:rsidRPr="00EB1228" w:rsidR="00A13D1F" w:rsidP="000975E3" w:rsidRDefault="00A13D1F" w14:paraId="737B6E37" w14:textId="77777777">
      <w:pPr>
        <w:numPr>
          <w:ilvl w:val="0"/>
          <w:numId w:val="15"/>
        </w:numPr>
        <w:spacing w:after="120" w:line="240" w:lineRule="auto"/>
        <w:ind w:right="1440"/>
        <w:rPr>
          <w:rFonts w:eastAsia="Times New Roman"/>
        </w:rPr>
      </w:pPr>
      <w:r w:rsidRPr="00EB1228">
        <w:rPr>
          <w:rFonts w:eastAsia="Times New Roman"/>
        </w:rPr>
        <w:t>How should underserved areas be defined and considered?</w:t>
      </w:r>
    </w:p>
    <w:p w:rsidRPr="00EB1228" w:rsidR="00A13D1F" w:rsidP="000975E3" w:rsidRDefault="00A13D1F" w14:paraId="6140207A" w14:textId="77777777">
      <w:pPr>
        <w:numPr>
          <w:ilvl w:val="0"/>
          <w:numId w:val="15"/>
        </w:numPr>
        <w:spacing w:after="120" w:line="240" w:lineRule="auto"/>
        <w:ind w:right="1440"/>
      </w:pPr>
      <w:r w:rsidRPr="00EB1228">
        <w:t>What criteria should the Commission use to determine if an area has reliable service?</w:t>
      </w:r>
    </w:p>
    <w:p w:rsidRPr="00EB1228" w:rsidR="00A13D1F" w:rsidP="000975E3" w:rsidRDefault="00A13D1F" w14:paraId="742AC2C2" w14:textId="77777777">
      <w:pPr>
        <w:numPr>
          <w:ilvl w:val="0"/>
          <w:numId w:val="15"/>
        </w:numPr>
        <w:spacing w:after="120" w:line="240" w:lineRule="auto"/>
        <w:ind w:right="1440"/>
      </w:pPr>
      <w:r w:rsidRPr="00EB1228">
        <w:t>How should the Commission measure what constitutes a significant number of unserved and underserved households?</w:t>
      </w:r>
    </w:p>
    <w:p w:rsidRPr="001E4412" w:rsidR="00A13D1F" w:rsidP="000975E3" w:rsidRDefault="00A13D1F" w14:paraId="277E6F89" w14:textId="77777777">
      <w:pPr>
        <w:pStyle w:val="ListParagraph"/>
        <w:numPr>
          <w:ilvl w:val="6"/>
          <w:numId w:val="1"/>
        </w:numPr>
        <w:spacing w:after="120" w:line="240" w:lineRule="auto"/>
        <w:ind w:right="1440"/>
        <w:rPr>
          <w:rFonts w:eastAsia="Times New Roman"/>
        </w:rPr>
      </w:pPr>
      <w:r w:rsidRPr="001E4412">
        <w:rPr>
          <w:rFonts w:eastAsia="Times New Roman"/>
          <w:u w:val="single"/>
        </w:rPr>
        <w:lastRenderedPageBreak/>
        <w:t>Eligible Entities:</w:t>
      </w:r>
      <w:r w:rsidRPr="001E4412">
        <w:rPr>
          <w:rFonts w:eastAsia="Times New Roman"/>
        </w:rPr>
        <w:t xml:space="preserve">  The Staff Proposal lists eligible entities (</w:t>
      </w:r>
      <w:r w:rsidRPr="001E4412">
        <w:rPr>
          <w:rFonts w:eastAsia="Times New Roman"/>
          <w:i/>
          <w:iCs/>
        </w:rPr>
        <w:t>see</w:t>
      </w:r>
      <w:r w:rsidRPr="001E4412">
        <w:rPr>
          <w:rFonts w:eastAsia="Times New Roman"/>
        </w:rPr>
        <w:t xml:space="preserve"> related questions under the IOU Broadband Pilots section of the ruling). </w:t>
      </w:r>
    </w:p>
    <w:p w:rsidRPr="00EB1228" w:rsidR="00A13D1F" w:rsidP="000975E3" w:rsidRDefault="00A13D1F" w14:paraId="38899357" w14:textId="77777777">
      <w:pPr>
        <w:numPr>
          <w:ilvl w:val="0"/>
          <w:numId w:val="14"/>
        </w:numPr>
        <w:spacing w:after="120" w:line="240" w:lineRule="auto"/>
        <w:ind w:right="1440"/>
      </w:pPr>
      <w:r w:rsidRPr="00EB1228">
        <w:t xml:space="preserve">What information should the Commission consider in the rules to allow flexibility to enable partnerships between entities and providers? For </w:t>
      </w:r>
      <w:r w:rsidRPr="00DF6311">
        <w:t>example</w:t>
      </w:r>
      <w:r w:rsidRPr="00EB1228">
        <w:t xml:space="preserve">, a public entity and one or more broadband service providers. </w:t>
      </w:r>
    </w:p>
    <w:p w:rsidRPr="001E4412" w:rsidR="00A13D1F" w:rsidP="000975E3" w:rsidRDefault="00A13D1F" w14:paraId="10E64FC5" w14:textId="77777777">
      <w:pPr>
        <w:pStyle w:val="ListParagraph"/>
        <w:numPr>
          <w:ilvl w:val="6"/>
          <w:numId w:val="1"/>
        </w:numPr>
        <w:spacing w:after="120" w:line="240" w:lineRule="auto"/>
        <w:ind w:right="1440"/>
        <w:rPr>
          <w:rFonts w:eastAsia="Times New Roman"/>
          <w:u w:val="single"/>
        </w:rPr>
      </w:pPr>
      <w:r w:rsidRPr="001E4412">
        <w:rPr>
          <w:rFonts w:eastAsia="Times New Roman"/>
          <w:u w:val="single"/>
        </w:rPr>
        <w:t>Coordination with Statewide Middle Mile Network:</w:t>
      </w:r>
      <w:r w:rsidRPr="001E4412">
        <w:rPr>
          <w:rFonts w:eastAsia="Times New Roman"/>
        </w:rPr>
        <w:t xml:space="preserve">  </w:t>
      </w:r>
      <w:r w:rsidRPr="001E4412">
        <w:rPr>
          <w:rFonts w:eastAsia="Times New Roman"/>
        </w:rPr>
        <w:br/>
        <w:t>SB 156 also creates a statewide middle mile network that must enable last mile connections.</w:t>
      </w:r>
    </w:p>
    <w:p w:rsidRPr="00EB1228" w:rsidR="00A13D1F" w:rsidP="000975E3" w:rsidRDefault="00A13D1F" w14:paraId="6E8EDFE7" w14:textId="77777777">
      <w:pPr>
        <w:numPr>
          <w:ilvl w:val="0"/>
          <w:numId w:val="12"/>
        </w:numPr>
        <w:spacing w:after="120" w:line="240" w:lineRule="auto"/>
        <w:ind w:right="1440"/>
      </w:pPr>
      <w:r w:rsidRPr="00EB1228">
        <w:t>How can the Commission ensure the FFA grants coordinate and take advantage of the statewide middle mile network that is being built?</w:t>
      </w:r>
    </w:p>
    <w:p w:rsidRPr="001E4412" w:rsidR="00A13D1F" w:rsidP="000975E3" w:rsidRDefault="00A13D1F" w14:paraId="7A30889E" w14:textId="77777777">
      <w:pPr>
        <w:pStyle w:val="ListParagraph"/>
        <w:numPr>
          <w:ilvl w:val="6"/>
          <w:numId w:val="1"/>
        </w:numPr>
        <w:spacing w:after="120" w:line="240" w:lineRule="auto"/>
        <w:ind w:right="1440"/>
        <w:rPr>
          <w:rFonts w:eastAsia="Times New Roman"/>
          <w:u w:val="single"/>
        </w:rPr>
      </w:pPr>
      <w:r w:rsidRPr="001E4412">
        <w:rPr>
          <w:rFonts w:eastAsia="Times New Roman"/>
          <w:u w:val="single"/>
        </w:rPr>
        <w:t>IOU Broadband Pilots:</w:t>
      </w:r>
      <w:r w:rsidRPr="001E4412">
        <w:rPr>
          <w:rFonts w:eastAsia="Times New Roman"/>
        </w:rPr>
        <w:t xml:space="preserve">  Phase II in this proceeding seeks to identify a role for the electric Investor-Owned Utilities (IOUs) in deploying broadband Internet access service.</w:t>
      </w:r>
      <w:r w:rsidRPr="001E4412">
        <w:rPr>
          <w:rFonts w:eastAsia="Times New Roman"/>
          <w:u w:val="single"/>
        </w:rPr>
        <w:t xml:space="preserve"> </w:t>
      </w:r>
    </w:p>
    <w:p w:rsidRPr="00EB1228" w:rsidR="00A13D1F" w:rsidP="000975E3" w:rsidRDefault="00A13D1F" w14:paraId="32F5FE39" w14:textId="77777777">
      <w:pPr>
        <w:numPr>
          <w:ilvl w:val="0"/>
          <w:numId w:val="12"/>
        </w:numPr>
        <w:spacing w:after="120" w:line="240" w:lineRule="auto"/>
        <w:ind w:right="1440"/>
        <w:rPr>
          <w:szCs w:val="26"/>
        </w:rPr>
      </w:pPr>
      <w:r w:rsidRPr="00EB1228">
        <w:rPr>
          <w:szCs w:val="26"/>
        </w:rPr>
        <w:t xml:space="preserve">How can the FFA be utilized to achieve this objective? </w:t>
      </w:r>
    </w:p>
    <w:p w:rsidRPr="00EB1228" w:rsidR="00A13D1F" w:rsidP="000975E3" w:rsidRDefault="00A13D1F" w14:paraId="2226AF0B" w14:textId="77777777">
      <w:pPr>
        <w:numPr>
          <w:ilvl w:val="0"/>
          <w:numId w:val="12"/>
        </w:numPr>
        <w:spacing w:after="120" w:line="240" w:lineRule="auto"/>
        <w:ind w:right="1440"/>
        <w:rPr>
          <w:rFonts w:asciiTheme="minorHAnsi" w:hAnsiTheme="minorHAnsi"/>
          <w:szCs w:val="26"/>
        </w:rPr>
      </w:pPr>
      <w:r w:rsidRPr="00EB1228">
        <w:rPr>
          <w:szCs w:val="26"/>
        </w:rPr>
        <w:t>Should the IOU Fiber Pilots in Phase II be moved into Phase III?</w:t>
      </w:r>
    </w:p>
    <w:p w:rsidR="00A13D1F" w:rsidP="000975E3" w:rsidRDefault="00A13D1F" w14:paraId="411606C6" w14:textId="77777777">
      <w:pPr>
        <w:numPr>
          <w:ilvl w:val="0"/>
          <w:numId w:val="12"/>
        </w:numPr>
        <w:spacing w:after="120" w:line="240" w:lineRule="auto"/>
        <w:ind w:right="1440"/>
        <w:rPr>
          <w:rFonts w:asciiTheme="minorHAnsi" w:hAnsiTheme="minorHAnsi"/>
          <w:szCs w:val="26"/>
        </w:rPr>
      </w:pPr>
      <w:r w:rsidRPr="00EB1228">
        <w:rPr>
          <w:szCs w:val="26"/>
        </w:rPr>
        <w:t>How should the Commission consider changes to add flexibility to the rules to facilitate applicants from multiple entities such as partnerships between multiple last mile providers or a middle mile applicant such as an IOU and a last mile provider?</w:t>
      </w:r>
    </w:p>
    <w:p w:rsidRPr="001E4412" w:rsidR="00A13D1F" w:rsidP="000975E3" w:rsidRDefault="00A13D1F" w14:paraId="050EA23D" w14:textId="77777777">
      <w:pPr>
        <w:numPr>
          <w:ilvl w:val="0"/>
          <w:numId w:val="12"/>
        </w:numPr>
        <w:spacing w:after="120" w:line="240" w:lineRule="auto"/>
        <w:ind w:right="1440"/>
        <w:rPr>
          <w:rFonts w:asciiTheme="minorHAnsi" w:hAnsiTheme="minorHAnsi"/>
          <w:szCs w:val="26"/>
        </w:rPr>
      </w:pPr>
      <w:r w:rsidRPr="001E4412">
        <w:rPr>
          <w:szCs w:val="26"/>
        </w:rPr>
        <w:t>How should the Commission consider or identify IOU rights-of-way that would enable last mile connections and work to fund or effectuate deployment in those IOU rights of way even without an IOU and last mile provider partnership?</w:t>
      </w:r>
    </w:p>
    <w:p w:rsidRPr="001E4412" w:rsidR="00A13D1F" w:rsidP="000975E3" w:rsidRDefault="00A13D1F" w14:paraId="1D72BC81" w14:textId="77777777">
      <w:pPr>
        <w:pStyle w:val="ListParagraph"/>
        <w:numPr>
          <w:ilvl w:val="6"/>
          <w:numId w:val="1"/>
        </w:numPr>
        <w:spacing w:after="120" w:line="240" w:lineRule="auto"/>
        <w:ind w:right="1440"/>
        <w:rPr>
          <w:rFonts w:asciiTheme="minorHAnsi" w:hAnsiTheme="minorHAnsi"/>
          <w:szCs w:val="26"/>
        </w:rPr>
      </w:pPr>
      <w:r w:rsidRPr="001E4412">
        <w:rPr>
          <w:u w:val="single"/>
        </w:rPr>
        <w:t>Performance Criteria:</w:t>
      </w:r>
      <w:r w:rsidRPr="00EB1228">
        <w:t xml:space="preserve">  Federal </w:t>
      </w:r>
      <w:r w:rsidRPr="001E4412">
        <w:rPr>
          <w:rFonts w:eastAsia="Times New Roman" w:cs="Times New Roman"/>
          <w:szCs w:val="26"/>
        </w:rPr>
        <w:t>SLFRF</w:t>
      </w:r>
      <w:r w:rsidRPr="00EB1228">
        <w:t xml:space="preserve"> funds must be obligated between March 3, 2021 and December 31, 2024 and expended to cover such obligations by </w:t>
      </w:r>
      <w:r w:rsidRPr="00EB1228">
        <w:br/>
        <w:t xml:space="preserve">December 31, 2026. </w:t>
      </w:r>
    </w:p>
    <w:p w:rsidRPr="00EB1228" w:rsidR="00A13D1F" w:rsidP="000975E3" w:rsidRDefault="00A13D1F" w14:paraId="55B65922" w14:textId="77777777">
      <w:pPr>
        <w:numPr>
          <w:ilvl w:val="0"/>
          <w:numId w:val="13"/>
        </w:numPr>
        <w:spacing w:after="120" w:line="240" w:lineRule="auto"/>
        <w:ind w:right="1440"/>
      </w:pPr>
      <w:r w:rsidRPr="00EB1228">
        <w:t xml:space="preserve">What changes should the Commission consider to the performance criteria to meet the December 31, 2024 </w:t>
      </w:r>
      <w:r w:rsidRPr="00EB1228">
        <w:lastRenderedPageBreak/>
        <w:t>obligation or encumbrance and December 31, 2026 expenditure deadlines?</w:t>
      </w:r>
    </w:p>
    <w:p w:rsidRPr="00EB1228" w:rsidR="00A13D1F" w:rsidP="000975E3" w:rsidRDefault="00A13D1F" w14:paraId="4F865700" w14:textId="77777777">
      <w:pPr>
        <w:numPr>
          <w:ilvl w:val="0"/>
          <w:numId w:val="13"/>
        </w:numPr>
        <w:spacing w:after="120" w:line="240" w:lineRule="auto"/>
        <w:ind w:right="1440"/>
      </w:pPr>
      <w:r w:rsidRPr="00EB1228">
        <w:t xml:space="preserve">How should the Commission measure the serviceable life of the infrastructure? (Section 6.6 of the </w:t>
      </w:r>
      <w:r>
        <w:br/>
      </w:r>
      <w:r w:rsidRPr="00EB1228">
        <w:t>Staff Proposal)</w:t>
      </w:r>
    </w:p>
    <w:p w:rsidRPr="00EB1228" w:rsidR="00A13D1F" w:rsidP="000975E3" w:rsidRDefault="00A13D1F" w14:paraId="6FC4792F" w14:textId="77777777">
      <w:pPr>
        <w:pStyle w:val="ListParagraph"/>
        <w:numPr>
          <w:ilvl w:val="6"/>
          <w:numId w:val="1"/>
        </w:numPr>
        <w:spacing w:after="120" w:line="240" w:lineRule="auto"/>
        <w:ind w:right="1440"/>
      </w:pPr>
      <w:r w:rsidRPr="001E4412">
        <w:rPr>
          <w:u w:val="single"/>
        </w:rPr>
        <w:t>Information Required from Applicants</w:t>
      </w:r>
      <w:r w:rsidRPr="00EB1228">
        <w:t>:  Treasury published guidance</w:t>
      </w:r>
      <w:r w:rsidRPr="00EB1228">
        <w:rPr>
          <w:vertAlign w:val="superscript"/>
        </w:rPr>
        <w:footnoteReference w:id="14"/>
      </w:r>
      <w:r w:rsidRPr="00EB1228">
        <w:t xml:space="preserve"> on federal SLFRF subaward (grantee) reporting. </w:t>
      </w:r>
    </w:p>
    <w:p w:rsidRPr="00EB1228" w:rsidR="00A13D1F" w:rsidP="000975E3" w:rsidRDefault="00A13D1F" w14:paraId="5F69E646" w14:textId="77777777">
      <w:pPr>
        <w:numPr>
          <w:ilvl w:val="0"/>
          <w:numId w:val="13"/>
        </w:numPr>
        <w:spacing w:after="120" w:line="240" w:lineRule="auto"/>
        <w:ind w:right="1440"/>
      </w:pPr>
      <w:r w:rsidRPr="00EB1228">
        <w:t>What changes should the Commission consider to the Information Required from Applicants or Semi-Annual and Completion Reporting to better capture and provide information pursuant to the Treasury guidance?</w:t>
      </w:r>
    </w:p>
    <w:p w:rsidRPr="00EB1228" w:rsidR="00A13D1F" w:rsidP="000975E3" w:rsidRDefault="00A13D1F" w14:paraId="7CB40256" w14:textId="77777777">
      <w:pPr>
        <w:pStyle w:val="ListParagraph"/>
        <w:numPr>
          <w:ilvl w:val="6"/>
          <w:numId w:val="1"/>
        </w:numPr>
        <w:spacing w:after="120" w:line="240" w:lineRule="auto"/>
        <w:ind w:right="1440"/>
      </w:pPr>
      <w:r w:rsidRPr="001E4412">
        <w:rPr>
          <w:u w:val="single"/>
        </w:rPr>
        <w:t>Provision of voice and other services</w:t>
      </w:r>
      <w:r w:rsidRPr="00EB1228">
        <w:t>:  The Interim Final Rule considers a connection that can “originate and receive high-quality voice, data, graphics, and video telecommunications.”</w:t>
      </w:r>
      <w:r w:rsidRPr="00EB1228">
        <w:rPr>
          <w:vertAlign w:val="superscript"/>
        </w:rPr>
        <w:footnoteReference w:id="15"/>
      </w:r>
    </w:p>
    <w:p w:rsidRPr="00EB1228" w:rsidR="00A13D1F" w:rsidP="000975E3" w:rsidRDefault="00A13D1F" w14:paraId="20CAA790" w14:textId="77777777">
      <w:pPr>
        <w:numPr>
          <w:ilvl w:val="0"/>
          <w:numId w:val="13"/>
        </w:numPr>
        <w:spacing w:after="120" w:line="240" w:lineRule="auto"/>
        <w:ind w:right="1440"/>
      </w:pPr>
      <w:r w:rsidRPr="00EB1228">
        <w:t xml:space="preserve">How should the Commission consider Applicants which propose to provide voice service or other services? </w:t>
      </w:r>
    </w:p>
    <w:p w:rsidRPr="00EB1228" w:rsidR="00A13D1F" w:rsidP="000975E3" w:rsidRDefault="00A13D1F" w14:paraId="198AFEC8" w14:textId="77777777">
      <w:pPr>
        <w:numPr>
          <w:ilvl w:val="0"/>
          <w:numId w:val="13"/>
        </w:numPr>
        <w:spacing w:after="120" w:line="240" w:lineRule="auto"/>
        <w:ind w:right="1440"/>
      </w:pPr>
      <w:r w:rsidRPr="00EB1228">
        <w:t xml:space="preserve">What is the industry standard approach to providing this service in a safe and reliable manner? </w:t>
      </w:r>
    </w:p>
    <w:p w:rsidRPr="00EB1228" w:rsidR="00A13D1F" w:rsidP="000975E3" w:rsidRDefault="00A13D1F" w14:paraId="045CEC5E" w14:textId="77777777">
      <w:pPr>
        <w:pStyle w:val="ListParagraph"/>
        <w:numPr>
          <w:ilvl w:val="6"/>
          <w:numId w:val="1"/>
        </w:numPr>
        <w:spacing w:after="120" w:line="240" w:lineRule="auto"/>
        <w:ind w:right="1440"/>
      </w:pPr>
      <w:r w:rsidRPr="001E4412">
        <w:rPr>
          <w:u w:val="single"/>
        </w:rPr>
        <w:t>Government and Community Support</w:t>
      </w:r>
      <w:r w:rsidRPr="00EB1228">
        <w:t>:  Applicants must provide letters indicating government or community support.</w:t>
      </w:r>
    </w:p>
    <w:p w:rsidRPr="00EB1228" w:rsidR="00A13D1F" w:rsidP="000975E3" w:rsidRDefault="00A13D1F" w14:paraId="7BE47DFA" w14:textId="77777777">
      <w:pPr>
        <w:numPr>
          <w:ilvl w:val="0"/>
          <w:numId w:val="13"/>
        </w:numPr>
        <w:spacing w:after="120" w:line="240" w:lineRule="auto"/>
        <w:ind w:right="1440"/>
      </w:pPr>
      <w:r w:rsidRPr="00EB1228">
        <w:t xml:space="preserve">How should the Commission consider the requirement for applicants to address how a proposed application furthers the purpose of a Local Government or Tribal </w:t>
      </w:r>
      <w:r w:rsidRPr="00EB1228">
        <w:lastRenderedPageBreak/>
        <w:t xml:space="preserve">technical assistance grant in project areas for which a grant has been awarded? </w:t>
      </w:r>
    </w:p>
    <w:p w:rsidRPr="00EB1228" w:rsidR="00A13D1F" w:rsidP="000975E3" w:rsidRDefault="00A13D1F" w14:paraId="07C1E9FE" w14:textId="77777777">
      <w:pPr>
        <w:pStyle w:val="ListParagraph"/>
        <w:numPr>
          <w:ilvl w:val="6"/>
          <w:numId w:val="1"/>
        </w:numPr>
        <w:spacing w:after="120" w:line="240" w:lineRule="auto"/>
        <w:ind w:right="1440"/>
      </w:pPr>
      <w:r w:rsidRPr="001E4412">
        <w:rPr>
          <w:u w:val="single"/>
        </w:rPr>
        <w:t>Ministerial review criteria and cutoff</w:t>
      </w:r>
      <w:r w:rsidRPr="00EB1228">
        <w:t xml:space="preserve">:  Section 13 outlines criteria for a project to be eligible for ministerial review. </w:t>
      </w:r>
    </w:p>
    <w:p w:rsidRPr="00EB1228" w:rsidR="00A13D1F" w:rsidP="000975E3" w:rsidRDefault="00A13D1F" w14:paraId="353A66A7" w14:textId="77777777">
      <w:pPr>
        <w:numPr>
          <w:ilvl w:val="0"/>
          <w:numId w:val="13"/>
        </w:numPr>
        <w:spacing w:after="120" w:line="240" w:lineRule="auto"/>
        <w:ind w:right="1440"/>
      </w:pPr>
      <w:r w:rsidRPr="00EB1228">
        <w:t xml:space="preserve">What other criteria or range of funding should the Commission consider? For </w:t>
      </w:r>
      <w:r w:rsidRPr="00DF6311">
        <w:t>example</w:t>
      </w:r>
      <w:r w:rsidRPr="00EA1FBC">
        <w:t>,</w:t>
      </w:r>
      <w:r w:rsidRPr="00EB1228">
        <w:t xml:space="preserve"> should the project amount for ministerial review be some amount between $10-30 million? How should the per location cost criteria be modified and how should this per location cost be considered? </w:t>
      </w:r>
    </w:p>
    <w:p w:rsidRPr="00EB1228" w:rsidR="00A13D1F" w:rsidP="000975E3" w:rsidRDefault="00A13D1F" w14:paraId="1C80E30C" w14:textId="77777777">
      <w:pPr>
        <w:pStyle w:val="ListParagraph"/>
        <w:numPr>
          <w:ilvl w:val="6"/>
          <w:numId w:val="1"/>
        </w:numPr>
        <w:spacing w:after="120" w:line="240" w:lineRule="auto"/>
        <w:ind w:right="1440"/>
      </w:pPr>
      <w:r w:rsidRPr="001E4412">
        <w:rPr>
          <w:u w:val="single"/>
        </w:rPr>
        <w:t>Post-Construction Phase:</w:t>
      </w:r>
      <w:r w:rsidRPr="00EB1228">
        <w:t xml:space="preserve">  For what time period should after construction requirements remain in place?</w:t>
      </w:r>
      <w:r w:rsidRPr="001E4412">
        <w:rPr>
          <w:u w:val="single"/>
        </w:rPr>
        <w:t xml:space="preserve"> </w:t>
      </w:r>
    </w:p>
    <w:p w:rsidR="00A13D1F" w:rsidP="000975E3" w:rsidRDefault="00A13D1F" w14:paraId="1792F6B0" w14:textId="77777777">
      <w:pPr>
        <w:numPr>
          <w:ilvl w:val="0"/>
          <w:numId w:val="13"/>
        </w:numPr>
        <w:spacing w:after="120" w:line="240" w:lineRule="auto"/>
        <w:ind w:right="1440"/>
      </w:pPr>
      <w:r w:rsidRPr="00EB1228">
        <w:t xml:space="preserve">How should the Commission consider </w:t>
      </w:r>
      <w:r w:rsidRPr="00EB1228">
        <w:br/>
        <w:t xml:space="preserve">post-construction requirements and/or reporting for a period of time? What should they be? How long should the Commission require these requirements and why?  For </w:t>
      </w:r>
      <w:r w:rsidRPr="00DF6311">
        <w:t>example</w:t>
      </w:r>
      <w:r w:rsidRPr="00EB1228">
        <w:t>, the current draft includes notification requirements about potential transfers of control for three years.</w:t>
      </w:r>
    </w:p>
    <w:p w:rsidR="00A13D1F" w:rsidP="000975E3" w:rsidRDefault="00A13D1F" w14:paraId="7C0E81AB" w14:textId="3E356545">
      <w:pPr>
        <w:pStyle w:val="Heading1"/>
      </w:pPr>
      <w:bookmarkStart w:name="_Toc94637182" w:id="15"/>
      <w:bookmarkStart w:name="_Toc101519062" w:id="16"/>
      <w:r w:rsidRPr="000975E3">
        <w:t>Eligible</w:t>
      </w:r>
      <w:r>
        <w:t xml:space="preserve"> Areas</w:t>
      </w:r>
      <w:bookmarkEnd w:id="15"/>
      <w:bookmarkEnd w:id="16"/>
    </w:p>
    <w:p w:rsidR="00A13D1F" w:rsidP="000975E3" w:rsidRDefault="00A13D1F" w14:paraId="5391851D" w14:textId="77777777">
      <w:pPr>
        <w:pStyle w:val="Standard"/>
      </w:pPr>
      <w:r w:rsidRPr="000975E3">
        <w:t>Consistent</w:t>
      </w:r>
      <w:r>
        <w:t xml:space="preserve"> with federal rules, the ACR proposes to define eligible areas as locations (households and businesses)</w:t>
      </w:r>
      <w:r>
        <w:rPr>
          <w:rStyle w:val="FootnoteReference"/>
        </w:rPr>
        <w:footnoteReference w:id="16"/>
      </w:r>
      <w:r>
        <w:t xml:space="preserve"> that lack access to a wireline Internet service connection capable of reliably</w:t>
      </w:r>
      <w:r>
        <w:rPr>
          <w:rStyle w:val="FootnoteReference"/>
        </w:rPr>
        <w:footnoteReference w:id="17"/>
      </w:r>
      <w:r>
        <w:t xml:space="preserve"> delivering minimum speeds of 25 Mbps download and 3 Mbps upload. </w:t>
      </w:r>
    </w:p>
    <w:p w:rsidR="00A13D1F" w:rsidP="00A13D1F" w:rsidRDefault="00A13D1F" w14:paraId="10AC9D74" w14:textId="77777777">
      <w:pPr>
        <w:pStyle w:val="Standard"/>
      </w:pPr>
      <w:r>
        <w:lastRenderedPageBreak/>
        <w:t>When making these assessments, applicants may choose to consider any available data, including but not limited to documentation of existing service performance, federal and/or state-collected broadband data, user speed test results, interviews with residents and business owners, and any other information they deem relevant. In evaluating such data, applicants may take into account a variety of factors, including whether users receive service at or above the speed thresholds at all hours of the day, whether factors other than speed such as latency or jitter, or deterioration of the existing connections make the user experience unreliable, and whether the existing service is being delivered by legacy technologies, such as copper telephone lines (typically using Digital Subscriber Line technology) or early versions of cable system technology (DOCSIS 2.0 or earlier).</w:t>
      </w:r>
    </w:p>
    <w:p w:rsidR="00A13D1F" w:rsidP="00A13D1F" w:rsidRDefault="00A13D1F" w14:paraId="49211E8B" w14:textId="77777777">
      <w:pPr>
        <w:pStyle w:val="Standard"/>
      </w:pPr>
      <w:r>
        <w:t>The ACR asks:</w:t>
      </w:r>
    </w:p>
    <w:p w:rsidR="00A13D1F" w:rsidP="00641A5E" w:rsidRDefault="00A13D1F" w14:paraId="169D8534" w14:textId="77777777">
      <w:pPr>
        <w:pStyle w:val="Standard"/>
        <w:numPr>
          <w:ilvl w:val="0"/>
          <w:numId w:val="13"/>
        </w:numPr>
        <w:spacing w:after="120" w:line="240" w:lineRule="auto"/>
        <w:ind w:left="1080" w:right="1440"/>
      </w:pPr>
      <w:r>
        <w:t>How should the Commission consider eligible areas?</w:t>
      </w:r>
    </w:p>
    <w:p w:rsidR="00A13D1F" w:rsidP="00641A5E" w:rsidRDefault="00A13D1F" w14:paraId="340BD30A" w14:textId="77777777">
      <w:pPr>
        <w:pStyle w:val="Standard"/>
        <w:numPr>
          <w:ilvl w:val="0"/>
          <w:numId w:val="17"/>
        </w:numPr>
        <w:spacing w:after="120" w:line="240" w:lineRule="auto"/>
        <w:ind w:left="1080" w:right="1440"/>
      </w:pPr>
      <w:r>
        <w:t>How should underserved areas be defined and considered?</w:t>
      </w:r>
    </w:p>
    <w:p w:rsidR="00A13D1F" w:rsidP="00641A5E" w:rsidRDefault="00A13D1F" w14:paraId="44ABF47C" w14:textId="77777777">
      <w:pPr>
        <w:pStyle w:val="Standard"/>
        <w:numPr>
          <w:ilvl w:val="0"/>
          <w:numId w:val="17"/>
        </w:numPr>
        <w:spacing w:after="120" w:line="240" w:lineRule="auto"/>
        <w:ind w:left="1080" w:right="1440"/>
      </w:pPr>
      <w:r>
        <w:t>What criteria should the Commission use to determine if an area has reliable service?</w:t>
      </w:r>
    </w:p>
    <w:p w:rsidR="00A13D1F" w:rsidP="00641A5E" w:rsidRDefault="00A13D1F" w14:paraId="13CF0853" w14:textId="77777777">
      <w:pPr>
        <w:pStyle w:val="Standard"/>
        <w:numPr>
          <w:ilvl w:val="0"/>
          <w:numId w:val="17"/>
        </w:numPr>
        <w:spacing w:after="120" w:line="240" w:lineRule="auto"/>
        <w:ind w:left="1080" w:right="1440"/>
      </w:pPr>
      <w:r>
        <w:t>How should the Commission measure what constitutes a significant number of unserved and underserved households?</w:t>
      </w:r>
    </w:p>
    <w:p w:rsidR="00A13D1F" w:rsidP="009F11AB" w:rsidRDefault="00A13D1F" w14:paraId="087F1260" w14:textId="6A4F7FD3">
      <w:pPr>
        <w:pStyle w:val="Heading2"/>
      </w:pPr>
      <w:bookmarkStart w:name="_Toc94637183" w:id="17"/>
      <w:bookmarkStart w:name="_Toc101519063" w:id="18"/>
      <w:r>
        <w:t xml:space="preserve">Party </w:t>
      </w:r>
      <w:r w:rsidRPr="009F11AB">
        <w:t>Positions</w:t>
      </w:r>
      <w:bookmarkEnd w:id="17"/>
      <w:bookmarkEnd w:id="18"/>
    </w:p>
    <w:p w:rsidR="00A13D1F" w:rsidP="009F11AB" w:rsidRDefault="00A13D1F" w14:paraId="0DF0A586" w14:textId="1C0E0679">
      <w:pPr>
        <w:pStyle w:val="Standard"/>
      </w:pPr>
      <w:r>
        <w:t>There is a lack of consensus among parties regarding how the Commission should determine if an area is eligible for FFA grants and how the Commission should interpret federal rules that give it broad discretion. Some parties support the proposed rules in the ACR. Others oppose the proposed rules, or even disagree with federal rules</w:t>
      </w:r>
      <w:r w:rsidR="00D75EDE">
        <w:t>, either the Interim rule or the Final Rule</w:t>
      </w:r>
      <w:r>
        <w:t xml:space="preserve">. Many parties recommend revisions to the proposed rules. </w:t>
      </w:r>
    </w:p>
    <w:p w:rsidR="00A13D1F" w:rsidP="00A13D1F" w:rsidRDefault="00A13D1F" w14:paraId="640AC571" w14:textId="77777777">
      <w:pPr>
        <w:pStyle w:val="Standard"/>
      </w:pPr>
      <w:r>
        <w:lastRenderedPageBreak/>
        <w:t xml:space="preserve">Parties propose several alternative methods by which the Commission should determine if an area is eligible for a FFA grant. AARP, LAEDC, RCRC, and Comcast support relying on the 25/3 Mbps speed threshold. Cal Advocates recommends </w:t>
      </w:r>
      <w:r w:rsidRPr="00473CB3">
        <w:t>defin</w:t>
      </w:r>
      <w:r>
        <w:t>ing</w:t>
      </w:r>
      <w:r w:rsidRPr="00473CB3">
        <w:t xml:space="preserve"> unserved areas as areas without reliable access to </w:t>
      </w:r>
      <w:r>
        <w:t xml:space="preserve">Internet service at </w:t>
      </w:r>
      <w:r w:rsidRPr="00473CB3">
        <w:t>25/3 Mbps.</w:t>
      </w:r>
      <w:r>
        <w:t xml:space="preserve"> TURN, RCRC, and CCTA specifically support a blanket determination that wireline Internet service is reliable</w:t>
      </w:r>
      <w:r w:rsidRPr="002D738F">
        <w:t xml:space="preserve">. </w:t>
      </w:r>
      <w:r>
        <w:t>Frederick L. Pilot suggests that all ar</w:t>
      </w:r>
      <w:r w:rsidRPr="004E47CA">
        <w:t xml:space="preserve">eas lacking </w:t>
      </w:r>
      <w:r>
        <w:t xml:space="preserve">last-mile </w:t>
      </w:r>
      <w:r w:rsidRPr="004E47CA">
        <w:t xml:space="preserve">fiber </w:t>
      </w:r>
      <w:r>
        <w:t xml:space="preserve">Internet service </w:t>
      </w:r>
      <w:r w:rsidRPr="004E47CA">
        <w:t>should be eligible</w:t>
      </w:r>
      <w:r>
        <w:t xml:space="preserve"> for FFA grants, with the </w:t>
      </w:r>
      <w:r w:rsidRPr="00580441">
        <w:t>Commission adopt</w:t>
      </w:r>
      <w:r>
        <w:t>ing</w:t>
      </w:r>
      <w:r w:rsidRPr="00580441">
        <w:t xml:space="preserve"> a rebuttable presumption </w:t>
      </w:r>
      <w:r>
        <w:t>that</w:t>
      </w:r>
      <w:r w:rsidRPr="00580441">
        <w:t xml:space="preserve"> most areas outside heavily urban locations do not have last-mile fiber.</w:t>
      </w:r>
      <w:r>
        <w:t xml:space="preserve"> Joint WISPs support relying on the 25/3 Mbps speed threshold to determine eligibility, but also note that the proposal ignores locations with existing fixed wireless service, including Commission-approved CASF projects.  </w:t>
      </w:r>
    </w:p>
    <w:p w:rsidR="00A13D1F" w:rsidP="00A13D1F" w:rsidRDefault="00A13D1F" w14:paraId="0C456FFF" w14:textId="27F621E1">
      <w:pPr>
        <w:pStyle w:val="Standard"/>
      </w:pPr>
      <w:r>
        <w:t>Coachella Valley Association of Governments (CVAG) asserts that eligible areas should be defined as those without access to 100 Mbps and that “underserved” areas should be defined as those areas that have less than three service providers that do not provide wireline service at speeds of 100 Mbps.  NDC proposes</w:t>
      </w:r>
      <w:r w:rsidRPr="002A49EE">
        <w:t xml:space="preserve"> defining “unserved” areas as not having any 25/3 </w:t>
      </w:r>
      <w:r>
        <w:t>M</w:t>
      </w:r>
      <w:r w:rsidRPr="002A49EE">
        <w:t xml:space="preserve">bps minimum service available and “underserved” areas as not having affordable 25/3 </w:t>
      </w:r>
      <w:r>
        <w:t>M</w:t>
      </w:r>
      <w:r w:rsidRPr="002A49EE">
        <w:t>bps minimum service available.</w:t>
      </w:r>
      <w:r>
        <w:t xml:space="preserve"> SANDAG recommends </w:t>
      </w:r>
      <w:r w:rsidRPr="00502B12">
        <w:t xml:space="preserve">using a </w:t>
      </w:r>
      <w:r w:rsidR="009F11AB">
        <w:br/>
      </w:r>
      <w:r w:rsidRPr="00502B12">
        <w:t>100/20 Mbps threshold to determine unserved</w:t>
      </w:r>
      <w:r>
        <w:t xml:space="preserve"> versus </w:t>
      </w:r>
      <w:r w:rsidRPr="00502B12">
        <w:t xml:space="preserve">underserved areas. </w:t>
      </w:r>
      <w:r>
        <w:t xml:space="preserve">UNITE-LA recommends considering underserved areas as areas where a large portion of households that do not have broadband Internet service. In determining eligibility, CforAT asserts the Commission should avoid defining “unserved or underserved” as a specific percentage threshold and should instead evaluate specific areas on a case-by-case </w:t>
      </w:r>
      <w:r w:rsidR="009F11AB">
        <w:t>basis and</w:t>
      </w:r>
      <w:r>
        <w:t xml:space="preserve"> consider any available information about delivered speeds that are lower than advertised speeds, </w:t>
      </w:r>
      <w:r>
        <w:lastRenderedPageBreak/>
        <w:t>without setting a statistical mandate on what must be provided. RCRC opposes using separate definitions for unserved and underserved. Joint WISPs recommend defining a</w:t>
      </w:r>
      <w:r w:rsidRPr="00CB092F">
        <w:t xml:space="preserve">n area </w:t>
      </w:r>
      <w:r>
        <w:t>a</w:t>
      </w:r>
      <w:r w:rsidRPr="00CB092F">
        <w:t>s underserved or unserved only if more than half, and preferably 75</w:t>
      </w:r>
      <w:r>
        <w:t xml:space="preserve"> percent </w:t>
      </w:r>
      <w:r w:rsidRPr="00CB092F">
        <w:t>or more of the households in the area do not have access to the minimum speeds associated with the definitions of unserved or underserved.</w:t>
      </w:r>
      <w:r>
        <w:t xml:space="preserve"> NDC recommends the Commission distinguish </w:t>
      </w:r>
      <w:r w:rsidRPr="00294771">
        <w:t xml:space="preserve">between </w:t>
      </w:r>
      <w:r>
        <w:t>“</w:t>
      </w:r>
      <w:r w:rsidRPr="00294771">
        <w:t>unserved</w:t>
      </w:r>
      <w:r>
        <w:t>”</w:t>
      </w:r>
      <w:r w:rsidRPr="00294771">
        <w:t xml:space="preserve"> and </w:t>
      </w:r>
      <w:r>
        <w:t>“</w:t>
      </w:r>
      <w:r w:rsidRPr="00294771">
        <w:t>underserved</w:t>
      </w:r>
      <w:r>
        <w:t xml:space="preserve">” areas and to not use the terms </w:t>
      </w:r>
      <w:r w:rsidRPr="00294771">
        <w:t>interchangeably</w:t>
      </w:r>
      <w:r>
        <w:t>, as done in the IFR.</w:t>
      </w:r>
    </w:p>
    <w:p w:rsidR="00A13D1F" w:rsidP="00A13D1F" w:rsidRDefault="00A13D1F" w14:paraId="5EE64B59" w14:textId="77777777">
      <w:pPr>
        <w:pStyle w:val="Standard"/>
      </w:pPr>
      <w:r w:rsidRPr="00B625FC">
        <w:t xml:space="preserve">AT&amp;T </w:t>
      </w:r>
      <w:r>
        <w:t xml:space="preserve">and CETF support prohibiting </w:t>
      </w:r>
      <w:r w:rsidRPr="00B625FC">
        <w:t xml:space="preserve">FFA grants </w:t>
      </w:r>
      <w:r>
        <w:t xml:space="preserve">in areas where an ISP (fixed or mobile) must </w:t>
      </w:r>
      <w:r w:rsidRPr="00B625FC">
        <w:t>deploy</w:t>
      </w:r>
      <w:r>
        <w:t xml:space="preserve"> broadband as part of a </w:t>
      </w:r>
      <w:r w:rsidRPr="00B625FC">
        <w:t>merger commitment.</w:t>
      </w:r>
      <w:r>
        <w:rPr>
          <w:rStyle w:val="FootnoteReference"/>
        </w:rPr>
        <w:footnoteReference w:id="18"/>
      </w:r>
      <w:r w:rsidRPr="002A79F6">
        <w:t xml:space="preserve"> </w:t>
      </w:r>
    </w:p>
    <w:p w:rsidR="00A13D1F" w:rsidP="00A13D1F" w:rsidRDefault="00A13D1F" w14:paraId="43E57AA3" w14:textId="77777777">
      <w:pPr>
        <w:pStyle w:val="Standard"/>
      </w:pPr>
      <w:r>
        <w:t xml:space="preserve">Cal Advocates, CCTA and Joint WISPs assert that in instances where an application proposes </w:t>
      </w:r>
      <w:r w:rsidRPr="005E4DE6">
        <w:t>to deploy infrastructure in mostly served areas</w:t>
      </w:r>
      <w:r>
        <w:t xml:space="preserve">, the Commission should </w:t>
      </w:r>
      <w:r w:rsidRPr="005E4DE6">
        <w:t>pro-rate</w:t>
      </w:r>
      <w:r>
        <w:t xml:space="preserve"> funding so that the FFA grant is mostly funding unserved households</w:t>
      </w:r>
      <w:r w:rsidRPr="005E4DE6">
        <w:t xml:space="preserve">. </w:t>
      </w:r>
      <w:r>
        <w:t xml:space="preserve">South Valley Internet urges the Commission to allow </w:t>
      </w:r>
      <w:r w:rsidRPr="00300F11">
        <w:t>project</w:t>
      </w:r>
      <w:r>
        <w:t>s that</w:t>
      </w:r>
      <w:r w:rsidRPr="00300F11">
        <w:t xml:space="preserve"> surround wider area </w:t>
      </w:r>
      <w:r>
        <w:t xml:space="preserve">than unserved </w:t>
      </w:r>
      <w:r w:rsidRPr="00300F11">
        <w:t xml:space="preserve">if </w:t>
      </w:r>
      <w:r>
        <w:t xml:space="preserve">it is </w:t>
      </w:r>
      <w:r w:rsidRPr="00300F11">
        <w:t>necessary to make</w:t>
      </w:r>
      <w:r>
        <w:t xml:space="preserve"> a project </w:t>
      </w:r>
      <w:r w:rsidRPr="00300F11">
        <w:t>more economic</w:t>
      </w:r>
      <w:r>
        <w:t>.</w:t>
      </w:r>
    </w:p>
    <w:p w:rsidR="00A13D1F" w:rsidP="00A13D1F" w:rsidRDefault="00A13D1F" w14:paraId="559E88DE" w14:textId="77777777">
      <w:pPr>
        <w:pStyle w:val="Standard"/>
      </w:pPr>
      <w:r>
        <w:t>Parties also disagree on how the Commission should determine if existing service is reliable. Borrego Springs Revitalization Committee asserts the Commission must account for reliability when determining if an area is unserved. CforAT argues the Commission should not take ISPs’ claims of service at face value, as some state terms of service in a manner that does not guarantee that service (</w:t>
      </w:r>
      <w:r w:rsidRPr="001718F6">
        <w:rPr>
          <w:i/>
          <w:iCs/>
        </w:rPr>
        <w:t>e.g.</w:t>
      </w:r>
      <w:r>
        <w:t xml:space="preserve">, speeds delivered up to a specific amount), and instead adopt an expansive definition of what areas are eligible for FFA grants, since the proposed rules allow for parties to object to specific applications. TURN proposes </w:t>
      </w:r>
      <w:r>
        <w:lastRenderedPageBreak/>
        <w:t>reviewing an ISP’s</w:t>
      </w:r>
      <w:r w:rsidRPr="002B723A">
        <w:t xml:space="preserve"> ability to meet </w:t>
      </w:r>
      <w:r>
        <w:t xml:space="preserve">service quality standards in </w:t>
      </w:r>
      <w:r w:rsidRPr="002B723A">
        <w:t xml:space="preserve">GO 133-D to </w:t>
      </w:r>
      <w:r>
        <w:t xml:space="preserve">determine </w:t>
      </w:r>
      <w:r w:rsidRPr="002B723A">
        <w:t>reliab</w:t>
      </w:r>
      <w:r>
        <w:t>ility.</w:t>
      </w:r>
      <w:r w:rsidRPr="002B723A">
        <w:t xml:space="preserve"> </w:t>
      </w:r>
      <w:r>
        <w:t>NDC supports using the factors set out in FAQ 6.11, but also advise using customer complaints about outages, slower speeds than advertised, billing and related complaints. Santa Clara County recommends the Commission use retail service reports made by a “primary wireline provider” and exclude all reports by wholesale/secondary wireline providers, including middle mile providers. Joint WISPs oppose m</w:t>
      </w:r>
      <w:r w:rsidRPr="001B7891">
        <w:t xml:space="preserve">easuring </w:t>
      </w:r>
      <w:r>
        <w:t>r</w:t>
      </w:r>
      <w:r w:rsidRPr="001B7891">
        <w:t xml:space="preserve">eliable </w:t>
      </w:r>
      <w:r>
        <w:t>s</w:t>
      </w:r>
      <w:r w:rsidRPr="001B7891">
        <w:t>ervice</w:t>
      </w:r>
      <w:r>
        <w:t xml:space="preserve"> using </w:t>
      </w:r>
      <w:r w:rsidRPr="001B7891">
        <w:t>CalSPEED</w:t>
      </w:r>
      <w:r>
        <w:t>, asserts the application</w:t>
      </w:r>
      <w:r w:rsidRPr="001B7891">
        <w:t xml:space="preserve"> measures what </w:t>
      </w:r>
      <w:r>
        <w:t xml:space="preserve">speed a </w:t>
      </w:r>
      <w:r w:rsidRPr="001B7891">
        <w:t>customer subscribes to, not what is available.</w:t>
      </w:r>
      <w:r>
        <w:t xml:space="preserve"> LAEDC suggests the Commission </w:t>
      </w:r>
      <w:r w:rsidRPr="000E10D5">
        <w:t xml:space="preserve">establish </w:t>
      </w:r>
      <w:r>
        <w:t xml:space="preserve">a </w:t>
      </w:r>
      <w:r w:rsidRPr="000E10D5">
        <w:t>forum to collect first-hand experience from residents</w:t>
      </w:r>
      <w:r>
        <w:t xml:space="preserve">, as </w:t>
      </w:r>
      <w:r w:rsidRPr="000E10D5">
        <w:t xml:space="preserve">there </w:t>
      </w:r>
      <w:r>
        <w:t xml:space="preserve">often </w:t>
      </w:r>
      <w:r w:rsidRPr="000E10D5">
        <w:t>is a disconnect between what providers say and customers experience</w:t>
      </w:r>
      <w:r>
        <w:t xml:space="preserve"> and c</w:t>
      </w:r>
      <w:r w:rsidRPr="000E10D5">
        <w:t>ollect granular data as lack of publicly available data is limiting and prevents decision-making.</w:t>
      </w:r>
      <w:r>
        <w:t xml:space="preserve"> SBUA proposes monitoring performance metrics, such as System Average Interruption Frequency Index, System Average Interruption Duration Index, and the Momentary Average Interruption Frequency Index, as well as customer-centric indices such Customers Experiencing Long Interruption Durations, Customers Experiencing Multiple Interruptions, Customers Experiencing Multiple Momentary interruptions, and the Customers Experiencing Multiple Sustained Interruptions and Momentary Interruptions Events index provides an overall performance indicator.</w:t>
      </w:r>
    </w:p>
    <w:p w:rsidR="00A13D1F" w:rsidP="00A13D1F" w:rsidRDefault="00A13D1F" w14:paraId="3DF59BB1" w14:textId="2645AB28">
      <w:pPr>
        <w:pStyle w:val="Standard"/>
      </w:pPr>
      <w:r>
        <w:t xml:space="preserve">Comcast, Joint WISPs, Geolinks, and CCTA argue the proposed rules would allocate funds to served areas, at odds with FFA and CASF program goals of building infrastructure to connect households that are truly unserved. San Francisco asserts the proposed eligibility requirements are contrary to Treasury’s guidance and could exclude prematurely areas that deserve support. Comcast also argues that SB 156 does not empower or require the Commission to </w:t>
      </w:r>
      <w:r>
        <w:lastRenderedPageBreak/>
        <w:t xml:space="preserve">determine reliability of service in specific areas, and the FFA can meet federal guidelines by focusing on whether areas have speeds of 25/3. Comcast also contends that the CASF program does not include staff’s subjective determination of whether an area has “reliable” service and that if this determination is warranted, the Commission should examine RDOF tiers of service for guidance. Comcast asserts SB 156 does not call for a measurement of what constitutes a significant number of unserved and underserved households, but instead requires a proportional distribution of funds based on share of households without broadband access to at least 100 Mbps, and that the definition of “Eligible Project” should be modified to remove the “a significant number of” modifier because SB 156 has no such qualifier for FFA eligibility. </w:t>
      </w:r>
    </w:p>
    <w:p w:rsidR="00A13D1F" w:rsidP="00A13D1F" w:rsidRDefault="00A13D1F" w14:paraId="1262B67C" w14:textId="367A6659">
      <w:pPr>
        <w:pStyle w:val="Standard"/>
      </w:pPr>
      <w:r>
        <w:t>CETF strongly disagrees with CCTA’s claim</w:t>
      </w:r>
      <w:r w:rsidR="00D75EDE">
        <w:t>s that</w:t>
      </w:r>
      <w:r>
        <w:t xml:space="preserve"> the Staff Proposal is “biased toward funding ‘served’ households” and constitutes “overbuilding</w:t>
      </w:r>
      <w:r w:rsidR="00D75EDE">
        <w:t>,</w:t>
      </w:r>
      <w:r>
        <w:t xml:space="preserve">” noting </w:t>
      </w:r>
      <w:r w:rsidRPr="00386D77">
        <w:t>“</w:t>
      </w:r>
      <w:r w:rsidR="00D75EDE">
        <w:t>a</w:t>
      </w:r>
      <w:r w:rsidRPr="00386D77">
        <w:t xml:space="preserve">s set forth below, </w:t>
      </w:r>
      <w:r w:rsidR="00D75EDE">
        <w:t xml:space="preserve">that </w:t>
      </w:r>
      <w:r w:rsidRPr="00386D77">
        <w:t>the Staff Proposal definition of an “eligible project” does require “significant” unserved and underserved households to be served in an eligible project</w:t>
      </w:r>
      <w:r>
        <w:t>.</w:t>
      </w:r>
    </w:p>
    <w:p w:rsidR="00A13D1F" w:rsidP="00A13D1F" w:rsidRDefault="00A13D1F" w14:paraId="6FFF7D13" w14:textId="77777777">
      <w:pPr>
        <w:pStyle w:val="Standard"/>
      </w:pPr>
      <w:r>
        <w:t>Frontier urges the Commission to not adopt expansive rules addressing eligible areas, and instead focus on applications that will serve either unserved or underserved locations.</w:t>
      </w:r>
    </w:p>
    <w:p w:rsidR="00A13D1F" w:rsidP="00A13D1F" w:rsidRDefault="00A13D1F" w14:paraId="376E2D6D" w14:textId="77777777">
      <w:pPr>
        <w:pStyle w:val="Standard"/>
      </w:pPr>
      <w:r>
        <w:t xml:space="preserve">CVAG recommends determining reliable service using a map of existing infrastructure and the capabilities of it complemented by speed test data and use data on service quality, such as complaints. San Francisco also argues that the Commission should not rely solely on the Broadband Map to determine eligibility, that the Commission should not place the burden on applicants to dispute the Broadband Map, and that applicants should be allowed to </w:t>
      </w:r>
      <w:r>
        <w:lastRenderedPageBreak/>
        <w:t xml:space="preserve">demonstrate that any areas they are proposing to serve are eligible and to supply any available supporting data. </w:t>
      </w:r>
    </w:p>
    <w:p w:rsidR="00A13D1F" w:rsidP="00A13D1F" w:rsidRDefault="00A13D1F" w14:paraId="18D17B41" w14:textId="77777777">
      <w:pPr>
        <w:pStyle w:val="Standard"/>
      </w:pPr>
      <w:r>
        <w:t>Parties also do not agree on how</w:t>
      </w:r>
      <w:r w:rsidRPr="00A21D2C">
        <w:t xml:space="preserve"> the Commission </w:t>
      </w:r>
      <w:r>
        <w:t xml:space="preserve">should define or </w:t>
      </w:r>
      <w:r w:rsidRPr="00A21D2C">
        <w:t xml:space="preserve">measure what constitutes a </w:t>
      </w:r>
      <w:r>
        <w:t>“</w:t>
      </w:r>
      <w:r w:rsidRPr="00A21D2C">
        <w:t>significant</w:t>
      </w:r>
      <w:r>
        <w:t>”</w:t>
      </w:r>
      <w:r w:rsidRPr="00A21D2C">
        <w:t xml:space="preserve"> number of unserved and underserved households</w:t>
      </w:r>
      <w:r>
        <w:t>. CVAG recommends determining a “significant” number of unserved and underserved households by measuring the number of households lacking 100 Mbps in relation to a defined geographic area and then choosing a percentage threshold of households in that region that would constitute a “significant” number of unserved and underserved households. Santa Clara County recommends that the Commission consider 10 percent of households in a census tract being unserved as the threshold for significant unserved, as that is slightly lower than the statewide average, and would direct funds to the areas most in need of assistance without unduly restricting the ability of any region to obtain funding. LAEDC opines the Commission should give equal consideration to the percentage of unserved/underserved and total number of households unserved/underserved, which is especially relevant for urban areas where multiple generations of family living in one household, and utilize both a macro and micro analysis of communities to take into account the economic demographics of different populations, including employment levels and median income, to determine the financial challenges contributing to low broadband adoption rates. CETF</w:t>
      </w:r>
      <w:r w:rsidRPr="0067344B">
        <w:t xml:space="preserve"> recommends that a single unserved household is “significant” if that resident or business desires broadband service.</w:t>
      </w:r>
      <w:r>
        <w:t xml:space="preserve"> RCRC cautions the Commission regarding the </w:t>
      </w:r>
      <w:r w:rsidRPr="00884CCA">
        <w:t>effort to define a “significant number” of unserved and underserved households</w:t>
      </w:r>
      <w:r>
        <w:t>, noting that s</w:t>
      </w:r>
      <w:r w:rsidRPr="00884CCA">
        <w:t>ome areas are unserved because of low population density making cost of service infeasible</w:t>
      </w:r>
      <w:r>
        <w:t>, and that adding other</w:t>
      </w:r>
      <w:r w:rsidRPr="00884CCA">
        <w:t xml:space="preserve"> qualifier</w:t>
      </w:r>
      <w:r>
        <w:t>s</w:t>
      </w:r>
      <w:r w:rsidRPr="00884CCA">
        <w:t xml:space="preserve"> </w:t>
      </w:r>
      <w:r>
        <w:t>will</w:t>
      </w:r>
      <w:r w:rsidRPr="00884CCA">
        <w:t xml:space="preserve"> enable entities to ignore </w:t>
      </w:r>
      <w:r>
        <w:t>these</w:t>
      </w:r>
      <w:r w:rsidRPr="00884CCA">
        <w:t xml:space="preserve"> areas and residents</w:t>
      </w:r>
      <w:r>
        <w:t>.</w:t>
      </w:r>
    </w:p>
    <w:p w:rsidR="00A13D1F" w:rsidP="00A13D1F" w:rsidRDefault="00A13D1F" w14:paraId="3772191F" w14:textId="77777777">
      <w:pPr>
        <w:pStyle w:val="Standard"/>
      </w:pPr>
      <w:r>
        <w:lastRenderedPageBreak/>
        <w:t xml:space="preserve">Parties offer additional proposals for Commission consideration. Beyond the 25/3 Mbps speed threshold, SANDAG urges the Commission to </w:t>
      </w:r>
      <w:r w:rsidRPr="007E41C4">
        <w:t>consider areas impacted by affordability, age, and people with disabilities</w:t>
      </w:r>
      <w:r>
        <w:t xml:space="preserve">, and to be flexible, </w:t>
      </w:r>
      <w:r w:rsidRPr="007E41C4">
        <w:t>in defining</w:t>
      </w:r>
      <w:r>
        <w:t xml:space="preserve"> the speed </w:t>
      </w:r>
      <w:r w:rsidRPr="007E41C4">
        <w:t xml:space="preserve">threshold </w:t>
      </w:r>
      <w:r>
        <w:t xml:space="preserve">for served status, as </w:t>
      </w:r>
      <w:r w:rsidRPr="007E41C4">
        <w:t xml:space="preserve">25/3 </w:t>
      </w:r>
      <w:r>
        <w:t xml:space="preserve">Mbps </w:t>
      </w:r>
      <w:r w:rsidRPr="007E41C4">
        <w:t xml:space="preserve">rapidly </w:t>
      </w:r>
      <w:r>
        <w:t xml:space="preserve">is </w:t>
      </w:r>
      <w:r w:rsidRPr="007E41C4">
        <w:t>becoming obsolete</w:t>
      </w:r>
      <w:r>
        <w:t>. NCC asserts t</w:t>
      </w:r>
      <w:r w:rsidRPr="00811394">
        <w:t>he eligibility criteria should also include digital equity and economic development</w:t>
      </w:r>
      <w:r>
        <w:t xml:space="preserve">, and that </w:t>
      </w:r>
      <w:r w:rsidRPr="00811394">
        <w:t xml:space="preserve">FFA funds </w:t>
      </w:r>
      <w:r>
        <w:t xml:space="preserve">should </w:t>
      </w:r>
      <w:r w:rsidRPr="00811394">
        <w:t>support local digital equity efforts and economic development</w:t>
      </w:r>
      <w:r>
        <w:t xml:space="preserve"> to</w:t>
      </w:r>
      <w:r w:rsidRPr="00811394">
        <w:t xml:space="preserve"> further broadband goals.</w:t>
      </w:r>
      <w:r>
        <w:t xml:space="preserve"> The Small LECs ask that prior to awarding a FFA grant within a service area of a Small LECs, that the </w:t>
      </w:r>
      <w:r w:rsidRPr="00851015">
        <w:t xml:space="preserve">Commission </w:t>
      </w:r>
      <w:r>
        <w:t>to</w:t>
      </w:r>
      <w:r w:rsidRPr="00851015">
        <w:t xml:space="preserve"> reach out to</w:t>
      </w:r>
      <w:r>
        <w:t xml:space="preserve"> the specific </w:t>
      </w:r>
      <w:r w:rsidRPr="00851015">
        <w:t>Small</w:t>
      </w:r>
      <w:r>
        <w:t xml:space="preserve"> LEC company regarding</w:t>
      </w:r>
      <w:r w:rsidRPr="00851015">
        <w:t xml:space="preserve"> </w:t>
      </w:r>
      <w:r>
        <w:t>its</w:t>
      </w:r>
      <w:r w:rsidRPr="00851015">
        <w:t xml:space="preserve"> capital improvement plans to make sure FFA projects will not be overbuilt on soon to be deployed network upgrades by Small</w:t>
      </w:r>
      <w:r>
        <w:t xml:space="preserve"> LECs.</w:t>
      </w:r>
      <w:r w:rsidRPr="00A12312">
        <w:t xml:space="preserve"> </w:t>
      </w:r>
      <w:r>
        <w:t>AT&amp;T urges this Commission to</w:t>
      </w:r>
      <w:r w:rsidRPr="009555CE">
        <w:t xml:space="preserve"> utilize the forthcoming FCC broadband map for FFA funding as soon as it is available.</w:t>
      </w:r>
    </w:p>
    <w:p w:rsidR="00A13D1F" w:rsidP="00A13D1F" w:rsidRDefault="00A13D1F" w14:paraId="2F3A900E" w14:textId="77777777">
      <w:pPr>
        <w:pStyle w:val="Standard"/>
      </w:pPr>
      <w:r w:rsidRPr="0075126B">
        <w:t>CETF suggests the Commission delete the “Low Income Areas” definition, as it is not used anywhere in the Staff Proposal.</w:t>
      </w:r>
    </w:p>
    <w:p w:rsidR="00A13D1F" w:rsidP="0028407E" w:rsidRDefault="00A13D1F" w14:paraId="74B54219" w14:textId="30BA704F">
      <w:pPr>
        <w:pStyle w:val="Heading2"/>
      </w:pPr>
      <w:bookmarkStart w:name="_Toc94461508" w:id="19"/>
      <w:bookmarkStart w:name="_Toc94637184" w:id="20"/>
      <w:bookmarkStart w:name="_Toc101519064" w:id="21"/>
      <w:bookmarkEnd w:id="19"/>
      <w:r w:rsidRPr="0028407E">
        <w:t>Discussion</w:t>
      </w:r>
      <w:bookmarkEnd w:id="20"/>
      <w:bookmarkEnd w:id="21"/>
    </w:p>
    <w:p w:rsidR="00A13D1F" w:rsidP="0028407E" w:rsidRDefault="00A13D1F" w14:paraId="68B5B131" w14:textId="77777777">
      <w:pPr>
        <w:pStyle w:val="Standard"/>
      </w:pPr>
      <w:r w:rsidRPr="0028407E">
        <w:t>The</w:t>
      </w:r>
      <w:r>
        <w:t xml:space="preserve"> Final Rule</w:t>
      </w:r>
      <w:r w:rsidRPr="00336424">
        <w:t xml:space="preserve"> </w:t>
      </w:r>
      <w:r>
        <w:t xml:space="preserve">broadens FFA funding eligibility to </w:t>
      </w:r>
      <w:r w:rsidRPr="00E71B99">
        <w:t xml:space="preserve">broadband </w:t>
      </w:r>
      <w:r>
        <w:t xml:space="preserve">Internet </w:t>
      </w:r>
      <w:r w:rsidRPr="00E71B99">
        <w:t xml:space="preserve">infrastructure </w:t>
      </w:r>
      <w:r>
        <w:t>that is “</w:t>
      </w:r>
      <w:r w:rsidRPr="00E71B99">
        <w:t>designed to provide service to households and businesses with an identified need, as determined by the recipient, for such</w:t>
      </w:r>
      <w:r>
        <w:t xml:space="preserve"> </w:t>
      </w:r>
      <w:r w:rsidRPr="00E71B99">
        <w:t>infrastructure</w:t>
      </w:r>
      <w:r>
        <w:t>[.]”</w:t>
      </w:r>
      <w:r>
        <w:rPr>
          <w:rStyle w:val="FootnoteReference"/>
        </w:rPr>
        <w:footnoteReference w:id="19"/>
      </w:r>
      <w:r>
        <w:t xml:space="preserve"> This change provides the Commission with significant discretion for developing program eligibility requirements. The Final Rule also encourages r</w:t>
      </w:r>
      <w:r w:rsidRPr="002734FA">
        <w:t xml:space="preserve">ecipients </w:t>
      </w:r>
      <w:r>
        <w:t>“</w:t>
      </w:r>
      <w:r w:rsidRPr="002734FA">
        <w:t xml:space="preserve">to prioritize projects that are designed to provide service to locations not currently served by a wireline connection that reliably delivers at least 100 Mbps of download speed and 20 Mbps of upload speed, as </w:t>
      </w:r>
      <w:r>
        <w:t>[…]</w:t>
      </w:r>
      <w:r w:rsidRPr="002734FA">
        <w:t xml:space="preserve"> those </w:t>
      </w:r>
      <w:r w:rsidRPr="002734FA">
        <w:lastRenderedPageBreak/>
        <w:t>without such service constitute hard-to-reach areas in need of subsidized broadband deployment.</w:t>
      </w:r>
      <w:r>
        <w:t>”</w:t>
      </w:r>
      <w:r>
        <w:rPr>
          <w:rStyle w:val="FootnoteReference"/>
        </w:rPr>
        <w:footnoteReference w:id="20"/>
      </w:r>
    </w:p>
    <w:p w:rsidR="00A13D1F" w:rsidP="00A13D1F" w:rsidRDefault="00A13D1F" w14:paraId="1D5B853C" w14:textId="77777777">
      <w:pPr>
        <w:pStyle w:val="Standard"/>
      </w:pPr>
      <w:r>
        <w:t xml:space="preserve">We adopt the definition of unserved area in the Staff Proposal and add other modifications and guidance that are consistent with the Final Rule. We adopt the presumption that locations lacking access to reliable wireline broadband Internet service are in need of this service.  </w:t>
      </w:r>
    </w:p>
    <w:p w:rsidR="00A13D1F" w:rsidP="00A13D1F" w:rsidRDefault="00A13D1F" w14:paraId="5B131FDE" w14:textId="77777777">
      <w:pPr>
        <w:pStyle w:val="Standard"/>
      </w:pPr>
      <w:r>
        <w:t xml:space="preserve">While we do not adopt the proposal that only Internet service offered with fiber infrastructure be deemed reliable, the Commission adopts a rebuttable presumption that legacy networks cannot provide reliable Internet service at speeds of </w:t>
      </w:r>
      <w:r w:rsidRPr="00336424">
        <w:t>25</w:t>
      </w:r>
      <w:r>
        <w:t xml:space="preserve">Mbps download and </w:t>
      </w:r>
      <w:r w:rsidRPr="00336424">
        <w:t>3 Mbps</w:t>
      </w:r>
      <w:r>
        <w:t xml:space="preserve"> upload. Specifically, areas with Internet service provided only by </w:t>
      </w:r>
      <w:r w:rsidRPr="00906B30">
        <w:t xml:space="preserve">legacy technologies such as copper telephone lines (typically using Digital Subscriber Line technology) or </w:t>
      </w:r>
      <w:r>
        <w:t>older</w:t>
      </w:r>
      <w:r w:rsidRPr="00906B30">
        <w:t xml:space="preserve"> versions of cable system technology (DOCSIS 2.0 or earlier)</w:t>
      </w:r>
      <w:r>
        <w:t xml:space="preserve"> are eligible for funding</w:t>
      </w:r>
      <w:r w:rsidRPr="00906B30">
        <w:t>.</w:t>
      </w:r>
      <w:r>
        <w:t xml:space="preserve"> ISPs and other interested individuals wishing to rebut this presumption must demonstrate that all locations have access to speeds of at least </w:t>
      </w:r>
      <w:r w:rsidRPr="00336424">
        <w:t>25</w:t>
      </w:r>
      <w:r>
        <w:t xml:space="preserve"> Mbps download and </w:t>
      </w:r>
      <w:r w:rsidRPr="00336424">
        <w:t>3 Mbps</w:t>
      </w:r>
      <w:r>
        <w:t xml:space="preserve"> upload. Speed tests from terminals, cabinets and at other locations that are not end users are not sufficient. Our determination of what wireline technologies offer reliable service is consistent with the Final Rule, which found that these l</w:t>
      </w:r>
      <w:r w:rsidRPr="00CC0D45">
        <w:t>egacy technologies typically lag on speeds, latency, and other factors, as compared to more modern technologies like fiber</w:t>
      </w:r>
      <w:r>
        <w:t>.</w:t>
      </w:r>
    </w:p>
    <w:p w:rsidR="00A13D1F" w:rsidP="00A13D1F" w:rsidRDefault="00A13D1F" w14:paraId="07BA7606" w14:textId="77777777">
      <w:pPr>
        <w:pStyle w:val="Standard"/>
      </w:pPr>
      <w:r>
        <w:t xml:space="preserve">We also adopt the proposed rule that applicants may provide data that contests the reliability of non-legacy wireline providers that claim to provide served speeds. Applications contesting the reliability of an area identified as </w:t>
      </w:r>
      <w:r>
        <w:lastRenderedPageBreak/>
        <w:t xml:space="preserve">being served will be reviewed by CD Staff and considered by the Commission’s Resolution process. </w:t>
      </w:r>
    </w:p>
    <w:p w:rsidR="00A13D1F" w:rsidP="00A13D1F" w:rsidRDefault="00A13D1F" w14:paraId="174E66A6" w14:textId="77777777">
      <w:pPr>
        <w:pStyle w:val="Standard"/>
      </w:pPr>
      <w:r>
        <w:t>In response to CETF’s recommendation, we remove “low-income areas” from the definitions section of the proposed rules since we are not using that term as part of our rules.</w:t>
      </w:r>
    </w:p>
    <w:p w:rsidRPr="00A3696C" w:rsidR="00A13D1F" w:rsidP="00A13D1F" w:rsidRDefault="00A13D1F" w14:paraId="35C4B710" w14:textId="2BDF7FFE">
      <w:pPr>
        <w:pStyle w:val="Standard"/>
      </w:pPr>
      <w:r>
        <w:t>The Final Rule departs significantly from the Interim Rule. The Final Rule focus</w:t>
      </w:r>
      <w:r w:rsidR="00CF65DB">
        <w:t>es</w:t>
      </w:r>
      <w:r>
        <w:t xml:space="preserve"> on “need” in determining whether an area is not served</w:t>
      </w:r>
      <w:r w:rsidR="00CF65DB">
        <w:t>, instead of solely determining speed served status by relying of speed thresholds</w:t>
      </w:r>
      <w:r>
        <w:t>; it also encourages a different speed threshold, as well introducing the concept of gap networks, among other items. In the interest of adopting FFA rules expeditiously, and thereby accepting grant applications sooner, the Commission adopts these rules on an interim basis. We anticipate developing the record further, so</w:t>
      </w:r>
      <w:r w:rsidR="002305C3">
        <w:t xml:space="preserve"> </w:t>
      </w:r>
      <w:r>
        <w:t xml:space="preserve"> as to address the new concepts and higher speed thresholds adopted in the Final Rule.  </w:t>
      </w:r>
    </w:p>
    <w:p w:rsidR="00A13D1F" w:rsidP="00D61487" w:rsidRDefault="00A13D1F" w14:paraId="56AFA299" w14:textId="4A092F1B">
      <w:pPr>
        <w:pStyle w:val="Heading1"/>
      </w:pPr>
      <w:bookmarkStart w:name="_Toc94637185" w:id="22"/>
      <w:bookmarkStart w:name="_Toc101519065" w:id="23"/>
      <w:r w:rsidRPr="0088247C">
        <w:t xml:space="preserve">Project </w:t>
      </w:r>
      <w:r w:rsidRPr="00D61487">
        <w:t>Identification</w:t>
      </w:r>
      <w:r>
        <w:t xml:space="preserve"> </w:t>
      </w:r>
      <w:r w:rsidRPr="0088247C">
        <w:t xml:space="preserve">and </w:t>
      </w:r>
      <w:r>
        <w:t>Prioritization</w:t>
      </w:r>
      <w:bookmarkEnd w:id="22"/>
      <w:bookmarkEnd w:id="23"/>
    </w:p>
    <w:p w:rsidR="00A13D1F" w:rsidP="00D61487" w:rsidRDefault="00A13D1F" w14:paraId="2AFDB3DB" w14:textId="77777777">
      <w:pPr>
        <w:pStyle w:val="Standard"/>
      </w:pPr>
      <w:r>
        <w:t xml:space="preserve">The ACR </w:t>
      </w:r>
      <w:r w:rsidRPr="00D61487">
        <w:t>proposes</w:t>
      </w:r>
      <w:r>
        <w:t xml:space="preserve"> a process where the Commission identifies priority proposed project areas and initiates a round of grant-making through public announcements. Under the proposal, CD Staff will publish proposed project areas that are coordinated with the Commission’s obligation to assist in preparing definitive plans for deploying necessary infrastructure in each county, including coordination across contiguous counties.</w:t>
      </w:r>
    </w:p>
    <w:p w:rsidR="00A13D1F" w:rsidP="00A13D1F" w:rsidRDefault="00A13D1F" w14:paraId="61E99E17" w14:textId="77777777">
      <w:pPr>
        <w:pStyle w:val="Standard"/>
      </w:pPr>
      <w:r>
        <w:t xml:space="preserve">The proposed project areas will be developed on a county-by-county basis while accounting for projects that may not fall strictly within county lines. Proposed projects will endeavor to ensure that all unserved communities are served. Potential applicants will have an opportunity to propose adding or </w:t>
      </w:r>
      <w:r>
        <w:lastRenderedPageBreak/>
        <w:t xml:space="preserve">subtracting from the proposed project area consistent with the eligible area requirements. </w:t>
      </w:r>
    </w:p>
    <w:p w:rsidR="00A13D1F" w:rsidP="00A13D1F" w:rsidRDefault="00A13D1F" w14:paraId="5A62C7C6" w14:textId="77777777">
      <w:pPr>
        <w:pStyle w:val="Standard"/>
      </w:pPr>
      <w:r>
        <w:t>The ACR also requests comment on what information CD Staff should take into consideration in developing these priority areas; whether the proposed Application Objection process balances the need to ensure a fair process for an Internet service provider asserting it already serves a proposed priority project area, with the need to award grants in an expeditious manner; and whether parties propose additional or different criteria.</w:t>
      </w:r>
    </w:p>
    <w:p w:rsidR="00A13D1F" w:rsidP="00D61487" w:rsidRDefault="00A13D1F" w14:paraId="1A96D498" w14:textId="7A061A00">
      <w:pPr>
        <w:pStyle w:val="Heading2"/>
      </w:pPr>
      <w:bookmarkStart w:name="_Toc94637186" w:id="24"/>
      <w:bookmarkStart w:name="_Toc101519066" w:id="25"/>
      <w:r>
        <w:t xml:space="preserve">Party </w:t>
      </w:r>
      <w:r w:rsidRPr="00D61487">
        <w:t>Positions</w:t>
      </w:r>
      <w:bookmarkEnd w:id="24"/>
      <w:bookmarkEnd w:id="25"/>
    </w:p>
    <w:p w:rsidR="00A13D1F" w:rsidP="00D61487" w:rsidRDefault="00A13D1F" w14:paraId="276680A5" w14:textId="77777777">
      <w:pPr>
        <w:pStyle w:val="Standard"/>
      </w:pPr>
      <w:r>
        <w:t xml:space="preserve">Parties </w:t>
      </w:r>
      <w:r w:rsidRPr="00D61487">
        <w:t>disagree</w:t>
      </w:r>
      <w:r>
        <w:t xml:space="preserve"> both over whether the Commission should adopt the proposed prioritization process, or even if it should adopt priorities.</w:t>
      </w:r>
    </w:p>
    <w:p w:rsidR="00A13D1F" w:rsidP="00D61487" w:rsidRDefault="00A13D1F" w14:paraId="226200FA" w14:textId="77777777">
      <w:pPr>
        <w:pStyle w:val="Standard"/>
      </w:pPr>
      <w:r>
        <w:t>AT&amp;T in general supports the proposed process for identifying priority project areas, though both it and CETF recommend the Commission identify projects on a countywide basis and prioritize</w:t>
      </w:r>
      <w:r w:rsidRPr="00AB4207">
        <w:t xml:space="preserve"> the counties with the most unserved and underserved locations by issuing Requests for Partnerships or Requests for Proposals for specific unserved locations. </w:t>
      </w:r>
      <w:r>
        <w:t xml:space="preserve">AT&amp;T and CCBC support the Commission publicly releasing the data used to determine priority areas. TURN contends the Commission should not solely rely on the proposed Ministerial Review to develop priority projects and instead use information received in this proceeding and related proceedings to narrow locations to priority areas. </w:t>
      </w:r>
    </w:p>
    <w:p w:rsidR="00A13D1F" w:rsidP="00D61487" w:rsidRDefault="00A13D1F" w14:paraId="24CC31CA" w14:textId="77777777">
      <w:pPr>
        <w:pStyle w:val="Standard"/>
      </w:pPr>
      <w:r>
        <w:t xml:space="preserve">CCTA and Comcast oppose the proposed prioritization process, arguing it </w:t>
      </w:r>
      <w:r w:rsidRPr="000900DE">
        <w:t xml:space="preserve">would </w:t>
      </w:r>
      <w:r>
        <w:t xml:space="preserve">create </w:t>
      </w:r>
      <w:r w:rsidRPr="000900DE">
        <w:t>an eligibility standard that differs from the 25</w:t>
      </w:r>
      <w:r>
        <w:t xml:space="preserve"> Mbps download and </w:t>
      </w:r>
      <w:r w:rsidRPr="000900DE">
        <w:t xml:space="preserve">3 Mbps </w:t>
      </w:r>
      <w:r>
        <w:t xml:space="preserve">upload </w:t>
      </w:r>
      <w:r w:rsidRPr="000900DE">
        <w:t>unserved standard</w:t>
      </w:r>
      <w:r>
        <w:t xml:space="preserve"> adopted for the separate Broadband </w:t>
      </w:r>
      <w:r>
        <w:lastRenderedPageBreak/>
        <w:t>Infrastructure Grant Account</w:t>
      </w:r>
      <w:r w:rsidRPr="000900DE">
        <w:t>.</w:t>
      </w:r>
      <w:r>
        <w:rPr>
          <w:rStyle w:val="FootnoteReference"/>
        </w:rPr>
        <w:footnoteReference w:id="21"/>
      </w:r>
      <w:r>
        <w:t xml:space="preserve"> Comcast argues that i</w:t>
      </w:r>
      <w:r w:rsidRPr="00140A40">
        <w:t xml:space="preserve">f </w:t>
      </w:r>
      <w:r>
        <w:t>CD S</w:t>
      </w:r>
      <w:r w:rsidRPr="00140A40">
        <w:t xml:space="preserve">taff </w:t>
      </w:r>
      <w:r>
        <w:t xml:space="preserve">will be </w:t>
      </w:r>
      <w:r w:rsidRPr="00140A40">
        <w:t>determin</w:t>
      </w:r>
      <w:r>
        <w:t>ing</w:t>
      </w:r>
      <w:r w:rsidRPr="00140A40">
        <w:t xml:space="preserve"> priority areas, </w:t>
      </w:r>
      <w:r>
        <w:t xml:space="preserve">the Commission should </w:t>
      </w:r>
      <w:r w:rsidRPr="00140A40">
        <w:t xml:space="preserve">clarify that unserved and underserved </w:t>
      </w:r>
      <w:r>
        <w:t xml:space="preserve">will </w:t>
      </w:r>
      <w:r w:rsidRPr="00140A40">
        <w:t>be prioritized.</w:t>
      </w:r>
      <w:r>
        <w:t xml:space="preserve"> Frontier also does not support the Commission identifying </w:t>
      </w:r>
      <w:r w:rsidRPr="006B5188">
        <w:t>priority areas</w:t>
      </w:r>
      <w:r>
        <w:t xml:space="preserve">, arguing that there is not </w:t>
      </w:r>
      <w:r w:rsidRPr="006B5188">
        <w:t>enough time</w:t>
      </w:r>
      <w:r>
        <w:t xml:space="preserve"> to undertake the task</w:t>
      </w:r>
      <w:r w:rsidRPr="006B5188">
        <w:t xml:space="preserve">. Instead, </w:t>
      </w:r>
      <w:r>
        <w:t xml:space="preserve">Frontier asserts the Commission should </w:t>
      </w:r>
      <w:r w:rsidRPr="006B5188">
        <w:t xml:space="preserve">evaluate every proposal addressing </w:t>
      </w:r>
      <w:r>
        <w:t xml:space="preserve">if the areas are </w:t>
      </w:r>
      <w:r w:rsidRPr="006B5188">
        <w:t xml:space="preserve">unserved </w:t>
      </w:r>
      <w:r>
        <w:t>or u</w:t>
      </w:r>
      <w:r w:rsidRPr="006B5188">
        <w:t>nderserved for consistency with fed</w:t>
      </w:r>
      <w:r>
        <w:t>eral</w:t>
      </w:r>
      <w:r w:rsidRPr="006B5188">
        <w:t xml:space="preserve"> requirements</w:t>
      </w:r>
      <w:r>
        <w:t xml:space="preserve">. </w:t>
      </w:r>
    </w:p>
    <w:p w:rsidR="00A13D1F" w:rsidP="00D61487" w:rsidRDefault="00A13D1F" w14:paraId="489EEA59" w14:textId="20399B0F">
      <w:pPr>
        <w:pStyle w:val="Standard"/>
      </w:pPr>
      <w:r>
        <w:t xml:space="preserve">AARP, CforAT, SBUA, SCAG, </w:t>
      </w:r>
      <w:r w:rsidRPr="00FA0DD7">
        <w:t>UNITE-LA</w:t>
      </w:r>
      <w:r>
        <w:t>, Cal Advocates, Los Angeles County, Santa Clara County, and Coachella Valley Association of Governments all offer different metrics and terminologies that lead to prioritization of historically unserved or underserved</w:t>
      </w:r>
      <w:r w:rsidRPr="00F45B17">
        <w:t xml:space="preserve"> communities</w:t>
      </w:r>
      <w:r>
        <w:t>,</w:t>
      </w:r>
      <w:r>
        <w:rPr>
          <w:rStyle w:val="FootnoteReference"/>
        </w:rPr>
        <w:footnoteReference w:id="22"/>
      </w:r>
      <w:r>
        <w:t xml:space="preserve"> with the focus on characteristics or demographics like lower-income census tracts, </w:t>
      </w:r>
      <w:r w:rsidRPr="0004444D">
        <w:t>racial indicators</w:t>
      </w:r>
      <w:r>
        <w:t xml:space="preserve">, rural and Tribal lands, areas prone to natural disasters, communities with high concentration of at-risk youth/students or seniors, where residents have higher risks of poor health. Cal Advocates recommends prioritizing “marginalized communities,” a specific term that includes tribal areas, Environmental and Social Justice (ESJ) communities based on Cal Enviroscreen scores, areas classified as “C - Definitely Declining or “D - Hazardous” according to </w:t>
      </w:r>
      <w:r w:rsidR="00C40F64">
        <w:t>Homeowner’s</w:t>
      </w:r>
      <w:r>
        <w:t xml:space="preserve"> Loan Corporation maps, and low-income areas, as defined in the </w:t>
      </w:r>
      <w:r>
        <w:lastRenderedPageBreak/>
        <w:t>FFA Staff Proposal. Cal Advocates also recommends prioritizing projects in areas without access to Internet service at speeds of 10/1 Mbps. AT&amp;T does not support these proposals, asserting that a</w:t>
      </w:r>
      <w:r w:rsidRPr="008E1B8A">
        <w:t xml:space="preserve"> formula that requires analyses of income, demographics, or environmental characteristics will add complexity and uncertainty to the grant-making process.</w:t>
      </w:r>
    </w:p>
    <w:p w:rsidR="00A13D1F" w:rsidP="00A13D1F" w:rsidRDefault="00A13D1F" w14:paraId="13913B9D" w14:textId="5CFE5A20">
      <w:pPr>
        <w:pStyle w:val="Standard"/>
      </w:pPr>
      <w:r>
        <w:t>Frederick L. Pilot recommends p</w:t>
      </w:r>
      <w:r w:rsidRPr="006B5188">
        <w:t>rioritiz</w:t>
      </w:r>
      <w:r>
        <w:t>ing</w:t>
      </w:r>
      <w:r w:rsidRPr="006B5188">
        <w:t xml:space="preserve"> areas lacking 25/3 Mbps and</w:t>
      </w:r>
      <w:r>
        <w:t xml:space="preserve"> those that </w:t>
      </w:r>
      <w:r w:rsidRPr="006B5188">
        <w:t>rely primarily on wireless service.</w:t>
      </w:r>
      <w:r>
        <w:t xml:space="preserve"> LCB Communications and South Valley Internet encourage prioritizing counties with unserved areas before underserved areas. NDC and AT&amp;T contend the </w:t>
      </w:r>
      <w:r w:rsidRPr="00294771">
        <w:t xml:space="preserve">prioritization should focus </w:t>
      </w:r>
      <w:r>
        <w:t xml:space="preserve">first on connecting </w:t>
      </w:r>
      <w:r w:rsidRPr="00294771">
        <w:t>residential households</w:t>
      </w:r>
      <w:r>
        <w:t xml:space="preserve">, </w:t>
      </w:r>
      <w:r w:rsidRPr="00294771">
        <w:t>then anchor institutions over retail</w:t>
      </w:r>
      <w:r>
        <w:t xml:space="preserve"> or </w:t>
      </w:r>
      <w:r w:rsidRPr="00294771">
        <w:t>commercial business</w:t>
      </w:r>
      <w:r>
        <w:t>es</w:t>
      </w:r>
      <w:r w:rsidRPr="00294771">
        <w:t>.</w:t>
      </w:r>
      <w:r>
        <w:t xml:space="preserve"> SBUA suggests the Commission </w:t>
      </w:r>
      <w:r w:rsidRPr="0038172B">
        <w:t xml:space="preserve">consider </w:t>
      </w:r>
      <w:r>
        <w:t xml:space="preserve">the </w:t>
      </w:r>
      <w:r w:rsidRPr="0038172B">
        <w:t>needs of small businesses, diverse businesses, tribal areas, and underserved populations in counties with high unserved households.</w:t>
      </w:r>
      <w:r>
        <w:t xml:space="preserve"> CVAG recommends prioritizing areas based on access to middle mile projects that can facilitate last mile and by reduce costs, unserved/underserved areas that have secured funds for last mile connections, areas with shovel ready projects can help meet strict federal spending guidelines. SBUA supports </w:t>
      </w:r>
      <w:r w:rsidRPr="00CB4794">
        <w:t>includ</w:t>
      </w:r>
      <w:r>
        <w:t>ing</w:t>
      </w:r>
      <w:r w:rsidRPr="00CB4794">
        <w:t xml:space="preserve"> counties where 33</w:t>
      </w:r>
      <w:r>
        <w:t xml:space="preserve"> percent</w:t>
      </w:r>
      <w:r w:rsidRPr="00CB4794">
        <w:t xml:space="preserve"> or more have insufficient access to middle mile. </w:t>
      </w:r>
    </w:p>
    <w:p w:rsidR="00A13D1F" w:rsidP="00A13D1F" w:rsidRDefault="00A13D1F" w14:paraId="45A8C35C" w14:textId="77777777">
      <w:pPr>
        <w:pStyle w:val="Standard"/>
      </w:pPr>
      <w:r>
        <w:t>San Francisco, LAEDC, and SANDAG ask the Commission to work closely with communities to identify priority areas, including working with local governments, as well as other groups like and CASF Consortia. SCAG recommends the Commission work with</w:t>
      </w:r>
      <w:r w:rsidRPr="00270881">
        <w:t xml:space="preserve"> Caltrans, CTCs, MPOs, local agencies and ISPs for additional data and input</w:t>
      </w:r>
      <w:r>
        <w:t>, d</w:t>
      </w:r>
      <w:r w:rsidRPr="00270881">
        <w:t>ue to lack of granular data</w:t>
      </w:r>
      <w:r>
        <w:t>.</w:t>
      </w:r>
      <w:r w:rsidRPr="00B07321">
        <w:t xml:space="preserve"> </w:t>
      </w:r>
      <w:r>
        <w:t xml:space="preserve">AARP suggests including adoption data into the determination of whether an area if served. LAEDC recommends using the most recent and granular broadband </w:t>
      </w:r>
      <w:r>
        <w:lastRenderedPageBreak/>
        <w:t xml:space="preserve">availability data for counties, as well as user speed tests, and interviews with residents and businesses. </w:t>
      </w:r>
    </w:p>
    <w:p w:rsidR="00A13D1F" w:rsidP="002962E6" w:rsidRDefault="00A13D1F" w14:paraId="765B8BA4" w14:textId="3191A35A">
      <w:pPr>
        <w:pStyle w:val="Heading2"/>
      </w:pPr>
      <w:bookmarkStart w:name="_Toc94637187" w:id="26"/>
      <w:bookmarkStart w:name="_Toc101519067" w:id="27"/>
      <w:r w:rsidRPr="002962E6">
        <w:t>Discussion</w:t>
      </w:r>
      <w:bookmarkEnd w:id="26"/>
      <w:bookmarkEnd w:id="27"/>
    </w:p>
    <w:p w:rsidR="00A13D1F" w:rsidP="002962E6" w:rsidRDefault="00A13D1F" w14:paraId="31091002" w14:textId="77777777">
      <w:pPr>
        <w:pStyle w:val="Standard"/>
      </w:pPr>
      <w:r>
        <w:t xml:space="preserve">The </w:t>
      </w:r>
      <w:r w:rsidRPr="002962E6">
        <w:t>Commission</w:t>
      </w:r>
      <w:r>
        <w:t xml:space="preserve"> adopts the Staff Proposal with clarifications of how priority areas are defined and identified. </w:t>
      </w:r>
    </w:p>
    <w:p w:rsidRPr="0088247C" w:rsidR="00A13D1F" w:rsidP="00A13D1F" w:rsidRDefault="00A13D1F" w14:paraId="43B7F943" w14:textId="383E094B">
      <w:pPr>
        <w:pStyle w:val="Standard"/>
      </w:pPr>
      <w:r w:rsidRPr="00A723A3">
        <w:t xml:space="preserve">“Priority Area” means an area with a high </w:t>
      </w:r>
      <w:r>
        <w:t>density</w:t>
      </w:r>
      <w:r w:rsidRPr="00A723A3">
        <w:t xml:space="preserve"> of unserved locations</w:t>
      </w:r>
      <w:r>
        <w:t>, analyzed on a county basis,</w:t>
      </w:r>
      <w:r w:rsidRPr="0013642C">
        <w:t xml:space="preserve"> </w:t>
      </w:r>
      <w:r>
        <w:t>that makes</w:t>
      </w:r>
      <w:r w:rsidRPr="00A723A3">
        <w:t xml:space="preserve"> a substantial contribution to meeting the state’s broadband deployment objectives, as identified by C</w:t>
      </w:r>
      <w:r>
        <w:t xml:space="preserve">D Staff. A </w:t>
      </w:r>
      <w:r w:rsidRPr="00A723A3">
        <w:t xml:space="preserve">grant applicant </w:t>
      </w:r>
      <w:r>
        <w:t xml:space="preserve">may add or subtract to priority areas, which will be </w:t>
      </w:r>
      <w:r w:rsidRPr="00A723A3">
        <w:t>verified by the C</w:t>
      </w:r>
      <w:r>
        <w:t>D Staff</w:t>
      </w:r>
      <w:r w:rsidRPr="00A723A3">
        <w:t xml:space="preserve">. </w:t>
      </w:r>
      <w:r>
        <w:t xml:space="preserve">The priority areas will </w:t>
      </w:r>
      <w:r w:rsidRPr="00A723A3">
        <w:t>be coordinated with the Commission’s obligation to assist in preparing definitive plans for deploying necessary infrastructure in each county, including coordination across contiguous counties.</w:t>
      </w:r>
    </w:p>
    <w:p w:rsidRPr="0088247C" w:rsidR="00A13D1F" w:rsidP="00A13D1F" w:rsidRDefault="00A13D1F" w14:paraId="03E265B2" w14:textId="0E3156B2">
      <w:pPr>
        <w:pStyle w:val="Standard"/>
      </w:pPr>
      <w:r>
        <w:t xml:space="preserve">CD Staff will publish the priority areas, which </w:t>
      </w:r>
      <w:r w:rsidR="006F699E">
        <w:t>are</w:t>
      </w:r>
      <w:r>
        <w:t xml:space="preserve"> a subset of the eligible unserved areas, on the Commission website. </w:t>
      </w:r>
      <w:r w:rsidR="006F699E">
        <w:t xml:space="preserve">This publication will include details such as median household income, disadvantaged community status, and other measures of broadband need and digital equity. Consideration of disadvantaged communities in scoring as discussed later on in this decision. </w:t>
      </w:r>
      <w:r>
        <w:t>CD Staff will provide notice</w:t>
      </w:r>
      <w:r w:rsidRPr="00135B18">
        <w:t xml:space="preserve"> </w:t>
      </w:r>
      <w:r>
        <w:t>that the priority areas have been published, at a minimum, on the service list for this proceeding, the service list for the CASF proceeding,</w:t>
      </w:r>
      <w:r>
        <w:rPr>
          <w:rStyle w:val="FootnoteReference"/>
        </w:rPr>
        <w:footnoteReference w:id="23"/>
      </w:r>
      <w:r>
        <w:t xml:space="preserve"> and </w:t>
      </w:r>
      <w:r w:rsidR="004C07F4">
        <w:t xml:space="preserve">the </w:t>
      </w:r>
      <w:r>
        <w:t xml:space="preserve">CASF Distribution List </w:t>
      </w:r>
      <w:r w:rsidR="004C07F4">
        <w:t xml:space="preserve">that </w:t>
      </w:r>
      <w:r>
        <w:t>CD Staff maintains. CD Staff may update the priority areas as other broadband data becomes available.</w:t>
      </w:r>
    </w:p>
    <w:p w:rsidR="00A13D1F" w:rsidP="002962E6" w:rsidRDefault="00A13D1F" w14:paraId="1F6415CA" w14:textId="027BEBE5">
      <w:pPr>
        <w:pStyle w:val="Heading1"/>
      </w:pPr>
      <w:bookmarkStart w:name="_Toc94637188" w:id="28"/>
      <w:bookmarkStart w:name="_Toc101519068" w:id="29"/>
      <w:r>
        <w:t>IOU Fiber Pilots</w:t>
      </w:r>
      <w:bookmarkEnd w:id="28"/>
      <w:bookmarkEnd w:id="29"/>
    </w:p>
    <w:p w:rsidR="00A13D1F" w:rsidP="002962E6" w:rsidRDefault="00A13D1F" w14:paraId="5DA49BBB" w14:textId="4EBF91A3">
      <w:pPr>
        <w:pStyle w:val="Standard"/>
      </w:pPr>
      <w:r>
        <w:t xml:space="preserve">A key portion of </w:t>
      </w:r>
      <w:r w:rsidRPr="002962E6">
        <w:t>this</w:t>
      </w:r>
      <w:r>
        <w:t xml:space="preserve"> proceeding prior to the enactment of SB 156 involved examining whether there is a role for the electric Investor-Owned Utilities (IOUs) </w:t>
      </w:r>
      <w:r>
        <w:lastRenderedPageBreak/>
        <w:t xml:space="preserve">in deploying broadband Internet access service. This included the IOUs organizing a workshop and presenting project ideas. The ACR request comments on the following questions: </w:t>
      </w:r>
    </w:p>
    <w:p w:rsidR="00A13D1F" w:rsidP="002962E6" w:rsidRDefault="00A13D1F" w14:paraId="0EF73B5D" w14:textId="77777777">
      <w:pPr>
        <w:pStyle w:val="Standard"/>
        <w:numPr>
          <w:ilvl w:val="0"/>
          <w:numId w:val="19"/>
        </w:numPr>
        <w:spacing w:after="120" w:line="240" w:lineRule="auto"/>
        <w:ind w:right="1440"/>
      </w:pPr>
      <w:r>
        <w:t xml:space="preserve">How can the FFA be utilized to achieve this objective? </w:t>
      </w:r>
    </w:p>
    <w:p w:rsidR="00A13D1F" w:rsidP="002962E6" w:rsidRDefault="00A13D1F" w14:paraId="3DAD1DE0" w14:textId="77777777">
      <w:pPr>
        <w:pStyle w:val="Standard"/>
        <w:numPr>
          <w:ilvl w:val="0"/>
          <w:numId w:val="19"/>
        </w:numPr>
        <w:spacing w:after="120" w:line="240" w:lineRule="auto"/>
        <w:ind w:right="1440"/>
      </w:pPr>
      <w:r>
        <w:t>Should the IOU Fiber Pilots in Phase II be moved into Phase III?</w:t>
      </w:r>
    </w:p>
    <w:p w:rsidR="00A13D1F" w:rsidP="002962E6" w:rsidRDefault="00A13D1F" w14:paraId="355FF1F8" w14:textId="77777777">
      <w:pPr>
        <w:pStyle w:val="Standard"/>
        <w:numPr>
          <w:ilvl w:val="0"/>
          <w:numId w:val="19"/>
        </w:numPr>
        <w:spacing w:after="120" w:line="240" w:lineRule="auto"/>
        <w:ind w:right="1440"/>
      </w:pPr>
      <w:r>
        <w:t>How should the Commission consider changes to add flexibility to the rules to facilitate applicants from multiple entities such as partnerships between multiple last mile providers or a middle mile applicant such as an IOU and a last mile provider?</w:t>
      </w:r>
    </w:p>
    <w:p w:rsidRPr="009929F9" w:rsidR="00A13D1F" w:rsidP="002962E6" w:rsidRDefault="00A13D1F" w14:paraId="3CD27788" w14:textId="77777777">
      <w:pPr>
        <w:pStyle w:val="Standard"/>
        <w:numPr>
          <w:ilvl w:val="0"/>
          <w:numId w:val="19"/>
        </w:numPr>
        <w:spacing w:after="120" w:line="240" w:lineRule="auto"/>
        <w:ind w:right="1440"/>
      </w:pPr>
      <w:r>
        <w:t>How should the Commission consider or identify IOU rights-of-way that would enable last mile connections and work to fund or effectuate deployment in those IOU rights of way even without an IOU and last mile provider partnership?</w:t>
      </w:r>
    </w:p>
    <w:p w:rsidR="00A13D1F" w:rsidP="002962E6" w:rsidRDefault="00A13D1F" w14:paraId="71407E56" w14:textId="432B2979">
      <w:pPr>
        <w:pStyle w:val="Heading2"/>
      </w:pPr>
      <w:bookmarkStart w:name="_Toc94637189" w:id="30"/>
      <w:bookmarkStart w:name="_Toc101519069" w:id="31"/>
      <w:r>
        <w:t xml:space="preserve">Party </w:t>
      </w:r>
      <w:r w:rsidRPr="002962E6">
        <w:t>Positions</w:t>
      </w:r>
      <w:bookmarkEnd w:id="30"/>
      <w:bookmarkEnd w:id="31"/>
    </w:p>
    <w:p w:rsidR="00A13D1F" w:rsidP="00A13D1F" w:rsidRDefault="00A13D1F" w14:paraId="523B9297" w14:textId="77777777">
      <w:pPr>
        <w:pStyle w:val="Standard"/>
      </w:pPr>
      <w:r>
        <w:t xml:space="preserve">Parties offer a number of competing positions on the IOU Fiber Pilots. </w:t>
      </w:r>
    </w:p>
    <w:p w:rsidR="00A13D1F" w:rsidP="00A13D1F" w:rsidRDefault="00A13D1F" w14:paraId="527393AE" w14:textId="77777777">
      <w:pPr>
        <w:pStyle w:val="Standard"/>
      </w:pPr>
      <w:r>
        <w:t xml:space="preserve">Frederick L Pilot recommends that if IOUs wish to be wholesale network operators, then the Commission should adopt rules to facilitate that, while also encouraging the IOUs to partner with public entities. SBUA supports using FFA funding to leverage the electric IOUs’ in-depth expertise in developing “reliable and cost-effective network grids which connect last-mile circuits to the backbone network” their “extensive rights-of-way and experience working within regulatory requirements and local permitting and related requirements, and their expertise in marketing, provisioning, delivering, billing, and offering customer support to their ratepayers.” </w:t>
      </w:r>
    </w:p>
    <w:p w:rsidR="00A13D1F" w:rsidP="00A13D1F" w:rsidRDefault="00A13D1F" w14:paraId="36F55879" w14:textId="77777777">
      <w:pPr>
        <w:pStyle w:val="Standard"/>
      </w:pPr>
      <w:r>
        <w:t xml:space="preserve">CforAT, SDG&amp;E, and RCRC support moving the IOU Fiber Pilots to a separate phase of this proceeding, to allow more time to create viable projects. </w:t>
      </w:r>
      <w:r>
        <w:lastRenderedPageBreak/>
        <w:t xml:space="preserve">AT&amp;T notes that the voluntary sharing of assets could be facilitated by revising the Commission’s processes related to Pub. Util. Code </w:t>
      </w:r>
      <w:r>
        <w:rPr>
          <w:rFonts w:ascii="Courier New" w:hAnsi="Courier New" w:cs="Courier New"/>
        </w:rPr>
        <w:t>§</w:t>
      </w:r>
      <w:r>
        <w:t xml:space="preserve"> 851.</w:t>
      </w:r>
    </w:p>
    <w:p w:rsidR="00A13D1F" w:rsidP="00A13D1F" w:rsidRDefault="00A13D1F" w14:paraId="7D4FE0C3" w14:textId="77777777">
      <w:pPr>
        <w:pStyle w:val="Standard"/>
      </w:pPr>
      <w:r>
        <w:t>CWA asserts that telecommunications service providers are best equipped and experienced to build and maintain broadband networks, not IOUs, as the IOUs must focus on preventing wildfires and have little interest in deploying broadband.</w:t>
      </w:r>
    </w:p>
    <w:p w:rsidR="00A13D1F" w:rsidP="00A13D1F" w:rsidRDefault="00A13D1F" w14:paraId="7C6E8BA0" w14:textId="77777777">
      <w:pPr>
        <w:pStyle w:val="Standard"/>
      </w:pPr>
      <w:r>
        <w:t>SANDAG proposes that the Commission become a clearinghouse to help collect and share data that could inform broadband investments and facilitate partnerships between last mile, middle mile, and IOU partners. CETF notes that, at a workshop during Phase I of this proceeding, the IOUs presented some information about areas where they have available dark fiber and recommends that this information be made accessible to potential middle-mile providers and CENIC. CETF also suggests that Staff should contact a designated IOU contact that serves a specific community to discuss whether the IOU may have facilities to help bring middle mile facilities to the community.</w:t>
      </w:r>
    </w:p>
    <w:p w:rsidRPr="009929F9" w:rsidR="00A13D1F" w:rsidP="00A13D1F" w:rsidRDefault="00A13D1F" w14:paraId="37EF83D1" w14:textId="6C819CA7">
      <w:pPr>
        <w:pStyle w:val="Standard"/>
      </w:pPr>
      <w:r>
        <w:t xml:space="preserve">SCE asserts that ISPs should only be permitted access to IOU rights-of-way after the Commission makes a determination on eligibility under the Commission’s ROW rules, as ISPs are not currently eligible, arguing that it would be unfair to allow them nondiscriminatory access without first vetting them. If </w:t>
      </w:r>
      <w:r w:rsidR="002305C3">
        <w:t xml:space="preserve">the Commission </w:t>
      </w:r>
      <w:r>
        <w:t>determines ISPs should have nondiscriminatory access, they should request access via Pole License Agreements</w:t>
      </w:r>
      <w:r w:rsidR="00377BC1">
        <w:t xml:space="preserve">, similar to how </w:t>
      </w:r>
      <w:r>
        <w:t xml:space="preserve">CLECs, CMRS, </w:t>
      </w:r>
      <w:r w:rsidR="00377BC1">
        <w:t>and similar telecommunications services providers currently operate</w:t>
      </w:r>
      <w:r>
        <w:t xml:space="preserve">. SDG&amp;E supports using FFA funds to enable ISPs to partner with utilities to address service gaps, though SDG&amp;E asserts that telecommunications providers wanting to use SDG&amp;E facilities for last-mile broadband Internet service, via joint trenching or pole attachment, would be required to obtain their own land </w:t>
      </w:r>
      <w:r>
        <w:lastRenderedPageBreak/>
        <w:t>rights and the Commission cannot authorize a utility to do more than what their land rights allow under the law and cannot grant land rights to third parties to IOU electric infrastructure. Verizon recommends the Commission require the IOUs to provide access to their streetlight poles at regulated approved rates, which will ensure that last mile projects are built without substantial delays at a reasonable cost.</w:t>
      </w:r>
    </w:p>
    <w:p w:rsidR="00A13D1F" w:rsidP="00A25552" w:rsidRDefault="00A13D1F" w14:paraId="7AA0CB27" w14:textId="7123B9F6">
      <w:pPr>
        <w:pStyle w:val="Heading2"/>
      </w:pPr>
      <w:bookmarkStart w:name="_Toc94637190" w:id="32"/>
      <w:bookmarkStart w:name="_Toc101519070" w:id="33"/>
      <w:r>
        <w:t>Discussion</w:t>
      </w:r>
      <w:bookmarkEnd w:id="32"/>
      <w:bookmarkEnd w:id="33"/>
    </w:p>
    <w:p w:rsidRPr="009929F9" w:rsidR="00A13D1F" w:rsidP="00A25552" w:rsidRDefault="00A13D1F" w14:paraId="059E9C65" w14:textId="77777777">
      <w:pPr>
        <w:pStyle w:val="Standard"/>
      </w:pPr>
      <w:r>
        <w:t xml:space="preserve">At this time, we </w:t>
      </w:r>
      <w:r w:rsidRPr="00A25552">
        <w:t>decline</w:t>
      </w:r>
      <w:r>
        <w:t xml:space="preserve"> to adopt specific requirements regarding the IOU Fiber Pilots. As discussed in the Eligible Entities section, we adopt rules making the IOUs eligible for FFA grants.</w:t>
      </w:r>
      <w:r>
        <w:rPr>
          <w:rStyle w:val="FootnoteReference"/>
        </w:rPr>
        <w:footnoteReference w:id="24"/>
      </w:r>
      <w:r>
        <w:t xml:space="preserve"> It is possible that some of the proposals the IOUs have worked on as part of this proceeding may be eligible for FFA funds. We encourage the IOUs to enter into partnerships to deploy broadband infrastructure and assist applicants with the deployment of broadband networks using utility support structures. We may still examine other ways to leverage IOU fiber as part of another decision or phase of this proceeding.</w:t>
      </w:r>
    </w:p>
    <w:p w:rsidR="00A13D1F" w:rsidP="00A25552" w:rsidRDefault="00A13D1F" w14:paraId="30E280AB" w14:textId="77F16CD8">
      <w:pPr>
        <w:pStyle w:val="Heading1"/>
      </w:pPr>
      <w:bookmarkStart w:name="_Toc94637191" w:id="34"/>
      <w:bookmarkStart w:name="_Toc101519071" w:id="35"/>
      <w:r w:rsidRPr="00A25552">
        <w:t>Apportionment</w:t>
      </w:r>
      <w:r>
        <w:t xml:space="preserve"> of Funds</w:t>
      </w:r>
      <w:bookmarkEnd w:id="34"/>
      <w:bookmarkEnd w:id="35"/>
    </w:p>
    <w:p w:rsidR="00A13D1F" w:rsidP="00A25552" w:rsidRDefault="00A13D1F" w14:paraId="7C6EFFE0" w14:textId="5FAA2B2C">
      <w:pPr>
        <w:pStyle w:val="Standard"/>
      </w:pPr>
      <w:r>
        <w:t>On November 10, 2021, the assigned ALJ issued a ruling requiring comments on the apportionment of funds for the FFA. Pub. Util. Code §§281(n) (3)(A) and 281(n) (3)(B) respectively direct th</w:t>
      </w:r>
      <w:r w:rsidR="00D92F6B">
        <w:t>is</w:t>
      </w:r>
      <w:r>
        <w:t xml:space="preserve"> Commission to spend $2 billion on broadband Internet infrastructure projects, with $1 billion allocated to projects urban counties and $1 billion allocated to projects in rural counties. The Commission initially must allocate $5 million for projects in each county and then allocate the remaining funds in the respective urban or rural allocation, based on each county’s proportionate share of households without access to </w:t>
      </w:r>
      <w:r>
        <w:lastRenderedPageBreak/>
        <w:t>broadband Internet access service speeds of at least 100 megabits per second download.</w:t>
      </w:r>
    </w:p>
    <w:p w:rsidR="00A13D1F" w:rsidP="00A13D1F" w:rsidRDefault="00A13D1F" w14:paraId="495B39D2" w14:textId="72B2691E">
      <w:pPr>
        <w:pStyle w:val="Standard"/>
      </w:pPr>
      <w:r>
        <w:t xml:space="preserve">Because the Legislature largely left this determination to the Commission, and various federal and state agencies use different definitions and/or methodologies to determine whether a county or another geographic area is “rural” or “urban,” the November 10, 2021 assigned ALJ ruling includes three different options for parties to comment on, as well as a request to propose alternatives. The ruling proposed to define rural and urban in a manner similar to how the federal Office of Management and Budget (OMB), with “urban” counties being the same as “metropolitan” counties and “rural” counties the same as “nonmetropolitan” counties. Two additional options include relying on the U.S. Census Bureau’s determinations and one where individual counties </w:t>
      </w:r>
      <w:r w:rsidR="00A25552">
        <w:br/>
      </w:r>
      <w:r>
        <w:t>self-identify as rural, as is the case with the membership of the Rural County Representatives of California (RCRC), an association representing California’s small, rural counties that includes 37 member counties.</w:t>
      </w:r>
    </w:p>
    <w:p w:rsidR="00A13D1F" w:rsidP="00A25552" w:rsidRDefault="00A13D1F" w14:paraId="4BC61A76" w14:textId="0BA985CB">
      <w:pPr>
        <w:pStyle w:val="Heading2"/>
      </w:pPr>
      <w:bookmarkStart w:name="_Toc94637192" w:id="36"/>
      <w:bookmarkStart w:name="_Toc101519072" w:id="37"/>
      <w:r>
        <w:t>Party Positions</w:t>
      </w:r>
      <w:bookmarkEnd w:id="36"/>
      <w:bookmarkEnd w:id="37"/>
    </w:p>
    <w:p w:rsidR="00A13D1F" w:rsidP="00A25552" w:rsidRDefault="00A13D1F" w14:paraId="09F1ED4C" w14:textId="77777777">
      <w:pPr>
        <w:pStyle w:val="Standard"/>
      </w:pPr>
      <w:r>
        <w:t xml:space="preserve">Parties </w:t>
      </w:r>
      <w:r w:rsidRPr="00A25552">
        <w:t>disagree</w:t>
      </w:r>
      <w:r>
        <w:t xml:space="preserve"> on whether the Commission should adopt the three methods contained in the assigned ALJ ruling. Several parties offered alternative proposals. Additionally, some parties modified their positions during reply comments. </w:t>
      </w:r>
    </w:p>
    <w:p w:rsidR="00A13D1F" w:rsidP="00A13D1F" w:rsidRDefault="00A13D1F" w14:paraId="21293A94" w14:textId="41778CCC">
      <w:pPr>
        <w:pStyle w:val="Standard"/>
      </w:pPr>
      <w:r>
        <w:t xml:space="preserve">In their opening comments the following four parties express support for using the OMB method:  County of Mendocino, NDC, </w:t>
      </w:r>
      <w:r w:rsidRPr="005E3415">
        <w:t>North Bay/North Coast Broadband Consortia (NBNCBC)</w:t>
      </w:r>
      <w:r>
        <w:t xml:space="preserve">, and UCAN. CCTA and the Small LECs support using U.S. Census Bureau designations. Nine parties support designating rural counties as those that have self-identified through their membership in RCRC:  County of Los Angeles, Santa Clara, Frederick L. Pilot, </w:t>
      </w:r>
      <w:r>
        <w:lastRenderedPageBreak/>
        <w:t xml:space="preserve">LAEDC, #OaklandUndivided Coalition, SANDAG, SBUA, SCAG, and </w:t>
      </w:r>
      <w:r w:rsidR="00A25552">
        <w:br/>
      </w:r>
      <w:r>
        <w:t xml:space="preserve">UNITE-LA. Five parties propose alternatives:  CETF, Santa Clara, Frederick L. Pilot, RCRC, and TURN. </w:t>
      </w:r>
    </w:p>
    <w:p w:rsidR="00A13D1F" w:rsidP="00A13D1F" w:rsidRDefault="00A13D1F" w14:paraId="45B8FB8F" w14:textId="351D497A">
      <w:pPr>
        <w:pStyle w:val="Standard"/>
      </w:pPr>
      <w:r>
        <w:t>CETF discusses the defects of relying on each of the alternatives in the ruling. CETF asserts that while government programs typically choose to utilize the OMB or U.S. Census Bureau definitions, those definitions do not address the actual issues that result in lack of broadband, such as geographic challenges (terrain, geography), lack of middle-mile or Internet Point of Presence facilities, lack of electricity, extreme poverty, a large percentage of low-income households on the outlying county. Relying on RCRC membership reduces the amount of money available to the most rural and remote counties, with sparse populations and little middle-mile facilities, or with persistent poverty and economic challenges. CETF recommends that counties with the highest number of unserved and underserved households at speeds of 100 Mbps download, with significant socioeconomic factors indicating high poverty and unemployment, or a stagnant economy, with a high average cost of construction to reach unserved households, should be deemed “rural” and thus be apportioned additional funding.</w:t>
      </w:r>
    </w:p>
    <w:p w:rsidR="00A13D1F" w:rsidP="00A13D1F" w:rsidRDefault="00A13D1F" w14:paraId="649774D7" w14:textId="3F988F7B">
      <w:pPr>
        <w:pStyle w:val="Standard"/>
      </w:pPr>
      <w:r>
        <w:t xml:space="preserve">RCRC identifies flaws with each method contained in the ruling, including arguments that the U.S. Census methodology is based on outdated population data to determine areas that meet “rural” and “urban” definitions, that relying on RCRC membership results in vastly disparate funding allocations across the rural counties, disadvantaging the 21 most rural and least populated jurisdictions, and that the OMB method creates a similarly inequitable outcome for those 16 more populated rural counties that would need to compete with exponentially larger and more resourced urban counties. RCRC proposes a </w:t>
      </w:r>
      <w:r>
        <w:lastRenderedPageBreak/>
        <w:t>hybrid method that uses the definition of “rural” as set forth in the OMB model, which allocates $1 billion to those 21 described “rural” counties, and then divides the 37 remaining counties in the “urban” category into 16 “small urban counties” and 21 “large urban counties.” The “small urban” and “large urban” categories would receive pro-rata allocations of the $1 billion in funding based on the number of counties in the group. The “small urban” group would receive 16/37</w:t>
      </w:r>
      <w:r w:rsidRPr="005476C6">
        <w:rPr>
          <w:vertAlign w:val="superscript"/>
        </w:rPr>
        <w:t>th</w:t>
      </w:r>
      <w:r>
        <w:t xml:space="preserve"> of the total, $432,432,432, and the “large urban” group would receive 21/37</w:t>
      </w:r>
      <w:r w:rsidRPr="005476C6">
        <w:rPr>
          <w:vertAlign w:val="superscript"/>
        </w:rPr>
        <w:t>th</w:t>
      </w:r>
      <w:r>
        <w:t xml:space="preserve"> of the total, $567,567,567.</w:t>
      </w:r>
    </w:p>
    <w:p w:rsidR="00A13D1F" w:rsidP="00A13D1F" w:rsidRDefault="00A13D1F" w14:paraId="216A386B" w14:textId="77777777">
      <w:pPr>
        <w:pStyle w:val="Standard"/>
      </w:pPr>
      <w:r>
        <w:t>TURN recommends against using any of the three methods contained in the ruling, arguing that all three rely on a single metric and, as such, are flawed. Instead, TURN recommends using those methods in conjunction with other methodologies to foster equity in dividing FFA funds. T</w:t>
      </w:r>
      <w:r w:rsidRPr="006837A9">
        <w:t>URN reviewed seven different methodologies to creat</w:t>
      </w:r>
      <w:r>
        <w:t>e</w:t>
      </w:r>
      <w:r w:rsidRPr="006837A9">
        <w:t xml:space="preserve"> its proposed method of classification</w:t>
      </w:r>
      <w:r>
        <w:t>, concluding:</w:t>
      </w:r>
      <w:r w:rsidRPr="006837A9">
        <w:t> </w:t>
      </w:r>
    </w:p>
    <w:p w:rsidR="00A13D1F" w:rsidP="001F11A1" w:rsidRDefault="00A13D1F" w14:paraId="03033252" w14:textId="5DC55B9D">
      <w:pPr>
        <w:pStyle w:val="Standard"/>
      </w:pPr>
      <w:r w:rsidRPr="006837A9">
        <w:t>Six of these methodologies had complete</w:t>
      </w:r>
      <w:r w:rsidRPr="006837A9">
        <w:rPr>
          <w:rFonts w:ascii="Times New Roman" w:hAnsi="Times New Roman" w:cs="Times New Roman"/>
        </w:rPr>
        <w:t> </w:t>
      </w:r>
      <w:r w:rsidRPr="006837A9">
        <w:t xml:space="preserve">consensus regarding 41 of the </w:t>
      </w:r>
      <w:r w:rsidR="001F11A1">
        <w:br/>
      </w:r>
      <w:r w:rsidRPr="006837A9">
        <w:t>58 California county designations.</w:t>
      </w:r>
      <w:r w:rsidRPr="006837A9">
        <w:rPr>
          <w:rFonts w:cs="Book Antiqua"/>
        </w:rPr>
        <w:t> </w:t>
      </w:r>
      <w:r w:rsidRPr="006837A9">
        <w:t>TURN recommends the</w:t>
      </w:r>
      <w:r w:rsidRPr="006837A9">
        <w:rPr>
          <w:rFonts w:ascii="Times New Roman" w:hAnsi="Times New Roman" w:cs="Times New Roman"/>
        </w:rPr>
        <w:t> </w:t>
      </w:r>
      <w:r w:rsidRPr="006837A9">
        <w:t>Commission adopted the consensus designation for these counties as urban or rural, which leaves</w:t>
      </w:r>
      <w:r w:rsidRPr="006837A9">
        <w:rPr>
          <w:rFonts w:ascii="Times New Roman" w:hAnsi="Times New Roman" w:cs="Times New Roman"/>
        </w:rPr>
        <w:t> </w:t>
      </w:r>
      <w:r w:rsidR="001F11A1">
        <w:rPr>
          <w:rFonts w:ascii="Times New Roman" w:hAnsi="Times New Roman" w:cs="Times New Roman"/>
        </w:rPr>
        <w:br/>
      </w:r>
      <w:r w:rsidRPr="006837A9">
        <w:t xml:space="preserve">17 counties that did not have complete consensus. However, of these 17 remaining counties, </w:t>
      </w:r>
      <w:r w:rsidR="00EB62A0">
        <w:t>eleven</w:t>
      </w:r>
      <w:r w:rsidRPr="006837A9">
        <w:rPr>
          <w:rFonts w:ascii="Times New Roman" w:hAnsi="Times New Roman" w:cs="Times New Roman"/>
        </w:rPr>
        <w:t> </w:t>
      </w:r>
      <w:r w:rsidRPr="006837A9">
        <w:t>counties would have had complete consensus across the six methodologies but for the Rural</w:t>
      </w:r>
      <w:r w:rsidRPr="006837A9">
        <w:rPr>
          <w:rFonts w:ascii="Times New Roman" w:hAnsi="Times New Roman" w:cs="Times New Roman"/>
        </w:rPr>
        <w:t> </w:t>
      </w:r>
      <w:r w:rsidRPr="006837A9">
        <w:t>Counties Representatives of California Membership Methodology.</w:t>
      </w:r>
      <w:r w:rsidRPr="006837A9">
        <w:rPr>
          <w:rFonts w:ascii="Times New Roman" w:hAnsi="Times New Roman" w:cs="Times New Roman"/>
        </w:rPr>
        <w:t> </w:t>
      </w:r>
      <w:r w:rsidRPr="006837A9">
        <w:t xml:space="preserve">TURN recommends </w:t>
      </w:r>
      <w:r w:rsidRPr="001F11A1">
        <w:t>the</w:t>
      </w:r>
      <w:r w:rsidRPr="001F11A1">
        <w:rPr>
          <w:rFonts w:ascii="Times New Roman" w:hAnsi="Times New Roman" w:cs="Times New Roman"/>
        </w:rPr>
        <w:t> </w:t>
      </w:r>
      <w:r w:rsidRPr="001F11A1">
        <w:t>Commission</w:t>
      </w:r>
      <w:r w:rsidRPr="006837A9">
        <w:t xml:space="preserve"> adopt the near complete consensus designations for these </w:t>
      </w:r>
      <w:r w:rsidR="00EB62A0">
        <w:t>eleven</w:t>
      </w:r>
      <w:r w:rsidRPr="006837A9">
        <w:t xml:space="preserve"> counties, leaving only</w:t>
      </w:r>
      <w:r w:rsidRPr="006837A9">
        <w:rPr>
          <w:rFonts w:ascii="Times New Roman" w:hAnsi="Times New Roman" w:cs="Times New Roman"/>
        </w:rPr>
        <w:t> </w:t>
      </w:r>
      <w:r w:rsidRPr="006837A9">
        <w:t>six counties left to be designated.</w:t>
      </w:r>
      <w:r w:rsidRPr="006837A9">
        <w:rPr>
          <w:vertAlign w:val="superscript"/>
        </w:rPr>
        <w:t> </w:t>
      </w:r>
      <w:r w:rsidRPr="006837A9">
        <w:t>For each of these six counties, their unserved residents</w:t>
      </w:r>
      <w:r w:rsidRPr="006837A9">
        <w:rPr>
          <w:rFonts w:ascii="Times New Roman" w:hAnsi="Times New Roman" w:cs="Times New Roman"/>
        </w:rPr>
        <w:t> </w:t>
      </w:r>
      <w:r w:rsidRPr="006837A9">
        <w:t xml:space="preserve">primarily reside in rural areas of each county. Therefore, TURN </w:t>
      </w:r>
      <w:r w:rsidRPr="006837A9">
        <w:lastRenderedPageBreak/>
        <w:t>recommends these last six</w:t>
      </w:r>
      <w:r w:rsidRPr="006837A9">
        <w:rPr>
          <w:rFonts w:ascii="Times New Roman" w:hAnsi="Times New Roman" w:cs="Times New Roman"/>
        </w:rPr>
        <w:t> </w:t>
      </w:r>
      <w:r w:rsidRPr="006837A9">
        <w:t>counties</w:t>
      </w:r>
      <w:r w:rsidRPr="006837A9">
        <w:rPr>
          <w:vertAlign w:val="superscript"/>
        </w:rPr>
        <w:t> </w:t>
      </w:r>
      <w:r w:rsidRPr="006837A9">
        <w:t>be considered rural for the purposes of the Federal Funding Account.</w:t>
      </w:r>
      <w:r>
        <w:rPr>
          <w:rStyle w:val="FootnoteReference"/>
        </w:rPr>
        <w:footnoteReference w:id="25"/>
      </w:r>
    </w:p>
    <w:p w:rsidR="00A13D1F" w:rsidP="001F11A1" w:rsidRDefault="00A13D1F" w14:paraId="32B1B005" w14:textId="77777777">
      <w:pPr>
        <w:pStyle w:val="Standard"/>
      </w:pPr>
      <w:r w:rsidRPr="001F11A1">
        <w:t>NBNCBC</w:t>
      </w:r>
      <w:r>
        <w:t xml:space="preserve"> urges the Commission to use a methodology that prioritizes serving unserved and underserved areas with the least access, that reflects the use of a tiered system based on current broadband availability in each county</w:t>
      </w:r>
    </w:p>
    <w:p w:rsidR="00A13D1F" w:rsidP="00A13D1F" w:rsidRDefault="00A13D1F" w14:paraId="65BA9172" w14:textId="77777777">
      <w:pPr>
        <w:pStyle w:val="Standard"/>
        <w:ind w:firstLine="0"/>
      </w:pPr>
      <w:r>
        <w:t>and the number of households required to reach 98 percent served. A tiered system could be used. In addition, NBNCBC suggests the Commission base the analysis or methodology on data that is more accurate, by measuring broadband availability at a granular level, such as by household or similar metrics.</w:t>
      </w:r>
      <w:r w:rsidRPr="008C617A">
        <w:t xml:space="preserve"> </w:t>
      </w:r>
      <w:r>
        <w:t>NBNCBC further suggests the Commission should consider the alignment of the state’s open access middle-mile network deployment plans with the Federal Funding apportionment to ensure both initiatives are successful and supplement each other.</w:t>
      </w:r>
    </w:p>
    <w:p w:rsidR="00A13D1F" w:rsidP="00A13D1F" w:rsidRDefault="00A13D1F" w14:paraId="416AB641" w14:textId="77588753">
      <w:pPr>
        <w:pStyle w:val="Standard"/>
      </w:pPr>
      <w:r>
        <w:t xml:space="preserve">In their reply comments, San Francisco </w:t>
      </w:r>
      <w:r w:rsidR="00D92F6B">
        <w:t xml:space="preserve">and Cal </w:t>
      </w:r>
      <w:r>
        <w:t xml:space="preserve">Advocates also express support for using the method where counties have self-identified. </w:t>
      </w:r>
    </w:p>
    <w:p w:rsidR="00A13D1F" w:rsidP="00A13D1F" w:rsidRDefault="00A13D1F" w14:paraId="35DEAE69" w14:textId="22DAD0F7">
      <w:pPr>
        <w:pStyle w:val="Standard"/>
      </w:pPr>
      <w:r>
        <w:t>SBUA supports CETF’s proposed alternative. CCBC and RCRC support the RCRC hybrid alternative. NDC, TURN, and UCAN support TURN’s proposal.</w:t>
      </w:r>
    </w:p>
    <w:p w:rsidRPr="00EA37ED" w:rsidR="00A13D1F" w:rsidP="00A13D1F" w:rsidRDefault="00A13D1F" w14:paraId="3AD5C0F8" w14:textId="77777777">
      <w:pPr>
        <w:pStyle w:val="Standard"/>
      </w:pPr>
      <w:r>
        <w:t xml:space="preserve">AT&amp;T urges the </w:t>
      </w:r>
      <w:r w:rsidRPr="00EA37ED">
        <w:t xml:space="preserve">Commission </w:t>
      </w:r>
      <w:r>
        <w:t xml:space="preserve">to </w:t>
      </w:r>
      <w:r w:rsidRPr="00EA37ED">
        <w:t xml:space="preserve">refrain from imposing caps on the size of grants on a county basis. </w:t>
      </w:r>
    </w:p>
    <w:p w:rsidR="00A13D1F" w:rsidP="005D4F9B" w:rsidRDefault="00A13D1F" w14:paraId="3558C73B" w14:textId="57747E6C">
      <w:pPr>
        <w:pStyle w:val="Heading2"/>
      </w:pPr>
      <w:bookmarkStart w:name="_Toc94637193" w:id="38"/>
      <w:bookmarkStart w:name="_Toc101519073" w:id="39"/>
      <w:r>
        <w:t>Discussion</w:t>
      </w:r>
      <w:bookmarkEnd w:id="38"/>
      <w:bookmarkEnd w:id="39"/>
    </w:p>
    <w:p w:rsidR="00A13D1F" w:rsidP="00A13D1F" w:rsidRDefault="00A13D1F" w14:paraId="29DFF3CF" w14:textId="31DBF7EB">
      <w:pPr>
        <w:pStyle w:val="Standard"/>
      </w:pPr>
      <w:r>
        <w:t xml:space="preserve">Instead of adopting any of the options </w:t>
      </w:r>
      <w:r w:rsidRPr="00F33F2E">
        <w:t xml:space="preserve">for </w:t>
      </w:r>
      <w:r>
        <w:t xml:space="preserve">determining which </w:t>
      </w:r>
      <w:r w:rsidRPr="00F33F2E">
        <w:t xml:space="preserve">counties </w:t>
      </w:r>
      <w:r>
        <w:t xml:space="preserve">are </w:t>
      </w:r>
      <w:r w:rsidRPr="00F33F2E">
        <w:t xml:space="preserve">rural </w:t>
      </w:r>
      <w:r>
        <w:t>and which are</w:t>
      </w:r>
      <w:r w:rsidRPr="00F33F2E">
        <w:t xml:space="preserve"> urban</w:t>
      </w:r>
      <w:r>
        <w:t xml:space="preserve"> put forward in the assigned ALJ ruling, we adopt </w:t>
      </w:r>
      <w:r>
        <w:lastRenderedPageBreak/>
        <w:t>TURN’s proposal, as it is the most rigorous, and attempts to arrive at a consensus by relying on seven different approaches, instead of one</w:t>
      </w:r>
      <w:r w:rsidRPr="00F33F2E">
        <w:t>.</w:t>
      </w:r>
      <w:r>
        <w:t xml:space="preserve"> The TURN proposal appropriately</w:t>
      </w:r>
      <w:r w:rsidRPr="008E477E">
        <w:t xml:space="preserve"> balances</w:t>
      </w:r>
      <w:r>
        <w:t xml:space="preserve"> the two most significant competing realities of broadband Internet infrastructure:  </w:t>
      </w:r>
      <w:r w:rsidRPr="00553EA4">
        <w:t>rural areas typically have higher </w:t>
      </w:r>
      <w:r>
        <w:t xml:space="preserve">constructions </w:t>
      </w:r>
      <w:r w:rsidRPr="00553EA4">
        <w:t xml:space="preserve">costs </w:t>
      </w:r>
      <w:r>
        <w:t xml:space="preserve">-- due to more rugged terrain, poles with greater failure rates, and lower population density -- while urban areas have the </w:t>
      </w:r>
      <w:r w:rsidRPr="00553EA4">
        <w:t>highest number of unserved households.</w:t>
      </w:r>
      <w:r>
        <w:rPr>
          <w:rStyle w:val="FootnoteReference"/>
        </w:rPr>
        <w:footnoteReference w:id="26"/>
      </w:r>
      <w:r>
        <w:t xml:space="preserve"> </w:t>
      </w:r>
    </w:p>
    <w:p w:rsidRPr="00B00C5A" w:rsidR="00A13D1F" w:rsidP="00397B3F" w:rsidRDefault="00A13D1F" w14:paraId="0F9909B8" w14:textId="77777777">
      <w:pPr>
        <w:pStyle w:val="Standard"/>
        <w:keepNext/>
        <w:keepLines/>
        <w:jc w:val="center"/>
        <w:rPr>
          <w:rFonts w:cstheme="minorHAnsi"/>
          <w:b/>
          <w:bCs/>
          <w:i/>
          <w:sz w:val="24"/>
          <w:szCs w:val="24"/>
        </w:rPr>
      </w:pPr>
      <w:r w:rsidRPr="00B00C5A">
        <w:rPr>
          <w:rFonts w:cstheme="minorHAnsi"/>
          <w:b/>
          <w:bCs/>
          <w:i/>
          <w:sz w:val="24"/>
          <w:szCs w:val="24"/>
        </w:rPr>
        <w:t xml:space="preserve">Table </w:t>
      </w:r>
      <w:r>
        <w:rPr>
          <w:rFonts w:cstheme="minorHAnsi"/>
          <w:b/>
          <w:bCs/>
          <w:i/>
          <w:sz w:val="24"/>
          <w:szCs w:val="24"/>
        </w:rPr>
        <w:t>1</w:t>
      </w:r>
      <w:r w:rsidRPr="00B00C5A">
        <w:rPr>
          <w:rFonts w:cstheme="minorHAnsi"/>
          <w:b/>
          <w:bCs/>
          <w:i/>
          <w:sz w:val="24"/>
          <w:szCs w:val="24"/>
        </w:rPr>
        <w:t xml:space="preserve">. Rural County </w:t>
      </w:r>
      <w:r>
        <w:rPr>
          <w:rFonts w:cstheme="minorHAnsi"/>
          <w:b/>
          <w:bCs/>
          <w:i/>
          <w:sz w:val="24"/>
          <w:szCs w:val="24"/>
        </w:rPr>
        <w:t>Allocations</w:t>
      </w:r>
    </w:p>
    <w:tbl>
      <w:tblPr>
        <w:tblW w:w="0" w:type="auto"/>
        <w:jc w:val="center"/>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1057"/>
        <w:gridCol w:w="1440"/>
        <w:gridCol w:w="1620"/>
        <w:gridCol w:w="3515"/>
      </w:tblGrid>
      <w:tr w:rsidRPr="00B00C5A" w:rsidR="00A13D1F" w:rsidTr="00EA2353" w14:paraId="65A6720E" w14:textId="77777777">
        <w:trPr>
          <w:trHeight w:val="319"/>
          <w:jc w:val="center"/>
        </w:trPr>
        <w:tc>
          <w:tcPr>
            <w:tcW w:w="7632" w:type="dxa"/>
            <w:gridSpan w:val="4"/>
            <w:shd w:val="clear" w:color="auto" w:fill="auto"/>
          </w:tcPr>
          <w:p w:rsidRPr="005476C6" w:rsidR="00A13D1F" w:rsidP="00397B3F" w:rsidRDefault="00A13D1F" w14:paraId="7D169030" w14:textId="77777777">
            <w:pPr>
              <w:pStyle w:val="TableParagraph"/>
              <w:keepNext/>
              <w:keepLines/>
              <w:widowControl/>
              <w:spacing w:before="44"/>
              <w:ind w:left="107"/>
              <w:jc w:val="left"/>
              <w:rPr>
                <w:rFonts w:ascii="Book Antiqua" w:hAnsi="Book Antiqua" w:cstheme="minorHAnsi"/>
                <w:sz w:val="24"/>
                <w:szCs w:val="24"/>
              </w:rPr>
            </w:pPr>
            <w:r w:rsidRPr="005476C6">
              <w:rPr>
                <w:rFonts w:ascii="Book Antiqua" w:hAnsi="Book Antiqua" w:cstheme="minorHAnsi"/>
                <w:b/>
                <w:sz w:val="24"/>
                <w:szCs w:val="24"/>
              </w:rPr>
              <w:t xml:space="preserve">Rural Counties </w:t>
            </w:r>
            <w:r w:rsidRPr="005476C6">
              <w:rPr>
                <w:rFonts w:ascii="Book Antiqua" w:hAnsi="Book Antiqua" w:cstheme="minorHAnsi"/>
                <w:sz w:val="24"/>
                <w:szCs w:val="24"/>
              </w:rPr>
              <w:t>(27)</w:t>
            </w:r>
          </w:p>
        </w:tc>
      </w:tr>
      <w:tr w:rsidRPr="00B00C5A" w:rsidR="00A13D1F" w:rsidTr="00EA2353" w14:paraId="34B8E4AA" w14:textId="77777777">
        <w:trPr>
          <w:trHeight w:val="550"/>
          <w:jc w:val="center"/>
        </w:trPr>
        <w:tc>
          <w:tcPr>
            <w:tcW w:w="2497" w:type="dxa"/>
            <w:gridSpan w:val="2"/>
            <w:shd w:val="clear" w:color="auto" w:fill="auto"/>
          </w:tcPr>
          <w:p w:rsidRPr="005476C6" w:rsidR="00A13D1F" w:rsidP="00397B3F" w:rsidRDefault="00A13D1F" w14:paraId="3D725D3A" w14:textId="77777777">
            <w:pPr>
              <w:pStyle w:val="TableParagraph"/>
              <w:keepNext/>
              <w:keepLines/>
              <w:widowControl/>
              <w:spacing w:before="274"/>
              <w:ind w:left="107"/>
              <w:jc w:val="left"/>
              <w:rPr>
                <w:rFonts w:ascii="Book Antiqua" w:hAnsi="Book Antiqua" w:cstheme="minorHAnsi"/>
                <w:b/>
                <w:sz w:val="24"/>
                <w:szCs w:val="24"/>
              </w:rPr>
            </w:pPr>
            <w:r w:rsidRPr="005476C6">
              <w:rPr>
                <w:rFonts w:ascii="Book Antiqua" w:hAnsi="Book Antiqua" w:cstheme="minorHAnsi"/>
                <w:b/>
                <w:sz w:val="24"/>
                <w:szCs w:val="24"/>
              </w:rPr>
              <w:t>Population Unserved</w:t>
            </w:r>
          </w:p>
        </w:tc>
        <w:tc>
          <w:tcPr>
            <w:tcW w:w="1620" w:type="dxa"/>
            <w:shd w:val="clear" w:color="auto" w:fill="auto"/>
          </w:tcPr>
          <w:p w:rsidRPr="005476C6" w:rsidR="00A13D1F" w:rsidP="00397B3F" w:rsidRDefault="00A13D1F" w14:paraId="676F4140" w14:textId="77777777">
            <w:pPr>
              <w:pStyle w:val="TableParagraph"/>
              <w:keepNext/>
              <w:keepLines/>
              <w:widowControl/>
              <w:spacing w:before="274"/>
              <w:ind w:left="104"/>
              <w:jc w:val="left"/>
              <w:rPr>
                <w:rFonts w:ascii="Book Antiqua" w:hAnsi="Book Antiqua" w:cstheme="minorHAnsi"/>
                <w:b/>
                <w:sz w:val="24"/>
                <w:szCs w:val="24"/>
              </w:rPr>
            </w:pPr>
            <w:r w:rsidRPr="005476C6">
              <w:rPr>
                <w:rFonts w:ascii="Book Antiqua" w:hAnsi="Book Antiqua" w:cstheme="minorHAnsi"/>
                <w:b/>
                <w:sz w:val="24"/>
                <w:szCs w:val="24"/>
              </w:rPr>
              <w:t>County</w:t>
            </w:r>
          </w:p>
        </w:tc>
        <w:tc>
          <w:tcPr>
            <w:tcW w:w="3515" w:type="dxa"/>
            <w:shd w:val="clear" w:color="auto" w:fill="auto"/>
          </w:tcPr>
          <w:p w:rsidRPr="005476C6" w:rsidR="00A13D1F" w:rsidP="00397B3F" w:rsidRDefault="00A13D1F" w14:paraId="32272385" w14:textId="77777777">
            <w:pPr>
              <w:pStyle w:val="TableParagraph"/>
              <w:keepNext/>
              <w:keepLines/>
              <w:widowControl/>
              <w:spacing w:line="272" w:lineRule="exact"/>
              <w:ind w:right="61"/>
              <w:rPr>
                <w:rFonts w:ascii="Book Antiqua" w:hAnsi="Book Antiqua" w:cstheme="minorHAnsi"/>
                <w:sz w:val="24"/>
                <w:szCs w:val="24"/>
              </w:rPr>
            </w:pPr>
            <w:r w:rsidRPr="005476C6">
              <w:rPr>
                <w:rFonts w:ascii="Book Antiqua" w:hAnsi="Book Antiqua" w:cstheme="minorHAnsi"/>
                <w:b/>
                <w:sz w:val="24"/>
                <w:szCs w:val="24"/>
              </w:rPr>
              <w:t xml:space="preserve">Allocation </w:t>
            </w:r>
            <w:r w:rsidRPr="005476C6">
              <w:rPr>
                <w:rFonts w:ascii="Book Antiqua" w:hAnsi="Book Antiqua" w:cstheme="minorHAnsi"/>
                <w:sz w:val="24"/>
                <w:szCs w:val="24"/>
              </w:rPr>
              <w:t>= $5 million +</w:t>
            </w:r>
          </w:p>
          <w:p w:rsidRPr="005476C6" w:rsidR="00A13D1F" w:rsidP="00397B3F" w:rsidRDefault="00A13D1F" w14:paraId="228A750B" w14:textId="77777777">
            <w:pPr>
              <w:pStyle w:val="TableParagraph"/>
              <w:keepNext/>
              <w:keepLines/>
              <w:widowControl/>
              <w:spacing w:before="2"/>
              <w:ind w:right="62"/>
              <w:rPr>
                <w:rFonts w:ascii="Book Antiqua" w:hAnsi="Book Antiqua" w:cstheme="minorHAnsi"/>
                <w:sz w:val="24"/>
                <w:szCs w:val="24"/>
              </w:rPr>
            </w:pPr>
            <w:r w:rsidRPr="005476C6">
              <w:rPr>
                <w:rFonts w:ascii="Book Antiqua" w:hAnsi="Book Antiqua" w:cstheme="minorHAnsi"/>
                <w:sz w:val="24"/>
                <w:szCs w:val="24"/>
              </w:rPr>
              <w:t>$5,419.76554 per unserved</w:t>
            </w:r>
            <w:r w:rsidRPr="005476C6">
              <w:rPr>
                <w:rFonts w:ascii="Book Antiqua" w:hAnsi="Book Antiqua" w:cstheme="minorHAnsi"/>
                <w:spacing w:val="2"/>
                <w:sz w:val="24"/>
                <w:szCs w:val="24"/>
              </w:rPr>
              <w:t xml:space="preserve"> </w:t>
            </w:r>
            <w:r w:rsidRPr="005476C6">
              <w:rPr>
                <w:rFonts w:ascii="Book Antiqua" w:hAnsi="Book Antiqua" w:cstheme="minorHAnsi"/>
                <w:sz w:val="24"/>
                <w:szCs w:val="24"/>
              </w:rPr>
              <w:t>resident</w:t>
            </w:r>
            <w:r w:rsidRPr="005476C6">
              <w:rPr>
                <w:rStyle w:val="FootnoteReference"/>
                <w:rFonts w:ascii="Book Antiqua" w:hAnsi="Book Antiqua" w:cstheme="minorHAnsi"/>
                <w:sz w:val="24"/>
                <w:szCs w:val="24"/>
              </w:rPr>
              <w:footnoteReference w:id="27"/>
            </w:r>
          </w:p>
        </w:tc>
      </w:tr>
      <w:tr w:rsidRPr="00B00C5A" w:rsidR="00A13D1F" w:rsidTr="00EA2353" w14:paraId="1A809E4D" w14:textId="77777777">
        <w:trPr>
          <w:trHeight w:val="324"/>
          <w:jc w:val="center"/>
        </w:trPr>
        <w:tc>
          <w:tcPr>
            <w:tcW w:w="1057" w:type="dxa"/>
            <w:tcBorders>
              <w:bottom w:val="single" w:color="000000" w:sz="12" w:space="0"/>
              <w:right w:val="single" w:color="000000" w:sz="12" w:space="0"/>
            </w:tcBorders>
            <w:shd w:val="clear" w:color="auto" w:fill="auto"/>
          </w:tcPr>
          <w:p w:rsidRPr="005476C6" w:rsidR="00A13D1F" w:rsidP="00397B3F" w:rsidRDefault="00A13D1F" w14:paraId="3429140B" w14:textId="77777777">
            <w:pPr>
              <w:pStyle w:val="TableParagraph"/>
              <w:keepNext/>
              <w:keepLines/>
              <w:widowControl/>
              <w:spacing w:before="44"/>
              <w:ind w:right="72"/>
              <w:rPr>
                <w:rFonts w:ascii="Book Antiqua" w:hAnsi="Book Antiqua" w:cstheme="minorHAnsi"/>
                <w:sz w:val="24"/>
                <w:szCs w:val="24"/>
              </w:rPr>
            </w:pPr>
            <w:r w:rsidRPr="005476C6">
              <w:rPr>
                <w:rFonts w:ascii="Book Antiqua" w:hAnsi="Book Antiqua" w:cstheme="minorHAnsi"/>
                <w:sz w:val="24"/>
                <w:szCs w:val="24"/>
              </w:rPr>
              <w:t>1</w:t>
            </w:r>
          </w:p>
        </w:tc>
        <w:tc>
          <w:tcPr>
            <w:tcW w:w="1440" w:type="dxa"/>
            <w:tcBorders>
              <w:left w:val="single" w:color="000000" w:sz="12" w:space="0"/>
              <w:bottom w:val="single" w:color="000000" w:sz="12" w:space="0"/>
              <w:right w:val="single" w:color="000000" w:sz="12" w:space="0"/>
            </w:tcBorders>
            <w:shd w:val="clear" w:color="auto" w:fill="auto"/>
          </w:tcPr>
          <w:p w:rsidRPr="005476C6" w:rsidR="00A13D1F" w:rsidP="00397B3F" w:rsidRDefault="00A13D1F" w14:paraId="26F2AC03" w14:textId="77777777">
            <w:pPr>
              <w:pStyle w:val="TableParagraph"/>
              <w:keepNext/>
              <w:keepLines/>
              <w:widowControl/>
              <w:spacing w:before="44"/>
              <w:ind w:right="68"/>
              <w:rPr>
                <w:rFonts w:ascii="Book Antiqua" w:hAnsi="Book Antiqua" w:cstheme="minorHAnsi"/>
                <w:sz w:val="24"/>
                <w:szCs w:val="24"/>
              </w:rPr>
            </w:pPr>
            <w:r w:rsidRPr="005476C6">
              <w:rPr>
                <w:rFonts w:ascii="Book Antiqua" w:hAnsi="Book Antiqua" w:cstheme="minorHAnsi"/>
                <w:sz w:val="24"/>
                <w:szCs w:val="24"/>
              </w:rPr>
              <w:t>367</w:t>
            </w:r>
          </w:p>
        </w:tc>
        <w:tc>
          <w:tcPr>
            <w:tcW w:w="1620" w:type="dxa"/>
            <w:tcBorders>
              <w:left w:val="single" w:color="000000" w:sz="12" w:space="0"/>
              <w:bottom w:val="single" w:color="000000" w:sz="12" w:space="0"/>
              <w:right w:val="single" w:color="000000" w:sz="12" w:space="0"/>
            </w:tcBorders>
            <w:shd w:val="clear" w:color="auto" w:fill="auto"/>
          </w:tcPr>
          <w:p w:rsidRPr="005476C6" w:rsidR="00A13D1F" w:rsidP="00397B3F" w:rsidRDefault="00A13D1F" w14:paraId="46BDA38A" w14:textId="77777777">
            <w:pPr>
              <w:pStyle w:val="TableParagraph"/>
              <w:keepNext/>
              <w:keepLines/>
              <w:widowControl/>
              <w:spacing w:before="44"/>
              <w:ind w:left="112"/>
              <w:jc w:val="left"/>
              <w:rPr>
                <w:rFonts w:ascii="Book Antiqua" w:hAnsi="Book Antiqua" w:cstheme="minorHAnsi"/>
                <w:sz w:val="24"/>
                <w:szCs w:val="24"/>
              </w:rPr>
            </w:pPr>
            <w:r w:rsidRPr="005476C6">
              <w:rPr>
                <w:rFonts w:ascii="Book Antiqua" w:hAnsi="Book Antiqua" w:cstheme="minorHAnsi"/>
                <w:sz w:val="24"/>
                <w:szCs w:val="24"/>
              </w:rPr>
              <w:t>Alpine</w:t>
            </w:r>
          </w:p>
        </w:tc>
        <w:tc>
          <w:tcPr>
            <w:tcW w:w="3515" w:type="dxa"/>
            <w:tcBorders>
              <w:left w:val="single" w:color="000000" w:sz="12" w:space="0"/>
              <w:bottom w:val="single" w:color="000000" w:sz="12" w:space="0"/>
            </w:tcBorders>
            <w:shd w:val="clear" w:color="auto" w:fill="auto"/>
          </w:tcPr>
          <w:p w:rsidRPr="005476C6" w:rsidR="00A13D1F" w:rsidP="00397B3F" w:rsidRDefault="00A13D1F" w14:paraId="7437C4AA" w14:textId="77777777">
            <w:pPr>
              <w:pStyle w:val="TableParagraph"/>
              <w:keepNext/>
              <w:keepLines/>
              <w:widowControl/>
              <w:spacing w:before="44"/>
              <w:ind w:right="62"/>
              <w:rPr>
                <w:rFonts w:ascii="Book Antiqua" w:hAnsi="Book Antiqua" w:cstheme="minorHAnsi"/>
                <w:sz w:val="24"/>
                <w:szCs w:val="24"/>
              </w:rPr>
            </w:pPr>
            <w:r w:rsidRPr="005476C6">
              <w:rPr>
                <w:rFonts w:ascii="Book Antiqua" w:hAnsi="Book Antiqua" w:cstheme="minorHAnsi"/>
                <w:sz w:val="24"/>
                <w:szCs w:val="24"/>
              </w:rPr>
              <w:t>$6,989,053.95</w:t>
            </w:r>
          </w:p>
        </w:tc>
      </w:tr>
      <w:tr w:rsidRPr="00B00C5A" w:rsidR="00A13D1F" w:rsidTr="00EA2353" w14:paraId="0B36B90B"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5345C338" w14:textId="77777777">
            <w:pPr>
              <w:pStyle w:val="TableParagraph"/>
              <w:spacing w:before="44"/>
              <w:ind w:right="72"/>
              <w:rPr>
                <w:rFonts w:ascii="Book Antiqua" w:hAnsi="Book Antiqua" w:cstheme="minorHAnsi"/>
                <w:sz w:val="24"/>
                <w:szCs w:val="24"/>
              </w:rPr>
            </w:pPr>
            <w:r w:rsidRPr="005476C6">
              <w:rPr>
                <w:rFonts w:ascii="Book Antiqua" w:hAnsi="Book Antiqua" w:cstheme="minorHAnsi"/>
                <w:sz w:val="24"/>
                <w:szCs w:val="24"/>
              </w:rPr>
              <w:t>2</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365F0D9E" w14:textId="77777777">
            <w:pPr>
              <w:pStyle w:val="TableParagraph"/>
              <w:spacing w:before="44"/>
              <w:ind w:right="68"/>
              <w:rPr>
                <w:rFonts w:ascii="Book Antiqua" w:hAnsi="Book Antiqua" w:cstheme="minorHAnsi"/>
                <w:sz w:val="24"/>
                <w:szCs w:val="24"/>
              </w:rPr>
            </w:pPr>
            <w:r w:rsidRPr="005476C6">
              <w:rPr>
                <w:rFonts w:ascii="Book Antiqua" w:hAnsi="Book Antiqua" w:cstheme="minorHAnsi"/>
                <w:sz w:val="24"/>
                <w:szCs w:val="24"/>
              </w:rPr>
              <w:t>9,632</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779A2ACE" w14:textId="77777777">
            <w:pPr>
              <w:pStyle w:val="TableParagraph"/>
              <w:spacing w:before="44"/>
              <w:ind w:left="112"/>
              <w:jc w:val="left"/>
              <w:rPr>
                <w:rFonts w:ascii="Book Antiqua" w:hAnsi="Book Antiqua" w:cstheme="minorHAnsi"/>
                <w:sz w:val="24"/>
                <w:szCs w:val="24"/>
              </w:rPr>
            </w:pPr>
            <w:r w:rsidRPr="005476C6">
              <w:rPr>
                <w:rFonts w:ascii="Book Antiqua" w:hAnsi="Book Antiqua" w:cstheme="minorHAnsi"/>
                <w:sz w:val="24"/>
                <w:szCs w:val="24"/>
              </w:rPr>
              <w:t>Amador</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70691AD1" w14:textId="77777777">
            <w:pPr>
              <w:pStyle w:val="TableParagraph"/>
              <w:spacing w:before="44"/>
              <w:ind w:right="62"/>
              <w:rPr>
                <w:rFonts w:ascii="Book Antiqua" w:hAnsi="Book Antiqua" w:cstheme="minorHAnsi"/>
                <w:sz w:val="24"/>
                <w:szCs w:val="24"/>
              </w:rPr>
            </w:pPr>
            <w:r w:rsidRPr="005476C6">
              <w:rPr>
                <w:rFonts w:ascii="Book Antiqua" w:hAnsi="Book Antiqua" w:cstheme="minorHAnsi"/>
                <w:sz w:val="24"/>
                <w:szCs w:val="24"/>
              </w:rPr>
              <w:t>$57,203,181.68</w:t>
            </w:r>
          </w:p>
        </w:tc>
      </w:tr>
      <w:tr w:rsidRPr="00B00C5A" w:rsidR="00A13D1F" w:rsidTr="00EA2353" w14:paraId="5207ECC5"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4D658AE0" w14:textId="77777777">
            <w:pPr>
              <w:pStyle w:val="TableParagraph"/>
              <w:spacing w:before="44"/>
              <w:ind w:right="72"/>
              <w:rPr>
                <w:rFonts w:ascii="Book Antiqua" w:hAnsi="Book Antiqua" w:cstheme="minorHAnsi"/>
                <w:sz w:val="24"/>
                <w:szCs w:val="24"/>
              </w:rPr>
            </w:pPr>
            <w:r w:rsidRPr="005476C6">
              <w:rPr>
                <w:rFonts w:ascii="Book Antiqua" w:hAnsi="Book Antiqua" w:cstheme="minorHAnsi"/>
                <w:sz w:val="24"/>
                <w:szCs w:val="24"/>
              </w:rPr>
              <w:t>3</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4B8D8FD6" w14:textId="77777777">
            <w:pPr>
              <w:pStyle w:val="TableParagraph"/>
              <w:spacing w:before="44"/>
              <w:ind w:right="68"/>
              <w:rPr>
                <w:rFonts w:ascii="Book Antiqua" w:hAnsi="Book Antiqua" w:cstheme="minorHAnsi"/>
                <w:sz w:val="24"/>
                <w:szCs w:val="24"/>
              </w:rPr>
            </w:pPr>
            <w:r w:rsidRPr="005476C6">
              <w:rPr>
                <w:rFonts w:ascii="Book Antiqua" w:hAnsi="Book Antiqua" w:cstheme="minorHAnsi"/>
                <w:sz w:val="24"/>
                <w:szCs w:val="24"/>
              </w:rPr>
              <w:t>4,761</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10D3E421" w14:textId="77777777">
            <w:pPr>
              <w:pStyle w:val="TableParagraph"/>
              <w:spacing w:before="44"/>
              <w:ind w:left="112"/>
              <w:jc w:val="left"/>
              <w:rPr>
                <w:rFonts w:ascii="Book Antiqua" w:hAnsi="Book Antiqua" w:cstheme="minorHAnsi"/>
                <w:sz w:val="24"/>
                <w:szCs w:val="24"/>
              </w:rPr>
            </w:pPr>
            <w:r w:rsidRPr="005476C6">
              <w:rPr>
                <w:rFonts w:ascii="Book Antiqua" w:hAnsi="Book Antiqua" w:cstheme="minorHAnsi"/>
                <w:sz w:val="24"/>
                <w:szCs w:val="24"/>
              </w:rPr>
              <w:t>Calaveras</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2BE3823B" w14:textId="77777777">
            <w:pPr>
              <w:pStyle w:val="TableParagraph"/>
              <w:spacing w:before="44"/>
              <w:ind w:right="62"/>
              <w:rPr>
                <w:rFonts w:ascii="Book Antiqua" w:hAnsi="Book Antiqua" w:cstheme="minorHAnsi"/>
                <w:sz w:val="24"/>
                <w:szCs w:val="24"/>
              </w:rPr>
            </w:pPr>
            <w:r w:rsidRPr="005476C6">
              <w:rPr>
                <w:rFonts w:ascii="Book Antiqua" w:hAnsi="Book Antiqua" w:cstheme="minorHAnsi"/>
                <w:sz w:val="24"/>
                <w:szCs w:val="24"/>
              </w:rPr>
              <w:t>$30,803,503.74</w:t>
            </w:r>
          </w:p>
        </w:tc>
      </w:tr>
      <w:tr w:rsidRPr="00B00C5A" w:rsidR="00A13D1F" w:rsidTr="00EA2353" w14:paraId="770966EF"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15132B85" w14:textId="77777777">
            <w:pPr>
              <w:pStyle w:val="TableParagraph"/>
              <w:spacing w:before="44"/>
              <w:ind w:right="72"/>
              <w:rPr>
                <w:rFonts w:ascii="Book Antiqua" w:hAnsi="Book Antiqua" w:cstheme="minorHAnsi"/>
                <w:sz w:val="24"/>
                <w:szCs w:val="24"/>
              </w:rPr>
            </w:pPr>
            <w:r w:rsidRPr="005476C6">
              <w:rPr>
                <w:rFonts w:ascii="Book Antiqua" w:hAnsi="Book Antiqua" w:cstheme="minorHAnsi"/>
                <w:sz w:val="24"/>
                <w:szCs w:val="24"/>
              </w:rPr>
              <w:t>4</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1B793AA7" w14:textId="77777777">
            <w:pPr>
              <w:pStyle w:val="TableParagraph"/>
              <w:spacing w:before="44"/>
              <w:ind w:right="68"/>
              <w:rPr>
                <w:rFonts w:ascii="Book Antiqua" w:hAnsi="Book Antiqua" w:cstheme="minorHAnsi"/>
                <w:sz w:val="24"/>
                <w:szCs w:val="24"/>
              </w:rPr>
            </w:pPr>
            <w:r w:rsidRPr="005476C6">
              <w:rPr>
                <w:rFonts w:ascii="Book Antiqua" w:hAnsi="Book Antiqua" w:cstheme="minorHAnsi"/>
                <w:sz w:val="24"/>
                <w:szCs w:val="24"/>
              </w:rPr>
              <w:t>4,419</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14CBC807" w14:textId="77777777">
            <w:pPr>
              <w:pStyle w:val="TableParagraph"/>
              <w:spacing w:before="44"/>
              <w:ind w:left="112"/>
              <w:jc w:val="left"/>
              <w:rPr>
                <w:rFonts w:ascii="Book Antiqua" w:hAnsi="Book Antiqua" w:cstheme="minorHAnsi"/>
                <w:sz w:val="24"/>
                <w:szCs w:val="24"/>
              </w:rPr>
            </w:pPr>
            <w:r w:rsidRPr="005476C6">
              <w:rPr>
                <w:rFonts w:ascii="Book Antiqua" w:hAnsi="Book Antiqua" w:cstheme="minorHAnsi"/>
                <w:sz w:val="24"/>
                <w:szCs w:val="24"/>
              </w:rPr>
              <w:t>Colusa</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68C56039" w14:textId="77777777">
            <w:pPr>
              <w:pStyle w:val="TableParagraph"/>
              <w:spacing w:before="44"/>
              <w:ind w:right="62"/>
              <w:rPr>
                <w:rFonts w:ascii="Book Antiqua" w:hAnsi="Book Antiqua" w:cstheme="minorHAnsi"/>
                <w:sz w:val="24"/>
                <w:szCs w:val="24"/>
              </w:rPr>
            </w:pPr>
            <w:r w:rsidRPr="005476C6">
              <w:rPr>
                <w:rFonts w:ascii="Book Antiqua" w:hAnsi="Book Antiqua" w:cstheme="minorHAnsi"/>
                <w:sz w:val="24"/>
                <w:szCs w:val="24"/>
              </w:rPr>
              <w:t>$28,949,943.92</w:t>
            </w:r>
          </w:p>
        </w:tc>
      </w:tr>
      <w:tr w:rsidRPr="00B00C5A" w:rsidR="00A13D1F" w:rsidTr="00EA2353" w14:paraId="551580DF"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3EBEE52C" w14:textId="77777777">
            <w:pPr>
              <w:pStyle w:val="TableParagraph"/>
              <w:spacing w:before="44"/>
              <w:ind w:right="72"/>
              <w:rPr>
                <w:rFonts w:ascii="Book Antiqua" w:hAnsi="Book Antiqua" w:cstheme="minorHAnsi"/>
                <w:sz w:val="24"/>
                <w:szCs w:val="24"/>
              </w:rPr>
            </w:pPr>
            <w:r w:rsidRPr="005476C6">
              <w:rPr>
                <w:rFonts w:ascii="Book Antiqua" w:hAnsi="Book Antiqua" w:cstheme="minorHAnsi"/>
                <w:sz w:val="24"/>
                <w:szCs w:val="24"/>
              </w:rPr>
              <w:t>5</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3C6A96B0" w14:textId="77777777">
            <w:pPr>
              <w:pStyle w:val="TableParagraph"/>
              <w:spacing w:before="44"/>
              <w:ind w:right="68"/>
              <w:rPr>
                <w:rFonts w:ascii="Book Antiqua" w:hAnsi="Book Antiqua" w:cstheme="minorHAnsi"/>
                <w:sz w:val="24"/>
                <w:szCs w:val="24"/>
              </w:rPr>
            </w:pPr>
            <w:r w:rsidRPr="005476C6">
              <w:rPr>
                <w:rFonts w:ascii="Book Antiqua" w:hAnsi="Book Antiqua" w:cstheme="minorHAnsi"/>
                <w:sz w:val="24"/>
                <w:szCs w:val="24"/>
              </w:rPr>
              <w:t>976</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60239F46" w14:textId="77777777">
            <w:pPr>
              <w:pStyle w:val="TableParagraph"/>
              <w:spacing w:before="44"/>
              <w:ind w:left="112"/>
              <w:jc w:val="left"/>
              <w:rPr>
                <w:rFonts w:ascii="Book Antiqua" w:hAnsi="Book Antiqua" w:cstheme="minorHAnsi"/>
                <w:sz w:val="24"/>
                <w:szCs w:val="24"/>
              </w:rPr>
            </w:pPr>
            <w:r w:rsidRPr="005476C6">
              <w:rPr>
                <w:rFonts w:ascii="Book Antiqua" w:hAnsi="Book Antiqua" w:cstheme="minorHAnsi"/>
                <w:sz w:val="24"/>
                <w:szCs w:val="24"/>
              </w:rPr>
              <w:t>Del Norte</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51A22941" w14:textId="77777777">
            <w:pPr>
              <w:pStyle w:val="TableParagraph"/>
              <w:spacing w:before="44"/>
              <w:ind w:right="62"/>
              <w:rPr>
                <w:rFonts w:ascii="Book Antiqua" w:hAnsi="Book Antiqua" w:cstheme="minorHAnsi"/>
                <w:sz w:val="24"/>
                <w:szCs w:val="24"/>
              </w:rPr>
            </w:pPr>
            <w:r w:rsidRPr="005476C6">
              <w:rPr>
                <w:rFonts w:ascii="Book Antiqua" w:hAnsi="Book Antiqua" w:cstheme="minorHAnsi"/>
                <w:sz w:val="24"/>
                <w:szCs w:val="24"/>
              </w:rPr>
              <w:t>$10,289,691.17</w:t>
            </w:r>
          </w:p>
        </w:tc>
      </w:tr>
      <w:tr w:rsidRPr="00B00C5A" w:rsidR="00A13D1F" w:rsidTr="00EA2353" w14:paraId="240EC7E1"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34FDD82F" w14:textId="77777777">
            <w:pPr>
              <w:pStyle w:val="TableParagraph"/>
              <w:spacing w:before="44"/>
              <w:ind w:right="72"/>
              <w:rPr>
                <w:rFonts w:ascii="Book Antiqua" w:hAnsi="Book Antiqua" w:cstheme="minorHAnsi"/>
                <w:sz w:val="24"/>
                <w:szCs w:val="24"/>
              </w:rPr>
            </w:pPr>
            <w:r w:rsidRPr="005476C6">
              <w:rPr>
                <w:rFonts w:ascii="Book Antiqua" w:hAnsi="Book Antiqua" w:cstheme="minorHAnsi"/>
                <w:sz w:val="24"/>
                <w:szCs w:val="24"/>
              </w:rPr>
              <w:t>6</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095B4F81" w14:textId="77777777">
            <w:pPr>
              <w:pStyle w:val="TableParagraph"/>
              <w:spacing w:before="44"/>
              <w:ind w:right="68"/>
              <w:rPr>
                <w:rFonts w:ascii="Book Antiqua" w:hAnsi="Book Antiqua" w:cstheme="minorHAnsi"/>
                <w:sz w:val="24"/>
                <w:szCs w:val="24"/>
              </w:rPr>
            </w:pPr>
            <w:r w:rsidRPr="005476C6">
              <w:rPr>
                <w:rFonts w:ascii="Book Antiqua" w:hAnsi="Book Antiqua" w:cstheme="minorHAnsi"/>
                <w:sz w:val="24"/>
                <w:szCs w:val="24"/>
              </w:rPr>
              <w:t>19,716</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0F05C5D5" w14:textId="77777777">
            <w:pPr>
              <w:pStyle w:val="TableParagraph"/>
              <w:spacing w:before="44"/>
              <w:ind w:left="112"/>
              <w:jc w:val="left"/>
              <w:rPr>
                <w:rFonts w:ascii="Book Antiqua" w:hAnsi="Book Antiqua" w:cstheme="minorHAnsi"/>
                <w:sz w:val="24"/>
                <w:szCs w:val="24"/>
              </w:rPr>
            </w:pPr>
            <w:r w:rsidRPr="005476C6">
              <w:rPr>
                <w:rFonts w:ascii="Book Antiqua" w:hAnsi="Book Antiqua" w:cstheme="minorHAnsi"/>
                <w:sz w:val="24"/>
                <w:szCs w:val="24"/>
              </w:rPr>
              <w:t>El Dorado</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6B83382B" w14:textId="77777777">
            <w:pPr>
              <w:pStyle w:val="TableParagraph"/>
              <w:spacing w:before="44"/>
              <w:ind w:right="62"/>
              <w:rPr>
                <w:rFonts w:ascii="Book Antiqua" w:hAnsi="Book Antiqua" w:cstheme="minorHAnsi"/>
                <w:sz w:val="24"/>
                <w:szCs w:val="24"/>
              </w:rPr>
            </w:pPr>
            <w:r w:rsidRPr="005476C6">
              <w:rPr>
                <w:rFonts w:ascii="Book Antiqua" w:hAnsi="Book Antiqua" w:cstheme="minorHAnsi"/>
                <w:sz w:val="24"/>
                <w:szCs w:val="24"/>
              </w:rPr>
              <w:t>$111,856,097.39</w:t>
            </w:r>
          </w:p>
        </w:tc>
      </w:tr>
      <w:tr w:rsidRPr="00B00C5A" w:rsidR="00A13D1F" w:rsidTr="00EA2353" w14:paraId="07EBCD4D"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6616B8C2" w14:textId="77777777">
            <w:pPr>
              <w:pStyle w:val="TableParagraph"/>
              <w:spacing w:before="39" w:line="261" w:lineRule="exact"/>
              <w:ind w:right="72"/>
              <w:rPr>
                <w:rFonts w:ascii="Book Antiqua" w:hAnsi="Book Antiqua" w:cstheme="minorHAnsi"/>
                <w:sz w:val="24"/>
                <w:szCs w:val="24"/>
              </w:rPr>
            </w:pPr>
            <w:r w:rsidRPr="005476C6">
              <w:rPr>
                <w:rFonts w:ascii="Book Antiqua" w:hAnsi="Book Antiqua" w:cstheme="minorHAnsi"/>
                <w:sz w:val="24"/>
                <w:szCs w:val="24"/>
              </w:rPr>
              <w:t>7</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10BAE942" w14:textId="77777777">
            <w:pPr>
              <w:pStyle w:val="TableParagraph"/>
              <w:spacing w:before="39" w:line="261" w:lineRule="exact"/>
              <w:ind w:right="68"/>
              <w:rPr>
                <w:rFonts w:ascii="Book Antiqua" w:hAnsi="Book Antiqua" w:cstheme="minorHAnsi"/>
                <w:sz w:val="24"/>
                <w:szCs w:val="24"/>
              </w:rPr>
            </w:pPr>
            <w:r w:rsidRPr="005476C6">
              <w:rPr>
                <w:rFonts w:ascii="Book Antiqua" w:hAnsi="Book Antiqua" w:cstheme="minorHAnsi"/>
                <w:sz w:val="24"/>
                <w:szCs w:val="24"/>
              </w:rPr>
              <w:t>3,704</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6D934956" w14:textId="77777777">
            <w:pPr>
              <w:pStyle w:val="TableParagraph"/>
              <w:spacing w:before="39" w:line="261" w:lineRule="exact"/>
              <w:ind w:left="112"/>
              <w:jc w:val="left"/>
              <w:rPr>
                <w:rFonts w:ascii="Book Antiqua" w:hAnsi="Book Antiqua" w:cstheme="minorHAnsi"/>
                <w:sz w:val="24"/>
                <w:szCs w:val="24"/>
              </w:rPr>
            </w:pPr>
            <w:r w:rsidRPr="005476C6">
              <w:rPr>
                <w:rFonts w:ascii="Book Antiqua" w:hAnsi="Book Antiqua" w:cstheme="minorHAnsi"/>
                <w:sz w:val="24"/>
                <w:szCs w:val="24"/>
              </w:rPr>
              <w:t>Glenn</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46716992" w14:textId="77777777">
            <w:pPr>
              <w:pStyle w:val="TableParagraph"/>
              <w:spacing w:before="39" w:line="261" w:lineRule="exact"/>
              <w:ind w:right="62"/>
              <w:rPr>
                <w:rFonts w:ascii="Book Antiqua" w:hAnsi="Book Antiqua" w:cstheme="minorHAnsi"/>
                <w:sz w:val="24"/>
                <w:szCs w:val="24"/>
              </w:rPr>
            </w:pPr>
            <w:r w:rsidRPr="005476C6">
              <w:rPr>
                <w:rFonts w:ascii="Book Antiqua" w:hAnsi="Book Antiqua" w:cstheme="minorHAnsi"/>
                <w:sz w:val="24"/>
                <w:szCs w:val="24"/>
              </w:rPr>
              <w:t>$25,074,811.56</w:t>
            </w:r>
          </w:p>
        </w:tc>
      </w:tr>
      <w:tr w:rsidRPr="00B00C5A" w:rsidR="00A13D1F" w:rsidTr="00EA2353" w14:paraId="02470D67"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7C2FAC7B" w14:textId="77777777">
            <w:pPr>
              <w:pStyle w:val="TableParagraph"/>
              <w:spacing w:before="39" w:line="261" w:lineRule="exact"/>
              <w:ind w:right="72"/>
              <w:rPr>
                <w:rFonts w:ascii="Book Antiqua" w:hAnsi="Book Antiqua" w:cstheme="minorHAnsi"/>
                <w:sz w:val="24"/>
                <w:szCs w:val="24"/>
              </w:rPr>
            </w:pPr>
            <w:r w:rsidRPr="005476C6">
              <w:rPr>
                <w:rFonts w:ascii="Book Antiqua" w:hAnsi="Book Antiqua" w:cstheme="minorHAnsi"/>
                <w:sz w:val="24"/>
                <w:szCs w:val="24"/>
              </w:rPr>
              <w:t>8</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4BF8DCA6" w14:textId="77777777">
            <w:pPr>
              <w:pStyle w:val="TableParagraph"/>
              <w:spacing w:before="39" w:line="261" w:lineRule="exact"/>
              <w:ind w:right="68"/>
              <w:rPr>
                <w:rFonts w:ascii="Book Antiqua" w:hAnsi="Book Antiqua" w:cstheme="minorHAnsi"/>
                <w:sz w:val="24"/>
                <w:szCs w:val="24"/>
              </w:rPr>
            </w:pPr>
            <w:r w:rsidRPr="005476C6">
              <w:rPr>
                <w:rFonts w:ascii="Book Antiqua" w:hAnsi="Book Antiqua" w:cstheme="minorHAnsi"/>
                <w:sz w:val="24"/>
                <w:szCs w:val="24"/>
              </w:rPr>
              <w:t>10,063</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2535B0C9" w14:textId="77777777">
            <w:pPr>
              <w:pStyle w:val="TableParagraph"/>
              <w:spacing w:before="39" w:line="261" w:lineRule="exact"/>
              <w:ind w:left="112"/>
              <w:jc w:val="left"/>
              <w:rPr>
                <w:rFonts w:ascii="Book Antiqua" w:hAnsi="Book Antiqua" w:cstheme="minorHAnsi"/>
                <w:sz w:val="24"/>
                <w:szCs w:val="24"/>
              </w:rPr>
            </w:pPr>
            <w:r w:rsidRPr="005476C6">
              <w:rPr>
                <w:rFonts w:ascii="Book Antiqua" w:hAnsi="Book Antiqua" w:cstheme="minorHAnsi"/>
                <w:sz w:val="24"/>
                <w:szCs w:val="24"/>
              </w:rPr>
              <w:t>Humboldt</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17CBD8C0" w14:textId="77777777">
            <w:pPr>
              <w:pStyle w:val="TableParagraph"/>
              <w:spacing w:before="39" w:line="261" w:lineRule="exact"/>
              <w:ind w:right="62"/>
              <w:rPr>
                <w:rFonts w:ascii="Book Antiqua" w:hAnsi="Book Antiqua" w:cstheme="minorHAnsi"/>
                <w:sz w:val="24"/>
                <w:szCs w:val="24"/>
              </w:rPr>
            </w:pPr>
            <w:r w:rsidRPr="005476C6">
              <w:rPr>
                <w:rFonts w:ascii="Book Antiqua" w:hAnsi="Book Antiqua" w:cstheme="minorHAnsi"/>
                <w:sz w:val="24"/>
                <w:szCs w:val="24"/>
              </w:rPr>
              <w:t>$59,539,100.63</w:t>
            </w:r>
          </w:p>
        </w:tc>
      </w:tr>
      <w:tr w:rsidRPr="00B00C5A" w:rsidR="00A13D1F" w:rsidTr="00EA2353" w14:paraId="563F20F4"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7AD9DF1D" w14:textId="77777777">
            <w:pPr>
              <w:pStyle w:val="TableParagraph"/>
              <w:spacing w:before="39" w:line="261" w:lineRule="exact"/>
              <w:ind w:right="72"/>
              <w:rPr>
                <w:rFonts w:ascii="Book Antiqua" w:hAnsi="Book Antiqua" w:cstheme="minorHAnsi"/>
                <w:sz w:val="24"/>
                <w:szCs w:val="24"/>
              </w:rPr>
            </w:pPr>
            <w:r w:rsidRPr="005476C6">
              <w:rPr>
                <w:rFonts w:ascii="Book Antiqua" w:hAnsi="Book Antiqua" w:cstheme="minorHAnsi"/>
                <w:sz w:val="24"/>
                <w:szCs w:val="24"/>
              </w:rPr>
              <w:t>9</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13514C4F" w14:textId="77777777">
            <w:pPr>
              <w:pStyle w:val="TableParagraph"/>
              <w:spacing w:before="39" w:line="261" w:lineRule="exact"/>
              <w:ind w:right="68"/>
              <w:rPr>
                <w:rFonts w:ascii="Book Antiqua" w:hAnsi="Book Antiqua" w:cstheme="minorHAnsi"/>
                <w:sz w:val="24"/>
                <w:szCs w:val="24"/>
              </w:rPr>
            </w:pPr>
            <w:r w:rsidRPr="005476C6">
              <w:rPr>
                <w:rFonts w:ascii="Book Antiqua" w:hAnsi="Book Antiqua" w:cstheme="minorHAnsi"/>
                <w:sz w:val="24"/>
                <w:szCs w:val="24"/>
              </w:rPr>
              <w:t>1,517</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30E924FA" w14:textId="77777777">
            <w:pPr>
              <w:pStyle w:val="TableParagraph"/>
              <w:spacing w:before="39" w:line="261" w:lineRule="exact"/>
              <w:ind w:left="112"/>
              <w:jc w:val="left"/>
              <w:rPr>
                <w:rFonts w:ascii="Book Antiqua" w:hAnsi="Book Antiqua" w:cstheme="minorHAnsi"/>
                <w:sz w:val="24"/>
                <w:szCs w:val="24"/>
              </w:rPr>
            </w:pPr>
            <w:r w:rsidRPr="005476C6">
              <w:rPr>
                <w:rFonts w:ascii="Book Antiqua" w:hAnsi="Book Antiqua" w:cstheme="minorHAnsi"/>
                <w:sz w:val="24"/>
                <w:szCs w:val="24"/>
              </w:rPr>
              <w:t>Inyo</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7B3C6016" w14:textId="77777777">
            <w:pPr>
              <w:pStyle w:val="TableParagraph"/>
              <w:spacing w:before="39" w:line="261" w:lineRule="exact"/>
              <w:ind w:right="62"/>
              <w:rPr>
                <w:rFonts w:ascii="Book Antiqua" w:hAnsi="Book Antiqua" w:cstheme="minorHAnsi"/>
                <w:sz w:val="24"/>
                <w:szCs w:val="24"/>
              </w:rPr>
            </w:pPr>
            <w:r w:rsidRPr="005476C6">
              <w:rPr>
                <w:rFonts w:ascii="Book Antiqua" w:hAnsi="Book Antiqua" w:cstheme="minorHAnsi"/>
                <w:sz w:val="24"/>
                <w:szCs w:val="24"/>
              </w:rPr>
              <w:t>$13,221,784.32</w:t>
            </w:r>
          </w:p>
        </w:tc>
      </w:tr>
      <w:tr w:rsidRPr="00B00C5A" w:rsidR="00A13D1F" w:rsidTr="00EA2353" w14:paraId="70FE3AB2"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4EE01F4F" w14:textId="77777777">
            <w:pPr>
              <w:pStyle w:val="TableParagraph"/>
              <w:spacing w:before="39" w:line="261" w:lineRule="exact"/>
              <w:ind w:right="72"/>
              <w:rPr>
                <w:rFonts w:ascii="Book Antiqua" w:hAnsi="Book Antiqua" w:cstheme="minorHAnsi"/>
                <w:sz w:val="24"/>
                <w:szCs w:val="24"/>
              </w:rPr>
            </w:pPr>
            <w:r w:rsidRPr="005476C6">
              <w:rPr>
                <w:rFonts w:ascii="Book Antiqua" w:hAnsi="Book Antiqua" w:cstheme="minorHAnsi"/>
                <w:sz w:val="24"/>
                <w:szCs w:val="24"/>
              </w:rPr>
              <w:t>10</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071DFE68" w14:textId="77777777">
            <w:pPr>
              <w:pStyle w:val="TableParagraph"/>
              <w:spacing w:before="39" w:line="261" w:lineRule="exact"/>
              <w:ind w:right="68"/>
              <w:rPr>
                <w:rFonts w:ascii="Book Antiqua" w:hAnsi="Book Antiqua" w:cstheme="minorHAnsi"/>
                <w:sz w:val="24"/>
                <w:szCs w:val="24"/>
              </w:rPr>
            </w:pPr>
            <w:r w:rsidRPr="005476C6">
              <w:rPr>
                <w:rFonts w:ascii="Book Antiqua" w:hAnsi="Book Antiqua" w:cstheme="minorHAnsi"/>
                <w:sz w:val="24"/>
                <w:szCs w:val="24"/>
              </w:rPr>
              <w:t>6,031</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24B5940E" w14:textId="77777777">
            <w:pPr>
              <w:pStyle w:val="TableParagraph"/>
              <w:spacing w:before="39" w:line="261" w:lineRule="exact"/>
              <w:ind w:left="112"/>
              <w:jc w:val="left"/>
              <w:rPr>
                <w:rFonts w:ascii="Book Antiqua" w:hAnsi="Book Antiqua" w:cstheme="minorHAnsi"/>
                <w:sz w:val="24"/>
                <w:szCs w:val="24"/>
              </w:rPr>
            </w:pPr>
            <w:r w:rsidRPr="005476C6">
              <w:rPr>
                <w:rFonts w:ascii="Book Antiqua" w:hAnsi="Book Antiqua" w:cstheme="minorHAnsi"/>
                <w:sz w:val="24"/>
                <w:szCs w:val="24"/>
              </w:rPr>
              <w:t>Kings</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64FDA05F" w14:textId="77777777">
            <w:pPr>
              <w:pStyle w:val="TableParagraph"/>
              <w:spacing w:before="39" w:line="261" w:lineRule="exact"/>
              <w:ind w:right="62"/>
              <w:rPr>
                <w:rFonts w:ascii="Book Antiqua" w:hAnsi="Book Antiqua" w:cstheme="minorHAnsi"/>
                <w:sz w:val="24"/>
                <w:szCs w:val="24"/>
              </w:rPr>
            </w:pPr>
            <w:r w:rsidRPr="005476C6">
              <w:rPr>
                <w:rFonts w:ascii="Book Antiqua" w:hAnsi="Book Antiqua" w:cstheme="minorHAnsi"/>
                <w:sz w:val="24"/>
                <w:szCs w:val="24"/>
              </w:rPr>
              <w:t>$37,686,605.97</w:t>
            </w:r>
          </w:p>
        </w:tc>
      </w:tr>
      <w:tr w:rsidRPr="00B00C5A" w:rsidR="00A13D1F" w:rsidTr="00EA2353" w14:paraId="5AF586E6"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641EA4DD" w14:textId="77777777">
            <w:pPr>
              <w:pStyle w:val="TableParagraph"/>
              <w:spacing w:before="39" w:line="261" w:lineRule="exact"/>
              <w:ind w:right="72"/>
              <w:rPr>
                <w:rFonts w:ascii="Book Antiqua" w:hAnsi="Book Antiqua" w:cstheme="minorHAnsi"/>
                <w:sz w:val="24"/>
                <w:szCs w:val="24"/>
              </w:rPr>
            </w:pPr>
            <w:r w:rsidRPr="005476C6">
              <w:rPr>
                <w:rFonts w:ascii="Book Antiqua" w:hAnsi="Book Antiqua" w:cstheme="minorHAnsi"/>
                <w:sz w:val="24"/>
                <w:szCs w:val="24"/>
              </w:rPr>
              <w:t>11</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06A7A933" w14:textId="77777777">
            <w:pPr>
              <w:pStyle w:val="TableParagraph"/>
              <w:spacing w:before="39" w:line="261" w:lineRule="exact"/>
              <w:ind w:right="68"/>
              <w:rPr>
                <w:rFonts w:ascii="Book Antiqua" w:hAnsi="Book Antiqua" w:cstheme="minorHAnsi"/>
                <w:sz w:val="24"/>
                <w:szCs w:val="24"/>
              </w:rPr>
            </w:pPr>
            <w:r w:rsidRPr="005476C6">
              <w:rPr>
                <w:rFonts w:ascii="Book Antiqua" w:hAnsi="Book Antiqua" w:cstheme="minorHAnsi"/>
                <w:sz w:val="24"/>
                <w:szCs w:val="24"/>
              </w:rPr>
              <w:t>4,324</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6912C71E" w14:textId="77777777">
            <w:pPr>
              <w:pStyle w:val="TableParagraph"/>
              <w:spacing w:before="39" w:line="261" w:lineRule="exact"/>
              <w:ind w:left="112"/>
              <w:jc w:val="left"/>
              <w:rPr>
                <w:rFonts w:ascii="Book Antiqua" w:hAnsi="Book Antiqua" w:cstheme="minorHAnsi"/>
                <w:sz w:val="24"/>
                <w:szCs w:val="24"/>
              </w:rPr>
            </w:pPr>
            <w:r w:rsidRPr="005476C6">
              <w:rPr>
                <w:rFonts w:ascii="Book Antiqua" w:hAnsi="Book Antiqua" w:cstheme="minorHAnsi"/>
                <w:sz w:val="24"/>
                <w:szCs w:val="24"/>
              </w:rPr>
              <w:t>Lake</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106DAF94" w14:textId="77777777">
            <w:pPr>
              <w:pStyle w:val="TableParagraph"/>
              <w:spacing w:before="39" w:line="261" w:lineRule="exact"/>
              <w:ind w:right="62"/>
              <w:rPr>
                <w:rFonts w:ascii="Book Antiqua" w:hAnsi="Book Antiqua" w:cstheme="minorHAnsi"/>
                <w:sz w:val="24"/>
                <w:szCs w:val="24"/>
              </w:rPr>
            </w:pPr>
            <w:r w:rsidRPr="005476C6">
              <w:rPr>
                <w:rFonts w:ascii="Book Antiqua" w:hAnsi="Book Antiqua" w:cstheme="minorHAnsi"/>
                <w:sz w:val="24"/>
                <w:szCs w:val="24"/>
              </w:rPr>
              <w:t>$28,435,066.19</w:t>
            </w:r>
          </w:p>
        </w:tc>
      </w:tr>
      <w:tr w:rsidRPr="00B00C5A" w:rsidR="00A13D1F" w:rsidTr="00EA2353" w14:paraId="7F912E1A"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1844FFFF" w14:textId="77777777">
            <w:pPr>
              <w:pStyle w:val="TableParagraph"/>
              <w:spacing w:before="39" w:line="261" w:lineRule="exact"/>
              <w:ind w:right="72"/>
              <w:rPr>
                <w:rFonts w:ascii="Book Antiqua" w:hAnsi="Book Antiqua" w:cstheme="minorHAnsi"/>
                <w:sz w:val="24"/>
                <w:szCs w:val="24"/>
              </w:rPr>
            </w:pPr>
            <w:r w:rsidRPr="005476C6">
              <w:rPr>
                <w:rFonts w:ascii="Book Antiqua" w:hAnsi="Book Antiqua" w:cstheme="minorHAnsi"/>
                <w:sz w:val="24"/>
                <w:szCs w:val="24"/>
              </w:rPr>
              <w:t>12</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2A1D9655" w14:textId="77777777">
            <w:pPr>
              <w:pStyle w:val="TableParagraph"/>
              <w:spacing w:before="39" w:line="261" w:lineRule="exact"/>
              <w:ind w:right="68"/>
              <w:rPr>
                <w:rFonts w:ascii="Book Antiqua" w:hAnsi="Book Antiqua" w:cstheme="minorHAnsi"/>
                <w:sz w:val="24"/>
                <w:szCs w:val="24"/>
              </w:rPr>
            </w:pPr>
            <w:r w:rsidRPr="005476C6">
              <w:rPr>
                <w:rFonts w:ascii="Book Antiqua" w:hAnsi="Book Antiqua" w:cstheme="minorHAnsi"/>
                <w:sz w:val="24"/>
                <w:szCs w:val="24"/>
              </w:rPr>
              <w:t>3,673</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4C1CF34D" w14:textId="77777777">
            <w:pPr>
              <w:pStyle w:val="TableParagraph"/>
              <w:spacing w:before="39" w:line="261" w:lineRule="exact"/>
              <w:ind w:left="112"/>
              <w:jc w:val="left"/>
              <w:rPr>
                <w:rFonts w:ascii="Book Antiqua" w:hAnsi="Book Antiqua" w:cstheme="minorHAnsi"/>
                <w:sz w:val="24"/>
                <w:szCs w:val="24"/>
              </w:rPr>
            </w:pPr>
            <w:r w:rsidRPr="005476C6">
              <w:rPr>
                <w:rFonts w:ascii="Book Antiqua" w:hAnsi="Book Antiqua" w:cstheme="minorHAnsi"/>
                <w:sz w:val="24"/>
                <w:szCs w:val="24"/>
              </w:rPr>
              <w:t>Lassen</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0DAEA233" w14:textId="77777777">
            <w:pPr>
              <w:pStyle w:val="TableParagraph"/>
              <w:spacing w:before="39" w:line="261" w:lineRule="exact"/>
              <w:ind w:right="62"/>
              <w:rPr>
                <w:rFonts w:ascii="Book Antiqua" w:hAnsi="Book Antiqua" w:cstheme="minorHAnsi"/>
                <w:sz w:val="24"/>
                <w:szCs w:val="24"/>
              </w:rPr>
            </w:pPr>
            <w:r w:rsidRPr="005476C6">
              <w:rPr>
                <w:rFonts w:ascii="Book Antiqua" w:hAnsi="Book Antiqua" w:cstheme="minorHAnsi"/>
                <w:sz w:val="24"/>
                <w:szCs w:val="24"/>
              </w:rPr>
              <w:t>$24,906,798.83</w:t>
            </w:r>
          </w:p>
        </w:tc>
      </w:tr>
      <w:tr w:rsidRPr="00B00C5A" w:rsidR="00A13D1F" w:rsidTr="00EA2353" w14:paraId="15476F18" w14:textId="77777777">
        <w:trPr>
          <w:trHeight w:val="315"/>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7FA2A8C2" w14:textId="77777777">
            <w:pPr>
              <w:pStyle w:val="TableParagraph"/>
              <w:spacing w:before="39"/>
              <w:ind w:right="72"/>
              <w:rPr>
                <w:rFonts w:ascii="Book Antiqua" w:hAnsi="Book Antiqua" w:cstheme="minorHAnsi"/>
                <w:sz w:val="24"/>
                <w:szCs w:val="24"/>
              </w:rPr>
            </w:pPr>
            <w:r w:rsidRPr="005476C6">
              <w:rPr>
                <w:rFonts w:ascii="Book Antiqua" w:hAnsi="Book Antiqua" w:cstheme="minorHAnsi"/>
                <w:sz w:val="24"/>
                <w:szCs w:val="24"/>
              </w:rPr>
              <w:t>13</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1E310A7F" w14:textId="77777777">
            <w:pPr>
              <w:pStyle w:val="TableParagraph"/>
              <w:spacing w:before="39"/>
              <w:ind w:right="68"/>
              <w:rPr>
                <w:rFonts w:ascii="Book Antiqua" w:hAnsi="Book Antiqua" w:cstheme="minorHAnsi"/>
                <w:sz w:val="24"/>
                <w:szCs w:val="24"/>
              </w:rPr>
            </w:pPr>
            <w:r w:rsidRPr="005476C6">
              <w:rPr>
                <w:rFonts w:ascii="Book Antiqua" w:hAnsi="Book Antiqua" w:cstheme="minorHAnsi"/>
                <w:sz w:val="24"/>
                <w:szCs w:val="24"/>
              </w:rPr>
              <w:t>11,362</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5A6C72E4" w14:textId="77777777">
            <w:pPr>
              <w:pStyle w:val="TableParagraph"/>
              <w:spacing w:before="39"/>
              <w:ind w:left="112"/>
              <w:jc w:val="left"/>
              <w:rPr>
                <w:rFonts w:ascii="Book Antiqua" w:hAnsi="Book Antiqua" w:cstheme="minorHAnsi"/>
                <w:sz w:val="24"/>
                <w:szCs w:val="24"/>
              </w:rPr>
            </w:pPr>
            <w:r w:rsidRPr="005476C6">
              <w:rPr>
                <w:rFonts w:ascii="Book Antiqua" w:hAnsi="Book Antiqua" w:cstheme="minorHAnsi"/>
                <w:sz w:val="24"/>
                <w:szCs w:val="24"/>
              </w:rPr>
              <w:t>Madera</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0D807CFB" w14:textId="77777777">
            <w:pPr>
              <w:pStyle w:val="TableParagraph"/>
              <w:spacing w:before="39"/>
              <w:ind w:right="62"/>
              <w:rPr>
                <w:rFonts w:ascii="Book Antiqua" w:hAnsi="Book Antiqua" w:cstheme="minorHAnsi"/>
                <w:sz w:val="24"/>
                <w:szCs w:val="24"/>
              </w:rPr>
            </w:pPr>
            <w:r w:rsidRPr="005476C6">
              <w:rPr>
                <w:rFonts w:ascii="Book Antiqua" w:hAnsi="Book Antiqua" w:cstheme="minorHAnsi"/>
                <w:sz w:val="24"/>
                <w:szCs w:val="24"/>
              </w:rPr>
              <w:t>$66,579,376.07</w:t>
            </w:r>
          </w:p>
        </w:tc>
      </w:tr>
      <w:tr w:rsidRPr="00B00C5A" w:rsidR="00A13D1F" w:rsidTr="00EA2353" w14:paraId="5CE18E7C"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707DB140" w14:textId="77777777">
            <w:pPr>
              <w:pStyle w:val="TableParagraph"/>
              <w:spacing w:before="44"/>
              <w:ind w:right="72"/>
              <w:rPr>
                <w:rFonts w:ascii="Book Antiqua" w:hAnsi="Book Antiqua" w:cstheme="minorHAnsi"/>
                <w:sz w:val="24"/>
                <w:szCs w:val="24"/>
              </w:rPr>
            </w:pPr>
            <w:r w:rsidRPr="005476C6">
              <w:rPr>
                <w:rFonts w:ascii="Book Antiqua" w:hAnsi="Book Antiqua" w:cstheme="minorHAnsi"/>
                <w:sz w:val="24"/>
                <w:szCs w:val="24"/>
              </w:rPr>
              <w:t>14</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2105D3AC" w14:textId="77777777">
            <w:pPr>
              <w:pStyle w:val="TableParagraph"/>
              <w:spacing w:before="44"/>
              <w:ind w:right="68"/>
              <w:rPr>
                <w:rFonts w:ascii="Book Antiqua" w:hAnsi="Book Antiqua" w:cstheme="minorHAnsi"/>
                <w:sz w:val="24"/>
                <w:szCs w:val="24"/>
              </w:rPr>
            </w:pPr>
            <w:r w:rsidRPr="005476C6">
              <w:rPr>
                <w:rFonts w:ascii="Book Antiqua" w:hAnsi="Book Antiqua" w:cstheme="minorHAnsi"/>
                <w:sz w:val="24"/>
                <w:szCs w:val="24"/>
              </w:rPr>
              <w:t>6,613</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779624DA" w14:textId="77777777">
            <w:pPr>
              <w:pStyle w:val="TableParagraph"/>
              <w:spacing w:before="44"/>
              <w:ind w:left="112"/>
              <w:jc w:val="left"/>
              <w:rPr>
                <w:rFonts w:ascii="Book Antiqua" w:hAnsi="Book Antiqua" w:cstheme="minorHAnsi"/>
                <w:sz w:val="24"/>
                <w:szCs w:val="24"/>
              </w:rPr>
            </w:pPr>
            <w:r w:rsidRPr="005476C6">
              <w:rPr>
                <w:rFonts w:ascii="Book Antiqua" w:hAnsi="Book Antiqua" w:cstheme="minorHAnsi"/>
                <w:sz w:val="24"/>
                <w:szCs w:val="24"/>
              </w:rPr>
              <w:t>Mariposa</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5610C850" w14:textId="77777777">
            <w:pPr>
              <w:pStyle w:val="TableParagraph"/>
              <w:spacing w:before="44"/>
              <w:ind w:right="62"/>
              <w:rPr>
                <w:rFonts w:ascii="Book Antiqua" w:hAnsi="Book Antiqua" w:cstheme="minorHAnsi"/>
                <w:sz w:val="24"/>
                <w:szCs w:val="24"/>
              </w:rPr>
            </w:pPr>
            <w:r w:rsidRPr="005476C6">
              <w:rPr>
                <w:rFonts w:ascii="Book Antiqua" w:hAnsi="Book Antiqua" w:cstheme="minorHAnsi"/>
                <w:sz w:val="24"/>
                <w:szCs w:val="24"/>
              </w:rPr>
              <w:t>$40,840,909.52</w:t>
            </w:r>
          </w:p>
        </w:tc>
      </w:tr>
      <w:tr w:rsidRPr="00B00C5A" w:rsidR="00A13D1F" w:rsidTr="00EA2353" w14:paraId="2E68717A"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54241AB0" w14:textId="77777777">
            <w:pPr>
              <w:pStyle w:val="TableParagraph"/>
              <w:spacing w:before="44"/>
              <w:ind w:right="72"/>
              <w:rPr>
                <w:rFonts w:ascii="Book Antiqua" w:hAnsi="Book Antiqua" w:cstheme="minorHAnsi"/>
                <w:sz w:val="24"/>
                <w:szCs w:val="24"/>
              </w:rPr>
            </w:pPr>
            <w:r w:rsidRPr="005476C6">
              <w:rPr>
                <w:rFonts w:ascii="Book Antiqua" w:hAnsi="Book Antiqua" w:cstheme="minorHAnsi"/>
                <w:sz w:val="24"/>
                <w:szCs w:val="24"/>
              </w:rPr>
              <w:t>15</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0820C482" w14:textId="77777777">
            <w:pPr>
              <w:pStyle w:val="TableParagraph"/>
              <w:spacing w:before="44"/>
              <w:ind w:right="68"/>
              <w:rPr>
                <w:rFonts w:ascii="Book Antiqua" w:hAnsi="Book Antiqua" w:cstheme="minorHAnsi"/>
                <w:sz w:val="24"/>
                <w:szCs w:val="24"/>
              </w:rPr>
            </w:pPr>
            <w:r w:rsidRPr="005476C6">
              <w:rPr>
                <w:rFonts w:ascii="Book Antiqua" w:hAnsi="Book Antiqua" w:cstheme="minorHAnsi"/>
                <w:sz w:val="24"/>
                <w:szCs w:val="24"/>
              </w:rPr>
              <w:t>9,674</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6C1F5849" w14:textId="77777777">
            <w:pPr>
              <w:pStyle w:val="TableParagraph"/>
              <w:spacing w:before="44"/>
              <w:ind w:left="112"/>
              <w:jc w:val="left"/>
              <w:rPr>
                <w:rFonts w:ascii="Book Antiqua" w:hAnsi="Book Antiqua" w:cstheme="minorHAnsi"/>
                <w:sz w:val="24"/>
                <w:szCs w:val="24"/>
              </w:rPr>
            </w:pPr>
            <w:r w:rsidRPr="005476C6">
              <w:rPr>
                <w:rFonts w:ascii="Book Antiqua" w:hAnsi="Book Antiqua" w:cstheme="minorHAnsi"/>
                <w:sz w:val="24"/>
                <w:szCs w:val="24"/>
              </w:rPr>
              <w:t>Mendocino</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098AD70B" w14:textId="77777777">
            <w:pPr>
              <w:pStyle w:val="TableParagraph"/>
              <w:spacing w:before="44"/>
              <w:ind w:right="62"/>
              <w:rPr>
                <w:rFonts w:ascii="Book Antiqua" w:hAnsi="Book Antiqua" w:cstheme="minorHAnsi"/>
                <w:sz w:val="24"/>
                <w:szCs w:val="24"/>
              </w:rPr>
            </w:pPr>
            <w:r w:rsidRPr="005476C6">
              <w:rPr>
                <w:rFonts w:ascii="Book Antiqua" w:hAnsi="Book Antiqua" w:cstheme="minorHAnsi"/>
                <w:sz w:val="24"/>
                <w:szCs w:val="24"/>
              </w:rPr>
              <w:t>$57,430,811.83</w:t>
            </w:r>
          </w:p>
        </w:tc>
      </w:tr>
      <w:tr w:rsidRPr="00B00C5A" w:rsidR="00A13D1F" w:rsidTr="00EA2353" w14:paraId="0B257A88"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77D61CCC" w14:textId="77777777">
            <w:pPr>
              <w:pStyle w:val="TableParagraph"/>
              <w:spacing w:before="44"/>
              <w:ind w:right="72"/>
              <w:rPr>
                <w:rFonts w:ascii="Book Antiqua" w:hAnsi="Book Antiqua" w:cstheme="minorHAnsi"/>
                <w:sz w:val="24"/>
                <w:szCs w:val="24"/>
              </w:rPr>
            </w:pPr>
            <w:r w:rsidRPr="005476C6">
              <w:rPr>
                <w:rFonts w:ascii="Book Antiqua" w:hAnsi="Book Antiqua" w:cstheme="minorHAnsi"/>
                <w:sz w:val="24"/>
                <w:szCs w:val="24"/>
              </w:rPr>
              <w:t>16</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6C1BC940" w14:textId="77777777">
            <w:pPr>
              <w:pStyle w:val="TableParagraph"/>
              <w:spacing w:before="44"/>
              <w:ind w:right="68"/>
              <w:rPr>
                <w:rFonts w:ascii="Book Antiqua" w:hAnsi="Book Antiqua" w:cstheme="minorHAnsi"/>
                <w:sz w:val="24"/>
                <w:szCs w:val="24"/>
              </w:rPr>
            </w:pPr>
            <w:r w:rsidRPr="005476C6">
              <w:rPr>
                <w:rFonts w:ascii="Book Antiqua" w:hAnsi="Book Antiqua" w:cstheme="minorHAnsi"/>
                <w:sz w:val="24"/>
                <w:szCs w:val="24"/>
              </w:rPr>
              <w:t>3,493</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010481EF" w14:textId="77777777">
            <w:pPr>
              <w:pStyle w:val="TableParagraph"/>
              <w:spacing w:before="44"/>
              <w:ind w:left="112"/>
              <w:jc w:val="left"/>
              <w:rPr>
                <w:rFonts w:ascii="Book Antiqua" w:hAnsi="Book Antiqua" w:cstheme="minorHAnsi"/>
                <w:sz w:val="24"/>
                <w:szCs w:val="24"/>
              </w:rPr>
            </w:pPr>
            <w:r w:rsidRPr="005476C6">
              <w:rPr>
                <w:rFonts w:ascii="Book Antiqua" w:hAnsi="Book Antiqua" w:cstheme="minorHAnsi"/>
                <w:sz w:val="24"/>
                <w:szCs w:val="24"/>
              </w:rPr>
              <w:t>Modoc</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24F94DAC" w14:textId="77777777">
            <w:pPr>
              <w:pStyle w:val="TableParagraph"/>
              <w:spacing w:before="44"/>
              <w:ind w:right="62"/>
              <w:rPr>
                <w:rFonts w:ascii="Book Antiqua" w:hAnsi="Book Antiqua" w:cstheme="minorHAnsi"/>
                <w:sz w:val="24"/>
                <w:szCs w:val="24"/>
              </w:rPr>
            </w:pPr>
            <w:r w:rsidRPr="005476C6">
              <w:rPr>
                <w:rFonts w:ascii="Book Antiqua" w:hAnsi="Book Antiqua" w:cstheme="minorHAnsi"/>
                <w:sz w:val="24"/>
                <w:szCs w:val="24"/>
              </w:rPr>
              <w:t>$23,931,241.03</w:t>
            </w:r>
          </w:p>
        </w:tc>
      </w:tr>
      <w:tr w:rsidRPr="00B00C5A" w:rsidR="00A13D1F" w:rsidTr="00EA2353" w14:paraId="1B4E5E7F"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37DA777B" w14:textId="77777777">
            <w:pPr>
              <w:pStyle w:val="TableParagraph"/>
              <w:spacing w:before="44"/>
              <w:ind w:right="72"/>
              <w:rPr>
                <w:rFonts w:ascii="Book Antiqua" w:hAnsi="Book Antiqua" w:cstheme="minorHAnsi"/>
                <w:sz w:val="24"/>
                <w:szCs w:val="24"/>
              </w:rPr>
            </w:pPr>
            <w:r w:rsidRPr="005476C6">
              <w:rPr>
                <w:rFonts w:ascii="Book Antiqua" w:hAnsi="Book Antiqua" w:cstheme="minorHAnsi"/>
                <w:sz w:val="24"/>
                <w:szCs w:val="24"/>
              </w:rPr>
              <w:t>17</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53267120" w14:textId="77777777">
            <w:pPr>
              <w:pStyle w:val="TableParagraph"/>
              <w:spacing w:before="44"/>
              <w:ind w:right="68"/>
              <w:rPr>
                <w:rFonts w:ascii="Book Antiqua" w:hAnsi="Book Antiqua" w:cstheme="minorHAnsi"/>
                <w:sz w:val="24"/>
                <w:szCs w:val="24"/>
              </w:rPr>
            </w:pPr>
            <w:r w:rsidRPr="005476C6">
              <w:rPr>
                <w:rFonts w:ascii="Book Antiqua" w:hAnsi="Book Antiqua" w:cstheme="minorHAnsi"/>
                <w:sz w:val="24"/>
                <w:szCs w:val="24"/>
              </w:rPr>
              <w:t>1,033</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04CECD11" w14:textId="77777777">
            <w:pPr>
              <w:pStyle w:val="TableParagraph"/>
              <w:spacing w:before="44"/>
              <w:ind w:left="112"/>
              <w:jc w:val="left"/>
              <w:rPr>
                <w:rFonts w:ascii="Book Antiqua" w:hAnsi="Book Antiqua" w:cstheme="minorHAnsi"/>
                <w:sz w:val="24"/>
                <w:szCs w:val="24"/>
              </w:rPr>
            </w:pPr>
            <w:r w:rsidRPr="005476C6">
              <w:rPr>
                <w:rFonts w:ascii="Book Antiqua" w:hAnsi="Book Antiqua" w:cstheme="minorHAnsi"/>
                <w:sz w:val="24"/>
                <w:szCs w:val="24"/>
              </w:rPr>
              <w:t>Mono</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0C9DC2FF" w14:textId="77777777">
            <w:pPr>
              <w:pStyle w:val="TableParagraph"/>
              <w:spacing w:before="44"/>
              <w:ind w:right="62"/>
              <w:rPr>
                <w:rFonts w:ascii="Book Antiqua" w:hAnsi="Book Antiqua" w:cstheme="minorHAnsi"/>
                <w:sz w:val="24"/>
                <w:szCs w:val="24"/>
              </w:rPr>
            </w:pPr>
            <w:r w:rsidRPr="005476C6">
              <w:rPr>
                <w:rFonts w:ascii="Book Antiqua" w:hAnsi="Book Antiqua" w:cstheme="minorHAnsi"/>
                <w:sz w:val="24"/>
                <w:szCs w:val="24"/>
              </w:rPr>
              <w:t>$10,598,617.80</w:t>
            </w:r>
          </w:p>
        </w:tc>
      </w:tr>
      <w:tr w:rsidRPr="00B00C5A" w:rsidR="00A13D1F" w:rsidTr="00EA2353" w14:paraId="693455DE"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288BE7E8" w14:textId="77777777">
            <w:pPr>
              <w:pStyle w:val="TableParagraph"/>
              <w:spacing w:before="44"/>
              <w:ind w:right="72"/>
              <w:rPr>
                <w:rFonts w:ascii="Book Antiqua" w:hAnsi="Book Antiqua" w:cstheme="minorHAnsi"/>
                <w:sz w:val="24"/>
                <w:szCs w:val="24"/>
              </w:rPr>
            </w:pPr>
            <w:r w:rsidRPr="005476C6">
              <w:rPr>
                <w:rFonts w:ascii="Book Antiqua" w:hAnsi="Book Antiqua" w:cstheme="minorHAnsi"/>
                <w:sz w:val="24"/>
                <w:szCs w:val="24"/>
              </w:rPr>
              <w:lastRenderedPageBreak/>
              <w:t>18</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1A4C8AD9" w14:textId="77777777">
            <w:pPr>
              <w:pStyle w:val="TableParagraph"/>
              <w:spacing w:before="44"/>
              <w:ind w:right="68"/>
              <w:rPr>
                <w:rFonts w:ascii="Book Antiqua" w:hAnsi="Book Antiqua" w:cstheme="minorHAnsi"/>
                <w:sz w:val="24"/>
                <w:szCs w:val="24"/>
              </w:rPr>
            </w:pPr>
            <w:r w:rsidRPr="005476C6">
              <w:rPr>
                <w:rFonts w:ascii="Book Antiqua" w:hAnsi="Book Antiqua" w:cstheme="minorHAnsi"/>
                <w:sz w:val="24"/>
                <w:szCs w:val="24"/>
              </w:rPr>
              <w:t>12,891</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057758F7" w14:textId="77777777">
            <w:pPr>
              <w:pStyle w:val="TableParagraph"/>
              <w:spacing w:before="44"/>
              <w:ind w:left="112"/>
              <w:jc w:val="left"/>
              <w:rPr>
                <w:rFonts w:ascii="Book Antiqua" w:hAnsi="Book Antiqua" w:cstheme="minorHAnsi"/>
                <w:sz w:val="24"/>
                <w:szCs w:val="24"/>
              </w:rPr>
            </w:pPr>
            <w:r w:rsidRPr="005476C6">
              <w:rPr>
                <w:rFonts w:ascii="Book Antiqua" w:hAnsi="Book Antiqua" w:cstheme="minorHAnsi"/>
                <w:sz w:val="24"/>
                <w:szCs w:val="24"/>
              </w:rPr>
              <w:t>Nevada</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4E9C9CB3" w14:textId="77777777">
            <w:pPr>
              <w:pStyle w:val="TableParagraph"/>
              <w:spacing w:before="44"/>
              <w:ind w:right="62"/>
              <w:rPr>
                <w:rFonts w:ascii="Book Antiqua" w:hAnsi="Book Antiqua" w:cstheme="minorHAnsi"/>
                <w:sz w:val="24"/>
                <w:szCs w:val="24"/>
              </w:rPr>
            </w:pPr>
            <w:r w:rsidRPr="005476C6">
              <w:rPr>
                <w:rFonts w:ascii="Book Antiqua" w:hAnsi="Book Antiqua" w:cstheme="minorHAnsi"/>
                <w:sz w:val="24"/>
                <w:szCs w:val="24"/>
              </w:rPr>
              <w:t>$74,866,197.58</w:t>
            </w:r>
          </w:p>
        </w:tc>
      </w:tr>
      <w:tr w:rsidRPr="00B00C5A" w:rsidR="00A13D1F" w:rsidTr="00EA2353" w14:paraId="28FECE59"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17CF137F" w14:textId="77777777">
            <w:pPr>
              <w:pStyle w:val="TableParagraph"/>
              <w:spacing w:before="39" w:line="261" w:lineRule="exact"/>
              <w:ind w:right="72"/>
              <w:rPr>
                <w:rFonts w:ascii="Book Antiqua" w:hAnsi="Book Antiqua" w:cstheme="minorHAnsi"/>
                <w:sz w:val="24"/>
                <w:szCs w:val="24"/>
              </w:rPr>
            </w:pPr>
            <w:r w:rsidRPr="005476C6">
              <w:rPr>
                <w:rFonts w:ascii="Book Antiqua" w:hAnsi="Book Antiqua" w:cstheme="minorHAnsi"/>
                <w:sz w:val="24"/>
                <w:szCs w:val="24"/>
              </w:rPr>
              <w:t>19</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7E2BAD8C" w14:textId="77777777">
            <w:pPr>
              <w:pStyle w:val="TableParagraph"/>
              <w:spacing w:before="39" w:line="261" w:lineRule="exact"/>
              <w:ind w:right="68"/>
              <w:rPr>
                <w:rFonts w:ascii="Book Antiqua" w:hAnsi="Book Antiqua" w:cstheme="minorHAnsi"/>
                <w:sz w:val="24"/>
                <w:szCs w:val="24"/>
              </w:rPr>
            </w:pPr>
            <w:r w:rsidRPr="005476C6">
              <w:rPr>
                <w:rFonts w:ascii="Book Antiqua" w:hAnsi="Book Antiqua" w:cstheme="minorHAnsi"/>
                <w:sz w:val="24"/>
                <w:szCs w:val="24"/>
              </w:rPr>
              <w:t>6,879</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6CADDFD3" w14:textId="77777777">
            <w:pPr>
              <w:pStyle w:val="TableParagraph"/>
              <w:spacing w:before="39" w:line="261" w:lineRule="exact"/>
              <w:ind w:left="112"/>
              <w:jc w:val="left"/>
              <w:rPr>
                <w:rFonts w:ascii="Book Antiqua" w:hAnsi="Book Antiqua" w:cstheme="minorHAnsi"/>
                <w:sz w:val="24"/>
                <w:szCs w:val="24"/>
              </w:rPr>
            </w:pPr>
            <w:r w:rsidRPr="005476C6">
              <w:rPr>
                <w:rFonts w:ascii="Book Antiqua" w:hAnsi="Book Antiqua" w:cstheme="minorHAnsi"/>
                <w:sz w:val="24"/>
                <w:szCs w:val="24"/>
              </w:rPr>
              <w:t>Plumas</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6570872E" w14:textId="77777777">
            <w:pPr>
              <w:pStyle w:val="TableParagraph"/>
              <w:spacing w:before="39" w:line="261" w:lineRule="exact"/>
              <w:ind w:right="62"/>
              <w:rPr>
                <w:rFonts w:ascii="Book Antiqua" w:hAnsi="Book Antiqua" w:cstheme="minorHAnsi"/>
                <w:sz w:val="24"/>
                <w:szCs w:val="24"/>
              </w:rPr>
            </w:pPr>
            <w:r w:rsidRPr="005476C6">
              <w:rPr>
                <w:rFonts w:ascii="Book Antiqua" w:hAnsi="Book Antiqua" w:cstheme="minorHAnsi"/>
                <w:sz w:val="24"/>
                <w:szCs w:val="24"/>
              </w:rPr>
              <w:t>$42,282,567.15</w:t>
            </w:r>
          </w:p>
        </w:tc>
      </w:tr>
      <w:tr w:rsidRPr="00B00C5A" w:rsidR="00A13D1F" w:rsidTr="00EA2353" w14:paraId="51A6D28D"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523EEF9E" w14:textId="77777777">
            <w:pPr>
              <w:pStyle w:val="TableParagraph"/>
              <w:spacing w:before="39" w:line="261" w:lineRule="exact"/>
              <w:ind w:right="72"/>
              <w:rPr>
                <w:rFonts w:ascii="Book Antiqua" w:hAnsi="Book Antiqua" w:cstheme="minorHAnsi"/>
                <w:sz w:val="24"/>
                <w:szCs w:val="24"/>
              </w:rPr>
            </w:pPr>
            <w:r w:rsidRPr="005476C6">
              <w:rPr>
                <w:rFonts w:ascii="Book Antiqua" w:hAnsi="Book Antiqua" w:cstheme="minorHAnsi"/>
                <w:sz w:val="24"/>
                <w:szCs w:val="24"/>
              </w:rPr>
              <w:t>20</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537B5E95" w14:textId="77777777">
            <w:pPr>
              <w:pStyle w:val="TableParagraph"/>
              <w:spacing w:before="39" w:line="261" w:lineRule="exact"/>
              <w:ind w:right="68"/>
              <w:rPr>
                <w:rFonts w:ascii="Book Antiqua" w:hAnsi="Book Antiqua" w:cstheme="minorHAnsi"/>
                <w:sz w:val="24"/>
                <w:szCs w:val="24"/>
              </w:rPr>
            </w:pPr>
            <w:r w:rsidRPr="005476C6">
              <w:rPr>
                <w:rFonts w:ascii="Book Antiqua" w:hAnsi="Book Antiqua" w:cstheme="minorHAnsi"/>
                <w:sz w:val="24"/>
                <w:szCs w:val="24"/>
              </w:rPr>
              <w:t>1,003</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3EE86055" w14:textId="77777777">
            <w:pPr>
              <w:pStyle w:val="TableParagraph"/>
              <w:spacing w:before="39" w:line="261" w:lineRule="exact"/>
              <w:ind w:left="112"/>
              <w:jc w:val="left"/>
              <w:rPr>
                <w:rFonts w:ascii="Book Antiqua" w:hAnsi="Book Antiqua" w:cstheme="minorHAnsi"/>
                <w:sz w:val="24"/>
                <w:szCs w:val="24"/>
              </w:rPr>
            </w:pPr>
            <w:r w:rsidRPr="005476C6">
              <w:rPr>
                <w:rFonts w:ascii="Book Antiqua" w:hAnsi="Book Antiqua" w:cstheme="minorHAnsi"/>
                <w:sz w:val="24"/>
                <w:szCs w:val="24"/>
              </w:rPr>
              <w:t>San Benito</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73C46D6D" w14:textId="77777777">
            <w:pPr>
              <w:pStyle w:val="TableParagraph"/>
              <w:spacing w:before="39" w:line="261" w:lineRule="exact"/>
              <w:ind w:right="62"/>
              <w:rPr>
                <w:rFonts w:ascii="Book Antiqua" w:hAnsi="Book Antiqua" w:cstheme="minorHAnsi"/>
                <w:sz w:val="24"/>
                <w:szCs w:val="24"/>
              </w:rPr>
            </w:pPr>
            <w:r w:rsidRPr="005476C6">
              <w:rPr>
                <w:rFonts w:ascii="Book Antiqua" w:hAnsi="Book Antiqua" w:cstheme="minorHAnsi"/>
                <w:sz w:val="24"/>
                <w:szCs w:val="24"/>
              </w:rPr>
              <w:t>$10,436,024.84</w:t>
            </w:r>
          </w:p>
        </w:tc>
      </w:tr>
      <w:tr w:rsidRPr="00B00C5A" w:rsidR="00A13D1F" w:rsidTr="00EA2353" w14:paraId="57479BAB"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07E8510E" w14:textId="77777777">
            <w:pPr>
              <w:pStyle w:val="TableParagraph"/>
              <w:spacing w:before="39" w:line="261" w:lineRule="exact"/>
              <w:ind w:right="72"/>
              <w:rPr>
                <w:rFonts w:ascii="Book Antiqua" w:hAnsi="Book Antiqua" w:cstheme="minorHAnsi"/>
                <w:sz w:val="24"/>
                <w:szCs w:val="24"/>
              </w:rPr>
            </w:pPr>
            <w:r w:rsidRPr="005476C6">
              <w:rPr>
                <w:rFonts w:ascii="Book Antiqua" w:hAnsi="Book Antiqua" w:cstheme="minorHAnsi"/>
                <w:sz w:val="24"/>
                <w:szCs w:val="24"/>
              </w:rPr>
              <w:t>21</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767A33CA" w14:textId="77777777">
            <w:pPr>
              <w:pStyle w:val="TableParagraph"/>
              <w:spacing w:before="39" w:line="261" w:lineRule="exact"/>
              <w:ind w:right="68"/>
              <w:rPr>
                <w:rFonts w:ascii="Book Antiqua" w:hAnsi="Book Antiqua" w:cstheme="minorHAnsi"/>
                <w:sz w:val="24"/>
                <w:szCs w:val="24"/>
              </w:rPr>
            </w:pPr>
            <w:r w:rsidRPr="005476C6">
              <w:rPr>
                <w:rFonts w:ascii="Book Antiqua" w:hAnsi="Book Antiqua" w:cstheme="minorHAnsi"/>
                <w:sz w:val="24"/>
                <w:szCs w:val="24"/>
              </w:rPr>
              <w:t>1,385</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4921C4F1" w14:textId="77777777">
            <w:pPr>
              <w:pStyle w:val="TableParagraph"/>
              <w:spacing w:before="39" w:line="261" w:lineRule="exact"/>
              <w:ind w:left="112"/>
              <w:jc w:val="left"/>
              <w:rPr>
                <w:rFonts w:ascii="Book Antiqua" w:hAnsi="Book Antiqua" w:cstheme="minorHAnsi"/>
                <w:sz w:val="24"/>
                <w:szCs w:val="24"/>
              </w:rPr>
            </w:pPr>
            <w:r w:rsidRPr="005476C6">
              <w:rPr>
                <w:rFonts w:ascii="Book Antiqua" w:hAnsi="Book Antiqua" w:cstheme="minorHAnsi"/>
                <w:sz w:val="24"/>
                <w:szCs w:val="24"/>
              </w:rPr>
              <w:t>Sierra</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2F8D356E" w14:textId="77777777">
            <w:pPr>
              <w:pStyle w:val="TableParagraph"/>
              <w:spacing w:before="39" w:line="261" w:lineRule="exact"/>
              <w:ind w:right="62"/>
              <w:rPr>
                <w:rFonts w:ascii="Book Antiqua" w:hAnsi="Book Antiqua" w:cstheme="minorHAnsi"/>
                <w:sz w:val="24"/>
                <w:szCs w:val="24"/>
              </w:rPr>
            </w:pPr>
            <w:r w:rsidRPr="005476C6">
              <w:rPr>
                <w:rFonts w:ascii="Book Antiqua" w:hAnsi="Book Antiqua" w:cstheme="minorHAnsi"/>
                <w:sz w:val="24"/>
                <w:szCs w:val="24"/>
              </w:rPr>
              <w:t>$12,506,375.27</w:t>
            </w:r>
          </w:p>
        </w:tc>
      </w:tr>
      <w:tr w:rsidRPr="00B00C5A" w:rsidR="00A13D1F" w:rsidTr="00EA2353" w14:paraId="083AED7E"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712BDFBC" w14:textId="77777777">
            <w:pPr>
              <w:pStyle w:val="TableParagraph"/>
              <w:spacing w:before="39" w:line="261" w:lineRule="exact"/>
              <w:ind w:right="72"/>
              <w:rPr>
                <w:rFonts w:ascii="Book Antiqua" w:hAnsi="Book Antiqua" w:cstheme="minorHAnsi"/>
                <w:sz w:val="24"/>
                <w:szCs w:val="24"/>
              </w:rPr>
            </w:pPr>
            <w:r w:rsidRPr="005476C6">
              <w:rPr>
                <w:rFonts w:ascii="Book Antiqua" w:hAnsi="Book Antiqua" w:cstheme="minorHAnsi"/>
                <w:sz w:val="24"/>
                <w:szCs w:val="24"/>
              </w:rPr>
              <w:t>22</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3B332FB9" w14:textId="77777777">
            <w:pPr>
              <w:pStyle w:val="TableParagraph"/>
              <w:spacing w:before="39" w:line="261" w:lineRule="exact"/>
              <w:ind w:right="68"/>
              <w:rPr>
                <w:rFonts w:ascii="Book Antiqua" w:hAnsi="Book Antiqua" w:cstheme="minorHAnsi"/>
                <w:sz w:val="24"/>
                <w:szCs w:val="24"/>
              </w:rPr>
            </w:pPr>
            <w:r w:rsidRPr="005476C6">
              <w:rPr>
                <w:rFonts w:ascii="Book Antiqua" w:hAnsi="Book Antiqua" w:cstheme="minorHAnsi"/>
                <w:sz w:val="24"/>
                <w:szCs w:val="24"/>
              </w:rPr>
              <w:t>7,526</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35BAB2EF" w14:textId="77777777">
            <w:pPr>
              <w:pStyle w:val="TableParagraph"/>
              <w:spacing w:before="39" w:line="261" w:lineRule="exact"/>
              <w:ind w:left="112"/>
              <w:jc w:val="left"/>
              <w:rPr>
                <w:rFonts w:ascii="Book Antiqua" w:hAnsi="Book Antiqua" w:cstheme="minorHAnsi"/>
                <w:sz w:val="24"/>
                <w:szCs w:val="24"/>
              </w:rPr>
            </w:pPr>
            <w:r w:rsidRPr="005476C6">
              <w:rPr>
                <w:rFonts w:ascii="Book Antiqua" w:hAnsi="Book Antiqua" w:cstheme="minorHAnsi"/>
                <w:sz w:val="24"/>
                <w:szCs w:val="24"/>
              </w:rPr>
              <w:t>Siskiyou</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566F55C9" w14:textId="77777777">
            <w:pPr>
              <w:pStyle w:val="TableParagraph"/>
              <w:spacing w:before="39" w:line="261" w:lineRule="exact"/>
              <w:ind w:right="62"/>
              <w:rPr>
                <w:rFonts w:ascii="Book Antiqua" w:hAnsi="Book Antiqua" w:cstheme="minorHAnsi"/>
                <w:sz w:val="24"/>
                <w:szCs w:val="24"/>
              </w:rPr>
            </w:pPr>
            <w:r w:rsidRPr="005476C6">
              <w:rPr>
                <w:rFonts w:ascii="Book Antiqua" w:hAnsi="Book Antiqua" w:cstheme="minorHAnsi"/>
                <w:sz w:val="24"/>
                <w:szCs w:val="24"/>
              </w:rPr>
              <w:t>$45,789,155.45</w:t>
            </w:r>
          </w:p>
        </w:tc>
      </w:tr>
      <w:tr w:rsidRPr="00B00C5A" w:rsidR="00A13D1F" w:rsidTr="00EA2353" w14:paraId="3C0B6EE8"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57B5BCB6" w14:textId="77777777">
            <w:pPr>
              <w:pStyle w:val="TableParagraph"/>
              <w:spacing w:before="39" w:line="261" w:lineRule="exact"/>
              <w:ind w:right="72"/>
              <w:rPr>
                <w:rFonts w:ascii="Book Antiqua" w:hAnsi="Book Antiqua" w:cstheme="minorHAnsi"/>
                <w:sz w:val="24"/>
                <w:szCs w:val="24"/>
              </w:rPr>
            </w:pPr>
            <w:r w:rsidRPr="005476C6">
              <w:rPr>
                <w:rFonts w:ascii="Book Antiqua" w:hAnsi="Book Antiqua" w:cstheme="minorHAnsi"/>
                <w:sz w:val="24"/>
                <w:szCs w:val="24"/>
              </w:rPr>
              <w:t>23</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721565F6" w14:textId="77777777">
            <w:pPr>
              <w:pStyle w:val="TableParagraph"/>
              <w:spacing w:before="39" w:line="261" w:lineRule="exact"/>
              <w:ind w:right="68"/>
              <w:rPr>
                <w:rFonts w:ascii="Book Antiqua" w:hAnsi="Book Antiqua" w:cstheme="minorHAnsi"/>
                <w:sz w:val="24"/>
                <w:szCs w:val="24"/>
              </w:rPr>
            </w:pPr>
            <w:r w:rsidRPr="005476C6">
              <w:rPr>
                <w:rFonts w:ascii="Book Antiqua" w:hAnsi="Book Antiqua" w:cstheme="minorHAnsi"/>
                <w:sz w:val="24"/>
                <w:szCs w:val="24"/>
              </w:rPr>
              <w:t>2,841</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39F57206" w14:textId="77777777">
            <w:pPr>
              <w:pStyle w:val="TableParagraph"/>
              <w:spacing w:before="39" w:line="261" w:lineRule="exact"/>
              <w:ind w:left="112"/>
              <w:jc w:val="left"/>
              <w:rPr>
                <w:rFonts w:ascii="Book Antiqua" w:hAnsi="Book Antiqua" w:cstheme="minorHAnsi"/>
                <w:sz w:val="24"/>
                <w:szCs w:val="24"/>
              </w:rPr>
            </w:pPr>
            <w:r w:rsidRPr="005476C6">
              <w:rPr>
                <w:rFonts w:ascii="Book Antiqua" w:hAnsi="Book Antiqua" w:cstheme="minorHAnsi"/>
                <w:sz w:val="24"/>
                <w:szCs w:val="24"/>
              </w:rPr>
              <w:t>Sutter</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18241A23" w14:textId="77777777">
            <w:pPr>
              <w:pStyle w:val="TableParagraph"/>
              <w:spacing w:before="39" w:line="261" w:lineRule="exact"/>
              <w:ind w:right="62"/>
              <w:rPr>
                <w:rFonts w:ascii="Book Antiqua" w:hAnsi="Book Antiqua" w:cstheme="minorHAnsi"/>
                <w:sz w:val="24"/>
                <w:szCs w:val="24"/>
              </w:rPr>
            </w:pPr>
            <w:r w:rsidRPr="005476C6">
              <w:rPr>
                <w:rFonts w:ascii="Book Antiqua" w:hAnsi="Book Antiqua" w:cstheme="minorHAnsi"/>
                <w:sz w:val="24"/>
                <w:szCs w:val="24"/>
              </w:rPr>
              <w:t>$20,397,553.90</w:t>
            </w:r>
          </w:p>
        </w:tc>
      </w:tr>
      <w:tr w:rsidRPr="00B00C5A" w:rsidR="00A13D1F" w:rsidTr="00EA2353" w14:paraId="4CE911FD"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1DAA8AFB" w14:textId="77777777">
            <w:pPr>
              <w:pStyle w:val="TableParagraph"/>
              <w:spacing w:before="39" w:line="261" w:lineRule="exact"/>
              <w:ind w:right="72"/>
              <w:rPr>
                <w:rFonts w:ascii="Book Antiqua" w:hAnsi="Book Antiqua" w:cstheme="minorHAnsi"/>
                <w:sz w:val="24"/>
                <w:szCs w:val="24"/>
              </w:rPr>
            </w:pPr>
            <w:r w:rsidRPr="005476C6">
              <w:rPr>
                <w:rFonts w:ascii="Book Antiqua" w:hAnsi="Book Antiqua" w:cstheme="minorHAnsi"/>
                <w:sz w:val="24"/>
                <w:szCs w:val="24"/>
              </w:rPr>
              <w:t>24</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32A28AB6" w14:textId="77777777">
            <w:pPr>
              <w:pStyle w:val="TableParagraph"/>
              <w:spacing w:before="39" w:line="261" w:lineRule="exact"/>
              <w:ind w:right="68"/>
              <w:rPr>
                <w:rFonts w:ascii="Book Antiqua" w:hAnsi="Book Antiqua" w:cstheme="minorHAnsi"/>
                <w:sz w:val="24"/>
                <w:szCs w:val="24"/>
              </w:rPr>
            </w:pPr>
            <w:r w:rsidRPr="005476C6">
              <w:rPr>
                <w:rFonts w:ascii="Book Antiqua" w:hAnsi="Book Antiqua" w:cstheme="minorHAnsi"/>
                <w:sz w:val="24"/>
                <w:szCs w:val="24"/>
              </w:rPr>
              <w:t>12,879</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20B0458E" w14:textId="77777777">
            <w:pPr>
              <w:pStyle w:val="TableParagraph"/>
              <w:spacing w:before="39" w:line="261" w:lineRule="exact"/>
              <w:ind w:left="112"/>
              <w:jc w:val="left"/>
              <w:rPr>
                <w:rFonts w:ascii="Book Antiqua" w:hAnsi="Book Antiqua" w:cstheme="minorHAnsi"/>
                <w:sz w:val="24"/>
                <w:szCs w:val="24"/>
              </w:rPr>
            </w:pPr>
            <w:r w:rsidRPr="005476C6">
              <w:rPr>
                <w:rFonts w:ascii="Book Antiqua" w:hAnsi="Book Antiqua" w:cstheme="minorHAnsi"/>
                <w:sz w:val="24"/>
                <w:szCs w:val="24"/>
              </w:rPr>
              <w:t>Tehama</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25691F78" w14:textId="77777777">
            <w:pPr>
              <w:pStyle w:val="TableParagraph"/>
              <w:spacing w:before="39" w:line="261" w:lineRule="exact"/>
              <w:ind w:right="62"/>
              <w:rPr>
                <w:rFonts w:ascii="Book Antiqua" w:hAnsi="Book Antiqua" w:cstheme="minorHAnsi"/>
                <w:sz w:val="24"/>
                <w:szCs w:val="24"/>
              </w:rPr>
            </w:pPr>
            <w:r w:rsidRPr="005476C6">
              <w:rPr>
                <w:rFonts w:ascii="Book Antiqua" w:hAnsi="Book Antiqua" w:cstheme="minorHAnsi"/>
                <w:sz w:val="24"/>
                <w:szCs w:val="24"/>
              </w:rPr>
              <w:t>$74,801,160.39</w:t>
            </w:r>
          </w:p>
        </w:tc>
      </w:tr>
      <w:tr w:rsidRPr="00B00C5A" w:rsidR="00A13D1F" w:rsidTr="00EA2353" w14:paraId="37309DD0" w14:textId="77777777">
        <w:trPr>
          <w:trHeight w:val="315"/>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2463F71F" w14:textId="77777777">
            <w:pPr>
              <w:pStyle w:val="TableParagraph"/>
              <w:spacing w:before="39"/>
              <w:ind w:right="72"/>
              <w:rPr>
                <w:rFonts w:ascii="Book Antiqua" w:hAnsi="Book Antiqua" w:cstheme="minorHAnsi"/>
                <w:sz w:val="24"/>
                <w:szCs w:val="24"/>
              </w:rPr>
            </w:pPr>
            <w:r w:rsidRPr="005476C6">
              <w:rPr>
                <w:rFonts w:ascii="Book Antiqua" w:hAnsi="Book Antiqua" w:cstheme="minorHAnsi"/>
                <w:sz w:val="24"/>
                <w:szCs w:val="24"/>
              </w:rPr>
              <w:t>25</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2A0C1C6E" w14:textId="77777777">
            <w:pPr>
              <w:pStyle w:val="TableParagraph"/>
              <w:spacing w:before="39"/>
              <w:ind w:right="68"/>
              <w:rPr>
                <w:rFonts w:ascii="Book Antiqua" w:hAnsi="Book Antiqua" w:cstheme="minorHAnsi"/>
                <w:sz w:val="24"/>
                <w:szCs w:val="24"/>
              </w:rPr>
            </w:pPr>
            <w:r w:rsidRPr="005476C6">
              <w:rPr>
                <w:rFonts w:ascii="Book Antiqua" w:hAnsi="Book Antiqua" w:cstheme="minorHAnsi"/>
                <w:sz w:val="24"/>
                <w:szCs w:val="24"/>
              </w:rPr>
              <w:t>4,551</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2DAB7C55" w14:textId="77777777">
            <w:pPr>
              <w:pStyle w:val="TableParagraph"/>
              <w:spacing w:before="39"/>
              <w:ind w:left="112"/>
              <w:jc w:val="left"/>
              <w:rPr>
                <w:rFonts w:ascii="Book Antiqua" w:hAnsi="Book Antiqua" w:cstheme="minorHAnsi"/>
                <w:sz w:val="24"/>
                <w:szCs w:val="24"/>
              </w:rPr>
            </w:pPr>
            <w:r w:rsidRPr="005476C6">
              <w:rPr>
                <w:rFonts w:ascii="Book Antiqua" w:hAnsi="Book Antiqua" w:cstheme="minorHAnsi"/>
                <w:sz w:val="24"/>
                <w:szCs w:val="24"/>
              </w:rPr>
              <w:t>Trinity</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26CD9096" w14:textId="77777777">
            <w:pPr>
              <w:pStyle w:val="TableParagraph"/>
              <w:spacing w:before="39"/>
              <w:ind w:right="62"/>
              <w:rPr>
                <w:rFonts w:ascii="Book Antiqua" w:hAnsi="Book Antiqua" w:cstheme="minorHAnsi"/>
                <w:sz w:val="24"/>
                <w:szCs w:val="24"/>
              </w:rPr>
            </w:pPr>
            <w:r w:rsidRPr="005476C6">
              <w:rPr>
                <w:rFonts w:ascii="Book Antiqua" w:hAnsi="Book Antiqua" w:cstheme="minorHAnsi"/>
                <w:sz w:val="24"/>
                <w:szCs w:val="24"/>
              </w:rPr>
              <w:t>$29,665,352.97</w:t>
            </w:r>
          </w:p>
        </w:tc>
      </w:tr>
      <w:tr w:rsidRPr="00B00C5A" w:rsidR="00A13D1F" w:rsidTr="00EA2353" w14:paraId="5A17C6D6"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5F230DCD" w14:textId="77777777">
            <w:pPr>
              <w:pStyle w:val="TableParagraph"/>
              <w:spacing w:before="44"/>
              <w:ind w:right="72"/>
              <w:rPr>
                <w:rFonts w:ascii="Book Antiqua" w:hAnsi="Book Antiqua" w:cstheme="minorHAnsi"/>
                <w:sz w:val="24"/>
                <w:szCs w:val="24"/>
              </w:rPr>
            </w:pPr>
            <w:r w:rsidRPr="005476C6">
              <w:rPr>
                <w:rFonts w:ascii="Book Antiqua" w:hAnsi="Book Antiqua" w:cstheme="minorHAnsi"/>
                <w:sz w:val="24"/>
                <w:szCs w:val="24"/>
              </w:rPr>
              <w:t>26</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5ED5581F" w14:textId="77777777">
            <w:pPr>
              <w:pStyle w:val="TableParagraph"/>
              <w:spacing w:before="44"/>
              <w:ind w:right="68"/>
              <w:rPr>
                <w:rFonts w:ascii="Book Antiqua" w:hAnsi="Book Antiqua" w:cstheme="minorHAnsi"/>
                <w:sz w:val="24"/>
                <w:szCs w:val="24"/>
              </w:rPr>
            </w:pPr>
            <w:r w:rsidRPr="005476C6">
              <w:rPr>
                <w:rFonts w:ascii="Book Antiqua" w:hAnsi="Book Antiqua" w:cstheme="minorHAnsi"/>
                <w:sz w:val="24"/>
                <w:szCs w:val="24"/>
              </w:rPr>
              <w:t>1,946</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39A2979F" w14:textId="77777777">
            <w:pPr>
              <w:pStyle w:val="TableParagraph"/>
              <w:spacing w:before="44"/>
              <w:ind w:left="112"/>
              <w:jc w:val="left"/>
              <w:rPr>
                <w:rFonts w:ascii="Book Antiqua" w:hAnsi="Book Antiqua" w:cstheme="minorHAnsi"/>
                <w:sz w:val="24"/>
                <w:szCs w:val="24"/>
              </w:rPr>
            </w:pPr>
            <w:r w:rsidRPr="005476C6">
              <w:rPr>
                <w:rFonts w:ascii="Book Antiqua" w:hAnsi="Book Antiqua" w:cstheme="minorHAnsi"/>
                <w:sz w:val="24"/>
                <w:szCs w:val="24"/>
              </w:rPr>
              <w:t>Tuolumne</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2D9F79FE" w14:textId="77777777">
            <w:pPr>
              <w:pStyle w:val="TableParagraph"/>
              <w:spacing w:before="44"/>
              <w:ind w:right="62"/>
              <w:rPr>
                <w:rFonts w:ascii="Book Antiqua" w:hAnsi="Book Antiqua" w:cstheme="minorHAnsi"/>
                <w:sz w:val="24"/>
                <w:szCs w:val="24"/>
              </w:rPr>
            </w:pPr>
            <w:r w:rsidRPr="005476C6">
              <w:rPr>
                <w:rFonts w:ascii="Book Antiqua" w:hAnsi="Book Antiqua" w:cstheme="minorHAnsi"/>
                <w:sz w:val="24"/>
                <w:szCs w:val="24"/>
              </w:rPr>
              <w:t>$15,546,863.74</w:t>
            </w:r>
          </w:p>
        </w:tc>
      </w:tr>
      <w:tr w:rsidRPr="00B00C5A" w:rsidR="00A13D1F" w:rsidTr="00EA2353" w14:paraId="2E98212B" w14:textId="77777777">
        <w:trPr>
          <w:trHeight w:val="318"/>
          <w:jc w:val="center"/>
        </w:trPr>
        <w:tc>
          <w:tcPr>
            <w:tcW w:w="1057" w:type="dxa"/>
            <w:tcBorders>
              <w:top w:val="single" w:color="000000" w:sz="12" w:space="0"/>
              <w:bottom w:val="double" w:color="000000" w:sz="6" w:space="0"/>
              <w:right w:val="single" w:color="000000" w:sz="12" w:space="0"/>
            </w:tcBorders>
            <w:shd w:val="clear" w:color="auto" w:fill="auto"/>
          </w:tcPr>
          <w:p w:rsidRPr="005476C6" w:rsidR="00A13D1F" w:rsidP="00EA2353" w:rsidRDefault="00A13D1F" w14:paraId="5D33D71B" w14:textId="77777777">
            <w:pPr>
              <w:pStyle w:val="TableParagraph"/>
              <w:spacing w:before="44" w:line="254" w:lineRule="exact"/>
              <w:ind w:right="72"/>
              <w:rPr>
                <w:rFonts w:ascii="Book Antiqua" w:hAnsi="Book Antiqua" w:cstheme="minorHAnsi"/>
                <w:sz w:val="24"/>
                <w:szCs w:val="24"/>
              </w:rPr>
            </w:pPr>
            <w:r w:rsidRPr="005476C6">
              <w:rPr>
                <w:rFonts w:ascii="Book Antiqua" w:hAnsi="Book Antiqua" w:cstheme="minorHAnsi"/>
                <w:sz w:val="24"/>
                <w:szCs w:val="24"/>
              </w:rPr>
              <w:t>27</w:t>
            </w:r>
          </w:p>
        </w:tc>
        <w:tc>
          <w:tcPr>
            <w:tcW w:w="1440" w:type="dxa"/>
            <w:tcBorders>
              <w:top w:val="single" w:color="000000" w:sz="12" w:space="0"/>
              <w:left w:val="single" w:color="000000" w:sz="12" w:space="0"/>
              <w:bottom w:val="double" w:color="000000" w:sz="6" w:space="0"/>
              <w:right w:val="single" w:color="000000" w:sz="12" w:space="0"/>
            </w:tcBorders>
            <w:shd w:val="clear" w:color="auto" w:fill="auto"/>
          </w:tcPr>
          <w:p w:rsidRPr="005476C6" w:rsidR="00A13D1F" w:rsidP="00EA2353" w:rsidRDefault="00A13D1F" w14:paraId="28D01F12" w14:textId="77777777">
            <w:pPr>
              <w:pStyle w:val="TableParagraph"/>
              <w:spacing w:before="44" w:line="254" w:lineRule="exact"/>
              <w:ind w:right="68"/>
              <w:rPr>
                <w:rFonts w:ascii="Book Antiqua" w:hAnsi="Book Antiqua" w:cstheme="minorHAnsi"/>
                <w:sz w:val="24"/>
                <w:szCs w:val="24"/>
              </w:rPr>
            </w:pPr>
            <w:r w:rsidRPr="005476C6">
              <w:rPr>
                <w:rFonts w:ascii="Book Antiqua" w:hAnsi="Book Antiqua" w:cstheme="minorHAnsi"/>
                <w:sz w:val="24"/>
                <w:szCs w:val="24"/>
              </w:rPr>
              <w:t>6,342</w:t>
            </w:r>
          </w:p>
        </w:tc>
        <w:tc>
          <w:tcPr>
            <w:tcW w:w="1620" w:type="dxa"/>
            <w:tcBorders>
              <w:top w:val="single" w:color="000000" w:sz="12" w:space="0"/>
              <w:left w:val="single" w:color="000000" w:sz="12" w:space="0"/>
              <w:bottom w:val="double" w:color="000000" w:sz="6" w:space="0"/>
              <w:right w:val="single" w:color="000000" w:sz="12" w:space="0"/>
            </w:tcBorders>
            <w:shd w:val="clear" w:color="auto" w:fill="auto"/>
          </w:tcPr>
          <w:p w:rsidRPr="005476C6" w:rsidR="00A13D1F" w:rsidP="00EA2353" w:rsidRDefault="00A13D1F" w14:paraId="5344BD78" w14:textId="77777777">
            <w:pPr>
              <w:pStyle w:val="TableParagraph"/>
              <w:spacing w:before="44" w:line="254" w:lineRule="exact"/>
              <w:ind w:left="112"/>
              <w:jc w:val="left"/>
              <w:rPr>
                <w:rFonts w:ascii="Book Antiqua" w:hAnsi="Book Antiqua" w:cstheme="minorHAnsi"/>
                <w:sz w:val="24"/>
                <w:szCs w:val="24"/>
              </w:rPr>
            </w:pPr>
            <w:r w:rsidRPr="005476C6">
              <w:rPr>
                <w:rFonts w:ascii="Book Antiqua" w:hAnsi="Book Antiqua" w:cstheme="minorHAnsi"/>
                <w:sz w:val="24"/>
                <w:szCs w:val="24"/>
              </w:rPr>
              <w:t>Yuba</w:t>
            </w:r>
          </w:p>
        </w:tc>
        <w:tc>
          <w:tcPr>
            <w:tcW w:w="3515" w:type="dxa"/>
            <w:tcBorders>
              <w:top w:val="single" w:color="000000" w:sz="12" w:space="0"/>
              <w:left w:val="single" w:color="000000" w:sz="12" w:space="0"/>
              <w:bottom w:val="double" w:color="000000" w:sz="6" w:space="0"/>
            </w:tcBorders>
            <w:shd w:val="clear" w:color="auto" w:fill="auto"/>
          </w:tcPr>
          <w:p w:rsidRPr="005476C6" w:rsidR="00A13D1F" w:rsidP="00EA2353" w:rsidRDefault="00A13D1F" w14:paraId="0F258CD3" w14:textId="77777777">
            <w:pPr>
              <w:pStyle w:val="TableParagraph"/>
              <w:spacing w:before="44" w:line="254" w:lineRule="exact"/>
              <w:ind w:right="62"/>
              <w:rPr>
                <w:rFonts w:ascii="Book Antiqua" w:hAnsi="Book Antiqua" w:cstheme="minorHAnsi"/>
                <w:sz w:val="24"/>
                <w:szCs w:val="24"/>
              </w:rPr>
            </w:pPr>
            <w:r w:rsidRPr="005476C6">
              <w:rPr>
                <w:rFonts w:ascii="Book Antiqua" w:hAnsi="Book Antiqua" w:cstheme="minorHAnsi"/>
                <w:sz w:val="24"/>
                <w:szCs w:val="24"/>
              </w:rPr>
              <w:t>$39,372,153.05</w:t>
            </w:r>
          </w:p>
        </w:tc>
      </w:tr>
      <w:tr w:rsidRPr="00B00C5A" w:rsidR="00A13D1F" w:rsidTr="00EA2353" w14:paraId="1071AEE5" w14:textId="77777777">
        <w:trPr>
          <w:trHeight w:val="322"/>
          <w:jc w:val="center"/>
        </w:trPr>
        <w:tc>
          <w:tcPr>
            <w:tcW w:w="1057" w:type="dxa"/>
            <w:tcBorders>
              <w:top w:val="double" w:color="000000" w:sz="6" w:space="0"/>
              <w:right w:val="single" w:color="000000" w:sz="12" w:space="0"/>
            </w:tcBorders>
            <w:shd w:val="clear" w:color="auto" w:fill="auto"/>
          </w:tcPr>
          <w:p w:rsidRPr="005476C6" w:rsidR="00A13D1F" w:rsidP="00EA2353" w:rsidRDefault="00A13D1F" w14:paraId="1D3D3009" w14:textId="77777777">
            <w:pPr>
              <w:pStyle w:val="TableParagraph"/>
              <w:spacing w:before="47"/>
              <w:ind w:left="107"/>
              <w:jc w:val="left"/>
              <w:rPr>
                <w:rFonts w:ascii="Book Antiqua" w:hAnsi="Book Antiqua" w:cstheme="minorHAnsi"/>
                <w:b/>
                <w:sz w:val="24"/>
                <w:szCs w:val="24"/>
              </w:rPr>
            </w:pPr>
            <w:r w:rsidRPr="005476C6">
              <w:rPr>
                <w:rFonts w:ascii="Book Antiqua" w:hAnsi="Book Antiqua" w:cstheme="minorHAnsi"/>
                <w:b/>
                <w:sz w:val="24"/>
                <w:szCs w:val="24"/>
              </w:rPr>
              <w:t>TOTAL</w:t>
            </w:r>
          </w:p>
        </w:tc>
        <w:tc>
          <w:tcPr>
            <w:tcW w:w="1440" w:type="dxa"/>
            <w:tcBorders>
              <w:top w:val="double" w:color="000000" w:sz="6" w:space="0"/>
              <w:left w:val="single" w:color="000000" w:sz="12" w:space="0"/>
              <w:right w:val="single" w:color="000000" w:sz="12" w:space="0"/>
            </w:tcBorders>
            <w:shd w:val="clear" w:color="auto" w:fill="auto"/>
          </w:tcPr>
          <w:p w:rsidRPr="005476C6" w:rsidR="00A13D1F" w:rsidP="00EA2353" w:rsidRDefault="00A13D1F" w14:paraId="4F6892B3" w14:textId="77777777">
            <w:pPr>
              <w:pStyle w:val="TableParagraph"/>
              <w:spacing w:before="47"/>
              <w:ind w:right="68"/>
              <w:rPr>
                <w:rFonts w:ascii="Book Antiqua" w:hAnsi="Book Antiqua" w:cstheme="minorHAnsi"/>
                <w:b/>
                <w:sz w:val="24"/>
                <w:szCs w:val="24"/>
              </w:rPr>
            </w:pPr>
            <w:r w:rsidRPr="005476C6">
              <w:rPr>
                <w:rFonts w:ascii="Book Antiqua" w:hAnsi="Book Antiqua" w:cstheme="minorHAnsi"/>
                <w:b/>
                <w:sz w:val="24"/>
                <w:szCs w:val="24"/>
              </w:rPr>
              <w:t>159,601</w:t>
            </w:r>
          </w:p>
        </w:tc>
        <w:tc>
          <w:tcPr>
            <w:tcW w:w="1620" w:type="dxa"/>
            <w:tcBorders>
              <w:top w:val="double" w:color="000000" w:sz="6" w:space="0"/>
              <w:left w:val="single" w:color="000000" w:sz="12" w:space="0"/>
              <w:right w:val="single" w:color="000000" w:sz="12" w:space="0"/>
            </w:tcBorders>
            <w:shd w:val="clear" w:color="auto" w:fill="auto"/>
          </w:tcPr>
          <w:p w:rsidRPr="005476C6" w:rsidR="00A13D1F" w:rsidP="00EA2353" w:rsidRDefault="00A13D1F" w14:paraId="79D0B72A" w14:textId="77777777">
            <w:pPr>
              <w:pStyle w:val="TableParagraph"/>
              <w:spacing w:line="240" w:lineRule="auto"/>
              <w:jc w:val="left"/>
              <w:rPr>
                <w:rFonts w:ascii="Book Antiqua" w:hAnsi="Book Antiqua" w:cstheme="minorHAnsi"/>
                <w:sz w:val="24"/>
                <w:szCs w:val="24"/>
              </w:rPr>
            </w:pPr>
          </w:p>
        </w:tc>
        <w:tc>
          <w:tcPr>
            <w:tcW w:w="3515" w:type="dxa"/>
            <w:tcBorders>
              <w:top w:val="double" w:color="000000" w:sz="6" w:space="0"/>
              <w:left w:val="single" w:color="000000" w:sz="12" w:space="0"/>
            </w:tcBorders>
            <w:shd w:val="clear" w:color="auto" w:fill="auto"/>
          </w:tcPr>
          <w:p w:rsidRPr="005476C6" w:rsidR="00A13D1F" w:rsidP="00EA2353" w:rsidRDefault="00A13D1F" w14:paraId="570FB3CD" w14:textId="77777777">
            <w:pPr>
              <w:pStyle w:val="TableParagraph"/>
              <w:spacing w:before="47"/>
              <w:ind w:right="62"/>
              <w:rPr>
                <w:rFonts w:ascii="Book Antiqua" w:hAnsi="Book Antiqua" w:cstheme="minorHAnsi"/>
                <w:b/>
                <w:sz w:val="24"/>
                <w:szCs w:val="24"/>
              </w:rPr>
            </w:pPr>
            <w:r w:rsidRPr="005476C6">
              <w:rPr>
                <w:rFonts w:ascii="Book Antiqua" w:hAnsi="Book Antiqua" w:cstheme="minorHAnsi"/>
                <w:b/>
                <w:sz w:val="24"/>
                <w:szCs w:val="24"/>
              </w:rPr>
              <w:t>$999,999,999.95</w:t>
            </w:r>
          </w:p>
        </w:tc>
      </w:tr>
    </w:tbl>
    <w:p w:rsidRPr="00B00C5A" w:rsidR="00A13D1F" w:rsidP="00D34546" w:rsidRDefault="00A13D1F" w14:paraId="1F1D1D33" w14:textId="77777777">
      <w:pPr>
        <w:keepNext/>
        <w:keepLines/>
        <w:spacing w:before="104" w:after="6" w:line="237" w:lineRule="auto"/>
        <w:ind w:left="504" w:right="489"/>
        <w:jc w:val="center"/>
        <w:rPr>
          <w:rFonts w:cstheme="minorHAnsi"/>
          <w:b/>
          <w:bCs/>
          <w:i/>
          <w:sz w:val="24"/>
          <w:szCs w:val="24"/>
        </w:rPr>
      </w:pPr>
      <w:r w:rsidRPr="00B00C5A">
        <w:rPr>
          <w:rFonts w:cstheme="minorHAnsi"/>
          <w:b/>
          <w:bCs/>
          <w:i/>
          <w:sz w:val="24"/>
          <w:szCs w:val="24"/>
        </w:rPr>
        <w:t xml:space="preserve">Table 2.  Urban County </w:t>
      </w:r>
      <w:r>
        <w:rPr>
          <w:rFonts w:cstheme="minorHAnsi"/>
          <w:b/>
          <w:bCs/>
          <w:i/>
          <w:sz w:val="24"/>
          <w:szCs w:val="24"/>
        </w:rPr>
        <w:t>Allocations</w:t>
      </w:r>
    </w:p>
    <w:tbl>
      <w:tblPr>
        <w:tblW w:w="7650" w:type="dxa"/>
        <w:jc w:val="center"/>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1237"/>
        <w:gridCol w:w="1530"/>
        <w:gridCol w:w="1800"/>
        <w:gridCol w:w="3060"/>
        <w:gridCol w:w="23"/>
      </w:tblGrid>
      <w:tr w:rsidRPr="00B00C5A" w:rsidR="00A13D1F" w:rsidTr="00EA2353" w14:paraId="08B6D328" w14:textId="77777777">
        <w:trPr>
          <w:trHeight w:val="319"/>
          <w:jc w:val="center"/>
        </w:trPr>
        <w:tc>
          <w:tcPr>
            <w:tcW w:w="7650" w:type="dxa"/>
            <w:gridSpan w:val="5"/>
            <w:shd w:val="clear" w:color="auto" w:fill="auto"/>
          </w:tcPr>
          <w:p w:rsidRPr="00F34F2D" w:rsidR="00A13D1F" w:rsidP="00D34546" w:rsidRDefault="00A13D1F" w14:paraId="3AF5F4A3" w14:textId="77777777">
            <w:pPr>
              <w:pStyle w:val="TableParagraph"/>
              <w:keepNext/>
              <w:keepLines/>
              <w:widowControl/>
              <w:spacing w:before="44"/>
              <w:ind w:left="107"/>
              <w:jc w:val="left"/>
              <w:rPr>
                <w:rFonts w:ascii="Book Antiqua" w:hAnsi="Book Antiqua" w:cstheme="minorHAnsi"/>
                <w:sz w:val="24"/>
                <w:szCs w:val="24"/>
              </w:rPr>
            </w:pPr>
            <w:r w:rsidRPr="00F34F2D">
              <w:rPr>
                <w:rFonts w:ascii="Book Antiqua" w:hAnsi="Book Antiqua" w:cstheme="minorHAnsi"/>
                <w:b/>
                <w:sz w:val="24"/>
                <w:szCs w:val="24"/>
              </w:rPr>
              <w:t xml:space="preserve">Urban Counties </w:t>
            </w:r>
            <w:r w:rsidRPr="00F34F2D">
              <w:rPr>
                <w:rFonts w:ascii="Book Antiqua" w:hAnsi="Book Antiqua" w:cstheme="minorHAnsi"/>
                <w:sz w:val="24"/>
                <w:szCs w:val="24"/>
              </w:rPr>
              <w:t>(31)</w:t>
            </w:r>
          </w:p>
        </w:tc>
      </w:tr>
      <w:tr w:rsidRPr="00B00C5A" w:rsidR="00A13D1F" w:rsidTr="00EA2353" w14:paraId="7A5C553A" w14:textId="77777777">
        <w:trPr>
          <w:trHeight w:val="550"/>
          <w:jc w:val="center"/>
        </w:trPr>
        <w:tc>
          <w:tcPr>
            <w:tcW w:w="1237" w:type="dxa"/>
            <w:shd w:val="clear" w:color="auto" w:fill="auto"/>
          </w:tcPr>
          <w:p w:rsidRPr="00F34F2D" w:rsidR="00A13D1F" w:rsidP="00D34546" w:rsidRDefault="00A13D1F" w14:paraId="68CF5303" w14:textId="77777777">
            <w:pPr>
              <w:pStyle w:val="TableParagraph"/>
              <w:keepNext/>
              <w:keepLines/>
              <w:widowControl/>
              <w:spacing w:before="274"/>
              <w:jc w:val="left"/>
              <w:rPr>
                <w:rFonts w:ascii="Book Antiqua" w:hAnsi="Book Antiqua" w:cstheme="minorHAnsi"/>
                <w:b/>
                <w:sz w:val="24"/>
                <w:szCs w:val="24"/>
              </w:rPr>
            </w:pPr>
          </w:p>
        </w:tc>
        <w:tc>
          <w:tcPr>
            <w:tcW w:w="1530" w:type="dxa"/>
            <w:shd w:val="clear" w:color="auto" w:fill="auto"/>
          </w:tcPr>
          <w:p w:rsidRPr="00F34F2D" w:rsidR="00A13D1F" w:rsidP="00D34546" w:rsidRDefault="00A13D1F" w14:paraId="74B07DBE" w14:textId="77777777">
            <w:pPr>
              <w:pStyle w:val="TableParagraph"/>
              <w:keepNext/>
              <w:keepLines/>
              <w:widowControl/>
              <w:spacing w:before="274"/>
              <w:jc w:val="left"/>
              <w:rPr>
                <w:rFonts w:ascii="Book Antiqua" w:hAnsi="Book Antiqua" w:cstheme="minorHAnsi"/>
                <w:b/>
                <w:sz w:val="24"/>
                <w:szCs w:val="24"/>
              </w:rPr>
            </w:pPr>
            <w:r w:rsidRPr="00F34F2D">
              <w:rPr>
                <w:rFonts w:ascii="Book Antiqua" w:hAnsi="Book Antiqua" w:cstheme="minorHAnsi"/>
                <w:b/>
                <w:sz w:val="24"/>
                <w:szCs w:val="24"/>
              </w:rPr>
              <w:t>Population Unserved</w:t>
            </w:r>
          </w:p>
        </w:tc>
        <w:tc>
          <w:tcPr>
            <w:tcW w:w="1800" w:type="dxa"/>
            <w:shd w:val="clear" w:color="auto" w:fill="auto"/>
          </w:tcPr>
          <w:p w:rsidRPr="00F34F2D" w:rsidR="00A13D1F" w:rsidP="00D34546" w:rsidRDefault="00A13D1F" w14:paraId="31D4D231" w14:textId="77777777">
            <w:pPr>
              <w:pStyle w:val="TableParagraph"/>
              <w:keepNext/>
              <w:keepLines/>
              <w:widowControl/>
              <w:spacing w:before="274"/>
              <w:ind w:left="104"/>
              <w:jc w:val="left"/>
              <w:rPr>
                <w:rFonts w:ascii="Book Antiqua" w:hAnsi="Book Antiqua" w:cstheme="minorHAnsi"/>
                <w:b/>
                <w:sz w:val="24"/>
                <w:szCs w:val="24"/>
              </w:rPr>
            </w:pPr>
            <w:r w:rsidRPr="00F34F2D">
              <w:rPr>
                <w:rFonts w:ascii="Book Antiqua" w:hAnsi="Book Antiqua" w:cstheme="minorHAnsi"/>
                <w:b/>
                <w:sz w:val="24"/>
                <w:szCs w:val="24"/>
              </w:rPr>
              <w:t>County</w:t>
            </w:r>
          </w:p>
        </w:tc>
        <w:tc>
          <w:tcPr>
            <w:tcW w:w="3083" w:type="dxa"/>
            <w:gridSpan w:val="2"/>
            <w:shd w:val="clear" w:color="auto" w:fill="auto"/>
          </w:tcPr>
          <w:p w:rsidRPr="00F34F2D" w:rsidR="00A13D1F" w:rsidP="00D34546" w:rsidRDefault="00A13D1F" w14:paraId="4C90787E" w14:textId="77777777">
            <w:pPr>
              <w:pStyle w:val="TableParagraph"/>
              <w:keepNext/>
              <w:keepLines/>
              <w:widowControl/>
              <w:spacing w:line="272" w:lineRule="exact"/>
              <w:ind w:right="60"/>
              <w:rPr>
                <w:rFonts w:ascii="Book Antiqua" w:hAnsi="Book Antiqua" w:cstheme="minorHAnsi"/>
                <w:sz w:val="24"/>
                <w:szCs w:val="24"/>
              </w:rPr>
            </w:pPr>
            <w:r w:rsidRPr="00F34F2D">
              <w:rPr>
                <w:rFonts w:ascii="Book Antiqua" w:hAnsi="Book Antiqua" w:cstheme="minorHAnsi"/>
                <w:b/>
                <w:sz w:val="24"/>
                <w:szCs w:val="24"/>
              </w:rPr>
              <w:t xml:space="preserve">Allocation </w:t>
            </w:r>
            <w:r w:rsidRPr="00F34F2D">
              <w:rPr>
                <w:rFonts w:ascii="Book Antiqua" w:hAnsi="Book Antiqua" w:cstheme="minorHAnsi"/>
                <w:sz w:val="24"/>
                <w:szCs w:val="24"/>
              </w:rPr>
              <w:t>= $5 million +</w:t>
            </w:r>
          </w:p>
          <w:p w:rsidRPr="00F34F2D" w:rsidR="00A13D1F" w:rsidP="00D34546" w:rsidRDefault="00A13D1F" w14:paraId="5D6B59AE" w14:textId="77777777">
            <w:pPr>
              <w:pStyle w:val="TableParagraph"/>
              <w:keepNext/>
              <w:keepLines/>
              <w:widowControl/>
              <w:spacing w:before="2"/>
              <w:ind w:right="62"/>
              <w:rPr>
                <w:rFonts w:ascii="Book Antiqua" w:hAnsi="Book Antiqua" w:cstheme="minorHAnsi"/>
                <w:sz w:val="24"/>
                <w:szCs w:val="24"/>
              </w:rPr>
            </w:pPr>
            <w:r w:rsidRPr="00F34F2D">
              <w:rPr>
                <w:rFonts w:ascii="Book Antiqua" w:hAnsi="Book Antiqua" w:cstheme="minorHAnsi"/>
                <w:sz w:val="24"/>
                <w:szCs w:val="24"/>
              </w:rPr>
              <w:t>$1,640.37218 per unserved</w:t>
            </w:r>
            <w:r w:rsidRPr="00F34F2D">
              <w:rPr>
                <w:rFonts w:ascii="Book Antiqua" w:hAnsi="Book Antiqua" w:cstheme="minorHAnsi"/>
                <w:spacing w:val="1"/>
                <w:sz w:val="24"/>
                <w:szCs w:val="24"/>
              </w:rPr>
              <w:t xml:space="preserve"> </w:t>
            </w:r>
            <w:r w:rsidRPr="00F34F2D">
              <w:rPr>
                <w:rFonts w:ascii="Book Antiqua" w:hAnsi="Book Antiqua" w:cstheme="minorHAnsi"/>
                <w:sz w:val="24"/>
                <w:szCs w:val="24"/>
              </w:rPr>
              <w:t>resident</w:t>
            </w:r>
            <w:r w:rsidRPr="00F34F2D">
              <w:rPr>
                <w:rStyle w:val="FootnoteReference"/>
                <w:rFonts w:ascii="Book Antiqua" w:hAnsi="Book Antiqua" w:cstheme="minorHAnsi"/>
                <w:sz w:val="24"/>
                <w:szCs w:val="24"/>
              </w:rPr>
              <w:footnoteReference w:id="28"/>
            </w:r>
          </w:p>
        </w:tc>
      </w:tr>
      <w:tr w:rsidRPr="00B00C5A" w:rsidR="00A13D1F" w:rsidTr="00EA2353" w14:paraId="03F82F80" w14:textId="77777777">
        <w:trPr>
          <w:trHeight w:val="320"/>
          <w:jc w:val="center"/>
        </w:trPr>
        <w:tc>
          <w:tcPr>
            <w:tcW w:w="1237" w:type="dxa"/>
            <w:tcBorders>
              <w:bottom w:val="single" w:color="000000" w:sz="12" w:space="0"/>
              <w:right w:val="single" w:color="000000" w:sz="12" w:space="0"/>
            </w:tcBorders>
            <w:shd w:val="clear" w:color="auto" w:fill="auto"/>
          </w:tcPr>
          <w:p w:rsidRPr="00F34F2D" w:rsidR="00A13D1F" w:rsidP="00EA2353" w:rsidRDefault="00A13D1F" w14:paraId="433E9D4A"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t>1</w:t>
            </w:r>
          </w:p>
        </w:tc>
        <w:tc>
          <w:tcPr>
            <w:tcW w:w="1530" w:type="dxa"/>
            <w:tcBorders>
              <w:left w:val="single" w:color="000000" w:sz="12" w:space="0"/>
              <w:bottom w:val="single" w:color="000000" w:sz="12" w:space="0"/>
              <w:right w:val="single" w:color="000000" w:sz="12" w:space="0"/>
            </w:tcBorders>
            <w:shd w:val="clear" w:color="auto" w:fill="auto"/>
          </w:tcPr>
          <w:p w:rsidRPr="00F34F2D" w:rsidR="00A13D1F" w:rsidP="00EA2353" w:rsidRDefault="00A13D1F" w14:paraId="5424E63D"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11,898</w:t>
            </w:r>
          </w:p>
        </w:tc>
        <w:tc>
          <w:tcPr>
            <w:tcW w:w="1800" w:type="dxa"/>
            <w:tcBorders>
              <w:left w:val="single" w:color="000000" w:sz="12" w:space="0"/>
              <w:bottom w:val="single" w:color="000000" w:sz="12" w:space="0"/>
              <w:right w:val="single" w:color="000000" w:sz="12" w:space="0"/>
            </w:tcBorders>
            <w:shd w:val="clear" w:color="auto" w:fill="auto"/>
          </w:tcPr>
          <w:p w:rsidRPr="00F34F2D" w:rsidR="00A13D1F" w:rsidP="00EA2353" w:rsidRDefault="00A13D1F" w14:paraId="26A1A181"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Alameda</w:t>
            </w:r>
          </w:p>
        </w:tc>
        <w:tc>
          <w:tcPr>
            <w:tcW w:w="3083" w:type="dxa"/>
            <w:gridSpan w:val="2"/>
            <w:tcBorders>
              <w:left w:val="single" w:color="000000" w:sz="12" w:space="0"/>
              <w:bottom w:val="single" w:color="000000" w:sz="12" w:space="0"/>
            </w:tcBorders>
            <w:shd w:val="clear" w:color="auto" w:fill="auto"/>
          </w:tcPr>
          <w:p w:rsidRPr="00F34F2D" w:rsidR="00A13D1F" w:rsidP="00EA2353" w:rsidRDefault="00A13D1F" w14:paraId="21BDA88F"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$24,517,148.20</w:t>
            </w:r>
          </w:p>
        </w:tc>
      </w:tr>
      <w:tr w:rsidRPr="00B00C5A" w:rsidR="00A13D1F" w:rsidTr="00EA2353" w14:paraId="05F78657"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6342E1CB"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t>2</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17DD0D9A"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8,657</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165F9328"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Butte</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6B9D2093"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$19,200,701.96</w:t>
            </w:r>
          </w:p>
        </w:tc>
      </w:tr>
      <w:tr w:rsidRPr="00B00C5A" w:rsidR="00A13D1F" w:rsidTr="00EA2353" w14:paraId="7E56C068"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03E9707B"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t>3</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2D8CCCFE"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6,772</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0DA0E97E"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Contra Costa</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712A499B"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$16,108,600.40</w:t>
            </w:r>
          </w:p>
        </w:tc>
      </w:tr>
      <w:tr w:rsidRPr="00B00C5A" w:rsidR="00A13D1F" w:rsidTr="00EA2353" w14:paraId="6511BFBB"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612054C8"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t>4</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3061785D"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34,236</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26535D5B"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Fresno</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6731302B"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$61,159,781.95</w:t>
            </w:r>
          </w:p>
        </w:tc>
      </w:tr>
      <w:tr w:rsidRPr="00B00C5A" w:rsidR="00A13D1F" w:rsidTr="00EA2353" w14:paraId="4FF6EE3C"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74F5482A"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t>5</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00DE6E4B"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5,458</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7039F09C"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Imperial</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79D087CE"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$13,953,151.36</w:t>
            </w:r>
          </w:p>
        </w:tc>
      </w:tr>
      <w:tr w:rsidRPr="00B00C5A" w:rsidR="00A13D1F" w:rsidTr="00EA2353" w14:paraId="329D7265"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4F1E4C23"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t>6</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585BBA79"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16,038</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520D930A"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Kern</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6DCED3BA"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$31,308,289.02</w:t>
            </w:r>
          </w:p>
        </w:tc>
      </w:tr>
      <w:tr w:rsidRPr="00B00C5A" w:rsidR="00A13D1F" w:rsidTr="00EA2353" w14:paraId="62B8E320"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5D3A4EDA"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7</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20EFE9F3"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60,752</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2EEEC035"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Los Angeles</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18507C2F"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$104,655,890.68</w:t>
            </w:r>
          </w:p>
        </w:tc>
      </w:tr>
      <w:tr w:rsidRPr="00B00C5A" w:rsidR="00A13D1F" w:rsidTr="00EA2353" w14:paraId="330ABEDA"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69EE2A79"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8</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70E05AB7"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3,987</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6A051ADC"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Marin</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60E457D7"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$11,540,163.88</w:t>
            </w:r>
          </w:p>
        </w:tc>
      </w:tr>
      <w:tr w:rsidRPr="00B00C5A" w:rsidR="00A13D1F" w:rsidTr="00EA2353" w14:paraId="0B344B30"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3E4892AD"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9</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012FDCC1"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13,571</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24348CCA"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Merced</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0F09EF76"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$27,261,490.85</w:t>
            </w:r>
          </w:p>
        </w:tc>
      </w:tr>
      <w:tr w:rsidRPr="00B00C5A" w:rsidR="00A13D1F" w:rsidTr="00EA2353" w14:paraId="4388C5B0"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70352CF1"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10</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4309FA19"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7,484</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70CC5989"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Monterey</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6A93CF68"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$17,276,545.40</w:t>
            </w:r>
          </w:p>
        </w:tc>
      </w:tr>
      <w:tr w:rsidRPr="00B00C5A" w:rsidR="00A13D1F" w:rsidTr="00EA2353" w14:paraId="6A92004E"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7114C2E8"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11</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4486338B"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3,478</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6B743FAC"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Napa</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65BBA411"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$10,705,214.44</w:t>
            </w:r>
          </w:p>
        </w:tc>
      </w:tr>
      <w:tr w:rsidRPr="00B00C5A" w:rsidR="00A13D1F" w:rsidTr="00EA2353" w14:paraId="5CA7B8BD"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7E22B242"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12</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141D8CD5"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53,039</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4CB08EC9"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Orange</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2C6292D5"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$92,003,700.06</w:t>
            </w:r>
          </w:p>
        </w:tc>
      </w:tr>
      <w:tr w:rsidRPr="00B00C5A" w:rsidR="00A13D1F" w:rsidTr="00EA2353" w14:paraId="191D83EB" w14:textId="77777777">
        <w:trPr>
          <w:trHeight w:val="315"/>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29670FD1" w14:textId="77777777">
            <w:pPr>
              <w:pStyle w:val="TableParagraph"/>
              <w:spacing w:before="39"/>
              <w:ind w:right="72"/>
              <w:rPr>
                <w:rFonts w:ascii="Book Antiqua" w:hAnsi="Book Antiqua" w:cstheme="minorHAnsi"/>
                <w:sz w:val="24"/>
                <w:szCs w:val="24"/>
              </w:rPr>
            </w:pPr>
            <w:r w:rsidRPr="00F34F2D">
              <w:rPr>
                <w:rFonts w:ascii="Book Antiqua" w:hAnsi="Book Antiqua" w:cstheme="minorHAnsi"/>
                <w:sz w:val="24"/>
                <w:szCs w:val="24"/>
              </w:rPr>
              <w:t>13</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71D680A4" w14:textId="77777777">
            <w:pPr>
              <w:pStyle w:val="TableParagraph"/>
              <w:spacing w:before="39"/>
              <w:ind w:right="70"/>
              <w:rPr>
                <w:rFonts w:ascii="Book Antiqua" w:hAnsi="Book Antiqua" w:cstheme="minorHAnsi"/>
                <w:sz w:val="24"/>
                <w:szCs w:val="24"/>
              </w:rPr>
            </w:pPr>
            <w:r w:rsidRPr="00F34F2D">
              <w:rPr>
                <w:rFonts w:ascii="Book Antiqua" w:hAnsi="Book Antiqua" w:cstheme="minorHAnsi"/>
                <w:sz w:val="24"/>
                <w:szCs w:val="24"/>
              </w:rPr>
              <w:t>15,397</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4D120ADD" w14:textId="77777777">
            <w:pPr>
              <w:pStyle w:val="TableParagraph"/>
              <w:spacing w:before="39"/>
              <w:ind w:left="112"/>
              <w:jc w:val="left"/>
              <w:rPr>
                <w:rFonts w:ascii="Book Antiqua" w:hAnsi="Book Antiqua" w:cstheme="minorHAnsi"/>
                <w:sz w:val="24"/>
                <w:szCs w:val="24"/>
              </w:rPr>
            </w:pPr>
            <w:r w:rsidRPr="00F34F2D">
              <w:rPr>
                <w:rFonts w:ascii="Book Antiqua" w:hAnsi="Book Antiqua" w:cstheme="minorHAnsi"/>
                <w:sz w:val="24"/>
                <w:szCs w:val="24"/>
              </w:rPr>
              <w:t>Placer</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4837A0B8" w14:textId="77777777">
            <w:pPr>
              <w:pStyle w:val="TableParagraph"/>
              <w:spacing w:before="39"/>
              <w:ind w:right="60"/>
              <w:rPr>
                <w:rFonts w:ascii="Book Antiqua" w:hAnsi="Book Antiqua" w:cstheme="minorHAnsi"/>
                <w:sz w:val="24"/>
                <w:szCs w:val="24"/>
              </w:rPr>
            </w:pPr>
            <w:r w:rsidRPr="00F34F2D">
              <w:rPr>
                <w:rFonts w:ascii="Book Antiqua" w:hAnsi="Book Antiqua" w:cstheme="minorHAnsi"/>
                <w:sz w:val="24"/>
                <w:szCs w:val="24"/>
              </w:rPr>
              <w:t>$30,256,810.46</w:t>
            </w:r>
          </w:p>
        </w:tc>
      </w:tr>
      <w:tr w:rsidRPr="00B00C5A" w:rsidR="00A13D1F" w:rsidTr="00EA2353" w14:paraId="483D22F6"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1C5A9661"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t>14</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5A47D011"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27,820</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10060B4C"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Riverside</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52EC2465"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$50,635,154.05</w:t>
            </w:r>
          </w:p>
        </w:tc>
      </w:tr>
      <w:tr w:rsidRPr="00B00C5A" w:rsidR="00A13D1F" w:rsidTr="00EA2353" w14:paraId="5B02D7C9"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6C732343"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t>15</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181CB0C3"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20,552</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1FB5E037"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Sacramento</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1F675A60"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$38,712,929.04</w:t>
            </w:r>
          </w:p>
        </w:tc>
      </w:tr>
      <w:tr w:rsidRPr="00B00C5A" w:rsidR="00A13D1F" w:rsidTr="00EA2353" w14:paraId="73875F0D"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171D1BBB"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t>16</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52BD8304"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33,335</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4B57FF21"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San Bernardino</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09E36431"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$59,681,806.62</w:t>
            </w:r>
          </w:p>
        </w:tc>
      </w:tr>
      <w:tr w:rsidRPr="00B00C5A" w:rsidR="00A13D1F" w:rsidTr="00EA2353" w14:paraId="2F02D538"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2B5658DB"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t>17</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2A9B8906"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46,512</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2BE47F40"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San Diego</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77F28C71"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$81,296,990.84</w:t>
            </w:r>
          </w:p>
        </w:tc>
      </w:tr>
      <w:tr w:rsidRPr="00B00C5A" w:rsidR="00A13D1F" w:rsidTr="00EA2353" w14:paraId="34849EBD"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1ABA9D16"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lastRenderedPageBreak/>
              <w:t>18</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0429235F"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3,288</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393EA6D7"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San Francisco</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339349D7"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$10,393,543.73</w:t>
            </w:r>
          </w:p>
        </w:tc>
      </w:tr>
      <w:tr w:rsidRPr="00B00C5A" w:rsidR="00A13D1F" w:rsidTr="00EA2353" w14:paraId="4EFC9950"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5ECA8622"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19</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1A88BF83"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14,896</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0B27D36B"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San Joaquin</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11E666A6"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$29,434,983.99</w:t>
            </w:r>
          </w:p>
        </w:tc>
      </w:tr>
      <w:tr w:rsidRPr="00B00C5A" w:rsidR="00A13D1F" w:rsidTr="00EA2353" w14:paraId="4CD912BC"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4B9275F1"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20</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4CC37D42"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10,575</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02A93D99"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San Luis Obispo</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31ACCA49"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$22,346,935.80</w:t>
            </w:r>
          </w:p>
        </w:tc>
      </w:tr>
      <w:tr w:rsidRPr="00B00C5A" w:rsidR="00A13D1F" w:rsidTr="00EA2353" w14:paraId="3BCA7A75"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3EB09A54"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t>21</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181D4ECD"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3,307</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3764D07C"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San Mateo</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319EFFDC"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$10,424,710.80</w:t>
            </w:r>
          </w:p>
        </w:tc>
      </w:tr>
      <w:tr w:rsidRPr="00B00C5A" w:rsidR="00A13D1F" w:rsidTr="00EA2353" w14:paraId="436F1E6C"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61C8A4AE"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t>22</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6962A0AB"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6,627</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07BAAAD3"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Santa Barbara</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1F3806F1"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$15,870,746.44</w:t>
            </w:r>
          </w:p>
        </w:tc>
      </w:tr>
      <w:tr w:rsidRPr="00B00C5A" w:rsidR="00A13D1F" w:rsidTr="00EA2353" w14:paraId="6B88B448"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18EEEB08"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23</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20BB448F"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18,907</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4B41F3B2"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Santa Clara</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3C2ED406"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$36,014,516.81</w:t>
            </w:r>
          </w:p>
        </w:tc>
      </w:tr>
      <w:tr w:rsidRPr="00B00C5A" w:rsidR="00A13D1F" w:rsidTr="00EA2353" w14:paraId="65B6A12B"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767920A5"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24</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1FE648C3"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3,245</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60822D31"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Santa Cruz</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7D0C8E28"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$10,323,007.72</w:t>
            </w:r>
          </w:p>
        </w:tc>
      </w:tr>
      <w:tr w:rsidRPr="00B00C5A" w:rsidR="00A13D1F" w:rsidTr="00EA2353" w14:paraId="6955F10A"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2A51EC94"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25</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23EDAA35"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16,729</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6FA76ED2"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Shasta</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055357A4"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$32,441,786.20</w:t>
            </w:r>
          </w:p>
        </w:tc>
      </w:tr>
      <w:tr w:rsidRPr="00B00C5A" w:rsidR="00A13D1F" w:rsidTr="00EA2353" w14:paraId="3748C941"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210CEAE5"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26</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079C1A01"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7,320</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0A9E3E6E"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Solano</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73CDBFEC"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$17,007,524.36</w:t>
            </w:r>
          </w:p>
        </w:tc>
      </w:tr>
      <w:tr w:rsidRPr="00B00C5A" w:rsidR="00A13D1F" w:rsidTr="00EA2353" w14:paraId="5AAC5853"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7E5D9AA7"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27</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6802E2EA"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8,677</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51C81ABA"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Sonoma</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04B624BF"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$19,233,509.41</w:t>
            </w:r>
          </w:p>
        </w:tc>
      </w:tr>
      <w:tr w:rsidRPr="00B00C5A" w:rsidR="00A13D1F" w:rsidTr="00EA2353" w14:paraId="1438C7D5"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20C5570C"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28</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4DA93A9B"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12,407</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703A1E94"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Stanislaus</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00B3FE8B"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$25,352,097.64</w:t>
            </w:r>
          </w:p>
        </w:tc>
      </w:tr>
      <w:tr w:rsidRPr="00B00C5A" w:rsidR="00A13D1F" w:rsidTr="00EA2353" w14:paraId="46175E57"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6156E5BC"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29</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5DB83AD8"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24,463</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7FB65505"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Tulare</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10E897E1"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$45,128,424.64</w:t>
            </w:r>
          </w:p>
        </w:tc>
      </w:tr>
      <w:tr w:rsidRPr="00B00C5A" w:rsidR="00A13D1F" w:rsidTr="00EA2353" w14:paraId="197A81E0" w14:textId="77777777">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gridAfter w:val="1"/>
          <w:wAfter w:w="23" w:type="dxa"/>
          <w:trHeight w:val="320"/>
          <w:jc w:val="center"/>
        </w:trPr>
        <w:tc>
          <w:tcPr>
            <w:tcW w:w="1237" w:type="dxa"/>
            <w:tcBorders>
              <w:left w:val="single" w:color="000000" w:sz="18" w:space="0"/>
            </w:tcBorders>
            <w:shd w:val="clear" w:color="auto" w:fill="auto"/>
          </w:tcPr>
          <w:p w:rsidRPr="00F34F2D" w:rsidR="00A13D1F" w:rsidP="00EA2353" w:rsidRDefault="00A13D1F" w14:paraId="098B1403"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30</w:t>
            </w:r>
          </w:p>
        </w:tc>
        <w:tc>
          <w:tcPr>
            <w:tcW w:w="1530" w:type="dxa"/>
            <w:shd w:val="clear" w:color="auto" w:fill="auto"/>
          </w:tcPr>
          <w:p w:rsidRPr="00F34F2D" w:rsidR="00A13D1F" w:rsidP="00EA2353" w:rsidRDefault="00A13D1F" w14:paraId="378B79DA"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9,365</w:t>
            </w:r>
          </w:p>
        </w:tc>
        <w:tc>
          <w:tcPr>
            <w:tcW w:w="1800" w:type="dxa"/>
            <w:shd w:val="clear" w:color="auto" w:fill="auto"/>
          </w:tcPr>
          <w:p w:rsidRPr="00F34F2D" w:rsidR="00A13D1F" w:rsidP="00EA2353" w:rsidRDefault="00A13D1F" w14:paraId="7CCE73F6"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Ventura</w:t>
            </w:r>
          </w:p>
        </w:tc>
        <w:tc>
          <w:tcPr>
            <w:tcW w:w="3060" w:type="dxa"/>
            <w:tcBorders>
              <w:right w:val="single" w:color="000000" w:sz="18" w:space="0"/>
            </w:tcBorders>
            <w:shd w:val="clear" w:color="auto" w:fill="auto"/>
          </w:tcPr>
          <w:p w:rsidRPr="00F34F2D" w:rsidR="00A13D1F" w:rsidP="00EA2353" w:rsidRDefault="00A13D1F" w14:paraId="1743A76B"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$20,362,085.47</w:t>
            </w:r>
          </w:p>
        </w:tc>
      </w:tr>
      <w:tr w:rsidRPr="00B00C5A" w:rsidR="00A13D1F" w:rsidTr="00EA2353" w14:paraId="4C798347" w14:textId="77777777">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gridAfter w:val="1"/>
          <w:wAfter w:w="23" w:type="dxa"/>
          <w:trHeight w:val="318"/>
          <w:jc w:val="center"/>
        </w:trPr>
        <w:tc>
          <w:tcPr>
            <w:tcW w:w="1237" w:type="dxa"/>
            <w:tcBorders>
              <w:left w:val="single" w:color="000000" w:sz="18" w:space="0"/>
              <w:bottom w:val="double" w:color="000000" w:sz="6" w:space="0"/>
            </w:tcBorders>
            <w:shd w:val="clear" w:color="auto" w:fill="auto"/>
          </w:tcPr>
          <w:p w:rsidRPr="00F34F2D" w:rsidR="00A13D1F" w:rsidP="00EA2353" w:rsidRDefault="00A13D1F" w14:paraId="0BD5253A" w14:textId="77777777">
            <w:pPr>
              <w:pStyle w:val="TableParagraph"/>
              <w:spacing w:before="39" w:line="259" w:lineRule="exact"/>
              <w:ind w:right="72"/>
              <w:rPr>
                <w:rFonts w:ascii="Book Antiqua" w:hAnsi="Book Antiqua" w:cstheme="minorHAnsi"/>
                <w:sz w:val="24"/>
                <w:szCs w:val="24"/>
              </w:rPr>
            </w:pPr>
            <w:r w:rsidRPr="00F34F2D">
              <w:rPr>
                <w:rFonts w:ascii="Book Antiqua" w:hAnsi="Book Antiqua" w:cstheme="minorHAnsi"/>
                <w:sz w:val="24"/>
                <w:szCs w:val="24"/>
              </w:rPr>
              <w:t>31</w:t>
            </w:r>
          </w:p>
        </w:tc>
        <w:tc>
          <w:tcPr>
            <w:tcW w:w="1530" w:type="dxa"/>
            <w:tcBorders>
              <w:bottom w:val="double" w:color="000000" w:sz="6" w:space="0"/>
            </w:tcBorders>
            <w:shd w:val="clear" w:color="auto" w:fill="auto"/>
          </w:tcPr>
          <w:p w:rsidRPr="00F34F2D" w:rsidR="00A13D1F" w:rsidP="00EA2353" w:rsidRDefault="00A13D1F" w14:paraId="0B01D40D" w14:textId="77777777">
            <w:pPr>
              <w:pStyle w:val="TableParagraph"/>
              <w:spacing w:before="39" w:line="259" w:lineRule="exact"/>
              <w:ind w:right="70"/>
              <w:rPr>
                <w:rFonts w:ascii="Book Antiqua" w:hAnsi="Book Antiqua" w:cstheme="minorHAnsi"/>
                <w:sz w:val="24"/>
                <w:szCs w:val="24"/>
              </w:rPr>
            </w:pPr>
            <w:r w:rsidRPr="00F34F2D">
              <w:rPr>
                <w:rFonts w:ascii="Book Antiqua" w:hAnsi="Book Antiqua" w:cstheme="minorHAnsi"/>
                <w:sz w:val="24"/>
                <w:szCs w:val="24"/>
              </w:rPr>
              <w:t>6,335</w:t>
            </w:r>
          </w:p>
        </w:tc>
        <w:tc>
          <w:tcPr>
            <w:tcW w:w="1800" w:type="dxa"/>
            <w:tcBorders>
              <w:bottom w:val="double" w:color="000000" w:sz="6" w:space="0"/>
            </w:tcBorders>
            <w:shd w:val="clear" w:color="auto" w:fill="auto"/>
          </w:tcPr>
          <w:p w:rsidRPr="00F34F2D" w:rsidR="00A13D1F" w:rsidP="00EA2353" w:rsidRDefault="00A13D1F" w14:paraId="6030B01E" w14:textId="77777777">
            <w:pPr>
              <w:pStyle w:val="TableParagraph"/>
              <w:spacing w:before="39" w:line="259" w:lineRule="exact"/>
              <w:ind w:left="112"/>
              <w:jc w:val="left"/>
              <w:rPr>
                <w:rFonts w:ascii="Book Antiqua" w:hAnsi="Book Antiqua" w:cstheme="minorHAnsi"/>
                <w:sz w:val="24"/>
                <w:szCs w:val="24"/>
              </w:rPr>
            </w:pPr>
            <w:r w:rsidRPr="00F34F2D">
              <w:rPr>
                <w:rFonts w:ascii="Book Antiqua" w:hAnsi="Book Antiqua" w:cstheme="minorHAnsi"/>
                <w:sz w:val="24"/>
                <w:szCs w:val="24"/>
              </w:rPr>
              <w:t>Yolo</w:t>
            </w:r>
          </w:p>
        </w:tc>
        <w:tc>
          <w:tcPr>
            <w:tcW w:w="3060" w:type="dxa"/>
            <w:tcBorders>
              <w:bottom w:val="double" w:color="000000" w:sz="6" w:space="0"/>
              <w:right w:val="single" w:color="000000" w:sz="18" w:space="0"/>
            </w:tcBorders>
            <w:shd w:val="clear" w:color="auto" w:fill="auto"/>
          </w:tcPr>
          <w:p w:rsidRPr="00F34F2D" w:rsidR="00A13D1F" w:rsidP="00EA2353" w:rsidRDefault="00A13D1F" w14:paraId="46E14DFB" w14:textId="77777777">
            <w:pPr>
              <w:pStyle w:val="TableParagraph"/>
              <w:spacing w:before="39" w:line="259" w:lineRule="exact"/>
              <w:ind w:right="60"/>
              <w:rPr>
                <w:rFonts w:ascii="Book Antiqua" w:hAnsi="Book Antiqua" w:cstheme="minorHAnsi"/>
                <w:sz w:val="24"/>
                <w:szCs w:val="24"/>
              </w:rPr>
            </w:pPr>
            <w:r w:rsidRPr="00F34F2D">
              <w:rPr>
                <w:rFonts w:ascii="Book Antiqua" w:hAnsi="Book Antiqua" w:cstheme="minorHAnsi"/>
                <w:sz w:val="24"/>
                <w:szCs w:val="24"/>
              </w:rPr>
              <w:t>$15,391,757.76</w:t>
            </w:r>
          </w:p>
        </w:tc>
      </w:tr>
      <w:tr w:rsidRPr="00B00C5A" w:rsidR="00A13D1F" w:rsidTr="00EA2353" w14:paraId="0D59F12C" w14:textId="77777777">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gridAfter w:val="1"/>
          <w:wAfter w:w="23" w:type="dxa"/>
          <w:trHeight w:val="322"/>
          <w:jc w:val="center"/>
        </w:trPr>
        <w:tc>
          <w:tcPr>
            <w:tcW w:w="1237" w:type="dxa"/>
            <w:tcBorders>
              <w:top w:val="double" w:color="000000" w:sz="6" w:space="0"/>
              <w:left w:val="single" w:color="000000" w:sz="18" w:space="0"/>
              <w:bottom w:val="single" w:color="000000" w:sz="18" w:space="0"/>
            </w:tcBorders>
          </w:tcPr>
          <w:p w:rsidRPr="00F34F2D" w:rsidR="00A13D1F" w:rsidP="00EA2353" w:rsidRDefault="00A13D1F" w14:paraId="6CAE269D" w14:textId="77777777">
            <w:pPr>
              <w:pStyle w:val="TableParagraph"/>
              <w:spacing w:before="42" w:line="261" w:lineRule="exact"/>
              <w:ind w:left="107"/>
              <w:jc w:val="left"/>
              <w:rPr>
                <w:rFonts w:ascii="Book Antiqua" w:hAnsi="Book Antiqua" w:cstheme="minorHAnsi"/>
                <w:b/>
                <w:sz w:val="24"/>
                <w:szCs w:val="24"/>
              </w:rPr>
            </w:pPr>
            <w:r w:rsidRPr="00F34F2D">
              <w:rPr>
                <w:rFonts w:ascii="Book Antiqua" w:hAnsi="Book Antiqua" w:cstheme="minorHAnsi"/>
                <w:b/>
                <w:sz w:val="24"/>
                <w:szCs w:val="24"/>
              </w:rPr>
              <w:t>TOTAL</w:t>
            </w:r>
          </w:p>
        </w:tc>
        <w:tc>
          <w:tcPr>
            <w:tcW w:w="1530" w:type="dxa"/>
            <w:tcBorders>
              <w:top w:val="double" w:color="000000" w:sz="6" w:space="0"/>
              <w:bottom w:val="single" w:color="000000" w:sz="18" w:space="0"/>
            </w:tcBorders>
          </w:tcPr>
          <w:p w:rsidRPr="00F34F2D" w:rsidR="00A13D1F" w:rsidP="00EA2353" w:rsidRDefault="00A13D1F" w14:paraId="700C3D7C" w14:textId="77777777">
            <w:pPr>
              <w:pStyle w:val="TableParagraph"/>
              <w:spacing w:before="42" w:line="261" w:lineRule="exact"/>
              <w:ind w:right="70"/>
              <w:rPr>
                <w:rFonts w:ascii="Book Antiqua" w:hAnsi="Book Antiqua" w:cstheme="minorHAnsi"/>
                <w:b/>
                <w:sz w:val="24"/>
                <w:szCs w:val="24"/>
              </w:rPr>
            </w:pPr>
            <w:r w:rsidRPr="00F34F2D">
              <w:rPr>
                <w:rFonts w:ascii="Book Antiqua" w:hAnsi="Book Antiqua" w:cstheme="minorHAnsi"/>
                <w:b/>
                <w:sz w:val="24"/>
                <w:szCs w:val="24"/>
              </w:rPr>
              <w:t>515,127</w:t>
            </w:r>
          </w:p>
        </w:tc>
        <w:tc>
          <w:tcPr>
            <w:tcW w:w="1800" w:type="dxa"/>
            <w:tcBorders>
              <w:top w:val="double" w:color="000000" w:sz="6" w:space="0"/>
              <w:bottom w:val="single" w:color="000000" w:sz="18" w:space="0"/>
            </w:tcBorders>
          </w:tcPr>
          <w:p w:rsidRPr="00F34F2D" w:rsidR="00A13D1F" w:rsidP="00EA2353" w:rsidRDefault="00A13D1F" w14:paraId="209F9FFB" w14:textId="77777777">
            <w:pPr>
              <w:pStyle w:val="TableParagraph"/>
              <w:spacing w:line="240" w:lineRule="auto"/>
              <w:jc w:val="left"/>
              <w:rPr>
                <w:rFonts w:ascii="Book Antiqua" w:hAnsi="Book Antiqua" w:cstheme="minorHAnsi"/>
                <w:sz w:val="24"/>
                <w:szCs w:val="24"/>
              </w:rPr>
            </w:pPr>
          </w:p>
        </w:tc>
        <w:tc>
          <w:tcPr>
            <w:tcW w:w="3060" w:type="dxa"/>
            <w:tcBorders>
              <w:top w:val="double" w:color="000000" w:sz="6" w:space="0"/>
              <w:bottom w:val="single" w:color="000000" w:sz="18" w:space="0"/>
              <w:right w:val="single" w:color="000000" w:sz="18" w:space="0"/>
            </w:tcBorders>
          </w:tcPr>
          <w:p w:rsidRPr="00F34F2D" w:rsidR="00A13D1F" w:rsidP="00EA2353" w:rsidRDefault="00A13D1F" w14:paraId="26C9233F" w14:textId="77777777">
            <w:pPr>
              <w:pStyle w:val="TableParagraph"/>
              <w:spacing w:before="42" w:line="261" w:lineRule="exact"/>
              <w:ind w:right="60"/>
              <w:rPr>
                <w:rFonts w:ascii="Book Antiqua" w:hAnsi="Book Antiqua" w:cstheme="minorHAnsi"/>
                <w:b/>
                <w:sz w:val="24"/>
                <w:szCs w:val="24"/>
              </w:rPr>
            </w:pPr>
            <w:r w:rsidRPr="00F34F2D">
              <w:rPr>
                <w:rFonts w:ascii="Book Antiqua" w:hAnsi="Book Antiqua" w:cstheme="minorHAnsi"/>
                <w:b/>
                <w:sz w:val="24"/>
                <w:szCs w:val="24"/>
              </w:rPr>
              <w:t>$999,999,999.97</w:t>
            </w:r>
          </w:p>
        </w:tc>
      </w:tr>
    </w:tbl>
    <w:p w:rsidRPr="00E2217E" w:rsidR="00A13D1F" w:rsidP="00A13D1F" w:rsidRDefault="00A13D1F" w14:paraId="4E85CAD3" w14:textId="77777777">
      <w:pPr>
        <w:pStyle w:val="Standard"/>
        <w:rPr>
          <w:sz w:val="6"/>
          <w:szCs w:val="6"/>
        </w:rPr>
      </w:pPr>
    </w:p>
    <w:p w:rsidR="00A13D1F" w:rsidP="00E2217E" w:rsidRDefault="00A13D1F" w14:paraId="7DC2D013" w14:textId="59D67287">
      <w:pPr>
        <w:pStyle w:val="Heading1"/>
      </w:pPr>
      <w:bookmarkStart w:name="_Toc94461519" w:id="40"/>
      <w:bookmarkStart w:name="_Toc94461520" w:id="41"/>
      <w:bookmarkStart w:name="_Toc94461521" w:id="42"/>
      <w:bookmarkStart w:name="_Toc94461522" w:id="43"/>
      <w:bookmarkStart w:name="_Toc94637194" w:id="44"/>
      <w:bookmarkStart w:name="_Toc101519074" w:id="45"/>
      <w:bookmarkEnd w:id="40"/>
      <w:bookmarkEnd w:id="41"/>
      <w:bookmarkEnd w:id="42"/>
      <w:bookmarkEnd w:id="43"/>
      <w:r w:rsidRPr="00E2217E">
        <w:t>Application</w:t>
      </w:r>
      <w:r>
        <w:t xml:space="preserve"> Evaluation </w:t>
      </w:r>
      <w:r w:rsidRPr="001C4D21">
        <w:t>Criteria</w:t>
      </w:r>
      <w:bookmarkEnd w:id="44"/>
      <w:bookmarkEnd w:id="45"/>
    </w:p>
    <w:p w:rsidR="00A13D1F" w:rsidP="00A13D1F" w:rsidRDefault="00A13D1F" w14:paraId="35B5576C" w14:textId="77777777">
      <w:pPr>
        <w:pStyle w:val="Standard"/>
      </w:pPr>
      <w:r>
        <w:t>Consistent with federal rules, the ACR proposed that approved projects must deliver, upon project completion, service that reliably meets or exceeds symmetrical upload and download speeds of 100 Mbps.</w:t>
      </w:r>
      <w:r>
        <w:rPr>
          <w:rStyle w:val="FootnoteReference"/>
        </w:rPr>
        <w:footnoteReference w:id="29"/>
      </w:r>
      <w:r>
        <w:t xml:space="preserve">  </w:t>
      </w:r>
    </w:p>
    <w:p w:rsidR="00A13D1F" w:rsidP="00A13D1F" w:rsidRDefault="00A13D1F" w14:paraId="08E7A114" w14:textId="77777777">
      <w:pPr>
        <w:pStyle w:val="Standard"/>
      </w:pPr>
      <w:r>
        <w:t>The ACR also proposes the following evaluation criteria for project applications:</w:t>
      </w:r>
    </w:p>
    <w:p w:rsidR="00A13D1F" w:rsidP="000A5FED" w:rsidRDefault="00A13D1F" w14:paraId="391B43BF" w14:textId="77777777">
      <w:pPr>
        <w:pStyle w:val="Standard"/>
        <w:numPr>
          <w:ilvl w:val="0"/>
          <w:numId w:val="26"/>
        </w:numPr>
        <w:spacing w:after="120" w:line="240" w:lineRule="auto"/>
        <w:ind w:right="1440"/>
      </w:pPr>
      <w:r>
        <w:t>10 points for applications with matching funds;</w:t>
      </w:r>
    </w:p>
    <w:p w:rsidR="00A13D1F" w:rsidP="000A5FED" w:rsidRDefault="00A13D1F" w14:paraId="6602DB2A" w14:textId="77777777">
      <w:pPr>
        <w:pStyle w:val="Standard"/>
        <w:numPr>
          <w:ilvl w:val="0"/>
          <w:numId w:val="26"/>
        </w:numPr>
        <w:spacing w:after="120" w:line="240" w:lineRule="auto"/>
        <w:ind w:right="1440"/>
      </w:pPr>
      <w:r>
        <w:t>10 points for applications proposing fiber optic infrastructure;</w:t>
      </w:r>
    </w:p>
    <w:p w:rsidR="00A13D1F" w:rsidP="000A5FED" w:rsidRDefault="00A13D1F" w14:paraId="169EBFDD" w14:textId="77777777">
      <w:pPr>
        <w:pStyle w:val="Standard"/>
        <w:numPr>
          <w:ilvl w:val="0"/>
          <w:numId w:val="26"/>
        </w:numPr>
        <w:spacing w:after="120" w:line="240" w:lineRule="auto"/>
        <w:ind w:right="1440"/>
      </w:pPr>
      <w:r>
        <w:lastRenderedPageBreak/>
        <w:t>10 points for an application proposing to build a broadband network owned, operated by, or affiliated with local governments, non- profits, Tribe, and cooperatives;</w:t>
      </w:r>
    </w:p>
    <w:p w:rsidR="00A13D1F" w:rsidP="000A5FED" w:rsidRDefault="00A13D1F" w14:paraId="63334073" w14:textId="77777777">
      <w:pPr>
        <w:pStyle w:val="Standard"/>
        <w:numPr>
          <w:ilvl w:val="0"/>
          <w:numId w:val="26"/>
        </w:numPr>
        <w:spacing w:after="120" w:line="240" w:lineRule="auto"/>
        <w:ind w:right="1440"/>
      </w:pPr>
      <w:r>
        <w:t>10 points for applications that integrate two or more affordability options (</w:t>
      </w:r>
      <w:r w:rsidRPr="00BA007C">
        <w:rPr>
          <w:i/>
          <w:iCs/>
        </w:rPr>
        <w:t>e.g</w:t>
      </w:r>
      <w:r>
        <w:t>., affordable offer, low-income plan, California LifeLine, federal Lifeline, and/or the Emergency Broadband Benefit or its successor);</w:t>
      </w:r>
      <w:r>
        <w:rPr>
          <w:rStyle w:val="FootnoteReference"/>
        </w:rPr>
        <w:footnoteReference w:id="30"/>
      </w:r>
    </w:p>
    <w:p w:rsidR="00A13D1F" w:rsidP="000A5FED" w:rsidRDefault="00A13D1F" w14:paraId="403C5A56" w14:textId="77777777">
      <w:pPr>
        <w:pStyle w:val="Standard"/>
        <w:numPr>
          <w:ilvl w:val="0"/>
          <w:numId w:val="26"/>
        </w:numPr>
        <w:spacing w:after="120" w:line="240" w:lineRule="auto"/>
        <w:ind w:right="1440"/>
      </w:pPr>
      <w:r>
        <w:t>40 points for an application proposing to serve an area identified by the Commission’s Communications Division;</w:t>
      </w:r>
      <w:r>
        <w:rPr>
          <w:rStyle w:val="FootnoteReference"/>
        </w:rPr>
        <w:footnoteReference w:id="31"/>
      </w:r>
    </w:p>
    <w:p w:rsidR="00A13D1F" w:rsidP="000A5FED" w:rsidRDefault="00A13D1F" w14:paraId="666277EC" w14:textId="77777777">
      <w:pPr>
        <w:pStyle w:val="Standard"/>
        <w:numPr>
          <w:ilvl w:val="0"/>
          <w:numId w:val="26"/>
        </w:numPr>
        <w:spacing w:after="120" w:line="240" w:lineRule="auto"/>
        <w:ind w:right="1440"/>
      </w:pPr>
      <w:r>
        <w:t>10 points for applications that demonstrates the financial, technical, and operational capacity to execute the project successfully and complete on time; and</w:t>
      </w:r>
    </w:p>
    <w:p w:rsidR="00A13D1F" w:rsidP="000A5FED" w:rsidRDefault="00A13D1F" w14:paraId="6A9F7B0A" w14:textId="77777777">
      <w:pPr>
        <w:pStyle w:val="Standard"/>
        <w:numPr>
          <w:ilvl w:val="0"/>
          <w:numId w:val="26"/>
        </w:numPr>
        <w:spacing w:after="120" w:line="240" w:lineRule="auto"/>
        <w:ind w:right="1440"/>
      </w:pPr>
      <w:r>
        <w:t>10 points for applications that demonstrate a well-planned project with a reasonable budget that shows it will deliver speeds and service proposed and be sufficiently robust to meet increasing demand for bandwidth will receive credit.</w:t>
      </w:r>
    </w:p>
    <w:p w:rsidR="00A13D1F" w:rsidP="00D931CA" w:rsidRDefault="00A13D1F" w14:paraId="03401477" w14:textId="15D79081">
      <w:pPr>
        <w:pStyle w:val="Standard"/>
      </w:pPr>
      <w:r>
        <w:t xml:space="preserve">The </w:t>
      </w:r>
      <w:r w:rsidRPr="00D931CA">
        <w:t>Commission</w:t>
      </w:r>
      <w:r>
        <w:t xml:space="preserve"> reserves the right to reject any application and</w:t>
      </w:r>
    </w:p>
    <w:p w:rsidR="00A13D1F" w:rsidP="00A13D1F" w:rsidRDefault="00A13D1F" w14:paraId="4C5DC6F0" w14:textId="77777777">
      <w:pPr>
        <w:pStyle w:val="Standard"/>
        <w:ind w:firstLine="0"/>
      </w:pPr>
      <w:r>
        <w:t>determine the terms of a grant award, including the award amount, with the</w:t>
      </w:r>
    </w:p>
    <w:p w:rsidR="00A13D1F" w:rsidP="00A13D1F" w:rsidRDefault="00A13D1F" w14:paraId="44A5B763" w14:textId="77777777">
      <w:pPr>
        <w:pStyle w:val="Standard"/>
        <w:ind w:firstLine="0"/>
      </w:pPr>
      <w:r>
        <w:t>selected applicant prior to offering the grant. If negotiations cannot be concluded</w:t>
      </w:r>
    </w:p>
    <w:p w:rsidR="00A13D1F" w:rsidP="00A13D1F" w:rsidRDefault="00A13D1F" w14:paraId="24792569" w14:textId="77777777">
      <w:pPr>
        <w:pStyle w:val="Standard"/>
        <w:ind w:firstLine="0"/>
      </w:pPr>
      <w:r>
        <w:t>successfully with an applicant, as determined solely by the Commission, the Commission may withdraw its award offer.</w:t>
      </w:r>
    </w:p>
    <w:p w:rsidR="00A13D1F" w:rsidP="00D931CA" w:rsidRDefault="00A13D1F" w14:paraId="569CFBD1" w14:textId="605DDCFA">
      <w:pPr>
        <w:pStyle w:val="Heading2"/>
      </w:pPr>
      <w:bookmarkStart w:name="_Toc94637195" w:id="46"/>
      <w:bookmarkStart w:name="_Toc101519075" w:id="47"/>
      <w:r w:rsidRPr="00D931CA">
        <w:t>Party</w:t>
      </w:r>
      <w:r>
        <w:t xml:space="preserve"> Positions</w:t>
      </w:r>
      <w:bookmarkEnd w:id="46"/>
      <w:bookmarkEnd w:id="47"/>
    </w:p>
    <w:p w:rsidR="00A13D1F" w:rsidP="00D931CA" w:rsidRDefault="00A13D1F" w14:paraId="5F75767D" w14:textId="77777777">
      <w:pPr>
        <w:pStyle w:val="Standard"/>
      </w:pPr>
      <w:r>
        <w:t xml:space="preserve">Parties </w:t>
      </w:r>
      <w:r w:rsidRPr="00D931CA">
        <w:t>propose</w:t>
      </w:r>
      <w:r>
        <w:t xml:space="preserve"> a number of changes to the evaluation criteria.</w:t>
      </w:r>
    </w:p>
    <w:p w:rsidR="00A13D1F" w:rsidP="00A13D1F" w:rsidRDefault="00A13D1F" w14:paraId="384F7306" w14:textId="77777777">
      <w:pPr>
        <w:pStyle w:val="Standard"/>
      </w:pPr>
      <w:r>
        <w:t>CENIC notes the proposed evaluation criteria do not indicate how point values will be awarded to applicants and appear to award points on an all or nothing basis.</w:t>
      </w:r>
    </w:p>
    <w:p w:rsidR="00A13D1F" w:rsidP="00D931CA" w:rsidRDefault="00A13D1F" w14:paraId="5AFC904F" w14:textId="77777777">
      <w:pPr>
        <w:pStyle w:val="Standard"/>
      </w:pPr>
      <w:r>
        <w:lastRenderedPageBreak/>
        <w:t xml:space="preserve">GeoLink, Joint WISPs, and Verizon support eliminating the 10-point preference for fiber. Verizon supports reducing or eliminating the 10-point preference provided to partnerships with local government, Tribes, nonprofit entities, and cooperatives, asserting that the Commission should grant preference or credits based on a track record of </w:t>
      </w:r>
      <w:r w:rsidRPr="00D931CA">
        <w:t>successful</w:t>
      </w:r>
      <w:r>
        <w:t xml:space="preserve"> broadband deployment, on entities proven ability to construct and manage broadband infrastructure. While TURN supports providing funding criteria for these partnerships, TURN urges the Commission be cautious about expending significant time or resources to try to incentivize private providers to participate in this realm and should closely review the proposed partnership to ensure that the public agency is a true partner in the project.</w:t>
      </w:r>
      <w:r w:rsidRPr="001B7D89">
        <w:t xml:space="preserve"> </w:t>
      </w:r>
      <w:r>
        <w:t xml:space="preserve">LAEDC and TURN oppose </w:t>
      </w:r>
      <w:r w:rsidRPr="00805C54">
        <w:t>requir</w:t>
      </w:r>
      <w:r>
        <w:t>ing</w:t>
      </w:r>
      <w:r w:rsidRPr="00805C54">
        <w:t xml:space="preserve"> applicants </w:t>
      </w:r>
      <w:r>
        <w:t>find</w:t>
      </w:r>
      <w:r w:rsidRPr="00805C54">
        <w:t xml:space="preserve"> matching or additional funds</w:t>
      </w:r>
      <w:r>
        <w:t xml:space="preserve"> for FFA projects, as these may</w:t>
      </w:r>
      <w:r w:rsidRPr="00805C54">
        <w:t xml:space="preserve"> preclude small</w:t>
      </w:r>
      <w:r>
        <w:t>er, but nonetheless</w:t>
      </w:r>
      <w:r w:rsidRPr="00805C54">
        <w:t xml:space="preserve"> vital projects</w:t>
      </w:r>
      <w:r>
        <w:t>.</w:t>
      </w:r>
    </w:p>
    <w:p w:rsidR="00A13D1F" w:rsidP="00D931CA" w:rsidRDefault="00A13D1F" w14:paraId="26390C74" w14:textId="77777777">
      <w:pPr>
        <w:pStyle w:val="Standard"/>
      </w:pPr>
      <w:r>
        <w:t>Cal Advocates and RCRC support a</w:t>
      </w:r>
      <w:r w:rsidRPr="00E955A8">
        <w:t>ward</w:t>
      </w:r>
      <w:r>
        <w:t>ing</w:t>
      </w:r>
      <w:r w:rsidRPr="00E955A8">
        <w:t xml:space="preserve"> </w:t>
      </w:r>
      <w:r>
        <w:t xml:space="preserve">additional points to proposed </w:t>
      </w:r>
      <w:r w:rsidRPr="00E955A8">
        <w:t xml:space="preserve">projects </w:t>
      </w:r>
      <w:r>
        <w:t xml:space="preserve">in areas </w:t>
      </w:r>
      <w:r w:rsidRPr="00E955A8">
        <w:t>with</w:t>
      </w:r>
      <w:r>
        <w:t xml:space="preserve">out access to broadband Internet service at speeds of 10/1 Mbps, and to applications proposing to </w:t>
      </w:r>
      <w:r w:rsidRPr="00D931CA">
        <w:t>serve</w:t>
      </w:r>
      <w:r>
        <w:t xml:space="preserve"> marginalized communities. RCRC further suggests </w:t>
      </w:r>
      <w:r w:rsidRPr="00EF6032">
        <w:t>prioritizing areas lacking sufficient mobile wireless coverage as these areas typically prone to natural disasters</w:t>
      </w:r>
      <w:r>
        <w:t xml:space="preserve">. GeoLinks proposes </w:t>
      </w:r>
      <w:r w:rsidRPr="00BE7A49">
        <w:t>making additional points available for applicants that leverage federal funding from other grant programs.</w:t>
      </w:r>
    </w:p>
    <w:p w:rsidR="00A13D1F" w:rsidP="00D931CA" w:rsidRDefault="00A13D1F" w14:paraId="759F8B3D" w14:textId="77777777">
      <w:pPr>
        <w:pStyle w:val="Standard"/>
      </w:pPr>
      <w:r>
        <w:t xml:space="preserve">Greenlining Institute recommends increasing the number of points offered for </w:t>
      </w:r>
      <w:r w:rsidRPr="003067A9">
        <w:t xml:space="preserve">affordability </w:t>
      </w:r>
      <w:r>
        <w:t>from up to ten</w:t>
      </w:r>
      <w:r w:rsidRPr="003067A9">
        <w:t xml:space="preserve"> </w:t>
      </w:r>
      <w:r>
        <w:t xml:space="preserve">points to up to </w:t>
      </w:r>
      <w:r w:rsidRPr="003067A9">
        <w:t>15.</w:t>
      </w:r>
      <w:r>
        <w:t xml:space="preserve"> SANDAG suggests the Commission </w:t>
      </w:r>
      <w:r w:rsidRPr="009662F6">
        <w:t>add additional credit</w:t>
      </w:r>
      <w:r>
        <w:t xml:space="preserve"> or </w:t>
      </w:r>
      <w:r w:rsidRPr="009662F6">
        <w:t xml:space="preserve">weight for </w:t>
      </w:r>
      <w:r>
        <w:t>the</w:t>
      </w:r>
      <w:r w:rsidRPr="009662F6">
        <w:t xml:space="preserve"> affordability requirement to ensure affordable options are thoughtfully integrated.</w:t>
      </w:r>
      <w:r>
        <w:t xml:space="preserve"> Until such time as the Commission revises LifeLine to </w:t>
      </w:r>
      <w:r w:rsidRPr="00D931CA">
        <w:t>include</w:t>
      </w:r>
      <w:r>
        <w:t xml:space="preserve"> broadband Internet service plans, Cal Advocates proposes that the Commission award FFA applicants for participation </w:t>
      </w:r>
      <w:r>
        <w:lastRenderedPageBreak/>
        <w:t xml:space="preserve">in LifeLine and </w:t>
      </w:r>
      <w:r w:rsidRPr="004655EB">
        <w:t xml:space="preserve">up to </w:t>
      </w:r>
      <w:r>
        <w:t>ten</w:t>
      </w:r>
      <w:r w:rsidRPr="004655EB">
        <w:t xml:space="preserve"> points for offering two or more affordable options including Lifeline and EBB.</w:t>
      </w:r>
      <w:r>
        <w:t xml:space="preserve"> San Francisco proposes the Commission award additional</w:t>
      </w:r>
      <w:r w:rsidRPr="00834A40">
        <w:t xml:space="preserve"> points to projects owned</w:t>
      </w:r>
      <w:r>
        <w:t xml:space="preserve"> or </w:t>
      </w:r>
      <w:r w:rsidRPr="00834A40">
        <w:t>operated by local government or non-profit</w:t>
      </w:r>
      <w:r>
        <w:t>s, as these entities have a longer-term perspective than private companies, with more points for local governments over non-profits</w:t>
      </w:r>
      <w:r w:rsidRPr="00834A40">
        <w:t xml:space="preserve">. </w:t>
      </w:r>
      <w:r>
        <w:t xml:space="preserve">CWA asserts the Commission should not give municipal broadband Internet networks preferential treatment. Rather, CWA argues that, with greater oversight and accountability, private companies are best for network deployment, having economies of scale and skilled workforces, while municipal and nonprofit broadband Internet network builds are not scalable, and often work best in small localities that own and operate an electric utility. CWA concedes, however, that public-private partnerships are a fast and efficient manner to deploy fiber to the home. </w:t>
      </w:r>
    </w:p>
    <w:p w:rsidR="00A13D1F" w:rsidP="00D931CA" w:rsidRDefault="00A13D1F" w14:paraId="04AD9FD8" w14:textId="77777777">
      <w:pPr>
        <w:pStyle w:val="Standard"/>
      </w:pPr>
      <w:r>
        <w:t>CCTA asserts that, a</w:t>
      </w:r>
      <w:r w:rsidRPr="00106C65">
        <w:t xml:space="preserve">s drafted, the Staff Proposal does not indicate how the proposed point system </w:t>
      </w:r>
      <w:r w:rsidRPr="00D931CA">
        <w:t>would</w:t>
      </w:r>
      <w:r w:rsidRPr="00106C65">
        <w:t xml:space="preserve"> be used</w:t>
      </w:r>
      <w:r>
        <w:t xml:space="preserve"> and that some of the </w:t>
      </w:r>
      <w:r w:rsidRPr="00106C65">
        <w:t>proposed criteria are basic application requirements</w:t>
      </w:r>
      <w:r>
        <w:t xml:space="preserve">. </w:t>
      </w:r>
      <w:r w:rsidRPr="00106C65">
        <w:t>CCTA</w:t>
      </w:r>
      <w:r>
        <w:t xml:space="preserve"> proposes an</w:t>
      </w:r>
      <w:r w:rsidRPr="00106C65">
        <w:t xml:space="preserve"> evaluation </w:t>
      </w:r>
      <w:r>
        <w:t>process that is only used</w:t>
      </w:r>
      <w:r w:rsidRPr="00106C65">
        <w:t xml:space="preserve"> when</w:t>
      </w:r>
      <w:r>
        <w:t xml:space="preserve"> either:</w:t>
      </w:r>
      <w:r w:rsidRPr="00106C65">
        <w:t xml:space="preserve"> 1) there are competing applications for the same proposed project area</w:t>
      </w:r>
      <w:r>
        <w:t>,</w:t>
      </w:r>
      <w:r w:rsidRPr="00106C65">
        <w:t xml:space="preserve"> or 2) </w:t>
      </w:r>
      <w:r>
        <w:t xml:space="preserve">the </w:t>
      </w:r>
      <w:r w:rsidRPr="00106C65">
        <w:t>total</w:t>
      </w:r>
      <w:r>
        <w:t xml:space="preserve"> amount of</w:t>
      </w:r>
      <w:r w:rsidRPr="00106C65">
        <w:t xml:space="preserve"> funds requested </w:t>
      </w:r>
      <w:r>
        <w:t xml:space="preserve">in applications </w:t>
      </w:r>
      <w:r w:rsidRPr="00106C65">
        <w:t>exceed</w:t>
      </w:r>
      <w:r>
        <w:t>s</w:t>
      </w:r>
      <w:r w:rsidRPr="00106C65">
        <w:t xml:space="preserve"> available funds.</w:t>
      </w:r>
      <w:r>
        <w:t xml:space="preserve"> CCTA contends its proposed process would prioritize  proposed projects that will connect the greater number of unserved households in a consortia region that has not met the 98 percent goal; proposed projects that will connect the greater number of unserved households that have no service or very slow service; proposed projects that are located in an urban county or rural county with a greater proportion, compared to other urban or rural counties respectively, of households without access to broadband internet access service </w:t>
      </w:r>
      <w:r>
        <w:lastRenderedPageBreak/>
        <w:t>with at least 100 Mbps download speed; and proposed projects that will provide the greater percentage of matching funds.</w:t>
      </w:r>
    </w:p>
    <w:p w:rsidR="00A13D1F" w:rsidP="00D931CA" w:rsidRDefault="00A13D1F" w14:paraId="13D9DE8A" w14:textId="77777777">
      <w:pPr>
        <w:pStyle w:val="Standard"/>
      </w:pPr>
      <w:r w:rsidRPr="00CF6987">
        <w:t>C</w:t>
      </w:r>
      <w:r>
        <w:t>CBC</w:t>
      </w:r>
      <w:r w:rsidRPr="00CF6987">
        <w:t xml:space="preserve"> </w:t>
      </w:r>
      <w:r w:rsidRPr="00D931CA">
        <w:t>recommends</w:t>
      </w:r>
      <w:r w:rsidRPr="00CF6987">
        <w:t xml:space="preserve"> the Commission focus more explicitly on reviewing applications in six months.</w:t>
      </w:r>
      <w:r w:rsidRPr="00927701">
        <w:t xml:space="preserve"> </w:t>
      </w:r>
    </w:p>
    <w:p w:rsidR="00A13D1F" w:rsidP="00A13D1F" w:rsidRDefault="00A13D1F" w14:paraId="283B0909" w14:textId="77777777">
      <w:pPr>
        <w:pStyle w:val="Standard"/>
      </w:pPr>
      <w:r w:rsidRPr="00D438E3">
        <w:t xml:space="preserve">Frederick L Pilot and SANDAG propose that the Commission prioritize last mile projects that leverage </w:t>
      </w:r>
      <w:r>
        <w:t xml:space="preserve">the </w:t>
      </w:r>
      <w:r w:rsidRPr="00D438E3">
        <w:t>state-owned middle mile infrastructure or give those applications additional credit.</w:t>
      </w:r>
    </w:p>
    <w:p w:rsidR="00A13D1F" w:rsidP="00D931CA" w:rsidRDefault="00A13D1F" w14:paraId="7BD65AE2" w14:textId="32211110">
      <w:pPr>
        <w:pStyle w:val="Heading2"/>
      </w:pPr>
      <w:bookmarkStart w:name="_Toc94637196" w:id="48"/>
      <w:bookmarkStart w:name="_Toc101519076" w:id="49"/>
      <w:r w:rsidRPr="00D931CA">
        <w:t>Discussion</w:t>
      </w:r>
      <w:bookmarkEnd w:id="48"/>
      <w:bookmarkEnd w:id="49"/>
    </w:p>
    <w:p w:rsidR="00A13D1F" w:rsidP="00D931CA" w:rsidRDefault="00A13D1F" w14:paraId="69698E47" w14:textId="77777777">
      <w:pPr>
        <w:pStyle w:val="Standard"/>
      </w:pPr>
      <w:r>
        <w:t xml:space="preserve">We adopt the </w:t>
      </w:r>
      <w:r w:rsidRPr="00D931CA">
        <w:t>evaluation</w:t>
      </w:r>
      <w:r>
        <w:t xml:space="preserve"> criteria in the Staff Proposal with modifications. To begin, we revise the point totals to reflect that applicants may receive up to the amount specified. </w:t>
      </w:r>
    </w:p>
    <w:p w:rsidRPr="00A3696C" w:rsidR="00A13D1F" w:rsidP="00A13D1F" w:rsidRDefault="00A13D1F" w14:paraId="11843581" w14:textId="2FD72939">
      <w:pPr>
        <w:pStyle w:val="Standard"/>
      </w:pPr>
      <w:r>
        <w:t xml:space="preserve">We decline to eliminate the proposal to award up to </w:t>
      </w:r>
      <w:r w:rsidR="0010774A">
        <w:t xml:space="preserve">10 </w:t>
      </w:r>
      <w:r>
        <w:t xml:space="preserve">points for applicants that propose to offer Internet service using fiber. The Final Rule explicitly encourages fiber projects. Awarding </w:t>
      </w:r>
      <w:r w:rsidR="0010774A">
        <w:t xml:space="preserve">10 </w:t>
      </w:r>
      <w:r>
        <w:t xml:space="preserve">points to fiber projects aligns with that goal.  </w:t>
      </w:r>
    </w:p>
    <w:p w:rsidR="00A13D1F" w:rsidP="00A13D1F" w:rsidRDefault="00A13D1F" w14:paraId="18054512" w14:textId="0C36CE8E">
      <w:pPr>
        <w:pStyle w:val="Standard"/>
      </w:pPr>
      <w:r>
        <w:t xml:space="preserve">We modify the 10 points provided for offering affordable plans or participating in low-income subsidy programs to reflect updated guidance from the Treasury in the Final Rule. </w:t>
      </w:r>
      <w:r w:rsidR="00EB62A0">
        <w:t xml:space="preserve">In an effort to incent local governments to participate in this program, we also increase the amount of points available for broadband networks operated by municipalities, Tribes, non-profits and cooperatives and reduce the amount for priority projects identified by the Commission’s Communications Division by 10 points. </w:t>
      </w:r>
      <w:r w:rsidR="00DB6E33">
        <w:t xml:space="preserve">We also add two incentives for applicants to offer longer-term pricing commitments and affordable plans. </w:t>
      </w:r>
      <w:r>
        <w:t>The evaluation criteria</w:t>
      </w:r>
      <w:r w:rsidRPr="00EC007C">
        <w:t xml:space="preserve"> </w:t>
      </w:r>
      <w:r>
        <w:t>for project applications, as modified, are:</w:t>
      </w:r>
    </w:p>
    <w:p w:rsidR="00A13D1F" w:rsidP="000A5FED" w:rsidRDefault="00A13D1F" w14:paraId="1D3787A7" w14:textId="77777777">
      <w:pPr>
        <w:pStyle w:val="Standard"/>
        <w:numPr>
          <w:ilvl w:val="0"/>
          <w:numId w:val="27"/>
        </w:numPr>
        <w:spacing w:after="120" w:line="240" w:lineRule="auto"/>
        <w:ind w:right="1440"/>
      </w:pPr>
      <w:r>
        <w:t>Up to 10 points for applications with matching funds;</w:t>
      </w:r>
    </w:p>
    <w:p w:rsidR="00A13D1F" w:rsidP="000A5FED" w:rsidRDefault="00A13D1F" w14:paraId="765BC969" w14:textId="77777777">
      <w:pPr>
        <w:pStyle w:val="Standard"/>
        <w:numPr>
          <w:ilvl w:val="0"/>
          <w:numId w:val="27"/>
        </w:numPr>
        <w:spacing w:after="120" w:line="240" w:lineRule="auto"/>
        <w:ind w:right="1440"/>
      </w:pPr>
      <w:r>
        <w:lastRenderedPageBreak/>
        <w:t>Up to 10 points for applications proposing fiber optic infrastructure;</w:t>
      </w:r>
    </w:p>
    <w:p w:rsidR="00A13D1F" w:rsidP="000A5FED" w:rsidRDefault="00A13D1F" w14:paraId="3A4AC6BE" w14:textId="1A4C6D92">
      <w:pPr>
        <w:pStyle w:val="Standard"/>
        <w:numPr>
          <w:ilvl w:val="0"/>
          <w:numId w:val="27"/>
        </w:numPr>
        <w:spacing w:after="120" w:line="240" w:lineRule="auto"/>
        <w:ind w:right="1440"/>
      </w:pPr>
      <w:r>
        <w:t xml:space="preserve">Up to </w:t>
      </w:r>
      <w:r w:rsidR="00EB62A0">
        <w:t>2</w:t>
      </w:r>
      <w:r>
        <w:t>0 points for an application proposing to build a broadband network owned, operated by, or affiliated with local governments, non- profits, Tribe, and cooperatives;</w:t>
      </w:r>
    </w:p>
    <w:p w:rsidR="00A13D1F" w:rsidP="000A5FED" w:rsidRDefault="00A13D1F" w14:paraId="61B73BC4" w14:textId="6791C876">
      <w:pPr>
        <w:pStyle w:val="Standard"/>
        <w:numPr>
          <w:ilvl w:val="0"/>
          <w:numId w:val="27"/>
        </w:numPr>
        <w:spacing w:after="120" w:line="240" w:lineRule="auto"/>
        <w:ind w:right="1440"/>
      </w:pPr>
      <w:r>
        <w:t>Up to 10 points for applications that integrate the California LifeLine or federal Lifeline program;</w:t>
      </w:r>
      <w:r>
        <w:rPr>
          <w:rStyle w:val="FootnoteReference"/>
        </w:rPr>
        <w:footnoteReference w:id="32"/>
      </w:r>
    </w:p>
    <w:p w:rsidR="00DB6E33" w:rsidP="00DB6E33" w:rsidRDefault="00DB6E33" w14:paraId="2D613E4F" w14:textId="24B7A56B">
      <w:pPr>
        <w:pStyle w:val="Standard"/>
        <w:numPr>
          <w:ilvl w:val="0"/>
          <w:numId w:val="27"/>
        </w:numPr>
        <w:spacing w:after="120" w:line="240" w:lineRule="auto"/>
        <w:ind w:right="1440"/>
      </w:pPr>
      <w:r>
        <w:t>Up to 10 points for applications that include pricing commitments for 10 years</w:t>
      </w:r>
      <w:r w:rsidR="000E00BD">
        <w:t xml:space="preserve">, including Consumer Price Index </w:t>
      </w:r>
      <w:r w:rsidRPr="000E00BD" w:rsidR="000E00BD">
        <w:t>adjust</w:t>
      </w:r>
      <w:r w:rsidR="000E00BD">
        <w:t>ments</w:t>
      </w:r>
      <w:r>
        <w:t>;</w:t>
      </w:r>
    </w:p>
    <w:p w:rsidR="00DB6E33" w:rsidP="00683656" w:rsidRDefault="00DB6E33" w14:paraId="5EC45798" w14:textId="7850A2C5">
      <w:pPr>
        <w:pStyle w:val="Standard"/>
        <w:numPr>
          <w:ilvl w:val="0"/>
          <w:numId w:val="27"/>
        </w:numPr>
        <w:spacing w:after="120" w:line="240" w:lineRule="auto"/>
        <w:ind w:right="1350"/>
      </w:pPr>
      <w:r>
        <w:t xml:space="preserve">Up to </w:t>
      </w:r>
      <w:r w:rsidR="000E00BD">
        <w:t>2</w:t>
      </w:r>
      <w:r>
        <w:t xml:space="preserve">0 points for applications to include one plan offering speeds </w:t>
      </w:r>
      <w:r w:rsidRPr="00081024">
        <w:t xml:space="preserve">of at least 50 Mbps download AND </w:t>
      </w:r>
      <w:r w:rsidR="000E00BD">
        <w:t>2</w:t>
      </w:r>
      <w:r w:rsidRPr="00081024">
        <w:t>0 Mbps upload for no more than $40 per month</w:t>
      </w:r>
      <w:r w:rsidR="000E00BD">
        <w:t xml:space="preserve">, including Consumer Price Index </w:t>
      </w:r>
      <w:r w:rsidRPr="000E00BD" w:rsidR="000E00BD">
        <w:t>adjust</w:t>
      </w:r>
      <w:r w:rsidR="000E00BD">
        <w:t>ments</w:t>
      </w:r>
      <w:r>
        <w:t>;</w:t>
      </w:r>
    </w:p>
    <w:p w:rsidR="00A13D1F" w:rsidP="000A5FED" w:rsidRDefault="00A13D1F" w14:paraId="4D7CB8C0" w14:textId="01143B9B">
      <w:pPr>
        <w:pStyle w:val="Standard"/>
        <w:numPr>
          <w:ilvl w:val="0"/>
          <w:numId w:val="27"/>
        </w:numPr>
        <w:spacing w:after="120" w:line="240" w:lineRule="auto"/>
        <w:ind w:right="1440"/>
      </w:pPr>
      <w:r>
        <w:t xml:space="preserve">Up to </w:t>
      </w:r>
      <w:r w:rsidR="00EB62A0">
        <w:t>2</w:t>
      </w:r>
      <w:r>
        <w:t>0 points for an application proposing to serve an area identified by the Commission’s Communications Division;</w:t>
      </w:r>
      <w:r>
        <w:rPr>
          <w:rStyle w:val="FootnoteReference"/>
        </w:rPr>
        <w:footnoteReference w:id="33"/>
      </w:r>
    </w:p>
    <w:p w:rsidR="00A13D1F" w:rsidP="000A5FED" w:rsidRDefault="00A13D1F" w14:paraId="44C882D4" w14:textId="6A4374E0">
      <w:pPr>
        <w:pStyle w:val="Standard"/>
        <w:numPr>
          <w:ilvl w:val="0"/>
          <w:numId w:val="27"/>
        </w:numPr>
        <w:spacing w:after="120" w:line="240" w:lineRule="auto"/>
        <w:ind w:right="1440"/>
      </w:pPr>
      <w:r>
        <w:t>Up to 10 points for applications that demonstrate the financial, technical, and operational capacity to execute the project successfully and complete</w:t>
      </w:r>
      <w:r w:rsidR="00057B05">
        <w:t xml:space="preserve"> it</w:t>
      </w:r>
      <w:r>
        <w:t xml:space="preserve"> on time; </w:t>
      </w:r>
    </w:p>
    <w:p w:rsidR="00A13D1F" w:rsidP="000A5FED" w:rsidRDefault="00A13D1F" w14:paraId="5B4FDA21" w14:textId="6C552AD3">
      <w:pPr>
        <w:pStyle w:val="Standard"/>
        <w:numPr>
          <w:ilvl w:val="0"/>
          <w:numId w:val="27"/>
        </w:numPr>
        <w:spacing w:after="120" w:line="240" w:lineRule="auto"/>
        <w:ind w:right="1440"/>
      </w:pPr>
      <w:r>
        <w:t>Up to 10 points for applications that demonstrate a well-planned project with a reasonable budget that shows it will deliver speeds and service proposed and be sufficiently robust to meet increasing demand for bandwidth; and</w:t>
      </w:r>
    </w:p>
    <w:p w:rsidR="00A13D1F" w:rsidP="000A5FED" w:rsidRDefault="00A13D1F" w14:paraId="216FF909" w14:textId="77777777">
      <w:pPr>
        <w:pStyle w:val="Standard"/>
        <w:numPr>
          <w:ilvl w:val="0"/>
          <w:numId w:val="27"/>
        </w:numPr>
        <w:spacing w:after="120" w:line="240" w:lineRule="auto"/>
        <w:ind w:right="1440"/>
      </w:pPr>
      <w:r>
        <w:t>Up to 10 points for applications that propose to leverage the statewide open-access middle mile network, unless not in reasonable proximity to the network.</w:t>
      </w:r>
    </w:p>
    <w:p w:rsidR="00A13D1F" w:rsidP="001109A5" w:rsidRDefault="00A13D1F" w14:paraId="5FB187F6" w14:textId="6D3261A4">
      <w:pPr>
        <w:pStyle w:val="Heading1"/>
      </w:pPr>
      <w:bookmarkStart w:name="_Toc94461526" w:id="50"/>
      <w:bookmarkStart w:name="_Toc94637197" w:id="51"/>
      <w:bookmarkStart w:name="_Toc101519077" w:id="52"/>
      <w:bookmarkEnd w:id="50"/>
      <w:r>
        <w:lastRenderedPageBreak/>
        <w:t xml:space="preserve">Leveraging </w:t>
      </w:r>
      <w:r w:rsidRPr="001109A5">
        <w:t>Other</w:t>
      </w:r>
      <w:r>
        <w:t xml:space="preserve"> Funds</w:t>
      </w:r>
      <w:bookmarkEnd w:id="51"/>
      <w:bookmarkEnd w:id="52"/>
    </w:p>
    <w:p w:rsidRPr="00604E2F" w:rsidR="00A13D1F" w:rsidP="00A13D1F" w:rsidRDefault="00A13D1F" w14:paraId="38B9E353" w14:textId="77777777">
      <w:pPr>
        <w:pStyle w:val="Standard"/>
      </w:pPr>
      <w:r>
        <w:t>The ACR requests comments on how the FFA can best coordinate and leverage other broadband infrastructure funds.</w:t>
      </w:r>
    </w:p>
    <w:p w:rsidR="00A13D1F" w:rsidP="001109A5" w:rsidRDefault="00A13D1F" w14:paraId="4E52C3C3" w14:textId="32CD2317">
      <w:pPr>
        <w:pStyle w:val="Heading2"/>
      </w:pPr>
      <w:bookmarkStart w:name="_Toc94637198" w:id="53"/>
      <w:bookmarkStart w:name="_Toc101519078" w:id="54"/>
      <w:r>
        <w:t>Party Positions</w:t>
      </w:r>
      <w:bookmarkEnd w:id="53"/>
      <w:bookmarkEnd w:id="54"/>
    </w:p>
    <w:p w:rsidR="00A13D1F" w:rsidP="00A13D1F" w:rsidRDefault="00A13D1F" w14:paraId="582CFD29" w14:textId="77777777">
      <w:pPr>
        <w:pStyle w:val="Standard"/>
      </w:pPr>
      <w:r>
        <w:t xml:space="preserve">Parties do not agree on how, or necessarily even if, FFA rules should leverage other broadband infrastructure funds. </w:t>
      </w:r>
    </w:p>
    <w:p w:rsidR="00A13D1F" w:rsidP="00A13D1F" w:rsidRDefault="00A13D1F" w14:paraId="50F8E842" w14:textId="7A3C5286">
      <w:pPr>
        <w:pStyle w:val="Standard"/>
      </w:pPr>
      <w:r>
        <w:t xml:space="preserve">CforAT, SANDAG and </w:t>
      </w:r>
      <w:r w:rsidRPr="00250BF1">
        <w:t>C</w:t>
      </w:r>
      <w:r>
        <w:t>VAG</w:t>
      </w:r>
      <w:r w:rsidRPr="00250BF1">
        <w:t xml:space="preserve"> </w:t>
      </w:r>
      <w:r>
        <w:t>s</w:t>
      </w:r>
      <w:r w:rsidRPr="00250BF1">
        <w:t xml:space="preserve">upport leveraging state and federal funds to connect </w:t>
      </w:r>
      <w:r>
        <w:t xml:space="preserve">the </w:t>
      </w:r>
      <w:r w:rsidRPr="00250BF1">
        <w:t>largest</w:t>
      </w:r>
      <w:r>
        <w:t xml:space="preserve"> number </w:t>
      </w:r>
      <w:r w:rsidRPr="00250BF1">
        <w:t>of households possible</w:t>
      </w:r>
      <w:r>
        <w:t>. CVAG</w:t>
      </w:r>
      <w:r w:rsidRPr="00CE4266">
        <w:t xml:space="preserve"> </w:t>
      </w:r>
      <w:r>
        <w:t xml:space="preserve">recommends the Commission </w:t>
      </w:r>
      <w:r w:rsidRPr="00CE4266">
        <w:t>priorit</w:t>
      </w:r>
      <w:r>
        <w:t>ize projects t</w:t>
      </w:r>
      <w:r w:rsidRPr="00CE4266">
        <w:t>hat have secured funds for last mile connections.</w:t>
      </w:r>
      <w:r>
        <w:t xml:space="preserve"> </w:t>
      </w:r>
      <w:r w:rsidRPr="00617CA3">
        <w:t xml:space="preserve">AT&amp;T </w:t>
      </w:r>
      <w:r>
        <w:t xml:space="preserve">supports allowing matching funds for </w:t>
      </w:r>
      <w:r w:rsidRPr="00617CA3">
        <w:t>FFA grants</w:t>
      </w:r>
      <w:r>
        <w:t xml:space="preserve"> provided </w:t>
      </w:r>
      <w:r w:rsidRPr="00617CA3">
        <w:t>a</w:t>
      </w:r>
      <w:r>
        <w:t xml:space="preserve">n ISP is not </w:t>
      </w:r>
      <w:r w:rsidRPr="00617CA3">
        <w:t xml:space="preserve">able to </w:t>
      </w:r>
      <w:r>
        <w:t xml:space="preserve">“double dip” and </w:t>
      </w:r>
      <w:r w:rsidRPr="00617CA3">
        <w:t xml:space="preserve">receive funding from two programs to deploy the same service in the same area. </w:t>
      </w:r>
      <w:r>
        <w:t>SBUA supports leveraging grant programs that target digital equity and economic benefits for low-income, unserved, underserved, disadvantaged customers, including small and diversified businesses, such as the f</w:t>
      </w:r>
      <w:r w:rsidRPr="00916BCE">
        <w:t>ederal Small Business Administration and California’s and Governor’s Office of Business and Economic Development</w:t>
      </w:r>
      <w:r>
        <w:t xml:space="preserve"> programs, though FFA applicants should use these programs before FFA when applicable. SCAG encourages coordination with the California Department of Housing (HCD) and the United States Department of Housing and Urban Development (HUD). </w:t>
      </w:r>
    </w:p>
    <w:p w:rsidR="00A13D1F" w:rsidP="00A13D1F" w:rsidRDefault="00A13D1F" w14:paraId="77F3080F" w14:textId="77777777">
      <w:pPr>
        <w:pStyle w:val="Standard"/>
      </w:pPr>
      <w:r>
        <w:t xml:space="preserve">LAEDC recommends coordination between local and state agencies, as well as CASF regional consortia. SCAG recommends </w:t>
      </w:r>
      <w:r w:rsidRPr="00916BCE">
        <w:t>partnership</w:t>
      </w:r>
      <w:r>
        <w:t>s</w:t>
      </w:r>
      <w:r w:rsidRPr="00916BCE">
        <w:t xml:space="preserve"> with other agencies, private sector, and non-profits </w:t>
      </w:r>
      <w:r>
        <w:t xml:space="preserve">that </w:t>
      </w:r>
      <w:r w:rsidRPr="00916BCE">
        <w:t xml:space="preserve">can assist in </w:t>
      </w:r>
      <w:r>
        <w:t xml:space="preserve">the </w:t>
      </w:r>
      <w:r w:rsidRPr="00916BCE">
        <w:t>application process</w:t>
      </w:r>
      <w:r>
        <w:t xml:space="preserve">, including </w:t>
      </w:r>
      <w:r w:rsidRPr="00916BCE">
        <w:t>metropolitan planning organizations like SCAG</w:t>
      </w:r>
      <w:r>
        <w:t>.</w:t>
      </w:r>
      <w:r w:rsidRPr="00617CA3">
        <w:t xml:space="preserve"> </w:t>
      </w:r>
      <w:r>
        <w:t xml:space="preserve">NCC and TURN support the Commission facilitating information sharing on FFA and other programs.  </w:t>
      </w:r>
    </w:p>
    <w:p w:rsidR="00A13D1F" w:rsidP="00A13D1F" w:rsidRDefault="00A13D1F" w14:paraId="418930B8" w14:textId="77777777">
      <w:pPr>
        <w:pStyle w:val="Standard"/>
      </w:pPr>
      <w:r>
        <w:lastRenderedPageBreak/>
        <w:t xml:space="preserve">SDG&amp;E encourages the leveraging of existing infrastructure, including through </w:t>
      </w:r>
      <w:r w:rsidRPr="00305E5C">
        <w:t xml:space="preserve">joint trenching </w:t>
      </w:r>
      <w:r>
        <w:t>agreements.</w:t>
      </w:r>
    </w:p>
    <w:p w:rsidR="00A13D1F" w:rsidP="00A13D1F" w:rsidRDefault="00A13D1F" w14:paraId="471ED3B1" w14:textId="77777777">
      <w:pPr>
        <w:pStyle w:val="Standard"/>
      </w:pPr>
      <w:r>
        <w:t>The Small LECs assert that projects awarded under FFA should not compete with projects granted from other Commission-related programs, or other new grant programs contemplated by SB 156, and that projects under the FFA program should be prioritized because the funding is available for a short period of time.</w:t>
      </w:r>
    </w:p>
    <w:p w:rsidR="00A13D1F" w:rsidP="00A13D1F" w:rsidRDefault="00A13D1F" w14:paraId="04AC06C5" w14:textId="77777777">
      <w:pPr>
        <w:pStyle w:val="Standard"/>
      </w:pPr>
      <w:r>
        <w:t xml:space="preserve">CCTA, Comcast, and Frontier recommend that </w:t>
      </w:r>
      <w:r w:rsidRPr="00250BF1">
        <w:t>FFA rules should align</w:t>
      </w:r>
      <w:r>
        <w:t>,</w:t>
      </w:r>
      <w:r w:rsidRPr="00250BF1">
        <w:t xml:space="preserve"> to the extent possible</w:t>
      </w:r>
      <w:r>
        <w:t>,</w:t>
      </w:r>
      <w:r w:rsidRPr="00250BF1">
        <w:t xml:space="preserve"> with the existing </w:t>
      </w:r>
      <w:r>
        <w:t>CASF Infrastructure Grant r</w:t>
      </w:r>
      <w:r w:rsidRPr="00250BF1">
        <w:t xml:space="preserve">ules, </w:t>
      </w:r>
      <w:r>
        <w:t>to</w:t>
      </w:r>
      <w:r w:rsidRPr="00250BF1">
        <w:t xml:space="preserve"> encourage program participation and increase efficiency</w:t>
      </w:r>
      <w:r>
        <w:t xml:space="preserve">, though Frontier asks the Commission to not </w:t>
      </w:r>
      <w:r w:rsidRPr="007C3850">
        <w:t xml:space="preserve">prioritize applications based on percentage of matched funding the applicant proposes. </w:t>
      </w:r>
      <w:r>
        <w:t>Instead of leveraging federal and state funds, Comcast also appears to suggest the Commission d</w:t>
      </w:r>
      <w:r w:rsidRPr="00EB6467">
        <w:t>evise program rules</w:t>
      </w:r>
      <w:r>
        <w:t xml:space="preserve"> for line extension </w:t>
      </w:r>
      <w:r w:rsidRPr="00EB6467">
        <w:t xml:space="preserve">to unserved areas </w:t>
      </w:r>
      <w:r>
        <w:t>that</w:t>
      </w:r>
      <w:r w:rsidRPr="00EB6467">
        <w:t xml:space="preserve"> are consistent </w:t>
      </w:r>
      <w:r>
        <w:t>with</w:t>
      </w:r>
      <w:r w:rsidRPr="00EB6467">
        <w:t xml:space="preserve"> the FFA program and the CASF program.</w:t>
      </w:r>
    </w:p>
    <w:p w:rsidR="00A13D1F" w:rsidP="001109A5" w:rsidRDefault="00A13D1F" w14:paraId="568C6265" w14:textId="24B41B9D">
      <w:pPr>
        <w:pStyle w:val="Heading2"/>
      </w:pPr>
      <w:bookmarkStart w:name="_Toc94637199" w:id="55"/>
      <w:bookmarkStart w:name="_Toc101519079" w:id="56"/>
      <w:r>
        <w:t>Discussion</w:t>
      </w:r>
      <w:bookmarkEnd w:id="55"/>
      <w:bookmarkEnd w:id="56"/>
    </w:p>
    <w:p w:rsidR="00A13D1F" w:rsidP="001109A5" w:rsidRDefault="00A13D1F" w14:paraId="62A7AAAF" w14:textId="77777777">
      <w:pPr>
        <w:pStyle w:val="Standard"/>
      </w:pPr>
      <w:r>
        <w:t>T</w:t>
      </w:r>
      <w:r w:rsidRPr="00BF75C5">
        <w:t xml:space="preserve">he </w:t>
      </w:r>
      <w:r>
        <w:t>F</w:t>
      </w:r>
      <w:r w:rsidRPr="00BF75C5">
        <w:t xml:space="preserve">inal </w:t>
      </w:r>
      <w:r>
        <w:t>R</w:t>
      </w:r>
      <w:r w:rsidRPr="00BF75C5">
        <w:t xml:space="preserve">ule </w:t>
      </w:r>
      <w:r w:rsidRPr="001109A5">
        <w:t>provides</w:t>
      </w:r>
      <w:r>
        <w:t xml:space="preserve"> additional guidance for the Commission on how to address instances in which existing funds from other broadband infrastructure programs have been allocated to improve service in a proposed project area: </w:t>
      </w:r>
    </w:p>
    <w:p w:rsidR="00A13D1F" w:rsidP="001109A5" w:rsidRDefault="00A13D1F" w14:paraId="554BEE4A" w14:textId="77777777">
      <w:pPr>
        <w:pStyle w:val="Standard"/>
        <w:spacing w:after="120" w:line="240" w:lineRule="auto"/>
        <w:ind w:left="720" w:right="1440" w:firstLine="0"/>
      </w:pPr>
      <w:r w:rsidRPr="00BF75C5">
        <w:t xml:space="preserve">to the extent recipients are considering deploying broadband to locations where there are existing enforceable federal or state funding commitments for reliable service at speeds of at least 100 Mbps download speed and 20 Mbps upload speed, recipients must ensure that SLFRF funds are designed to address an identified need for additional broadband investment that is not met by existing federal or state funding commitments. Recipients must also ensure that SLFRF funds </w:t>
      </w:r>
      <w:r w:rsidRPr="00BF75C5">
        <w:lastRenderedPageBreak/>
        <w:t>will not be used for costs that will be reimbursed by the other federal or state funding streams.</w:t>
      </w:r>
      <w:r>
        <w:rPr>
          <w:rStyle w:val="FootnoteReference"/>
        </w:rPr>
        <w:footnoteReference w:id="34"/>
      </w:r>
      <w:r w:rsidRPr="00BF75C5">
        <w:t xml:space="preserve"> </w:t>
      </w:r>
    </w:p>
    <w:p w:rsidRPr="00604E2F" w:rsidR="00A13D1F" w:rsidP="00B424E4" w:rsidRDefault="00A13D1F" w14:paraId="1A55B2CE" w14:textId="77777777">
      <w:pPr>
        <w:pStyle w:val="Standard"/>
      </w:pPr>
      <w:r w:rsidRPr="00B424E4">
        <w:t>Consistent</w:t>
      </w:r>
      <w:r>
        <w:t xml:space="preserve"> with the Final Rule, grant applications that propose to combine FFA funds with funds from a separate broadband infrastructure grant program will be permitted. Applicants must detail how these funds </w:t>
      </w:r>
      <w:r w:rsidRPr="00321242">
        <w:t xml:space="preserve">address an identified need for additional broadband investment that is not met by existing federal or state funding commitments. </w:t>
      </w:r>
      <w:r>
        <w:t>Applicants</w:t>
      </w:r>
      <w:r w:rsidRPr="00321242">
        <w:t xml:space="preserve"> must </w:t>
      </w:r>
      <w:r>
        <w:t>itemize project costs, detail how</w:t>
      </w:r>
      <w:r w:rsidRPr="00321242">
        <w:t xml:space="preserve"> funds will not be used for costs that will be reimbursed by the other federal or state funding streams</w:t>
      </w:r>
      <w:r>
        <w:t xml:space="preserve"> and explain the public benefit that additional funds will provide.</w:t>
      </w:r>
      <w:r w:rsidRPr="000611D2">
        <w:t xml:space="preserve"> This will help prevent duplication of funding and help meet the requirement in the Final Rule that SLFRF funds are being used to address a need in the area and will not cover the same costs reimbursed by other grants.</w:t>
      </w:r>
      <w:r>
        <w:t xml:space="preserve"> Applications seeking to leverage additional funds are not eligible for ministerial review and must be approved by the Commission by resolution. </w:t>
      </w:r>
    </w:p>
    <w:p w:rsidRPr="00604E2F" w:rsidR="00A13D1F" w:rsidP="00B424E4" w:rsidRDefault="00A13D1F" w14:paraId="64B939FD" w14:textId="77777777">
      <w:pPr>
        <w:pStyle w:val="Standard"/>
      </w:pPr>
      <w:r w:rsidRPr="00B424E4">
        <w:t>Locations</w:t>
      </w:r>
      <w:r w:rsidRPr="008773AD">
        <w:t xml:space="preserve"> </w:t>
      </w:r>
      <w:r>
        <w:t xml:space="preserve">with </w:t>
      </w:r>
      <w:r w:rsidRPr="008773AD">
        <w:t>existing enforceable federal or state funding commitments</w:t>
      </w:r>
      <w:r>
        <w:t xml:space="preserve"> to deploy </w:t>
      </w:r>
      <w:r w:rsidRPr="008773AD">
        <w:t>reliable</w:t>
      </w:r>
      <w:r>
        <w:t xml:space="preserve"> wireline</w:t>
      </w:r>
      <w:r w:rsidRPr="008773AD">
        <w:t xml:space="preserve"> service at speeds of at least 100 Mbps download speed and 20 Mbps upload speed</w:t>
      </w:r>
      <w:r>
        <w:t xml:space="preserve"> will not be included in the locations Communications Division identifies as being eligible for funding. These commitments must be public and demonstrable. If a grant application proposes to serve locations with an enforceable commitment, the grant must be approved by Commission Resolution.</w:t>
      </w:r>
    </w:p>
    <w:p w:rsidR="00A13D1F" w:rsidP="00B424E4" w:rsidRDefault="00A13D1F" w14:paraId="30F27EBF" w14:textId="4E8D4618">
      <w:pPr>
        <w:pStyle w:val="Heading1"/>
      </w:pPr>
      <w:bookmarkStart w:name="_Toc94637200" w:id="57"/>
      <w:bookmarkStart w:name="_Toc101519080" w:id="58"/>
      <w:r w:rsidRPr="00B424E4">
        <w:t>Eligible</w:t>
      </w:r>
      <w:r w:rsidRPr="00074009">
        <w:t xml:space="preserve"> Entities</w:t>
      </w:r>
      <w:bookmarkEnd w:id="57"/>
      <w:bookmarkEnd w:id="58"/>
    </w:p>
    <w:p w:rsidR="00A13D1F" w:rsidP="00B424E4" w:rsidRDefault="00A13D1F" w14:paraId="61F52513" w14:textId="77777777">
      <w:pPr>
        <w:pStyle w:val="Standard"/>
      </w:pPr>
      <w:r>
        <w:t xml:space="preserve">The ACR </w:t>
      </w:r>
      <w:r w:rsidRPr="00B424E4">
        <w:t>proposes</w:t>
      </w:r>
      <w:r>
        <w:t xml:space="preserve"> the following entities as eligible recipients of a FFA grant:</w:t>
      </w:r>
    </w:p>
    <w:p w:rsidR="00A13D1F" w:rsidP="00B424E4" w:rsidRDefault="00A13D1F" w14:paraId="149C32E1" w14:textId="77777777">
      <w:pPr>
        <w:pStyle w:val="Standard"/>
        <w:numPr>
          <w:ilvl w:val="0"/>
          <w:numId w:val="10"/>
        </w:numPr>
        <w:spacing w:after="120" w:line="240" w:lineRule="auto"/>
        <w:ind w:right="1440"/>
      </w:pPr>
      <w:r>
        <w:lastRenderedPageBreak/>
        <w:t>Entities with a Certificate of Public Convenience and Necessity (CPCN) that qualify as a “telephone corporation” as defined under Public Utilities (Pub. Util.) Code section 234; or</w:t>
      </w:r>
    </w:p>
    <w:p w:rsidR="00A13D1F" w:rsidP="00B424E4" w:rsidRDefault="00A13D1F" w14:paraId="4758A792" w14:textId="77777777">
      <w:pPr>
        <w:pStyle w:val="Standard"/>
        <w:numPr>
          <w:ilvl w:val="0"/>
          <w:numId w:val="10"/>
        </w:numPr>
        <w:spacing w:after="120" w:line="240" w:lineRule="auto"/>
        <w:ind w:right="1440"/>
      </w:pPr>
      <w:r>
        <w:t>Non-telephone corporations that are facilities-based broadband service providers; or</w:t>
      </w:r>
    </w:p>
    <w:p w:rsidR="00A13D1F" w:rsidP="00B424E4" w:rsidRDefault="00A13D1F" w14:paraId="2F2170F8" w14:textId="77777777">
      <w:pPr>
        <w:pStyle w:val="Standard"/>
        <w:numPr>
          <w:ilvl w:val="0"/>
          <w:numId w:val="10"/>
        </w:numPr>
        <w:spacing w:after="120" w:line="240" w:lineRule="auto"/>
        <w:ind w:right="1440"/>
      </w:pPr>
      <w:r>
        <w:t>Local governmental agencies; or</w:t>
      </w:r>
    </w:p>
    <w:p w:rsidR="00A13D1F" w:rsidP="00B424E4" w:rsidRDefault="00A13D1F" w14:paraId="30F7A745" w14:textId="77777777">
      <w:pPr>
        <w:pStyle w:val="Standard"/>
        <w:numPr>
          <w:ilvl w:val="0"/>
          <w:numId w:val="10"/>
        </w:numPr>
        <w:spacing w:after="120" w:line="240" w:lineRule="auto"/>
        <w:ind w:right="1440"/>
      </w:pPr>
      <w:r>
        <w:t>Electric utilities; or</w:t>
      </w:r>
    </w:p>
    <w:p w:rsidR="00A13D1F" w:rsidP="00B424E4" w:rsidRDefault="00A13D1F" w14:paraId="27D8DF5B" w14:textId="77777777">
      <w:pPr>
        <w:pStyle w:val="Standard"/>
        <w:numPr>
          <w:ilvl w:val="0"/>
          <w:numId w:val="10"/>
        </w:numPr>
        <w:spacing w:after="120" w:line="240" w:lineRule="auto"/>
        <w:ind w:right="1440"/>
      </w:pPr>
      <w:r>
        <w:t>Tribes.</w:t>
      </w:r>
      <w:r>
        <w:rPr>
          <w:rStyle w:val="FootnoteReference"/>
        </w:rPr>
        <w:footnoteReference w:id="35"/>
      </w:r>
    </w:p>
    <w:p w:rsidR="00A13D1F" w:rsidP="00B424E4" w:rsidRDefault="00A13D1F" w14:paraId="45FD5F01" w14:textId="77777777">
      <w:pPr>
        <w:pStyle w:val="Standard"/>
      </w:pPr>
      <w:r w:rsidRPr="00B424E4">
        <w:t>The</w:t>
      </w:r>
      <w:r>
        <w:t xml:space="preserve"> ACR also asks for recommendations regarding what information the Commission should consider in the rules to allow flexibility to enable partnerships between entities and providers, including public entities and one or more broadband Internet service providers.</w:t>
      </w:r>
    </w:p>
    <w:p w:rsidR="00A13D1F" w:rsidP="00E64428" w:rsidRDefault="00A13D1F" w14:paraId="24328501" w14:textId="7B234657">
      <w:pPr>
        <w:pStyle w:val="Heading2"/>
      </w:pPr>
      <w:bookmarkStart w:name="_Toc94637201" w:id="59"/>
      <w:bookmarkStart w:name="_Toc101519081" w:id="60"/>
      <w:r w:rsidRPr="00E64428">
        <w:t>Party</w:t>
      </w:r>
      <w:r>
        <w:t xml:space="preserve"> Positions</w:t>
      </w:r>
      <w:bookmarkEnd w:id="59"/>
      <w:bookmarkEnd w:id="60"/>
    </w:p>
    <w:p w:rsidR="00A13D1F" w:rsidP="00E64428" w:rsidRDefault="00A13D1F" w14:paraId="41253075" w14:textId="77777777">
      <w:pPr>
        <w:pStyle w:val="Standard"/>
      </w:pPr>
      <w:r w:rsidRPr="00346646">
        <w:t xml:space="preserve">AT&amp;T </w:t>
      </w:r>
      <w:r w:rsidRPr="00E64428">
        <w:t>supports</w:t>
      </w:r>
      <w:r w:rsidRPr="00346646">
        <w:t xml:space="preserve"> enabling partnerships between entities and providers as an effective mechanism to achieve the program goals.</w:t>
      </w:r>
      <w:r>
        <w:t xml:space="preserve"> </w:t>
      </w:r>
      <w:r w:rsidRPr="00052CBA">
        <w:t>NCC recommends defining eligible entities in broad terms to include a range of innovative approaches that communities may use to improve connectivity.</w:t>
      </w:r>
      <w:r>
        <w:t xml:space="preserve"> CCTA urges the Commission to adopt the same approach as the existing CASF Infrastructure Grant Account, which allow any entity, including a public agency, to apply for a grant upon a showing of being technically, economically, and operationally qualified and otherwise complying with program requirements, and permits partnerships as long as one member of the partnership is the designated lead </w:t>
      </w:r>
      <w:r>
        <w:lastRenderedPageBreak/>
        <w:t>party that meets application requirements and signs the consent form agreeing to be accountable for compliance with all terms of the grant.</w:t>
      </w:r>
    </w:p>
    <w:p w:rsidR="00A13D1F" w:rsidP="00A13D1F" w:rsidRDefault="00A13D1F" w14:paraId="4AC0E214" w14:textId="7736CD32">
      <w:pPr>
        <w:pStyle w:val="Standard"/>
      </w:pPr>
      <w:r w:rsidRPr="005B4BAB">
        <w:t>RCRC supports creating alternative rules for municipalities and tribal governments creating open access last mile networks.</w:t>
      </w:r>
      <w:r>
        <w:t xml:space="preserve"> SBUA also supports encouraging public-private partnerships, though the organization cautions that public-private partnerships can lead to challenges when the private entity is granted public right of way (ROW). To avoid this, the CPUC should not grant public ROW to other last mile providers which are not also provided to utilities with the same ROW and special conditions.</w:t>
      </w:r>
      <w:r w:rsidRPr="00846B3E">
        <w:t xml:space="preserve"> </w:t>
      </w:r>
      <w:r>
        <w:t xml:space="preserve">SANDAG urges the Commission to expand eligibility to metropolitan planning organizations (like SANDAG and SCAG), regional transportation planning agencies, broadband consortia, as well as educational institutions, community-based organizations or cooperatives that may want funding to partner with an ISP. CETF and </w:t>
      </w:r>
      <w:r w:rsidRPr="004817FA">
        <w:t>UNITE-LA</w:t>
      </w:r>
      <w:r>
        <w:t xml:space="preserve"> propose expanding eligibility to </w:t>
      </w:r>
      <w:r w:rsidRPr="00346646">
        <w:t>anchor institutions, such as school districts, library systems and rural telehealth providers or their consortiums</w:t>
      </w:r>
      <w:r>
        <w:t xml:space="preserve">, as well as </w:t>
      </w:r>
      <w:r w:rsidRPr="00346646">
        <w:t>nonprofit organizations dedicated to providing broadband Internet access service to an unserved or underserved community.</w:t>
      </w:r>
    </w:p>
    <w:p w:rsidR="00A13D1F" w:rsidP="00A13D1F" w:rsidRDefault="00A13D1F" w14:paraId="64ADF07B" w14:textId="77777777">
      <w:pPr>
        <w:pStyle w:val="Standard"/>
      </w:pPr>
      <w:r>
        <w:t xml:space="preserve">SDG&amp;E supports the proposal to include utilities as eligible entities for FFA grants, especially so the companies may partner with other stakeholders to leverage existing and future utility infrastructure. SDG&amp;E also recommends the Commission expand eligibility to allow for multiple grant recipients to partner with last-mile providers. Frederick L. Pilot proposes the Commission adopt rules that facilitate IOUs wishing to be wholesale network operators offering dark fiber services to retail service providers. </w:t>
      </w:r>
    </w:p>
    <w:p w:rsidR="00A13D1F" w:rsidP="00A13D1F" w:rsidRDefault="00A13D1F" w14:paraId="7FEF8901" w14:textId="77777777">
      <w:pPr>
        <w:pStyle w:val="Standard"/>
      </w:pPr>
      <w:r>
        <w:t xml:space="preserve">Several parties, including Geolinks, Joint WISPs, CETF, Santa Clara County, CETF, and Verizon urge the Commission to consider wireless service </w:t>
      </w:r>
      <w:r>
        <w:lastRenderedPageBreak/>
        <w:t xml:space="preserve">providers that use new spectrum to deliver Internet access through Citizens Broadband Radio Service (CBRS) and satellite, asserting that the Interim Final Rule does not limit FFA projects to fiber. Joint WISPs also recommend that the proposed rules be updated prior to the Commission adopting them in the event the interim SLFRF rule is updated, or that the rules only apply to funds made available through SB 156 and ARPA, as future funding from the State or Federal government may have different requirements.    </w:t>
      </w:r>
    </w:p>
    <w:p w:rsidR="00A13D1F" w:rsidP="00A13D1F" w:rsidRDefault="00A13D1F" w14:paraId="2367E1E7" w14:textId="11845AFC">
      <w:pPr>
        <w:pStyle w:val="Standard"/>
      </w:pPr>
      <w:r>
        <w:t>Frederick L Pilot supports the Commission adopting rules that encourage public entities as</w:t>
      </w:r>
      <w:r w:rsidRPr="00F8315A">
        <w:t xml:space="preserve"> </w:t>
      </w:r>
      <w:r w:rsidRPr="00AD28C4">
        <w:t>wholesale network operator</w:t>
      </w:r>
      <w:r>
        <w:t xml:space="preserve">s, given the traditional role of public entities as owners and operators of critical infrastructure and the </w:t>
      </w:r>
      <w:r w:rsidR="00D642B3">
        <w:br/>
      </w:r>
      <w:r>
        <w:t>30–50-year life of fiber infrastructure that supports ownership stable public entities can provide. NCC suggests the Commission could defer to municipalities and provide local leaders with policy mechanisms and educational tools needed to hold providers accountable for commitments made during the funding application process, including model contracts, peer-to-peer collaboration, and enforcement from the Commission could provide important balance that also maintains ample room for innovation. RCRC o</w:t>
      </w:r>
      <w:r w:rsidRPr="005B4BAB">
        <w:t>pposes requir</w:t>
      </w:r>
      <w:r>
        <w:t>ing</w:t>
      </w:r>
      <w:r w:rsidRPr="005B4BAB">
        <w:t xml:space="preserve"> </w:t>
      </w:r>
      <w:r>
        <w:t xml:space="preserve">entities that do not hold </w:t>
      </w:r>
      <w:r w:rsidRPr="005B4BAB">
        <w:t>CPCNs provide a letter of credit</w:t>
      </w:r>
      <w:r>
        <w:t xml:space="preserve">, asserting that it </w:t>
      </w:r>
      <w:r w:rsidRPr="005B4BAB">
        <w:t>will add costs and discourage public entities from building networks</w:t>
      </w:r>
      <w:r>
        <w:t>, and that m</w:t>
      </w:r>
      <w:r w:rsidRPr="005B4BAB">
        <w:t>unicipalities can demonstrate fiscal responsibility by other means</w:t>
      </w:r>
      <w:r>
        <w:t xml:space="preserve">, as it is </w:t>
      </w:r>
      <w:r w:rsidRPr="005B4BAB">
        <w:t xml:space="preserve">rare for them to go bankrupt but private entities do so regularly. </w:t>
      </w:r>
    </w:p>
    <w:p w:rsidR="00A13D1F" w:rsidP="00E64428" w:rsidRDefault="00A13D1F" w14:paraId="63521C2E" w14:textId="60EDA666">
      <w:pPr>
        <w:pStyle w:val="Heading2"/>
      </w:pPr>
      <w:bookmarkStart w:name="_Toc94637202" w:id="61"/>
      <w:bookmarkStart w:name="_Toc101519082" w:id="62"/>
      <w:r>
        <w:t>Discussion</w:t>
      </w:r>
      <w:bookmarkEnd w:id="61"/>
      <w:bookmarkEnd w:id="62"/>
    </w:p>
    <w:p w:rsidR="00A13D1F" w:rsidP="00E64428" w:rsidRDefault="00A13D1F" w14:paraId="600FF291" w14:textId="77777777">
      <w:pPr>
        <w:pStyle w:val="Standard"/>
      </w:pPr>
      <w:r>
        <w:t xml:space="preserve">We revise the list of eligible entities to include non-profits and cooperatives in response to parties’ comments. This enables flexibility in the type of partnerships and is consistent with the “Type of Partnership” criterion under Evaluation of Applications section of the Staff Proposal.  </w:t>
      </w:r>
    </w:p>
    <w:p w:rsidRPr="007512DA" w:rsidR="00A13D1F" w:rsidP="00A13D1F" w:rsidRDefault="00A13D1F" w14:paraId="5ED9870E" w14:textId="77777777">
      <w:pPr>
        <w:pStyle w:val="Standard"/>
      </w:pPr>
      <w:r>
        <w:lastRenderedPageBreak/>
        <w:t>The Commission encourages partnerships between various organizations to build out capacity for broadband infrastructure deployment, though the Commission also must balance that with the need to ensure accountability for program funds. Designating the member of a partnership that will be deploying the broadband infrastructure a</w:t>
      </w:r>
      <w:r w:rsidRPr="00C6245C">
        <w:t>s the lead party</w:t>
      </w:r>
      <w:r>
        <w:t xml:space="preserve"> for the grant</w:t>
      </w:r>
      <w:r w:rsidRPr="00C6245C">
        <w:t xml:space="preserve"> </w:t>
      </w:r>
      <w:r>
        <w:t>facilitates accountability and compliance with all grant requirements</w:t>
      </w:r>
      <w:r w:rsidRPr="00C6245C">
        <w:t>.</w:t>
      </w:r>
    </w:p>
    <w:p w:rsidR="00A13D1F" w:rsidP="00A13D1F" w:rsidRDefault="00A13D1F" w14:paraId="5A1F10E1" w14:textId="77777777">
      <w:pPr>
        <w:pStyle w:val="Standard"/>
      </w:pPr>
      <w:r>
        <w:t>If public entities or Tribal governments seek exemptions from specific program rules to accommodate the creation of</w:t>
      </w:r>
      <w:r w:rsidRPr="009B4779">
        <w:t xml:space="preserve"> open access last mile networks</w:t>
      </w:r>
      <w:r>
        <w:t>, these entities must detail the exemptions they seek in their applications. Given that these a</w:t>
      </w:r>
      <w:r w:rsidRPr="000B6ECD">
        <w:t xml:space="preserve">pplications </w:t>
      </w:r>
      <w:r>
        <w:t xml:space="preserve">seek to deviate from Commission rules, they will </w:t>
      </w:r>
      <w:r w:rsidRPr="000B6ECD">
        <w:t>not</w:t>
      </w:r>
      <w:r>
        <w:t xml:space="preserve"> be</w:t>
      </w:r>
      <w:r w:rsidRPr="000B6ECD">
        <w:t xml:space="preserve"> eligible for ministerial review.</w:t>
      </w:r>
    </w:p>
    <w:p w:rsidRPr="007512DA" w:rsidR="00A13D1F" w:rsidP="00A13D1F" w:rsidRDefault="00A13D1F" w14:paraId="74D77E0C" w14:textId="77777777">
      <w:pPr>
        <w:pStyle w:val="Standard"/>
      </w:pPr>
      <w:r>
        <w:t>With these revisions, the Commission adopts this rule.</w:t>
      </w:r>
    </w:p>
    <w:p w:rsidR="00A13D1F" w:rsidP="00E64428" w:rsidRDefault="00A13D1F" w14:paraId="0A0B8B4C" w14:textId="1A890F90">
      <w:pPr>
        <w:pStyle w:val="Heading1"/>
      </w:pPr>
      <w:bookmarkStart w:name="_Toc94637203" w:id="63"/>
      <w:bookmarkStart w:name="_Toc101519083" w:id="64"/>
      <w:r w:rsidRPr="00074009">
        <w:t>Funding</w:t>
      </w:r>
      <w:r>
        <w:t xml:space="preserve"> of </w:t>
      </w:r>
      <w:r w:rsidRPr="00E64428">
        <w:t>Middle</w:t>
      </w:r>
      <w:r>
        <w:t xml:space="preserve"> Mile Infrastructure</w:t>
      </w:r>
      <w:bookmarkEnd w:id="63"/>
      <w:bookmarkEnd w:id="64"/>
    </w:p>
    <w:p w:rsidR="00A13D1F" w:rsidP="00E64428" w:rsidRDefault="00A13D1F" w14:paraId="77EB9CAD" w14:textId="77777777">
      <w:pPr>
        <w:pStyle w:val="Standard"/>
      </w:pPr>
      <w:r>
        <w:t xml:space="preserve">Consistent </w:t>
      </w:r>
      <w:r w:rsidRPr="00E64428">
        <w:t>with</w:t>
      </w:r>
      <w:r>
        <w:t xml:space="preserve"> federal rules, the ACR proposes to allow “middle-mile projects,” though recipients are encouraged to focus on projects that will achieve last-mile connections—whether by focusing on last-mile projects or by ensuring that funded middle-mile projects have potential or partnered last-mile networks that could or would leverage the middle-mile network.</w:t>
      </w:r>
    </w:p>
    <w:p w:rsidR="00A13D1F" w:rsidP="00A13D1F" w:rsidRDefault="00A13D1F" w14:paraId="24E69049" w14:textId="77777777">
      <w:pPr>
        <w:pStyle w:val="Standard"/>
      </w:pPr>
      <w:r>
        <w:t>For projects that include funding for middle-mile infrastructure, Staff will evaluate and verify that the proposed middle-mile infrastructure is needed to achieve the last-mile connections. Staff will verify if existing middle-mile infrastructure in a proposed project area is sufficient, reasonably affordable, and open-access prior to granting or making a recommendation to the Commission to grant a proposed project. Additionally, the Commission will evaluate whether the proposed middle mile infrastructure can be provided by or incorporated into the statewide middle mile network.</w:t>
      </w:r>
    </w:p>
    <w:p w:rsidR="00A13D1F" w:rsidP="00A13D1F" w:rsidRDefault="00A13D1F" w14:paraId="3C3A08AD" w14:textId="77777777">
      <w:pPr>
        <w:pStyle w:val="Standard"/>
      </w:pPr>
      <w:r w:rsidRPr="005C5951">
        <w:lastRenderedPageBreak/>
        <w:t xml:space="preserve">The ACR asks </w:t>
      </w:r>
      <w:r>
        <w:t xml:space="preserve">parties to recommend ways </w:t>
      </w:r>
      <w:r w:rsidRPr="005C5951">
        <w:t xml:space="preserve">the Commission </w:t>
      </w:r>
      <w:r>
        <w:t xml:space="preserve">can </w:t>
      </w:r>
      <w:r w:rsidRPr="005C5951">
        <w:t>ensure</w:t>
      </w:r>
      <w:r>
        <w:t xml:space="preserve"> that </w:t>
      </w:r>
      <w:r w:rsidRPr="005C5951">
        <w:t xml:space="preserve">FFA grants coordinate and take advantage of the statewide middle mile network </w:t>
      </w:r>
      <w:r>
        <w:t>authorized in SB 156.</w:t>
      </w:r>
    </w:p>
    <w:p w:rsidR="00A13D1F" w:rsidP="00E64428" w:rsidRDefault="00A13D1F" w14:paraId="196BAB9E" w14:textId="18F92A00">
      <w:pPr>
        <w:pStyle w:val="Heading2"/>
      </w:pPr>
      <w:bookmarkStart w:name="_Toc94637204" w:id="65"/>
      <w:bookmarkStart w:name="_Toc101519084" w:id="66"/>
      <w:r>
        <w:t xml:space="preserve">Party </w:t>
      </w:r>
      <w:r w:rsidRPr="00E64428">
        <w:t>Positions</w:t>
      </w:r>
      <w:bookmarkEnd w:id="65"/>
      <w:bookmarkEnd w:id="66"/>
    </w:p>
    <w:p w:rsidR="00A13D1F" w:rsidP="00E64428" w:rsidRDefault="00A13D1F" w14:paraId="52A38CE9" w14:textId="77777777">
      <w:pPr>
        <w:pStyle w:val="Standard"/>
      </w:pPr>
      <w:r>
        <w:t xml:space="preserve">CCTA recommends the Commission </w:t>
      </w:r>
      <w:r w:rsidRPr="001E6C16">
        <w:t>requir</w:t>
      </w:r>
      <w:r>
        <w:t xml:space="preserve">e that FFA projects requesting funds for </w:t>
      </w:r>
      <w:r w:rsidRPr="001E6C16">
        <w:t xml:space="preserve">middle mile </w:t>
      </w:r>
      <w:r>
        <w:t xml:space="preserve">infrastructure demonstrate that the infrastructure is </w:t>
      </w:r>
      <w:r w:rsidRPr="001E6C16">
        <w:t>“indispensable” to be consistent with the</w:t>
      </w:r>
      <w:r>
        <w:t xml:space="preserve"> CASF Infrastructure Grant Account </w:t>
      </w:r>
      <w:r w:rsidRPr="001E6C16">
        <w:t xml:space="preserve">rules. </w:t>
      </w:r>
      <w:r>
        <w:t xml:space="preserve">As part of its review, CD </w:t>
      </w:r>
      <w:r w:rsidRPr="001E6C16">
        <w:t xml:space="preserve">Staff </w:t>
      </w:r>
      <w:r>
        <w:t xml:space="preserve">would examine if </w:t>
      </w:r>
      <w:r w:rsidRPr="001E6C16">
        <w:t>existing middle-mile facilities are available.</w:t>
      </w:r>
      <w:r>
        <w:t xml:space="preserve"> </w:t>
      </w:r>
      <w:r w:rsidRPr="003F60AC">
        <w:t xml:space="preserve">If there are none, </w:t>
      </w:r>
      <w:r>
        <w:t>CD S</w:t>
      </w:r>
      <w:r w:rsidRPr="003F60AC">
        <w:t>taff could also consider whether the new state middle- mile network could be utilized to connect the last-mile households in that proposed project.</w:t>
      </w:r>
      <w:r>
        <w:t xml:space="preserve"> </w:t>
      </w:r>
    </w:p>
    <w:p w:rsidR="00A13D1F" w:rsidP="00A13D1F" w:rsidRDefault="00A13D1F" w14:paraId="6761AF8B" w14:textId="77777777">
      <w:pPr>
        <w:pStyle w:val="Standard"/>
      </w:pPr>
      <w:r>
        <w:t>TURN asserts that the existence of a FFA last-mile applicant that indicates middle-mile facilities are indispensable serves two purposes: (1) it would highlight where middle-mile either does not exist or is not accessible with sufficient capacity; and (2) it would demonstrate that state-wide middle-mile is necessary for last-mile providers to interconnect. If the state-owned middle-mile can provide service to the proposed FFA last-mile project, the FFA funds would not need to expend funds on middle-mile service to serve that project and therefore save FFA funds for additional last-mile projects. Thus, TURN proposes that Staff use information obtained from CASF Infrastructure Grant Account projects and FFA projects that requests funding for indispensable middle mile as an indication that affordable middle mile, with sufficient capacity, does not exist.</w:t>
      </w:r>
    </w:p>
    <w:p w:rsidR="00A13D1F" w:rsidP="00A13D1F" w:rsidRDefault="00A13D1F" w14:paraId="29984CBA" w14:textId="7AEC32C9">
      <w:pPr>
        <w:pStyle w:val="Standard"/>
      </w:pPr>
      <w:r>
        <w:t xml:space="preserve">SANDAG suggests the Commission </w:t>
      </w:r>
      <w:r w:rsidRPr="00E35783">
        <w:t xml:space="preserve">allow last mile deployments to also fund complementary middle mile </w:t>
      </w:r>
      <w:r>
        <w:t xml:space="preserve">infrastructure to </w:t>
      </w:r>
      <w:r w:rsidRPr="00E35783">
        <w:t>fill in gaps overlooked by statewide middle mile.</w:t>
      </w:r>
    </w:p>
    <w:p w:rsidR="00A13D1F" w:rsidP="00A13D1F" w:rsidRDefault="00A13D1F" w14:paraId="52C43E41" w14:textId="77777777">
      <w:pPr>
        <w:pStyle w:val="Standard"/>
      </w:pPr>
      <w:r w:rsidRPr="00D438E3">
        <w:lastRenderedPageBreak/>
        <w:t xml:space="preserve">Frederick L Pilot and SANDAG propose that the Commission prioritize last mile projects that leverage </w:t>
      </w:r>
      <w:r>
        <w:t xml:space="preserve">the </w:t>
      </w:r>
      <w:r w:rsidRPr="00D438E3">
        <w:t>state-owned middle mile infrastructure or give those applications additional credit.</w:t>
      </w:r>
      <w:r>
        <w:t xml:space="preserve"> AT&amp;T, Comcast, Verizon, and San Francisco urge the Commission to not require FFA grantees to use the State’s middle-mile network, so grantees may consider other options that may be more economical or operationally feasible and expedite the completion of the project more expeditiously.</w:t>
      </w:r>
    </w:p>
    <w:p w:rsidR="00A13D1F" w:rsidP="00A13D1F" w:rsidRDefault="00A13D1F" w14:paraId="4D9536C7" w14:textId="77777777">
      <w:pPr>
        <w:pStyle w:val="Standard"/>
      </w:pPr>
      <w:r w:rsidRPr="003F60AC">
        <w:t>CETF</w:t>
      </w:r>
      <w:r>
        <w:t xml:space="preserve">, </w:t>
      </w:r>
      <w:r w:rsidRPr="00BB2811">
        <w:t>South Valley Internet</w:t>
      </w:r>
      <w:r>
        <w:t>,</w:t>
      </w:r>
      <w:r w:rsidRPr="003F60AC">
        <w:t xml:space="preserve"> </w:t>
      </w:r>
      <w:r>
        <w:t xml:space="preserve">and CVAG </w:t>
      </w:r>
      <w:r w:rsidRPr="003F60AC">
        <w:t xml:space="preserve">recommend that the Commission closely coordinate </w:t>
      </w:r>
      <w:r>
        <w:t xml:space="preserve">middle-mile connectivity </w:t>
      </w:r>
      <w:r w:rsidRPr="003F60AC">
        <w:t>with the California Department of Technology (CDT) and CENIC</w:t>
      </w:r>
      <w:r>
        <w:t>.</w:t>
      </w:r>
      <w:r w:rsidRPr="00BB5F1E">
        <w:t xml:space="preserve"> </w:t>
      </w:r>
      <w:r>
        <w:t xml:space="preserve">Joint WISPs and SANDAG suggest the Commission create a central clearinghouse or database to track permit applications and store public construction locations and scheduling plans, as well as other </w:t>
      </w:r>
      <w:r w:rsidRPr="00D438E3">
        <w:t>data on middle- and last-mile investments</w:t>
      </w:r>
      <w:r>
        <w:t xml:space="preserve">. Joint WISPs urge the Commission to direct middle-mile and last-mile developers to cooperate in using conduit and trenching to minimize total expenditures and community disruption. </w:t>
      </w:r>
    </w:p>
    <w:p w:rsidR="00A13D1F" w:rsidP="003578DC" w:rsidRDefault="00A13D1F" w14:paraId="70635119" w14:textId="45BC0C30">
      <w:pPr>
        <w:pStyle w:val="Heading2"/>
      </w:pPr>
      <w:bookmarkStart w:name="_Toc94637205" w:id="67"/>
      <w:bookmarkStart w:name="_Toc101519085" w:id="68"/>
      <w:r>
        <w:t>Discussion</w:t>
      </w:r>
      <w:bookmarkEnd w:id="67"/>
      <w:bookmarkEnd w:id="68"/>
    </w:p>
    <w:p w:rsidR="00A13D1F" w:rsidP="003578DC" w:rsidRDefault="00A13D1F" w14:paraId="2D2B1FFF" w14:textId="4FF24902">
      <w:pPr>
        <w:pStyle w:val="Standard"/>
      </w:pPr>
      <w:r>
        <w:t>T</w:t>
      </w:r>
      <w:r w:rsidRPr="00BE2979">
        <w:t xml:space="preserve">he Commission </w:t>
      </w:r>
      <w:r>
        <w:t xml:space="preserve">will </w:t>
      </w:r>
      <w:r w:rsidRPr="003578DC">
        <w:t>award</w:t>
      </w:r>
      <w:r>
        <w:t xml:space="preserve"> FFA funding to</w:t>
      </w:r>
      <w:r w:rsidRPr="00BE2979">
        <w:t xml:space="preserve"> last</w:t>
      </w:r>
      <w:r>
        <w:t>-</w:t>
      </w:r>
      <w:r w:rsidRPr="00BE2979">
        <w:t xml:space="preserve">mile </w:t>
      </w:r>
      <w:r>
        <w:t xml:space="preserve">applications that also propose to include </w:t>
      </w:r>
      <w:r w:rsidRPr="00BE2979">
        <w:t>middle</w:t>
      </w:r>
      <w:r>
        <w:t>-</w:t>
      </w:r>
      <w:r w:rsidRPr="00BE2979">
        <w:t xml:space="preserve">mile infrastructure </w:t>
      </w:r>
      <w:r>
        <w:t>that is necessary, and not near the</w:t>
      </w:r>
      <w:r w:rsidRPr="00BE2979">
        <w:t xml:space="preserve"> statewide middle</w:t>
      </w:r>
      <w:r>
        <w:t>-</w:t>
      </w:r>
      <w:r w:rsidRPr="00BE2979">
        <w:t>mile</w:t>
      </w:r>
      <w:r>
        <w:t xml:space="preserve"> network</w:t>
      </w:r>
      <w:r w:rsidRPr="00BE2979">
        <w:t>.</w:t>
      </w:r>
      <w:r>
        <w:t xml:space="preserve"> For projects that include funding for middle-mile infrastructure, CD Staff will evaluate and verify that the proposed </w:t>
      </w:r>
      <w:r w:rsidR="003578DC">
        <w:br/>
      </w:r>
      <w:r>
        <w:t xml:space="preserve">middle-mile infrastructure is needed to achieve the last-mile connections. CD Staff will verify if existing middle-mile infrastructure in a proposed project area has sufficient capacity, is reasonably affordable, and is open-access prior to granting or making a recommendation to the Commission to grant a proposed </w:t>
      </w:r>
      <w:r>
        <w:lastRenderedPageBreak/>
        <w:t xml:space="preserve">project. CD </w:t>
      </w:r>
      <w:r w:rsidRPr="00403C95">
        <w:t xml:space="preserve">Staff will post guidance regarding specifications for middle-mile </w:t>
      </w:r>
      <w:r w:rsidR="00600E1A">
        <w:t xml:space="preserve">infrastructure </w:t>
      </w:r>
      <w:r w:rsidRPr="00403C95">
        <w:t>funded through FFA on its website.</w:t>
      </w:r>
    </w:p>
    <w:p w:rsidR="00A13D1F" w:rsidP="00A13D1F" w:rsidRDefault="00A13D1F" w14:paraId="6A775379" w14:textId="7E31F6E5">
      <w:pPr>
        <w:pStyle w:val="Standard"/>
      </w:pPr>
      <w:r>
        <w:t xml:space="preserve">Additionally, the Commission will evaluate whether the proposed </w:t>
      </w:r>
      <w:r w:rsidR="00725C5F">
        <w:br/>
      </w:r>
      <w:r>
        <w:t xml:space="preserve">middle- mile infrastructure can be provided by the statewide middle-mile network. Proposed </w:t>
      </w:r>
      <w:r w:rsidRPr="004F5222">
        <w:t xml:space="preserve">middle-mile </w:t>
      </w:r>
      <w:r>
        <w:t>infrastructure will be coordinated</w:t>
      </w:r>
      <w:r w:rsidRPr="004F5222">
        <w:t xml:space="preserve"> with the California Department of Technology (CDT) and</w:t>
      </w:r>
      <w:r>
        <w:t xml:space="preserve"> the Third-Party Administrator to ensure it complements the statewide open-access middle mile network.</w:t>
      </w:r>
    </w:p>
    <w:p w:rsidRPr="008A17D6" w:rsidR="00A13D1F" w:rsidP="00A13D1F" w:rsidRDefault="00A13D1F" w14:paraId="7ECA40FD" w14:textId="1A58C68F">
      <w:pPr>
        <w:pStyle w:val="Standard"/>
      </w:pPr>
      <w:r>
        <w:t xml:space="preserve">As suggested by </w:t>
      </w:r>
      <w:r w:rsidRPr="00D438E3">
        <w:t>Frederick L Pilot and SANDAG</w:t>
      </w:r>
      <w:r>
        <w:t>,</w:t>
      </w:r>
      <w:r w:rsidRPr="00D438E3">
        <w:t xml:space="preserve"> </w:t>
      </w:r>
      <w:r>
        <w:t>the</w:t>
      </w:r>
      <w:r w:rsidRPr="00D438E3">
        <w:t xml:space="preserve"> Commission </w:t>
      </w:r>
      <w:r>
        <w:t xml:space="preserve">will include whether </w:t>
      </w:r>
      <w:r w:rsidRPr="00D438E3">
        <w:t>last</w:t>
      </w:r>
      <w:r>
        <w:t>-</w:t>
      </w:r>
      <w:r w:rsidRPr="00D438E3">
        <w:t xml:space="preserve">mile projects </w:t>
      </w:r>
      <w:r>
        <w:t xml:space="preserve">propose to </w:t>
      </w:r>
      <w:r w:rsidRPr="00D438E3">
        <w:t xml:space="preserve">leverage </w:t>
      </w:r>
      <w:r>
        <w:t xml:space="preserve">the </w:t>
      </w:r>
      <w:r w:rsidRPr="00D438E3">
        <w:t xml:space="preserve">state-owned middle mile infrastructure </w:t>
      </w:r>
      <w:r>
        <w:t>as part of the application evaluation. Applicants will receive up</w:t>
      </w:r>
      <w:r w:rsidR="00395F3F">
        <w:t xml:space="preserve"> </w:t>
      </w:r>
      <w:r>
        <w:t>to 10 points. However, if a proposed project is not in a geographic location that will benefit from the statewide open-access middle-mile network, an applicant may still receive credit.</w:t>
      </w:r>
    </w:p>
    <w:p w:rsidR="00A13D1F" w:rsidP="004F4499" w:rsidRDefault="00A13D1F" w14:paraId="302C29AA" w14:textId="5F23A0F7">
      <w:pPr>
        <w:pStyle w:val="Heading1"/>
      </w:pPr>
      <w:bookmarkStart w:name="_Toc94637206" w:id="69"/>
      <w:bookmarkStart w:name="_Toc101519086" w:id="70"/>
      <w:r>
        <w:t xml:space="preserve">Open </w:t>
      </w:r>
      <w:r w:rsidRPr="004F4499">
        <w:t>Access</w:t>
      </w:r>
      <w:bookmarkEnd w:id="69"/>
      <w:bookmarkEnd w:id="70"/>
    </w:p>
    <w:p w:rsidR="00A13D1F" w:rsidP="004F4499" w:rsidRDefault="00A13D1F" w14:paraId="29472D0F" w14:textId="77777777">
      <w:pPr>
        <w:pStyle w:val="Standard"/>
      </w:pPr>
      <w:r>
        <w:t xml:space="preserve">The ACR proposes </w:t>
      </w:r>
      <w:r w:rsidRPr="004F4499">
        <w:t>several</w:t>
      </w:r>
      <w:r>
        <w:t xml:space="preserve"> open access requirements for FFA grants.</w:t>
      </w:r>
    </w:p>
    <w:p w:rsidR="00A13D1F" w:rsidP="00A13D1F" w:rsidRDefault="00A13D1F" w14:paraId="2A986B2C" w14:textId="77777777">
      <w:pPr>
        <w:pStyle w:val="Standard"/>
      </w:pPr>
      <w:r>
        <w:t>First, middle-mile segments built using an FFA grant must be open access for the lifetime of that infrastructure, meaning that the grantee owning the infrastructure must offer nondiscriminatory interconnection and Internet access at reasonable and equal terms to any telecommunications service provider that wishes to interconnect with that infrastructure, wherever technically feasible.</w:t>
      </w:r>
      <w:r>
        <w:rPr>
          <w:rStyle w:val="CommentReference"/>
        </w:rPr>
        <w:t xml:space="preserve"> </w:t>
      </w:r>
      <w:r>
        <w:t>Additionally, the ACR proposes that pricing, terms, and conditions for other providers to interconnect shall be just, reasonable, and nondiscriminatory. FFA grant recipients must offer tiered pricing and a range of options to fit different business models, including similarly situated entities, such as s wholesale ISP, a government, and public anchor institutions (</w:t>
      </w:r>
      <w:r w:rsidRPr="00957E36">
        <w:rPr>
          <w:i/>
          <w:iCs/>
        </w:rPr>
        <w:t>e.g</w:t>
      </w:r>
      <w:r>
        <w:t xml:space="preserve">., a university or hospital). Pricing, tariffs, and the framework identifying standard terms and conditions </w:t>
      </w:r>
      <w:r>
        <w:lastRenderedPageBreak/>
        <w:t>must be provided to the Commission's Communications Division as part of the FFA application for middle-mile funding and may be updated by the grantee. Terms and conditions should address essential elements of network operations such as cybersecurity, circuit provisioning, network outages, future capital investment costs, and operations and maintenance costs.</w:t>
      </w:r>
    </w:p>
    <w:p w:rsidR="00A13D1F" w:rsidP="00A13D1F" w:rsidRDefault="00A13D1F" w14:paraId="34543ED7" w14:textId="60B4BD93">
      <w:pPr>
        <w:pStyle w:val="Standard"/>
      </w:pPr>
      <w:r>
        <w:t xml:space="preserve">The ACR also proposes that the Commission require FFA grant recipients to negotiate in good faith with all requesting parties (i.e., public, private, </w:t>
      </w:r>
      <w:r w:rsidR="004F4499">
        <w:br/>
      </w:r>
      <w:r>
        <w:t>non-profit, or other parties) making a bona fide request for interconnection or wholesale services.</w:t>
      </w:r>
      <w:r>
        <w:rPr>
          <w:rStyle w:val="FootnoteReference"/>
        </w:rPr>
        <w:footnoteReference w:id="36"/>
      </w:r>
      <w:r>
        <w:t xml:space="preserve"> In the event that the FFA grant recipient fails to comply with the open access requirement in accordance with the terms of approval granted by the Commission, or in the event that the FFA grant recipient does not negotiate in good faith with a requesting party, the requesting party may file a complaint with the Commission.</w:t>
      </w:r>
    </w:p>
    <w:p w:rsidRPr="00A145D2" w:rsidR="00A13D1F" w:rsidP="00A13D1F" w:rsidRDefault="00A13D1F" w14:paraId="1EFB9F5D" w14:textId="77777777">
      <w:pPr>
        <w:pStyle w:val="Standard"/>
      </w:pPr>
      <w:r>
        <w:t>Finally, the ACR proposes to require FFA grant recipients to submit a confidential annual report for the life of the middle-mile infrastructure, detailing of the number of interconnection requests and executed service agreements. The report must include: date of request, requesting party, location of requested interconnection, service requested, outcome of request, pricing, tariffs (if applicable), and terms and conditions.</w:t>
      </w:r>
    </w:p>
    <w:p w:rsidR="00A13D1F" w:rsidP="00EA1FFE" w:rsidRDefault="00A13D1F" w14:paraId="361D83C9" w14:textId="23907033">
      <w:pPr>
        <w:pStyle w:val="Heading2"/>
      </w:pPr>
      <w:bookmarkStart w:name="_Toc94637207" w:id="71"/>
      <w:bookmarkStart w:name="_Toc101519087" w:id="72"/>
      <w:r>
        <w:t>Party Positions</w:t>
      </w:r>
      <w:bookmarkEnd w:id="71"/>
      <w:bookmarkEnd w:id="72"/>
    </w:p>
    <w:p w:rsidR="00A13D1F" w:rsidP="00A13D1F" w:rsidRDefault="00A13D1F" w14:paraId="2555770F" w14:textId="77777777">
      <w:pPr>
        <w:pStyle w:val="Standard"/>
      </w:pPr>
      <w:r>
        <w:t xml:space="preserve">Los Angeles County asserts that all middle-mile funding should support publicly owned and open-access fiber and be available to low-income areas where many either do not have broadband or pay too much for it, given the </w:t>
      </w:r>
      <w:r>
        <w:lastRenderedPageBreak/>
        <w:t>County’s goal to connect as many people as possible utilizing county-owned infrastructure to extend service to unconnected households. SCAG asserts o</w:t>
      </w:r>
      <w:r w:rsidRPr="00A427D4">
        <w:t>pen-access middle mile can decrease costs and combined open-access middle mile and last mile can promote competition and private investments</w:t>
      </w:r>
      <w:r>
        <w:t>, with c</w:t>
      </w:r>
      <w:r w:rsidRPr="00A427D4">
        <w:t xml:space="preserve">ost savings </w:t>
      </w:r>
      <w:r>
        <w:t xml:space="preserve">that </w:t>
      </w:r>
      <w:r w:rsidRPr="00A427D4">
        <w:t xml:space="preserve">can be directed towards lowering subscription fees. </w:t>
      </w:r>
      <w:r>
        <w:t xml:space="preserve">Frederick L. Pilot opines that Commission </w:t>
      </w:r>
      <w:r w:rsidRPr="001601BF">
        <w:t xml:space="preserve">should favor a wholesale network operator model with open-access last mile fiber. </w:t>
      </w:r>
      <w:r w:rsidRPr="00D12A1A">
        <w:t>RCRC supports creating alternative rules for municipalities and tribal governments creating open access last mile networks.”</w:t>
      </w:r>
    </w:p>
    <w:p w:rsidRPr="00191000" w:rsidR="00A13D1F" w:rsidP="00A13D1F" w:rsidRDefault="00A13D1F" w14:paraId="5AC54766" w14:textId="77777777">
      <w:pPr>
        <w:pStyle w:val="Standard"/>
      </w:pPr>
      <w:r>
        <w:t xml:space="preserve">CETF supports the proposal for including the open access information in an annual report. </w:t>
      </w:r>
    </w:p>
    <w:p w:rsidR="00A13D1F" w:rsidP="00EA1FFE" w:rsidRDefault="00A13D1F" w14:paraId="5D5102CC" w14:textId="3E449501">
      <w:pPr>
        <w:pStyle w:val="Heading2"/>
      </w:pPr>
      <w:bookmarkStart w:name="_Toc94637208" w:id="73"/>
      <w:bookmarkStart w:name="_Toc101519088" w:id="74"/>
      <w:r>
        <w:t>Discussion</w:t>
      </w:r>
      <w:bookmarkEnd w:id="73"/>
      <w:bookmarkEnd w:id="74"/>
    </w:p>
    <w:p w:rsidRPr="00191000" w:rsidR="00A13D1F" w:rsidP="00EA1FFE" w:rsidRDefault="00A13D1F" w14:paraId="07E537C9" w14:textId="0C6AF45F">
      <w:pPr>
        <w:pStyle w:val="Standard"/>
      </w:pPr>
      <w:r>
        <w:t xml:space="preserve">We adopt the </w:t>
      </w:r>
      <w:r w:rsidRPr="00EA1FFE">
        <w:t>proposed</w:t>
      </w:r>
      <w:r>
        <w:t xml:space="preserve"> open-access requirements, with the clarification that our open access requirement </w:t>
      </w:r>
      <w:r w:rsidR="00D55BE5">
        <w:t>for</w:t>
      </w:r>
      <w:r>
        <w:t xml:space="preserve"> FFA grantees includes the requirement to provide dark fiber services.  </w:t>
      </w:r>
    </w:p>
    <w:p w:rsidR="00A13D1F" w:rsidP="00EA1FFE" w:rsidRDefault="00A13D1F" w14:paraId="7F99CE2B" w14:textId="77011353">
      <w:pPr>
        <w:pStyle w:val="Heading1"/>
      </w:pPr>
      <w:bookmarkStart w:name="_Toc94637209" w:id="75"/>
      <w:bookmarkStart w:name="_Toc101519089" w:id="76"/>
      <w:r>
        <w:t xml:space="preserve">Minimum </w:t>
      </w:r>
      <w:r w:rsidRPr="00EA1FFE">
        <w:t>Performance</w:t>
      </w:r>
      <w:r>
        <w:t xml:space="preserve"> Criteria</w:t>
      </w:r>
      <w:bookmarkEnd w:id="75"/>
      <w:bookmarkEnd w:id="76"/>
    </w:p>
    <w:p w:rsidR="00A13D1F" w:rsidP="00EA1FFE" w:rsidRDefault="00A13D1F" w14:paraId="4A8731A5" w14:textId="77777777">
      <w:pPr>
        <w:pStyle w:val="Standard"/>
      </w:pPr>
      <w:r>
        <w:t xml:space="preserve">The ACR proposes </w:t>
      </w:r>
      <w:r w:rsidRPr="00EA1FFE">
        <w:t>that</w:t>
      </w:r>
      <w:r>
        <w:t xml:space="preserve"> all FFA projects meet the following minimum performance criteria:</w:t>
      </w:r>
    </w:p>
    <w:p w:rsidR="00A13D1F" w:rsidP="00EA1FFE" w:rsidRDefault="00A13D1F" w14:paraId="3F8861AE" w14:textId="77777777">
      <w:pPr>
        <w:pStyle w:val="Standard"/>
        <w:numPr>
          <w:ilvl w:val="0"/>
          <w:numId w:val="20"/>
        </w:numPr>
        <w:spacing w:after="120" w:line="240" w:lineRule="auto"/>
        <w:ind w:right="1440"/>
      </w:pPr>
      <w:r>
        <w:t>All projects exempt from the California Environmental Quality Act (CEQA) must be completed within 12 months, and all other projects shall be completed within 24 months after receiving authorization to construct.</w:t>
      </w:r>
    </w:p>
    <w:p w:rsidR="00A13D1F" w:rsidP="00EA1FFE" w:rsidRDefault="00A13D1F" w14:paraId="6E1828C6" w14:textId="77777777">
      <w:pPr>
        <w:pStyle w:val="Standard"/>
        <w:numPr>
          <w:ilvl w:val="0"/>
          <w:numId w:val="20"/>
        </w:numPr>
        <w:spacing w:after="120" w:line="240" w:lineRule="auto"/>
        <w:ind w:right="1440"/>
      </w:pPr>
      <w:r>
        <w:t>All applicants must commit to serve customers in the project area at the prices provided in the application for the life of the infrastructure.</w:t>
      </w:r>
    </w:p>
    <w:p w:rsidR="00A13D1F" w:rsidP="00EA1FFE" w:rsidRDefault="00A13D1F" w14:paraId="2FE12898" w14:textId="77777777">
      <w:pPr>
        <w:pStyle w:val="Standard"/>
        <w:numPr>
          <w:ilvl w:val="0"/>
          <w:numId w:val="20"/>
        </w:numPr>
        <w:spacing w:after="120" w:line="240" w:lineRule="auto"/>
        <w:ind w:right="1440"/>
      </w:pPr>
      <w:r>
        <w:t>All households in the proposed project areas must be offered a broadband Internet service plan with speeds of at least 100 Mbps download and 100 Mbps upload, or speeds of at least 100 Mbps download and 20 Mbps upload if applicable.</w:t>
      </w:r>
    </w:p>
    <w:p w:rsidR="00A13D1F" w:rsidP="00EA1FFE" w:rsidRDefault="00A13D1F" w14:paraId="6BDF2203" w14:textId="689BA6D6">
      <w:pPr>
        <w:pStyle w:val="Standard"/>
        <w:numPr>
          <w:ilvl w:val="0"/>
          <w:numId w:val="20"/>
        </w:numPr>
        <w:spacing w:after="120" w:line="240" w:lineRule="auto"/>
        <w:ind w:right="1440"/>
      </w:pPr>
      <w:r>
        <w:lastRenderedPageBreak/>
        <w:t>All projects must provide service at no higher than 100</w:t>
      </w:r>
      <w:r w:rsidR="00683656">
        <w:t> </w:t>
      </w:r>
      <w:r>
        <w:t>ms of latency.</w:t>
      </w:r>
    </w:p>
    <w:p w:rsidR="00A13D1F" w:rsidP="00EA1FFE" w:rsidRDefault="00A13D1F" w14:paraId="6A28C247" w14:textId="0CEB85DA">
      <w:pPr>
        <w:pStyle w:val="Standard"/>
        <w:numPr>
          <w:ilvl w:val="0"/>
          <w:numId w:val="20"/>
        </w:numPr>
        <w:spacing w:after="120" w:line="240" w:lineRule="auto"/>
        <w:ind w:right="1440"/>
      </w:pPr>
      <w:r>
        <w:t>Data caps are disfavored. If including a data cap an applicant must include a justification about how the cap does not limit reliability of the connection to the users. In any event, data caps shall provide a minimum of 1000</w:t>
      </w:r>
      <w:r w:rsidR="00683656">
        <w:t> </w:t>
      </w:r>
      <w:r>
        <w:t>GBs per month.</w:t>
      </w:r>
    </w:p>
    <w:p w:rsidR="00A13D1F" w:rsidP="00EA1FFE" w:rsidRDefault="00A13D1F" w14:paraId="38B1FAEE" w14:textId="77777777">
      <w:pPr>
        <w:pStyle w:val="Standard"/>
        <w:numPr>
          <w:ilvl w:val="0"/>
          <w:numId w:val="20"/>
        </w:numPr>
        <w:spacing w:after="120" w:line="240" w:lineRule="auto"/>
        <w:ind w:right="1440"/>
      </w:pPr>
      <w:r>
        <w:t>All projects must provide an affordable broadband plan, as defined in the Definitions, for low-income customers, California LifeLine, federal Lifeline service and the Emergency Broadband Benefit, or its successor.</w:t>
      </w:r>
    </w:p>
    <w:p w:rsidR="00A13D1F" w:rsidP="00EA1FFE" w:rsidRDefault="00A13D1F" w14:paraId="1EF44DD6" w14:textId="77777777">
      <w:pPr>
        <w:pStyle w:val="Standard"/>
      </w:pPr>
      <w:r>
        <w:t xml:space="preserve">The ACR also asks, if the Commission should consider applicants that propose to provide voice service or other services and what industry standards for safe and reliable service should the Commission adopt. </w:t>
      </w:r>
    </w:p>
    <w:p w:rsidR="00A13D1F" w:rsidP="00EA1FFE" w:rsidRDefault="00A13D1F" w14:paraId="1D5AC843" w14:textId="4015DBA5">
      <w:pPr>
        <w:pStyle w:val="Heading2"/>
      </w:pPr>
      <w:bookmarkStart w:name="_Toc94637210" w:id="77"/>
      <w:bookmarkStart w:name="_Toc101519090" w:id="78"/>
      <w:r>
        <w:t xml:space="preserve">Party </w:t>
      </w:r>
      <w:r w:rsidRPr="00EA1FFE">
        <w:t>Positions</w:t>
      </w:r>
      <w:bookmarkEnd w:id="77"/>
      <w:bookmarkEnd w:id="78"/>
    </w:p>
    <w:p w:rsidR="00A13D1F" w:rsidP="00EA1FFE" w:rsidRDefault="00A13D1F" w14:paraId="3EC16AB0" w14:textId="77777777">
      <w:pPr>
        <w:pStyle w:val="Standard"/>
      </w:pPr>
      <w:r>
        <w:t xml:space="preserve">Parties propose several </w:t>
      </w:r>
      <w:r w:rsidRPr="00EA1FFE">
        <w:t>changes</w:t>
      </w:r>
      <w:r>
        <w:t xml:space="preserve"> to the proposed minimum performance standards. </w:t>
      </w:r>
    </w:p>
    <w:p w:rsidR="00A13D1F" w:rsidP="00A13D1F" w:rsidRDefault="00A13D1F" w14:paraId="1D26AC32" w14:textId="51B92505">
      <w:pPr>
        <w:pStyle w:val="Standard"/>
      </w:pPr>
      <w:r>
        <w:t>AT&amp;T and CETF assert a</w:t>
      </w:r>
      <w:r w:rsidRPr="00927701">
        <w:t xml:space="preserve"> 12-month construction timeline, even for </w:t>
      </w:r>
      <w:r w:rsidR="00EA1FFE">
        <w:br/>
      </w:r>
      <w:r w:rsidRPr="00927701">
        <w:t>CEQA-exempt projects, is too short and is inconsistent with federal guidance</w:t>
      </w:r>
      <w:r>
        <w:t>, and instead recommends a</w:t>
      </w:r>
      <w:r w:rsidRPr="00927701">
        <w:t xml:space="preserve"> minimum construction timeframe of two years. </w:t>
      </w:r>
      <w:r w:rsidR="00EA1FFE">
        <w:br/>
      </w:r>
      <w:r>
        <w:t xml:space="preserve">San Francisco recommends </w:t>
      </w:r>
      <w:r w:rsidRPr="008C3173">
        <w:t xml:space="preserve">at least 36 months for CEQA exempt </w:t>
      </w:r>
      <w:r>
        <w:t xml:space="preserve">projects and </w:t>
      </w:r>
      <w:r w:rsidR="00EA1FFE">
        <w:br/>
      </w:r>
      <w:r w:rsidRPr="008C3173">
        <w:t xml:space="preserve">48 </w:t>
      </w:r>
      <w:r>
        <w:t xml:space="preserve">months </w:t>
      </w:r>
      <w:r w:rsidRPr="008C3173">
        <w:t>for non-exempt</w:t>
      </w:r>
      <w:r>
        <w:t xml:space="preserve"> projects.</w:t>
      </w:r>
    </w:p>
    <w:p w:rsidR="00A13D1F" w:rsidP="00EA1FFE" w:rsidRDefault="00A13D1F" w14:paraId="6FA8ADDD" w14:textId="09CF744A">
      <w:pPr>
        <w:pStyle w:val="Standard"/>
      </w:pPr>
      <w:r>
        <w:t xml:space="preserve">Verizon contends the Commission </w:t>
      </w:r>
      <w:r w:rsidRPr="00EA1FFE">
        <w:t>should</w:t>
      </w:r>
      <w:r>
        <w:t xml:space="preserve"> r</w:t>
      </w:r>
      <w:r w:rsidRPr="00E11CBE">
        <w:t xml:space="preserve">ecognize </w:t>
      </w:r>
      <w:r>
        <w:t xml:space="preserve">that </w:t>
      </w:r>
      <w:r w:rsidRPr="00E11CBE">
        <w:t>100</w:t>
      </w:r>
      <w:r>
        <w:t xml:space="preserve"> Mbps download and 2</w:t>
      </w:r>
      <w:r w:rsidRPr="00E11CBE">
        <w:t xml:space="preserve">0 Mbps </w:t>
      </w:r>
      <w:r>
        <w:t xml:space="preserve">upload </w:t>
      </w:r>
      <w:r w:rsidRPr="00E11CBE">
        <w:t>is sufficient for projects that are using technologies other than fiber</w:t>
      </w:r>
      <w:r>
        <w:t>.</w:t>
      </w:r>
      <w:r w:rsidRPr="007C7F43">
        <w:t xml:space="preserve"> </w:t>
      </w:r>
      <w:r>
        <w:t>CforAT opposes creating a blanket exception for projects using wireless technology, arguing that it would set a lower standard for one technology, especially in light of arguments raised by various wireless Internet service providers that there is wireless technology capable of symmetrical 100 Mb</w:t>
      </w:r>
      <w:r w:rsidR="00A31187">
        <w:t>p</w:t>
      </w:r>
      <w:r>
        <w:t>s speeds.</w:t>
      </w:r>
    </w:p>
    <w:p w:rsidR="00A13D1F" w:rsidP="00A13D1F" w:rsidRDefault="00A13D1F" w14:paraId="3522DDDD" w14:textId="38957FEC">
      <w:pPr>
        <w:pStyle w:val="Standard"/>
      </w:pPr>
      <w:r>
        <w:lastRenderedPageBreak/>
        <w:t>The Small LECs s</w:t>
      </w:r>
      <w:r w:rsidRPr="00E052EF">
        <w:t>upport requir</w:t>
      </w:r>
      <w:r>
        <w:t>ing</w:t>
      </w:r>
      <w:r w:rsidRPr="00E052EF">
        <w:t xml:space="preserve"> that any infrastructure funded by FFA</w:t>
      </w:r>
      <w:r>
        <w:t xml:space="preserve"> grants</w:t>
      </w:r>
      <w:r w:rsidRPr="00E052EF">
        <w:t xml:space="preserve"> include voice service offerings using that infrastructure.</w:t>
      </w:r>
      <w:r>
        <w:t xml:space="preserve"> CCTA supports the proposed rule requiring an FFA grantee to offer voice service that meets federal 911 and backup battery standards. AT&amp;T and Comcast argue the Commission should not require an FFA applicant to provide voice service or score an applicant that specifies it will provide voice any higher than any other applicant. Frontier favors the</w:t>
      </w:r>
      <w:r w:rsidRPr="00BC42DD">
        <w:t xml:space="preserve"> requirement of offering voice service</w:t>
      </w:r>
      <w:r>
        <w:t>, including</w:t>
      </w:r>
      <w:r w:rsidRPr="00BC42DD">
        <w:t xml:space="preserve"> VoIP</w:t>
      </w:r>
      <w:r>
        <w:t>,</w:t>
      </w:r>
      <w:r w:rsidRPr="00BC42DD">
        <w:t xml:space="preserve"> but </w:t>
      </w:r>
      <w:r>
        <w:t>does not</w:t>
      </w:r>
      <w:r w:rsidRPr="00BC42DD">
        <w:t xml:space="preserve"> support </w:t>
      </w:r>
      <w:r>
        <w:t>requiring</w:t>
      </w:r>
      <w:r w:rsidRPr="00BC42DD">
        <w:t xml:space="preserve"> </w:t>
      </w:r>
      <w:r>
        <w:t xml:space="preserve">battery </w:t>
      </w:r>
      <w:r w:rsidRPr="00BC42DD">
        <w:t>backup.</w:t>
      </w:r>
      <w:r>
        <w:t xml:space="preserve"> Joint WISPs note that fixed wireless service can provide voice service. TURN supports the Staff Proposal, though it suggests the Commission require applicants to describe existing obligations or legal requirements to offer voice, and that applicants distinguish between minimum service standards for performance facility, compared with services that will be offered over those facilities. TURN does not favor a blanket requirement that all applicants offer a voice service to qualify for funding, unless the applicant has preexisting obligations or a regulatory requirement to offer voice service. </w:t>
      </w:r>
    </w:p>
    <w:p w:rsidR="00A13D1F" w:rsidP="00EA1FFE" w:rsidRDefault="00A13D1F" w14:paraId="15A63464" w14:textId="51D2E247">
      <w:pPr>
        <w:pStyle w:val="Standard"/>
      </w:pPr>
      <w:r>
        <w:t xml:space="preserve">TURN </w:t>
      </w:r>
      <w:r w:rsidRPr="00EA1FFE">
        <w:t>proposes</w:t>
      </w:r>
      <w:r>
        <w:t xml:space="preserve"> the Commission award extra points or additional funding for applicants that agree to participate in state and federal LifeLine programs or CTF discounts or commit to offering an affordable voice service the same or better than existing state and </w:t>
      </w:r>
      <w:r w:rsidR="00A31187">
        <w:t>Federal C</w:t>
      </w:r>
      <w:r>
        <w:t xml:space="preserve">ommunications </w:t>
      </w:r>
      <w:r w:rsidR="00A31187">
        <w:t>Commission public purpose programs</w:t>
      </w:r>
      <w:r>
        <w:t xml:space="preserve">. Cal Advocates recommends the Commission </w:t>
      </w:r>
      <w:r w:rsidRPr="00A95743">
        <w:t>set minimum annual</w:t>
      </w:r>
      <w:r>
        <w:t xml:space="preserve"> low-income</w:t>
      </w:r>
      <w:r w:rsidRPr="00A95743">
        <w:t xml:space="preserve"> enrollment targets for </w:t>
      </w:r>
      <w:r>
        <w:t>FFA grantees</w:t>
      </w:r>
      <w:r w:rsidRPr="00A95743">
        <w:t xml:space="preserve"> and increase the target on an annual basis</w:t>
      </w:r>
      <w:r>
        <w:t xml:space="preserve"> (f</w:t>
      </w:r>
      <w:r w:rsidRPr="00A95743">
        <w:t xml:space="preserve">or example, </w:t>
      </w:r>
      <w:r>
        <w:t xml:space="preserve">the Commission could </w:t>
      </w:r>
      <w:r w:rsidRPr="00A95743">
        <w:t>set a target of 20</w:t>
      </w:r>
      <w:r>
        <w:t xml:space="preserve"> percent</w:t>
      </w:r>
      <w:r w:rsidRPr="00A95743">
        <w:t xml:space="preserve"> enrollment of low-income households in year one and then increase it by </w:t>
      </w:r>
      <w:r w:rsidR="00AD3F7D">
        <w:br/>
      </w:r>
      <w:r w:rsidRPr="00A95743">
        <w:t>20</w:t>
      </w:r>
      <w:r>
        <w:t xml:space="preserve"> percent</w:t>
      </w:r>
      <w:r w:rsidRPr="00A95743">
        <w:t xml:space="preserve"> each consecutive year</w:t>
      </w:r>
      <w:r>
        <w:t>)</w:t>
      </w:r>
      <w:r w:rsidRPr="00A95743">
        <w:t>.</w:t>
      </w:r>
    </w:p>
    <w:p w:rsidR="00A13D1F" w:rsidP="00A13D1F" w:rsidRDefault="00A13D1F" w14:paraId="24349049" w14:textId="77777777">
      <w:pPr>
        <w:pStyle w:val="Standard"/>
      </w:pPr>
      <w:r w:rsidRPr="00BB5F1E">
        <w:lastRenderedPageBreak/>
        <w:t>CWA supports adopting appropriate labor standards that ensure both applicants and any of their subcontractors commit to high-road employment practices.</w:t>
      </w:r>
      <w:r>
        <w:rPr>
          <w:rStyle w:val="FootnoteReference"/>
        </w:rPr>
        <w:footnoteReference w:id="37"/>
      </w:r>
      <w:r w:rsidRPr="00BB5F1E">
        <w:t xml:space="preserve"> CWA also urges the Commission to require recipients to provide a project workforce continuity plan as contemplated in the Treasury guidance.  CWA also recommends the Commission lower the threshold for providing prevailing wage certification or a project employment and local impact report from $10 million to $2 million for infrastructure projects.</w:t>
      </w:r>
      <w:r>
        <w:t xml:space="preserve">  </w:t>
      </w:r>
    </w:p>
    <w:p w:rsidR="00A13D1F" w:rsidP="00A13D1F" w:rsidRDefault="00A13D1F" w14:paraId="0F8FFD97" w14:textId="77777777">
      <w:pPr>
        <w:pStyle w:val="Standard"/>
      </w:pPr>
      <w:r>
        <w:t>CCTA and Comcast object to the proposed requirement that an FFA grantee c</w:t>
      </w:r>
      <w:r w:rsidRPr="00E523B5">
        <w:t>ommit to serve customers in the project area at the prices provided in the application for the life of the infrastructure</w:t>
      </w:r>
      <w:r>
        <w:t xml:space="preserve">, and instead suggest making the requirement for two years. CETF recommends making the requirement for three of four years.  </w:t>
      </w:r>
    </w:p>
    <w:p w:rsidR="00A13D1F" w:rsidP="00A13D1F" w:rsidRDefault="00A13D1F" w14:paraId="22003EC2" w14:textId="7B10845B">
      <w:pPr>
        <w:pStyle w:val="Standard"/>
      </w:pPr>
      <w:r>
        <w:t xml:space="preserve">CforAT urges the Commission to ensure that any measurement of the serviceable life of the infrastructure include the expectation that providers are regularly and effectively maintaining their networks. Santa Clara County </w:t>
      </w:r>
      <w:r>
        <w:lastRenderedPageBreak/>
        <w:t>recommends measuring serviceable life for wireline connections by the pole, conduit or other structure hosting the wire, or using the estimates provided by the FCC (projected life for conduit systems is 50-60 years), an audit of AT&amp;T Nevada (50-year financial life of conduit) or the American Wood Protection Association (estimates wood poles useful life of 44.5 years). SBUA recommends measuring an infrastructure’s serviceable life against its ability to offer 100</w:t>
      </w:r>
      <w:r w:rsidR="00683656">
        <w:t> </w:t>
      </w:r>
      <w:r>
        <w:t>Mbps symmetrical speeds -- if the infrastructure is not technically capable of delivering those speeds or meet reliability criteria, it should no longer be considered serviceable.</w:t>
      </w:r>
    </w:p>
    <w:p w:rsidR="00A13D1F" w:rsidP="00A13D1F" w:rsidRDefault="00A13D1F" w14:paraId="7E745517" w14:textId="77777777">
      <w:pPr>
        <w:pStyle w:val="Standard"/>
      </w:pPr>
      <w:r>
        <w:t xml:space="preserve">Frederick L. Pilot encourages the Commission to reduce the latency standard to </w:t>
      </w:r>
      <w:r w:rsidRPr="00F76E2C">
        <w:t>reflec</w:t>
      </w:r>
      <w:r>
        <w:t>t</w:t>
      </w:r>
      <w:r w:rsidRPr="00F76E2C">
        <w:t xml:space="preserve"> the low latency fiber networks offer</w:t>
      </w:r>
      <w:r>
        <w:t>.</w:t>
      </w:r>
    </w:p>
    <w:p w:rsidR="00A13D1F" w:rsidP="000745FD" w:rsidRDefault="00A13D1F" w14:paraId="4FF15189" w14:textId="5B42CE80">
      <w:pPr>
        <w:pStyle w:val="Heading2"/>
      </w:pPr>
      <w:bookmarkStart w:name="_Toc94637211" w:id="79"/>
      <w:bookmarkStart w:name="_Toc101519091" w:id="80"/>
      <w:r w:rsidRPr="000745FD">
        <w:t>Discussion</w:t>
      </w:r>
      <w:bookmarkEnd w:id="79"/>
      <w:bookmarkEnd w:id="80"/>
    </w:p>
    <w:p w:rsidR="00A13D1F" w:rsidP="000745FD" w:rsidRDefault="00A13D1F" w14:paraId="77D1CA1C" w14:textId="4881574D">
      <w:pPr>
        <w:pStyle w:val="Standard"/>
      </w:pPr>
      <w:r>
        <w:t xml:space="preserve">Given the concerns various ISPs raise, we shorten the pricing commitment from the life of the infrastructure for services to </w:t>
      </w:r>
      <w:r w:rsidR="00BF12BB">
        <w:t>five</w:t>
      </w:r>
      <w:r>
        <w:t xml:space="preserve"> years</w:t>
      </w:r>
      <w:r w:rsidR="000E00BD">
        <w:t xml:space="preserve"> with the option to adjust in accordance with the Consumer Price Index</w:t>
      </w:r>
      <w:r>
        <w:t xml:space="preserve">. </w:t>
      </w:r>
      <w:r w:rsidRPr="00A31187" w:rsidR="00A31187">
        <w:t xml:space="preserve">Applicants must commit that the prices they propose to charge will not exceed the amount provided </w:t>
      </w:r>
      <w:r w:rsidR="00BF12BB">
        <w:t xml:space="preserve">in </w:t>
      </w:r>
      <w:r w:rsidRPr="00A31187" w:rsidR="00A31187">
        <w:t xml:space="preserve">their applications. </w:t>
      </w:r>
      <w:r>
        <w:t xml:space="preserve">Prices </w:t>
      </w:r>
      <w:r w:rsidR="00C22089">
        <w:t xml:space="preserve">may be </w:t>
      </w:r>
      <w:r>
        <w:t>lowered</w:t>
      </w:r>
      <w:r w:rsidR="00C22089">
        <w:t xml:space="preserve"> without Commission approval</w:t>
      </w:r>
      <w:r>
        <w:t xml:space="preserve">, but </w:t>
      </w:r>
      <w:r w:rsidR="00C22089">
        <w:t xml:space="preserve">may </w:t>
      </w:r>
      <w:r>
        <w:t>not be increased</w:t>
      </w:r>
      <w:r w:rsidR="00C22089">
        <w:t xml:space="preserve"> to more than the committed pricing</w:t>
      </w:r>
      <w:r>
        <w:t xml:space="preserve">. </w:t>
      </w:r>
      <w:r w:rsidR="00BF12BB">
        <w:t>As noted in Section 8, applicants that commit to offering prices for a ten-year period</w:t>
      </w:r>
      <w:r w:rsidR="000E00BD">
        <w:t>, with the option to adjust in accordance with the Consumer Price Index,</w:t>
      </w:r>
      <w:r w:rsidR="00BF12BB">
        <w:t xml:space="preserve"> will receive up to an additional ten points. </w:t>
      </w:r>
      <w:r>
        <w:t xml:space="preserve">We also revise this requirement to provide grant recipients with the ability to file a request to waive this requirement with the Communications Division, should the need to </w:t>
      </w:r>
      <w:r w:rsidR="00C22089">
        <w:t>raise</w:t>
      </w:r>
      <w:r>
        <w:t xml:space="preserve"> their prices in the future arise. </w:t>
      </w:r>
    </w:p>
    <w:p w:rsidR="00A13D1F" w:rsidP="00A13D1F" w:rsidRDefault="00A13D1F" w14:paraId="4643901A" w14:textId="326D344D">
      <w:pPr>
        <w:pStyle w:val="Standard"/>
      </w:pPr>
      <w:r>
        <w:t xml:space="preserve">In response to concerns raised by </w:t>
      </w:r>
      <w:r w:rsidRPr="005476C6">
        <w:t>AT&amp;T</w:t>
      </w:r>
      <w:r>
        <w:t>,</w:t>
      </w:r>
      <w:r w:rsidRPr="005476C6">
        <w:t xml:space="preserve"> CETF</w:t>
      </w:r>
      <w:r>
        <w:t>, and San Francisco, we extend the</w:t>
      </w:r>
      <w:r w:rsidRPr="005476C6">
        <w:t xml:space="preserve"> construction </w:t>
      </w:r>
      <w:r>
        <w:t xml:space="preserve">deadline </w:t>
      </w:r>
      <w:r w:rsidRPr="005476C6">
        <w:t>for CEQA-exempt projects</w:t>
      </w:r>
      <w:r>
        <w:t xml:space="preserve"> from 12 months to </w:t>
      </w:r>
      <w:r>
        <w:lastRenderedPageBreak/>
        <w:t>18 months. In addition, FFA grant recipients</w:t>
      </w:r>
      <w:r w:rsidRPr="00E337D3">
        <w:t xml:space="preserve"> may request an extension of time as needed</w:t>
      </w:r>
      <w:r>
        <w:t>, though</w:t>
      </w:r>
      <w:r w:rsidR="00CF65DB">
        <w:t xml:space="preserve"> grantees must be aware of the deadlines in federal statute</w:t>
      </w:r>
      <w:r w:rsidRPr="00E337D3">
        <w:t>. A</w:t>
      </w:r>
      <w:r>
        <w:t>dditionally, a</w:t>
      </w:r>
      <w:r w:rsidRPr="00E337D3">
        <w:t xml:space="preserve">s part of the annual resolution process, providers </w:t>
      </w:r>
      <w:r>
        <w:t>may</w:t>
      </w:r>
      <w:r w:rsidRPr="00E337D3">
        <w:t xml:space="preserve"> receive an extension</w:t>
      </w:r>
      <w:r>
        <w:t xml:space="preserve"> of time</w:t>
      </w:r>
      <w:r w:rsidRPr="00E337D3">
        <w:t>.</w:t>
      </w:r>
      <w:r>
        <w:t xml:space="preserve"> The shorter deadlines reflect the Commission’s obligation to ensure these funds are expended in the time allotted by the federal government. There is an urgency with which these funds must – and can – be expended. If an applicant demonstrates an inability to perform, the Commission must identify this with sufficient time to allocate funds to other projects or applicants before the funds are rescinded by the federal government. </w:t>
      </w:r>
    </w:p>
    <w:p w:rsidRPr="00767758" w:rsidR="00A13D1F" w:rsidP="00A13D1F" w:rsidRDefault="00A13D1F" w14:paraId="28FC2012" w14:textId="44C62552">
      <w:pPr>
        <w:pStyle w:val="Standard"/>
      </w:pPr>
      <w:r>
        <w:t>Statute requires FFA projects</w:t>
      </w:r>
      <w:r w:rsidR="000B1815">
        <w:t xml:space="preserve"> to</w:t>
      </w:r>
      <w:r>
        <w:t xml:space="preserve"> pay prevailing wages.</w:t>
      </w:r>
      <w:r>
        <w:rPr>
          <w:rStyle w:val="FootnoteReference"/>
        </w:rPr>
        <w:footnoteReference w:id="38"/>
      </w:r>
      <w:r>
        <w:t xml:space="preserve"> In response to CWA’s request, we add that to the list of minimum performance requirements.  </w:t>
      </w:r>
    </w:p>
    <w:p w:rsidR="00A13D1F" w:rsidP="000745FD" w:rsidRDefault="00A13D1F" w14:paraId="6B671838" w14:textId="5DD14CDA">
      <w:pPr>
        <w:pStyle w:val="Heading1"/>
      </w:pPr>
      <w:bookmarkStart w:name="_Toc94637212" w:id="81"/>
      <w:bookmarkStart w:name="_Toc101519092" w:id="82"/>
      <w:r w:rsidRPr="000745FD">
        <w:t>Affordability</w:t>
      </w:r>
      <w:bookmarkEnd w:id="81"/>
      <w:bookmarkEnd w:id="82"/>
    </w:p>
    <w:p w:rsidR="00A13D1F" w:rsidP="000745FD" w:rsidRDefault="00A13D1F" w14:paraId="6D1919B2" w14:textId="77777777">
      <w:pPr>
        <w:pStyle w:val="Standard"/>
      </w:pPr>
      <w:r>
        <w:t>The Interim Federal Rule encourages integrating affordability into the design of this program. With that in mind, the ACR requests comment on the following questions.</w:t>
      </w:r>
    </w:p>
    <w:p w:rsidR="00A13D1F" w:rsidP="000A5FED" w:rsidRDefault="00A13D1F" w14:paraId="76FBBD84" w14:textId="5A59625D">
      <w:pPr>
        <w:pStyle w:val="Standard"/>
        <w:numPr>
          <w:ilvl w:val="0"/>
          <w:numId w:val="28"/>
        </w:numPr>
        <w:spacing w:after="120" w:line="240" w:lineRule="auto"/>
        <w:ind w:right="1440"/>
      </w:pPr>
      <w:r>
        <w:t>How should the Commission define affordability?</w:t>
      </w:r>
    </w:p>
    <w:p w:rsidR="00A13D1F" w:rsidP="000A5FED" w:rsidRDefault="00A13D1F" w14:paraId="32A27AE6" w14:textId="321F7DA0">
      <w:pPr>
        <w:pStyle w:val="Standard"/>
        <w:numPr>
          <w:ilvl w:val="0"/>
          <w:numId w:val="28"/>
        </w:numPr>
        <w:spacing w:after="120" w:line="240" w:lineRule="auto"/>
        <w:ind w:right="1440"/>
      </w:pPr>
      <w:r>
        <w:t>How should the Commission consider a preference or requirement for affordable offers that are not income-qualified?</w:t>
      </w:r>
    </w:p>
    <w:p w:rsidR="00A13D1F" w:rsidP="000A5FED" w:rsidRDefault="00A13D1F" w14:paraId="1E518C78" w14:textId="7D2335EB">
      <w:pPr>
        <w:pStyle w:val="Standard"/>
        <w:numPr>
          <w:ilvl w:val="0"/>
          <w:numId w:val="28"/>
        </w:numPr>
        <w:spacing w:after="120" w:line="240" w:lineRule="auto"/>
        <w:ind w:right="1440"/>
      </w:pPr>
      <w:r>
        <w:t>Should the Commission consider other low-income preferences or requirements as a percentage of the Federal Poverty Level? Or categorical eligibility such as any service connection in a Qualified Census Tract?</w:t>
      </w:r>
    </w:p>
    <w:p w:rsidR="00A13D1F" w:rsidP="000A5FED" w:rsidRDefault="00A13D1F" w14:paraId="398692F0" w14:textId="4AD86D8F">
      <w:pPr>
        <w:pStyle w:val="Standard"/>
        <w:numPr>
          <w:ilvl w:val="0"/>
          <w:numId w:val="28"/>
        </w:numPr>
        <w:spacing w:after="120" w:line="240" w:lineRule="auto"/>
        <w:ind w:right="1440"/>
      </w:pPr>
      <w:r>
        <w:t>How should the Commission consider low-income or affordable offers that allow for enrollment based on participation in any California public assistance program?</w:t>
      </w:r>
    </w:p>
    <w:p w:rsidR="00A13D1F" w:rsidP="000A5FED" w:rsidRDefault="00A13D1F" w14:paraId="7ABFD5A1" w14:textId="6BEFE415">
      <w:pPr>
        <w:pStyle w:val="Standard"/>
        <w:numPr>
          <w:ilvl w:val="0"/>
          <w:numId w:val="28"/>
        </w:numPr>
        <w:spacing w:after="120" w:line="240" w:lineRule="auto"/>
        <w:ind w:right="1440"/>
      </w:pPr>
      <w:r>
        <w:lastRenderedPageBreak/>
        <w:t>What should be the term for which an affordable or low-income offer is provided and what is the rationale for the term?</w:t>
      </w:r>
    </w:p>
    <w:p w:rsidRPr="00767758" w:rsidR="00A13D1F" w:rsidP="000A5FED" w:rsidRDefault="00A13D1F" w14:paraId="2C737687" w14:textId="6D0DF15D">
      <w:pPr>
        <w:pStyle w:val="Standard"/>
        <w:numPr>
          <w:ilvl w:val="0"/>
          <w:numId w:val="28"/>
        </w:numPr>
        <w:spacing w:after="120" w:line="240" w:lineRule="auto"/>
        <w:ind w:right="1440"/>
      </w:pPr>
      <w:r>
        <w:t>Is it reasonable to require applicants provide Lifeline services, as well as the Emergency Broadband Benefit, or its successor?</w:t>
      </w:r>
    </w:p>
    <w:p w:rsidR="00A13D1F" w:rsidP="000745FD" w:rsidRDefault="00A13D1F" w14:paraId="6496E864" w14:textId="394D487B">
      <w:pPr>
        <w:pStyle w:val="Heading2"/>
      </w:pPr>
      <w:bookmarkStart w:name="_Toc94637213" w:id="83"/>
      <w:bookmarkStart w:name="_Toc101519093" w:id="84"/>
      <w:r>
        <w:t>Party Positions</w:t>
      </w:r>
      <w:bookmarkEnd w:id="83"/>
      <w:bookmarkEnd w:id="84"/>
    </w:p>
    <w:p w:rsidR="00A13D1F" w:rsidP="000745FD" w:rsidRDefault="00A13D1F" w14:paraId="0C5E2BE2" w14:textId="340306DE">
      <w:pPr>
        <w:pStyle w:val="Standard"/>
      </w:pPr>
      <w:r>
        <w:t xml:space="preserve">Parties offer </w:t>
      </w:r>
      <w:r w:rsidRPr="000745FD">
        <w:t>different</w:t>
      </w:r>
      <w:r>
        <w:t xml:space="preserve"> options for defining affordability. AARP recommends the Commission </w:t>
      </w:r>
      <w:r w:rsidRPr="00020939">
        <w:t>calculate an “acceptable broadband burden</w:t>
      </w:r>
      <w:r>
        <w:t xml:space="preserve">” that </w:t>
      </w:r>
      <w:r w:rsidRPr="00020939" w:rsidR="00E62A4B">
        <w:t>considers</w:t>
      </w:r>
      <w:r w:rsidRPr="00020939">
        <w:t xml:space="preserve"> the cost of equipment </w:t>
      </w:r>
      <w:r>
        <w:t xml:space="preserve">and </w:t>
      </w:r>
      <w:r w:rsidRPr="00020939">
        <w:t>any monthly fees</w:t>
      </w:r>
      <w:r>
        <w:t xml:space="preserve">, as well as decreases in the </w:t>
      </w:r>
      <w:r w:rsidRPr="00020939">
        <w:t xml:space="preserve">price </w:t>
      </w:r>
      <w:r>
        <w:t xml:space="preserve">of Internet service, and supports </w:t>
      </w:r>
      <w:r w:rsidRPr="00B63CC2">
        <w:t>prioritizing non-commercial providers as a way to lower prices and to encourage adoption</w:t>
      </w:r>
      <w:r>
        <w:t xml:space="preserve">. AARP also notes that affordability is </w:t>
      </w:r>
      <w:r w:rsidRPr="00B63CC2">
        <w:t>affected by time spent on applying for subsidized broadband</w:t>
      </w:r>
      <w:r>
        <w:t>. San</w:t>
      </w:r>
      <w:r w:rsidR="00683656">
        <w:t> </w:t>
      </w:r>
      <w:r>
        <w:t xml:space="preserve">Francisco recommends the Commission consider offering free or low-cost options for qualifying low-income consumers, and also ensuring long-term commitments from ISPs to making affordable services available. CVAG proposes the Commission define affordability as a percentage of household income, and should </w:t>
      </w:r>
      <w:r w:rsidR="00E62A4B">
        <w:t>reflect</w:t>
      </w:r>
      <w:r>
        <w:t xml:space="preserve"> an area’s Median Income, similar to how affordable housing is defined (not more than 30 percent of gross income towards housing costs). CforAT recommends including an affordability factor in the Commission’s evaluation of applications and using the definition and metrics of affordability adopted in the Commission’s affordability docket.</w:t>
      </w:r>
      <w:r>
        <w:rPr>
          <w:rStyle w:val="FootnoteReference"/>
        </w:rPr>
        <w:footnoteReference w:id="39"/>
      </w:r>
      <w:r>
        <w:t xml:space="preserve"> SCAG contends that o</w:t>
      </w:r>
      <w:r w:rsidRPr="00EF5F7C">
        <w:t xml:space="preserve">pen-access </w:t>
      </w:r>
      <w:r>
        <w:t xml:space="preserve">to </w:t>
      </w:r>
      <w:r w:rsidRPr="00EF5F7C">
        <w:t xml:space="preserve">middle mile </w:t>
      </w:r>
      <w:r>
        <w:t xml:space="preserve">infrastructure </w:t>
      </w:r>
      <w:r w:rsidRPr="00EF5F7C">
        <w:t>can decrease costs and</w:t>
      </w:r>
      <w:r>
        <w:t>, when</w:t>
      </w:r>
      <w:r w:rsidRPr="00EF5F7C">
        <w:t xml:space="preserve"> combined </w:t>
      </w:r>
      <w:r>
        <w:t xml:space="preserve">with open-access to </w:t>
      </w:r>
      <w:r w:rsidRPr="00EF5F7C">
        <w:t>last mile</w:t>
      </w:r>
      <w:r>
        <w:t>,</w:t>
      </w:r>
      <w:r w:rsidRPr="00EF5F7C">
        <w:t xml:space="preserve"> can promote competition and private investments</w:t>
      </w:r>
      <w:r>
        <w:t>, allowing c</w:t>
      </w:r>
      <w:r w:rsidRPr="00EF5F7C">
        <w:t xml:space="preserve">ost savings </w:t>
      </w:r>
      <w:r>
        <w:t>to</w:t>
      </w:r>
      <w:r w:rsidRPr="00EF5F7C">
        <w:t xml:space="preserve"> be directed towards lowering subscription </w:t>
      </w:r>
      <w:r>
        <w:t xml:space="preserve">prices. </w:t>
      </w:r>
    </w:p>
    <w:p w:rsidR="00A13D1F" w:rsidP="00A13D1F" w:rsidRDefault="00A13D1F" w14:paraId="13C631A1" w14:textId="5CC9B884">
      <w:pPr>
        <w:pStyle w:val="Standard"/>
      </w:pPr>
      <w:r>
        <w:lastRenderedPageBreak/>
        <w:t>LAEDC advocates for an</w:t>
      </w:r>
      <w:r w:rsidRPr="00EC5DC9">
        <w:t xml:space="preserve"> affordability threshold </w:t>
      </w:r>
      <w:r>
        <w:t>that is</w:t>
      </w:r>
      <w:r w:rsidRPr="00EC5DC9">
        <w:t xml:space="preserve"> “no higher than the FCC’s 2</w:t>
      </w:r>
      <w:r>
        <w:t xml:space="preserve"> percent</w:t>
      </w:r>
      <w:r w:rsidRPr="00EC5DC9">
        <w:t xml:space="preserve"> threshold</w:t>
      </w:r>
      <w:r>
        <w:t xml:space="preserve"> “and preferably lower</w:t>
      </w:r>
      <w:r w:rsidRPr="00EC5DC9">
        <w:t xml:space="preserve"> to lessen the likelihood of </w:t>
      </w:r>
      <w:r w:rsidR="00AD3F7D">
        <w:br/>
      </w:r>
      <w:r w:rsidRPr="00EC5DC9">
        <w:t>low-income households having to cut other essential expenses to be able to afford Internet access.</w:t>
      </w:r>
      <w:r>
        <w:t xml:space="preserve"> SBUA supports using the definition adopted in </w:t>
      </w:r>
      <w:r w:rsidR="00AD3F7D">
        <w:br/>
      </w:r>
      <w:r>
        <w:t xml:space="preserve">D.20-07-032, which defines affordability “as the degree to which a representative household is able to pay for an essential utility service charge, given its socioeconomic status.” SBUA recommends applying the three metrics specified in that decision: 1) the affordability ratio, 2) the hours at minimum wage, and </w:t>
      </w:r>
      <w:r w:rsidR="006E5D6D">
        <w:br/>
      </w:r>
      <w:r>
        <w:t xml:space="preserve">3) the socioeconomic vulnerability index, with goals also set for small businesses and diverse businesses. NCC encourages the Commission to adopt a broad definition of affordability to overcome barriers to access and adoption issues and also asserts that supporting community-backed initiatives like publicly owned networks will improve both the availability and the affordability of Internet service.  </w:t>
      </w:r>
    </w:p>
    <w:p w:rsidR="00A13D1F" w:rsidP="00A13D1F" w:rsidRDefault="00A13D1F" w14:paraId="356AADA1" w14:textId="77777777">
      <w:pPr>
        <w:pStyle w:val="Standard"/>
      </w:pPr>
      <w:r>
        <w:t xml:space="preserve">TURN proposes that the Commission identify needs of low-income communities where the lack of affordable voice and broadband communications services created a barrier to access, establish minimum standards for services offered over these facilities, and create benchmarks and ranges of affordable rates for services offered over the infrastructure built with this funding. </w:t>
      </w:r>
    </w:p>
    <w:p w:rsidR="00A13D1F" w:rsidP="00A13D1F" w:rsidRDefault="00A13D1F" w14:paraId="5893BF8C" w14:textId="5AF7B910">
      <w:pPr>
        <w:pStyle w:val="Standard"/>
      </w:pPr>
      <w:r>
        <w:t>Some parties propose specific monthly rates for affordable service. TURN supports using the current CASF rates and terms as a useful benchmark, though TURN also asserts that the Commission should not look strictly at market rates of existing middle-mile services as a benchmark or definition of affordability. Cal</w:t>
      </w:r>
      <w:r w:rsidR="00683656">
        <w:t> </w:t>
      </w:r>
      <w:r>
        <w:t xml:space="preserve">Advocates supports requiring grantees to offer a low-income plan for $15 per month, which offers speeds of at least 100 Mbps download and 20 Mbps upload, and 100 Mbps symmetrical if the project will offer plans at those speeds. NCC </w:t>
      </w:r>
      <w:r>
        <w:lastRenderedPageBreak/>
        <w:t xml:space="preserve">contends that free and low-cost options, as well as adoption support, are necessary to ensure that all Californians can get online and that even $10-$15 per month may be too expensive for some individuals. Greenlining Institute proposes to </w:t>
      </w:r>
      <w:r w:rsidRPr="002F23E7">
        <w:t xml:space="preserve">define an affordable </w:t>
      </w:r>
      <w:r>
        <w:t xml:space="preserve">Internet service plan </w:t>
      </w:r>
      <w:r w:rsidRPr="002F23E7">
        <w:t>as one that provides service at $10</w:t>
      </w:r>
      <w:r>
        <w:t xml:space="preserve"> per </w:t>
      </w:r>
      <w:r w:rsidRPr="002F23E7">
        <w:t xml:space="preserve">month at speeds sufficient for </w:t>
      </w:r>
      <w:r>
        <w:t xml:space="preserve">an </w:t>
      </w:r>
      <w:r w:rsidRPr="002F23E7">
        <w:t xml:space="preserve">entire household to connect to telehealth, </w:t>
      </w:r>
      <w:r>
        <w:t xml:space="preserve">teleworking, and </w:t>
      </w:r>
      <w:r w:rsidRPr="002F23E7">
        <w:t>remote learning</w:t>
      </w:r>
      <w:r>
        <w:t xml:space="preserve">. Currently, Greenlining Institute asserts </w:t>
      </w:r>
      <w:r w:rsidRPr="002F23E7">
        <w:t>this should be set at a minimum 50 Mbps</w:t>
      </w:r>
      <w:r>
        <w:t>,</w:t>
      </w:r>
      <w:r w:rsidRPr="002F23E7">
        <w:t xml:space="preserve"> with speeds increasing as societal usage needs increase over time</w:t>
      </w:r>
      <w:r>
        <w:t xml:space="preserve"> (Greenlining Institute </w:t>
      </w:r>
      <w:r w:rsidRPr="003067A9">
        <w:t>estimate</w:t>
      </w:r>
      <w:r>
        <w:t>s</w:t>
      </w:r>
      <w:r w:rsidRPr="003067A9">
        <w:t xml:space="preserve"> that </w:t>
      </w:r>
      <w:r>
        <w:t xml:space="preserve">an </w:t>
      </w:r>
      <w:r w:rsidRPr="003067A9">
        <w:t>average internet user will need 150-500 Mbps download/100 Mbps upload speeds by 2025</w:t>
      </w:r>
      <w:r>
        <w:t>) and that the offer must be stand alone, without bundles</w:t>
      </w:r>
      <w:r w:rsidRPr="002F23E7">
        <w:t>.</w:t>
      </w:r>
      <w:r>
        <w:t xml:space="preserve"> </w:t>
      </w:r>
      <w:r w:rsidRPr="00417444">
        <w:t xml:space="preserve">AT&amp;T </w:t>
      </w:r>
      <w:r>
        <w:t xml:space="preserve">and Frontier oppose </w:t>
      </w:r>
      <w:r w:rsidRPr="00417444">
        <w:t>the propos</w:t>
      </w:r>
      <w:r>
        <w:t>al to</w:t>
      </w:r>
      <w:r w:rsidRPr="00417444">
        <w:t xml:space="preserve"> require </w:t>
      </w:r>
      <w:r>
        <w:t xml:space="preserve">FFA grantees provide Internet </w:t>
      </w:r>
      <w:r w:rsidRPr="00417444">
        <w:t>service</w:t>
      </w:r>
      <w:r>
        <w:t xml:space="preserve"> </w:t>
      </w:r>
      <w:r w:rsidRPr="00417444">
        <w:t xml:space="preserve">at an agreed-upon </w:t>
      </w:r>
      <w:r>
        <w:t xml:space="preserve">price </w:t>
      </w:r>
      <w:r w:rsidRPr="00417444">
        <w:t>for the life of the infrastructure. AT&amp;T support</w:t>
      </w:r>
      <w:r>
        <w:t xml:space="preserve">s </w:t>
      </w:r>
      <w:r w:rsidRPr="00417444">
        <w:t>a two-year service agreement term in the Staff Proposal</w:t>
      </w:r>
      <w:r>
        <w:t>,</w:t>
      </w:r>
      <w:r w:rsidRPr="00417444">
        <w:t xml:space="preserve"> or a term commensurate with FFA oversight. </w:t>
      </w:r>
      <w:r>
        <w:t>The Small LECs request an exemption for rate-of-return regulated utilities that specify they do not have to offer a particular rate for retail broadband to access FFA funding, arguing these companies should not be required to offer Internet access service at a loss.</w:t>
      </w:r>
    </w:p>
    <w:p w:rsidR="00A13D1F" w:rsidP="00A13D1F" w:rsidRDefault="00A13D1F" w14:paraId="37283155" w14:textId="6290987E">
      <w:pPr>
        <w:pStyle w:val="Standard"/>
      </w:pPr>
      <w:r>
        <w:t>AARP argues the Commission needs to regulate</w:t>
      </w:r>
      <w:r w:rsidRPr="00417444">
        <w:t xml:space="preserve"> price and service subsidization</w:t>
      </w:r>
      <w:r>
        <w:t xml:space="preserve">; </w:t>
      </w:r>
      <w:r w:rsidRPr="00417444" w:rsidR="00267EC6">
        <w:t>otherwise,</w:t>
      </w:r>
      <w:r w:rsidRPr="00417444">
        <w:t xml:space="preserve"> </w:t>
      </w:r>
      <w:r w:rsidR="00267EC6">
        <w:t xml:space="preserve">AARP asserts that </w:t>
      </w:r>
      <w:r w:rsidRPr="00417444">
        <w:t>prices will continue to increase in non-competitive markets</w:t>
      </w:r>
      <w:r>
        <w:t xml:space="preserve">. CCTA opposes the proposal to require FFA grantees to offer a low-income Internet service plan for $15 a month, asserting it will allow </w:t>
      </w:r>
      <w:r w:rsidRPr="00FD27D0">
        <w:t>flexibility and not exclude low-income offers</w:t>
      </w:r>
      <w:r>
        <w:t>,</w:t>
      </w:r>
      <w:r w:rsidRPr="00FD27D0">
        <w:t xml:space="preserve"> such as the E</w:t>
      </w:r>
      <w:r>
        <w:t>BB</w:t>
      </w:r>
      <w:r w:rsidRPr="00FD27D0">
        <w:t xml:space="preserve"> program</w:t>
      </w:r>
      <w:r>
        <w:t>,</w:t>
      </w:r>
      <w:r w:rsidRPr="00FD27D0">
        <w:t xml:space="preserve"> with a different existing structure.</w:t>
      </w:r>
      <w:r>
        <w:t xml:space="preserve">  </w:t>
      </w:r>
    </w:p>
    <w:p w:rsidR="00A13D1F" w:rsidP="00A13D1F" w:rsidRDefault="00A13D1F" w14:paraId="1BF94AB2" w14:textId="77777777">
      <w:pPr>
        <w:pStyle w:val="Standard"/>
      </w:pPr>
      <w:r>
        <w:t xml:space="preserve">CETF and CforAT support the proposal. CforAT and </w:t>
      </w:r>
      <w:r w:rsidRPr="004C12EC">
        <w:t>San Francisco</w:t>
      </w:r>
      <w:r>
        <w:t xml:space="preserve"> recommend the Commission award more points to applications that offer to </w:t>
      </w:r>
      <w:r>
        <w:lastRenderedPageBreak/>
        <w:t>charge less.</w:t>
      </w:r>
      <w:r w:rsidRPr="006F479C">
        <w:t xml:space="preserve"> </w:t>
      </w:r>
      <w:r>
        <w:t>CETF also recommends that we require providers not to levy additional</w:t>
      </w:r>
      <w:r w:rsidRPr="0020764E">
        <w:t xml:space="preserve"> charges for the modem or </w:t>
      </w:r>
      <w:r>
        <w:t xml:space="preserve">for </w:t>
      </w:r>
      <w:r w:rsidRPr="0020764E">
        <w:t>installation.</w:t>
      </w:r>
      <w:r>
        <w:t xml:space="preserve"> </w:t>
      </w:r>
    </w:p>
    <w:p w:rsidR="00A13D1F" w:rsidP="00A13D1F" w:rsidRDefault="00A13D1F" w14:paraId="45B346B6" w14:textId="0D858163">
      <w:pPr>
        <w:pStyle w:val="Standard"/>
      </w:pPr>
      <w:r>
        <w:t xml:space="preserve">Comcast recommends the Commission adopt a requirement similar to the </w:t>
      </w:r>
      <w:r w:rsidRPr="00D137AA">
        <w:t xml:space="preserve">CASF Infrastructure Grant </w:t>
      </w:r>
      <w:r>
        <w:t xml:space="preserve">Account </w:t>
      </w:r>
      <w:r w:rsidRPr="00D137AA">
        <w:t>rules, which require all projects to “provide an affordable broadband plan</w:t>
      </w:r>
      <w:r>
        <w:t>,</w:t>
      </w:r>
      <w:r w:rsidRPr="00D137AA">
        <w:t xml:space="preserve">” </w:t>
      </w:r>
      <w:r>
        <w:t xml:space="preserve">but which do not </w:t>
      </w:r>
      <w:r w:rsidRPr="00D137AA">
        <w:t xml:space="preserve">define </w:t>
      </w:r>
      <w:r w:rsidR="001302DB">
        <w:t>an</w:t>
      </w:r>
      <w:r w:rsidRPr="00D137AA" w:rsidR="001302DB">
        <w:t xml:space="preserve"> “affordable</w:t>
      </w:r>
      <w:r w:rsidRPr="00D137AA">
        <w:t xml:space="preserve"> broadband plan</w:t>
      </w:r>
      <w:r>
        <w:t>.</w:t>
      </w:r>
      <w:r w:rsidRPr="00D137AA">
        <w:t xml:space="preserve">” </w:t>
      </w:r>
      <w:r>
        <w:t xml:space="preserve">Instead, the rules require </w:t>
      </w:r>
      <w:r w:rsidRPr="00D137AA">
        <w:t xml:space="preserve">“low-income plans” </w:t>
      </w:r>
      <w:r>
        <w:t xml:space="preserve">that </w:t>
      </w:r>
      <w:r w:rsidRPr="00D137AA">
        <w:t>cost no more than $15 per month.</w:t>
      </w:r>
    </w:p>
    <w:p w:rsidR="00A13D1F" w:rsidP="00A13D1F" w:rsidRDefault="00A13D1F" w14:paraId="09AC88DD" w14:textId="77777777">
      <w:pPr>
        <w:pStyle w:val="Standard"/>
      </w:pPr>
      <w:r>
        <w:t>Cal Advocates proposes that, t</w:t>
      </w:r>
      <w:r w:rsidRPr="00CA1BF6">
        <w:t>o support enrollment to affordable plans,</w:t>
      </w:r>
      <w:r>
        <w:t xml:space="preserve"> the Commission </w:t>
      </w:r>
      <w:r w:rsidRPr="00CA1BF6">
        <w:t>require all providers to partner with community-based organizations, local schools, and local governments administering low-income plans.</w:t>
      </w:r>
    </w:p>
    <w:p w:rsidR="00A13D1F" w:rsidP="00A13D1F" w:rsidRDefault="00A13D1F" w14:paraId="3B0B4A78" w14:textId="77777777">
      <w:pPr>
        <w:pStyle w:val="Standard"/>
      </w:pPr>
      <w:r>
        <w:t xml:space="preserve">SCAG recommends </w:t>
      </w:r>
      <w:r w:rsidRPr="000C048B">
        <w:t xml:space="preserve">an affordable rate of $20 </w:t>
      </w:r>
      <w:r>
        <w:t xml:space="preserve">per month or free service </w:t>
      </w:r>
      <w:r w:rsidRPr="000C048B">
        <w:t>for</w:t>
      </w:r>
      <w:r>
        <w:t xml:space="preserve"> individuals residing in</w:t>
      </w:r>
      <w:r w:rsidRPr="000C048B">
        <w:t xml:space="preserve"> gov</w:t>
      </w:r>
      <w:r>
        <w:t>ernment-</w:t>
      </w:r>
      <w:r w:rsidRPr="000C048B">
        <w:t>subsidized housing</w:t>
      </w:r>
      <w:r>
        <w:t>, and to w</w:t>
      </w:r>
      <w:r w:rsidRPr="000C048B">
        <w:t xml:space="preserve">aive </w:t>
      </w:r>
      <w:r>
        <w:t xml:space="preserve">the </w:t>
      </w:r>
      <w:r w:rsidRPr="000C048B">
        <w:t xml:space="preserve">cost of installation and any fees. </w:t>
      </w:r>
    </w:p>
    <w:p w:rsidRPr="0004283E" w:rsidR="00A13D1F" w:rsidP="00A13D1F" w:rsidRDefault="00A13D1F" w14:paraId="3B34C2AC" w14:textId="1E12E065">
      <w:pPr>
        <w:pStyle w:val="Standard"/>
      </w:pPr>
      <w:r>
        <w:t>CCTA contends th</w:t>
      </w:r>
      <w:r w:rsidRPr="00F35B2C">
        <w:t>ere is no need to define “affordability” in this proceeding</w:t>
      </w:r>
      <w:r>
        <w:t>,</w:t>
      </w:r>
      <w:r w:rsidRPr="00F35B2C">
        <w:t xml:space="preserve"> given that this issue is being addressed in R.18-07-006. </w:t>
      </w:r>
      <w:r>
        <w:t>RCRC s</w:t>
      </w:r>
      <w:r w:rsidRPr="00527917">
        <w:t xml:space="preserve">upports making broadband </w:t>
      </w:r>
      <w:r>
        <w:t xml:space="preserve">Internet </w:t>
      </w:r>
      <w:r w:rsidRPr="00527917">
        <w:t>services affordable</w:t>
      </w:r>
      <w:r>
        <w:t xml:space="preserve"> </w:t>
      </w:r>
      <w:r w:rsidRPr="00527917">
        <w:t xml:space="preserve">but </w:t>
      </w:r>
      <w:r>
        <w:t xml:space="preserve">asserts the </w:t>
      </w:r>
      <w:r w:rsidRPr="00527917">
        <w:t xml:space="preserve">proposal’s affordability requirements aren’t achievable for </w:t>
      </w:r>
      <w:r>
        <w:t>networks operated by municipal agencies, and requests that the Commission consider a separate affo</w:t>
      </w:r>
      <w:r w:rsidRPr="00527917">
        <w:t xml:space="preserve">rdability </w:t>
      </w:r>
      <w:r>
        <w:t xml:space="preserve">metric </w:t>
      </w:r>
      <w:r w:rsidRPr="00527917">
        <w:t xml:space="preserve">for </w:t>
      </w:r>
      <w:r>
        <w:t>those types of n</w:t>
      </w:r>
      <w:r w:rsidRPr="00527917">
        <w:t>etwork</w:t>
      </w:r>
      <w:r>
        <w:t>s</w:t>
      </w:r>
      <w:r w:rsidRPr="00527917">
        <w:t>.</w:t>
      </w:r>
      <w:r>
        <w:t xml:space="preserve"> The Small LECs recommend the Commission prioritize deploying broadband Internet infrastructure now, and grapple with affordability issues later.</w:t>
      </w:r>
    </w:p>
    <w:p w:rsidRPr="00D137AA" w:rsidR="00A13D1F" w:rsidP="00A13D1F" w:rsidRDefault="00A13D1F" w14:paraId="721D1B98" w14:textId="18111EDC">
      <w:pPr>
        <w:pStyle w:val="Standard"/>
      </w:pPr>
      <w:r>
        <w:t>Several parties recommend using criteria besides income to determine affordability. AARP supports criteria such</w:t>
      </w:r>
      <w:r w:rsidRPr="00E12DEC">
        <w:t xml:space="preserve"> as for households with long-term health monitoring and health care requirements.</w:t>
      </w:r>
      <w:r w:rsidRPr="002F654A">
        <w:t xml:space="preserve"> </w:t>
      </w:r>
      <w:r>
        <w:t xml:space="preserve">SCAG recommends using criteria such as </w:t>
      </w:r>
      <w:r w:rsidRPr="00EF5F7C">
        <w:t xml:space="preserve">household poverty rates, neighborhood median income, </w:t>
      </w:r>
      <w:r w:rsidRPr="00EF5F7C">
        <w:lastRenderedPageBreak/>
        <w:t>concentration of public housing, social service recipients, or</w:t>
      </w:r>
      <w:r>
        <w:t xml:space="preserve"> a</w:t>
      </w:r>
      <w:r w:rsidRPr="00EF5F7C">
        <w:t xml:space="preserve"> </w:t>
      </w:r>
      <w:r>
        <w:t>“</w:t>
      </w:r>
      <w:r w:rsidRPr="00EF5F7C">
        <w:t>predefined income hierarchy.</w:t>
      </w:r>
      <w:r>
        <w:t xml:space="preserve">” Greenlining Institute proposes that the </w:t>
      </w:r>
      <w:r w:rsidRPr="008E20B3">
        <w:t>alternative to income-qualified offers should be qualification via enrollment in a public benefits program, as well as using census tract qualification based on the affordability and social economic vulnerability of a census tract. In this same vein, the Commission should mirror the program eligibility from the California LifeLine program to provide the most options for California consumers.</w:t>
      </w:r>
      <w:r>
        <w:t xml:space="preserve"> Santa Clara County recommends that, if </w:t>
      </w:r>
      <w:r w:rsidRPr="003D694B">
        <w:t>the Commission limits eligibility</w:t>
      </w:r>
      <w:r>
        <w:t>,</w:t>
      </w:r>
      <w:r w:rsidRPr="003D694B">
        <w:t xml:space="preserve"> </w:t>
      </w:r>
      <w:r>
        <w:t xml:space="preserve">it should use </w:t>
      </w:r>
      <w:r w:rsidRPr="003D694B">
        <w:t>criteria that do not require additional documentation to be submitted or complex verification processes</w:t>
      </w:r>
      <w:r>
        <w:t>, as</w:t>
      </w:r>
      <w:r w:rsidRPr="003D694B">
        <w:t xml:space="preserve"> these are barrier</w:t>
      </w:r>
      <w:r>
        <w:t>s</w:t>
      </w:r>
      <w:r w:rsidRPr="003D694B">
        <w:t xml:space="preserve"> for low-income households. </w:t>
      </w:r>
      <w:bookmarkStart w:name="_Hlk95222933" w:id="85"/>
      <w:r>
        <w:t xml:space="preserve">Comcast opposes </w:t>
      </w:r>
      <w:r w:rsidRPr="00D137AA">
        <w:t>giv</w:t>
      </w:r>
      <w:r>
        <w:t>ing</w:t>
      </w:r>
      <w:r w:rsidRPr="00D137AA">
        <w:t xml:space="preserve"> preference to affordable offers that are not income-qualified</w:t>
      </w:r>
      <w:r>
        <w:t xml:space="preserve">, asserting </w:t>
      </w:r>
      <w:r w:rsidRPr="00D137AA">
        <w:t>this can lead providers to market-based pricing aimed at consumers otherwise unwilling to subscribe</w:t>
      </w:r>
      <w:r>
        <w:t xml:space="preserve">. Comcast also asserts that giving such a preference would be </w:t>
      </w:r>
      <w:r w:rsidRPr="00D137AA">
        <w:t xml:space="preserve">outside the </w:t>
      </w:r>
      <w:r>
        <w:t>Commission</w:t>
      </w:r>
      <w:r w:rsidRPr="00D137AA">
        <w:t xml:space="preserve">’s authority and </w:t>
      </w:r>
      <w:r>
        <w:t xml:space="preserve">would be </w:t>
      </w:r>
      <w:r w:rsidRPr="00D137AA">
        <w:t>preempted by federal law.</w:t>
      </w:r>
    </w:p>
    <w:bookmarkEnd w:id="85"/>
    <w:p w:rsidRPr="002F654A" w:rsidR="00A13D1F" w:rsidP="00A13D1F" w:rsidRDefault="00A13D1F" w14:paraId="61B891A0" w14:textId="03A0983B">
      <w:pPr>
        <w:pStyle w:val="Standard"/>
        <w:rPr>
          <w:u w:val="single"/>
        </w:rPr>
      </w:pPr>
      <w:r>
        <w:t xml:space="preserve">AARP supports </w:t>
      </w:r>
      <w:r w:rsidRPr="00E12DEC">
        <w:t>categorical eligibility for households in a qualified census tract</w:t>
      </w:r>
      <w:r>
        <w:t xml:space="preserve"> and could even extend that to </w:t>
      </w:r>
      <w:r w:rsidRPr="00E12DEC">
        <w:t xml:space="preserve">ESJ and </w:t>
      </w:r>
      <w:r>
        <w:t>T</w:t>
      </w:r>
      <w:r w:rsidRPr="00E12DEC">
        <w:t>ribal communities</w:t>
      </w:r>
      <w:r>
        <w:t xml:space="preserve">. </w:t>
      </w:r>
      <w:r w:rsidRPr="004C12EC">
        <w:t>San Francisco</w:t>
      </w:r>
      <w:r>
        <w:t xml:space="preserve"> asserts there is too much variance among the residents within a census tract (both very low-income individuals and individuals with very high income can be located within the same tract) for that geographic span to be used accurately. </w:t>
      </w:r>
    </w:p>
    <w:p w:rsidRPr="00E12DEC" w:rsidR="00A13D1F" w:rsidP="00A13D1F" w:rsidRDefault="00A13D1F" w14:paraId="00B78743" w14:textId="77777777">
      <w:pPr>
        <w:pStyle w:val="Standard"/>
      </w:pPr>
      <w:r w:rsidRPr="002F654A">
        <w:t xml:space="preserve">Regarding how to consider low-income offers based on participation in low-income programs, </w:t>
      </w:r>
      <w:r>
        <w:t xml:space="preserve">AARP, Cal Advocates, </w:t>
      </w:r>
      <w:r w:rsidRPr="00D2729D">
        <w:t>C</w:t>
      </w:r>
      <w:r>
        <w:t>VAG, LAEDC, SANDAG, SCAG, and CforAT support making c</w:t>
      </w:r>
      <w:r w:rsidRPr="00E12DEC">
        <w:t>ustomers that participate in any C</w:t>
      </w:r>
      <w:r>
        <w:t>alifornia</w:t>
      </w:r>
      <w:r w:rsidRPr="00E12DEC">
        <w:t xml:space="preserve"> public assistance program automatically eligible for affordable offers</w:t>
      </w:r>
      <w:r>
        <w:t xml:space="preserve">. </w:t>
      </w:r>
      <w:r w:rsidRPr="00D2729D">
        <w:t>These programs can include</w:t>
      </w:r>
      <w:r>
        <w:t xml:space="preserve">, among others, </w:t>
      </w:r>
      <w:r w:rsidRPr="00D2729D">
        <w:t xml:space="preserve">Temporary Assistance for Needy Families, Cash Aid, </w:t>
      </w:r>
      <w:r w:rsidRPr="00D2729D">
        <w:lastRenderedPageBreak/>
        <w:t>Medi-Cal, and Cal-Fresh</w:t>
      </w:r>
      <w:r>
        <w:t xml:space="preserve">/SNAP, </w:t>
      </w:r>
      <w:r w:rsidRPr="006B4DFB">
        <w:t>CalWORKs</w:t>
      </w:r>
      <w:r>
        <w:t>, and individuals</w:t>
      </w:r>
      <w:r w:rsidRPr="00D2729D">
        <w:t xml:space="preserve"> receiving Section 8 vouchers and </w:t>
      </w:r>
      <w:r>
        <w:t xml:space="preserve">or other </w:t>
      </w:r>
      <w:r w:rsidRPr="00D2729D">
        <w:t>public housing benefits.</w:t>
      </w:r>
    </w:p>
    <w:p w:rsidRPr="0004283E" w:rsidR="00A13D1F" w:rsidP="00A13D1F" w:rsidRDefault="00A13D1F" w14:paraId="1BCCCA8B" w14:textId="77777777">
      <w:pPr>
        <w:pStyle w:val="Standard"/>
        <w:rPr>
          <w:u w:val="single"/>
        </w:rPr>
      </w:pPr>
      <w:r w:rsidRPr="0004283E">
        <w:t>Regarding the term length of affordable offerings, AARP and SANDAG support an indefinite term, while CVAG recommends</w:t>
      </w:r>
      <w:r w:rsidRPr="00D2729D">
        <w:t xml:space="preserve"> at least two years</w:t>
      </w:r>
      <w:r>
        <w:t xml:space="preserve">, and LAEDC contends the affordable plans should be for as long as practically possible. </w:t>
      </w:r>
    </w:p>
    <w:p w:rsidRPr="00CE386D" w:rsidR="00A13D1F" w:rsidP="00A13D1F" w:rsidRDefault="00A13D1F" w14:paraId="1A82E8A0" w14:textId="77777777">
      <w:pPr>
        <w:pStyle w:val="Standard"/>
      </w:pPr>
      <w:r w:rsidRPr="00C64290">
        <w:t>Several parties support requiring FFA grantees to participate in some low-income program.</w:t>
      </w:r>
      <w:r w:rsidRPr="009C7916">
        <w:t xml:space="preserve"> </w:t>
      </w:r>
      <w:r>
        <w:t xml:space="preserve">AARP, CETF, NCC, SBUA, and CforAT support requiring FFA grantees to offer </w:t>
      </w:r>
      <w:r w:rsidRPr="00934121">
        <w:t xml:space="preserve">a low-income </w:t>
      </w:r>
      <w:r>
        <w:t xml:space="preserve">plan, like </w:t>
      </w:r>
      <w:r w:rsidRPr="0015327C">
        <w:t>Life</w:t>
      </w:r>
      <w:r>
        <w:t>L</w:t>
      </w:r>
      <w:r w:rsidRPr="0015327C">
        <w:t>ine providers</w:t>
      </w:r>
      <w:r>
        <w:t xml:space="preserve"> or </w:t>
      </w:r>
      <w:r w:rsidRPr="0015327C">
        <w:t xml:space="preserve">EBB </w:t>
      </w:r>
      <w:r>
        <w:t>recipients must</w:t>
      </w:r>
      <w:r w:rsidRPr="0015327C">
        <w:t>.</w:t>
      </w:r>
      <w:r>
        <w:t xml:space="preserve"> Comcast opposes the requirement to offer LifeLine service, but not EBB, and recommends including other </w:t>
      </w:r>
      <w:r w:rsidRPr="00D137AA">
        <w:t xml:space="preserve">qualifying </w:t>
      </w:r>
      <w:r>
        <w:t xml:space="preserve">programs targeting </w:t>
      </w:r>
      <w:r w:rsidRPr="00D137AA">
        <w:t>low-income customers</w:t>
      </w:r>
      <w:r>
        <w:t xml:space="preserve">, such as </w:t>
      </w:r>
      <w:r w:rsidRPr="00D137AA">
        <w:t>Comcast’s Internet Essentials</w:t>
      </w:r>
      <w:r>
        <w:t xml:space="preserve">. Cal Advocates suggests the Commission </w:t>
      </w:r>
      <w:r w:rsidRPr="00C30089">
        <w:t xml:space="preserve">not require </w:t>
      </w:r>
      <w:r>
        <w:t xml:space="preserve">FFA </w:t>
      </w:r>
      <w:r w:rsidRPr="00C30089">
        <w:t xml:space="preserve">grant recipients to offer LifeLine until </w:t>
      </w:r>
      <w:r>
        <w:t xml:space="preserve">after </w:t>
      </w:r>
      <w:r w:rsidRPr="00C30089">
        <w:t xml:space="preserve">the Commission revises the California LifeLine program to include standalone broadband plans. </w:t>
      </w:r>
      <w:r>
        <w:t>AT&amp;T asserts that i</w:t>
      </w:r>
      <w:r w:rsidRPr="004F6941">
        <w:t xml:space="preserve">f a provider participates in the EBB, it should not also be </w:t>
      </w:r>
      <w:r>
        <w:t xml:space="preserve">required </w:t>
      </w:r>
      <w:r w:rsidRPr="004F6941">
        <w:t xml:space="preserve">to participate in the federal </w:t>
      </w:r>
      <w:r>
        <w:t xml:space="preserve">Lifeline </w:t>
      </w:r>
      <w:r w:rsidRPr="004F6941">
        <w:t>or state Life</w:t>
      </w:r>
      <w:r>
        <w:t>L</w:t>
      </w:r>
      <w:r w:rsidRPr="004F6941">
        <w:t>ine programs. In addition, participation in the federal Lifeline program under current rules would require a provider to become an Eligible</w:t>
      </w:r>
      <w:r>
        <w:t xml:space="preserve"> </w:t>
      </w:r>
      <w:r w:rsidRPr="004F6941">
        <w:t>Telecommunications Carrier, which Treasury</w:t>
      </w:r>
      <w:r>
        <w:t>’s Final Rule</w:t>
      </w:r>
      <w:r w:rsidRPr="004F6941">
        <w:t xml:space="preserve"> does not require, and which would likely deter many providers from participating in the FFA</w:t>
      </w:r>
      <w:r>
        <w:t>.</w:t>
      </w:r>
    </w:p>
    <w:p w:rsidR="00A13D1F" w:rsidP="00D3146A" w:rsidRDefault="00A13D1F" w14:paraId="2B2314F6" w14:textId="45483CD5">
      <w:pPr>
        <w:pStyle w:val="Heading2"/>
      </w:pPr>
      <w:bookmarkStart w:name="_Toc94637214" w:id="86"/>
      <w:bookmarkStart w:name="_Toc101519094" w:id="87"/>
      <w:r>
        <w:t>Discussion</w:t>
      </w:r>
      <w:bookmarkEnd w:id="86"/>
      <w:bookmarkEnd w:id="87"/>
    </w:p>
    <w:p w:rsidR="00A13D1F" w:rsidP="00D3146A" w:rsidRDefault="00A13D1F" w14:paraId="7BE7E07E" w14:textId="4A650227">
      <w:pPr>
        <w:pStyle w:val="Standard"/>
      </w:pPr>
      <w:r>
        <w:t xml:space="preserve">The Final Rule finds that </w:t>
      </w:r>
      <w:r w:rsidRPr="00D7196C">
        <w:t xml:space="preserve">“a project cannot be considered a necessary investment in broadband </w:t>
      </w:r>
      <w:r w:rsidRPr="00D3146A">
        <w:t>infrastructure</w:t>
      </w:r>
      <w:r w:rsidRPr="00D7196C">
        <w:t xml:space="preserve"> if it is not affordable to the population the project would serve</w:t>
      </w:r>
      <w:r>
        <w:t>,” and requires:</w:t>
      </w:r>
      <w:r w:rsidRPr="00D5052E">
        <w:rPr>
          <w:rStyle w:val="FootnoteReference"/>
        </w:rPr>
        <w:t xml:space="preserve"> </w:t>
      </w:r>
      <w:r>
        <w:rPr>
          <w:rStyle w:val="FootnoteReference"/>
        </w:rPr>
        <w:footnoteReference w:id="40"/>
      </w:r>
      <w:r>
        <w:t xml:space="preserve"> 1) grantees to participate, for the life of </w:t>
      </w:r>
      <w:r>
        <w:lastRenderedPageBreak/>
        <w:t xml:space="preserve">the infrastructure, in the </w:t>
      </w:r>
      <w:r w:rsidRPr="00FA3132">
        <w:t>Federal Communications Commission’s (FCC) Affordable Connectivity Program (ACP)</w:t>
      </w:r>
      <w:r>
        <w:t xml:space="preserve">, or </w:t>
      </w:r>
      <w:r w:rsidRPr="00F303A3">
        <w:t xml:space="preserve">otherwise provide access to a </w:t>
      </w:r>
      <w:r w:rsidR="00D3146A">
        <w:br/>
      </w:r>
      <w:r w:rsidRPr="00F303A3">
        <w:t>broad-based affordability program to low-income consumers in the proposed service area of the broadband infrastructure that provides benefits to households commensurate with those provided under the ACP</w:t>
      </w:r>
      <w:r>
        <w:t>;</w:t>
      </w:r>
      <w:r w:rsidRPr="006A3C3D">
        <w:rPr>
          <w:rStyle w:val="FootnoteReference"/>
        </w:rPr>
        <w:t xml:space="preserve"> </w:t>
      </w:r>
      <w:r>
        <w:rPr>
          <w:rStyle w:val="FootnoteReference"/>
        </w:rPr>
        <w:footnoteReference w:id="41"/>
      </w:r>
      <w:r>
        <w:t xml:space="preserve"> </w:t>
      </w:r>
      <w:bookmarkStart w:name="_Hlk93831870" w:id="88"/>
      <w:r>
        <w:t>2)</w:t>
      </w:r>
      <w:r w:rsidRPr="00437FDC">
        <w:rPr>
          <w:rStyle w:val="FootnoteReference"/>
        </w:rPr>
        <w:t xml:space="preserve"> </w:t>
      </w:r>
      <w:r w:rsidRPr="00D33B26">
        <w:t>that services include at least one low-cost option offered without data usage caps</w:t>
      </w:r>
      <w:r>
        <w:t>,</w:t>
      </w:r>
      <w:r w:rsidRPr="00D33B26">
        <w:t xml:space="preserve"> and at speeds that are sufficient for a household with multiple</w:t>
      </w:r>
      <w:r>
        <w:t xml:space="preserve"> </w:t>
      </w:r>
      <w:r w:rsidRPr="00D07F9B">
        <w:t>users to simultaneously telework and engage in remote learning</w:t>
      </w:r>
      <w:r>
        <w:t>;</w:t>
      </w:r>
      <w:bookmarkEnd w:id="88"/>
      <w:r>
        <w:rPr>
          <w:rStyle w:val="FootnoteReference"/>
        </w:rPr>
        <w:footnoteReference w:id="42"/>
      </w:r>
      <w:r>
        <w:t xml:space="preserve"> and 3) that r</w:t>
      </w:r>
      <w:r w:rsidRPr="00233C71">
        <w:t>ecipients report speed, pricing, and any data allowance information as part of mandatory reporting to Treasury</w:t>
      </w:r>
      <w:r>
        <w:t>.</w:t>
      </w:r>
      <w:r>
        <w:rPr>
          <w:rStyle w:val="FootnoteReference"/>
        </w:rPr>
        <w:footnoteReference w:id="43"/>
      </w:r>
      <w:r>
        <w:t xml:space="preserve">  </w:t>
      </w:r>
    </w:p>
    <w:p w:rsidR="00A13D1F" w:rsidP="00A13D1F" w:rsidRDefault="00A13D1F" w14:paraId="099C3009" w14:textId="77777777">
      <w:pPr>
        <w:pStyle w:val="Standard"/>
      </w:pPr>
      <w:r>
        <w:t>We require FFA grantees to participate in</w:t>
      </w:r>
      <w:r w:rsidRPr="008A2539">
        <w:t xml:space="preserve"> the </w:t>
      </w:r>
      <w:r>
        <w:t>federal ACP</w:t>
      </w:r>
      <w:r w:rsidRPr="008A2539">
        <w:t xml:space="preserve"> or otherwise provide access to a broad-based affordability program to low-income consumers</w:t>
      </w:r>
      <w:r>
        <w:t>.</w:t>
      </w:r>
      <w:r w:rsidRPr="008A2539">
        <w:t xml:space="preserve"> </w:t>
      </w:r>
      <w:r>
        <w:t xml:space="preserve"> We revise the application evaluation criteria to reflect that this is no longer optional. We also revise the application evaluation criteria to provide grantees that participate or commit to participating in the federal Lifeline program or the California LifeLine program 10 points. This is in recognition that these public programs provide access to vital telecommunications services, in addition to the ACP.</w:t>
      </w:r>
    </w:p>
    <w:p w:rsidR="00A13D1F" w:rsidP="00A13D1F" w:rsidRDefault="000E00BD" w14:paraId="47EB7481" w14:textId="670931A5">
      <w:pPr>
        <w:pStyle w:val="Standard"/>
      </w:pPr>
      <w:r>
        <w:t>We encourage all applicants to include a generally available low-cost broadband plan. Applications will receive 20 additional points fo</w:t>
      </w:r>
      <w:r w:rsidR="002F33AB">
        <w:t xml:space="preserve">r </w:t>
      </w:r>
      <w:r w:rsidR="00A13D1F">
        <w:t>offer</w:t>
      </w:r>
      <w:r w:rsidR="002F33AB">
        <w:t>ing</w:t>
      </w:r>
      <w:r w:rsidR="00A13D1F">
        <w:t xml:space="preserve"> a generally available low-cost broadband plan for the life of the infrastructure that includes the following minimum standards:</w:t>
      </w:r>
    </w:p>
    <w:p w:rsidR="00A13D1F" w:rsidP="00D3146A" w:rsidRDefault="00A13D1F" w14:paraId="2EE14B49" w14:textId="77777777">
      <w:pPr>
        <w:pStyle w:val="Standard"/>
        <w:numPr>
          <w:ilvl w:val="0"/>
          <w:numId w:val="21"/>
        </w:numPr>
        <w:spacing w:after="120" w:line="240" w:lineRule="auto"/>
        <w:ind w:right="1440"/>
      </w:pPr>
      <w:r>
        <w:t xml:space="preserve">Must not include </w:t>
      </w:r>
      <w:r w:rsidRPr="00093A8A">
        <w:t>data usage caps</w:t>
      </w:r>
      <w:r>
        <w:t>;</w:t>
      </w:r>
    </w:p>
    <w:p w:rsidR="00A13D1F" w:rsidP="00D3146A" w:rsidRDefault="00A13D1F" w14:paraId="141201DE" w14:textId="66C26F51">
      <w:pPr>
        <w:pStyle w:val="Standard"/>
        <w:numPr>
          <w:ilvl w:val="0"/>
          <w:numId w:val="21"/>
        </w:numPr>
        <w:spacing w:after="120" w:line="240" w:lineRule="auto"/>
        <w:ind w:right="1440"/>
      </w:pPr>
      <w:r>
        <w:lastRenderedPageBreak/>
        <w:t>Must offer</w:t>
      </w:r>
      <w:r w:rsidRPr="00093A8A">
        <w:t xml:space="preserve"> speeds that are sufficient for a household with multiple users to simultaneously telework and engage in remote learning</w:t>
      </w:r>
      <w:r>
        <w:t xml:space="preserve">, which is defined as </w:t>
      </w:r>
      <w:r w:rsidR="00BD0243">
        <w:br/>
      </w:r>
      <w:r>
        <w:t>50/</w:t>
      </w:r>
      <w:r w:rsidR="00BF12BB">
        <w:t>2</w:t>
      </w:r>
      <w:r>
        <w:t>0 Mbps;</w:t>
      </w:r>
    </w:p>
    <w:p w:rsidR="00A13D1F" w:rsidP="00D3146A" w:rsidRDefault="00A13D1F" w14:paraId="11DE6D08" w14:textId="77777777">
      <w:pPr>
        <w:pStyle w:val="Standard"/>
        <w:numPr>
          <w:ilvl w:val="0"/>
          <w:numId w:val="21"/>
        </w:numPr>
        <w:spacing w:after="120" w:line="240" w:lineRule="auto"/>
        <w:ind w:right="1440"/>
      </w:pPr>
      <w:r>
        <w:t xml:space="preserve">Must be no more than $40 per month; </w:t>
      </w:r>
    </w:p>
    <w:p w:rsidR="00A13D1F" w:rsidP="00D3146A" w:rsidRDefault="00A13D1F" w14:paraId="1D09750B" w14:textId="77777777">
      <w:pPr>
        <w:pStyle w:val="Standard"/>
        <w:numPr>
          <w:ilvl w:val="0"/>
          <w:numId w:val="21"/>
        </w:numPr>
        <w:spacing w:after="120" w:line="240" w:lineRule="auto"/>
        <w:ind w:right="1440"/>
      </w:pPr>
      <w:r>
        <w:t>The grantee must not charge for installation or setup;</w:t>
      </w:r>
    </w:p>
    <w:p w:rsidR="00A13D1F" w:rsidP="00D3146A" w:rsidRDefault="00A13D1F" w14:paraId="0EDBF620" w14:textId="77777777">
      <w:pPr>
        <w:pStyle w:val="Standard"/>
        <w:numPr>
          <w:ilvl w:val="0"/>
          <w:numId w:val="21"/>
        </w:numPr>
        <w:spacing w:after="120" w:line="240" w:lineRule="auto"/>
        <w:ind w:right="1440"/>
      </w:pPr>
      <w:r>
        <w:t>The grantee must provide a free modem or router; and</w:t>
      </w:r>
    </w:p>
    <w:p w:rsidR="00A13D1F" w:rsidP="00D3146A" w:rsidRDefault="00A13D1F" w14:paraId="277DD5E9" w14:textId="77777777">
      <w:pPr>
        <w:pStyle w:val="Standard"/>
        <w:numPr>
          <w:ilvl w:val="0"/>
          <w:numId w:val="21"/>
        </w:numPr>
        <w:spacing w:after="120" w:line="240" w:lineRule="auto"/>
        <w:ind w:right="1440"/>
      </w:pPr>
      <w:r>
        <w:t>The service does not require a minimum term.</w:t>
      </w:r>
    </w:p>
    <w:p w:rsidR="00A13D1F" w:rsidP="00D3146A" w:rsidRDefault="002F33AB" w14:paraId="21840C89" w14:textId="02817390">
      <w:pPr>
        <w:pStyle w:val="Standard"/>
      </w:pPr>
      <w:r>
        <w:t xml:space="preserve">Grant recipients have the option to adjust the $40 per month plan in accordance with the Consumer Price Index. </w:t>
      </w:r>
      <w:r w:rsidR="00A13D1F">
        <w:t xml:space="preserve">Grant recipients also may submit a </w:t>
      </w:r>
      <w:r w:rsidRPr="00A920AC" w:rsidR="00A13D1F">
        <w:t>request to</w:t>
      </w:r>
      <w:r w:rsidR="00A13D1F">
        <w:t xml:space="preserve"> the Communications Division to</w:t>
      </w:r>
      <w:r w:rsidRPr="00A920AC" w:rsidR="00A13D1F">
        <w:t xml:space="preserve"> waive</w:t>
      </w:r>
      <w:r w:rsidR="00A13D1F">
        <w:t xml:space="preserve"> or modify these</w:t>
      </w:r>
      <w:r w:rsidRPr="00A920AC" w:rsidR="00A13D1F">
        <w:t xml:space="preserve"> requirement</w:t>
      </w:r>
      <w:r w:rsidR="00A13D1F">
        <w:t>s</w:t>
      </w:r>
      <w:r w:rsidRPr="00A920AC" w:rsidR="00A13D1F">
        <w:t xml:space="preserve"> </w:t>
      </w:r>
      <w:r w:rsidR="00A13D1F">
        <w:t>in the future</w:t>
      </w:r>
      <w:r w:rsidRPr="00A920AC" w:rsidR="00A13D1F">
        <w:t>, should the need to adjust the</w:t>
      </w:r>
      <w:r w:rsidR="00A13D1F">
        <w:t>se</w:t>
      </w:r>
      <w:r w:rsidRPr="00A920AC" w:rsidR="00A13D1F">
        <w:t xml:space="preserve"> </w:t>
      </w:r>
      <w:r w:rsidR="00A13D1F">
        <w:t>requirements</w:t>
      </w:r>
      <w:r w:rsidRPr="00A920AC" w:rsidR="00A13D1F">
        <w:t xml:space="preserve"> arise.</w:t>
      </w:r>
      <w:r w:rsidR="00A13D1F">
        <w:t xml:space="preserve"> The Commission will update these requirements as needed. </w:t>
      </w:r>
      <w:r w:rsidRPr="00A37D75" w:rsidR="00BF12BB">
        <w:t>Since applications that receive lower scores reflect a</w:t>
      </w:r>
      <w:r w:rsidR="00BF12BB">
        <w:t xml:space="preserve"> reduced</w:t>
      </w:r>
      <w:r w:rsidRPr="00A37D75" w:rsidR="00BF12BB">
        <w:t xml:space="preserve"> commitment to provide public benefits,</w:t>
      </w:r>
      <w:r w:rsidR="00BF12BB">
        <w:t xml:space="preserve"> CD S</w:t>
      </w:r>
      <w:r w:rsidRPr="00A37D75" w:rsidR="00BF12BB">
        <w:t>taff may make recommendations to the Commission via resolution to reduce the percentage of</w:t>
      </w:r>
      <w:r w:rsidR="00BF12BB">
        <w:t xml:space="preserve"> public</w:t>
      </w:r>
      <w:r w:rsidRPr="00A37D75" w:rsidR="00BF12BB">
        <w:t xml:space="preserve"> funding</w:t>
      </w:r>
      <w:r w:rsidR="00BF12BB">
        <w:t>,</w:t>
      </w:r>
      <w:r w:rsidRPr="00A37D75" w:rsidR="00BF12BB">
        <w:t xml:space="preserve"> commensurate with the reduced </w:t>
      </w:r>
      <w:r w:rsidR="00BF12BB">
        <w:t xml:space="preserve">public </w:t>
      </w:r>
      <w:r w:rsidRPr="00A37D75" w:rsidR="00BF12BB">
        <w:t>benefit.</w:t>
      </w:r>
    </w:p>
    <w:p w:rsidR="00A13D1F" w:rsidP="000A6EBE" w:rsidRDefault="00A13D1F" w14:paraId="61E1A2C8" w14:textId="2E6BC45E">
      <w:pPr>
        <w:pStyle w:val="Standard"/>
      </w:pPr>
      <w:r>
        <w:t xml:space="preserve">Qualifying low-income households may apply the ACP to a grantee’s </w:t>
      </w:r>
      <w:r w:rsidR="00B473ED">
        <w:br/>
      </w:r>
      <w:r>
        <w:t>low-cost offer. The Infrastructure Act includes the requirement that a provider participating in the ACP “shall allow an eligible household to apply the affordable connectivity benefit to any internet service offering of the</w:t>
      </w:r>
    </w:p>
    <w:p w:rsidR="00A13D1F" w:rsidP="00A13D1F" w:rsidRDefault="00A13D1F" w14:paraId="282EC9A5" w14:textId="77777777">
      <w:pPr>
        <w:pStyle w:val="Standard"/>
        <w:ind w:firstLine="0"/>
      </w:pPr>
      <w:r>
        <w:t>Participating provider, at the same terms available to households that are not eligible households.”</w:t>
      </w:r>
      <w:r>
        <w:rPr>
          <w:rStyle w:val="FootnoteReference"/>
        </w:rPr>
        <w:footnoteReference w:id="44"/>
      </w:r>
      <w:r>
        <w:t xml:space="preserve"> The FCC ACP rules implementing this requirement specify that a household qualifying for the ACP may apply the benefit to “any broadband internet plan that a provider currently offers to new customers.”</w:t>
      </w:r>
      <w:r>
        <w:rPr>
          <w:rStyle w:val="FootnoteReference"/>
        </w:rPr>
        <w:footnoteReference w:id="45"/>
      </w:r>
      <w:r>
        <w:t xml:space="preserve"> For </w:t>
      </w:r>
      <w:r>
        <w:lastRenderedPageBreak/>
        <w:t>a qualifying household applying the ACP $30 non-Tribal benefit to a low-cost broadband plan the resulting price would be around $10—consistent with commenters noting plans with a price in the range of $5-15 would make broadband that meets “an adequate minimum level of service”</w:t>
      </w:r>
      <w:r>
        <w:rPr>
          <w:rStyle w:val="FootnoteReference"/>
        </w:rPr>
        <w:footnoteReference w:id="46"/>
      </w:r>
      <w:r>
        <w:t xml:space="preserve"> more accessible to low-income households.</w:t>
      </w:r>
    </w:p>
    <w:p w:rsidRPr="00CE386D" w:rsidR="00A13D1F" w:rsidP="00A13D1F" w:rsidRDefault="00A13D1F" w14:paraId="25FA8381" w14:textId="77777777">
      <w:pPr>
        <w:pStyle w:val="Standard"/>
      </w:pPr>
      <w:r>
        <w:t>We decline to adopt a definition for “affordability” in this decision that is different from the Commission proceeding dedicated to this matter. D.20-07-032 defines affordability as “the impact of essential utility service charges on a household’s ability to pay for non-discretionary expenses.”</w:t>
      </w:r>
      <w:r>
        <w:rPr>
          <w:rStyle w:val="FootnoteReference"/>
        </w:rPr>
        <w:footnoteReference w:id="47"/>
      </w:r>
      <w:r>
        <w:t xml:space="preserve"> We decline to adopt specific requirements about whether the low-cost $40 amount includes other provider-imposed charges such as administrative fees or regulatory cost recovery charges, though the Commission will continue to watch for anti-consumer behavior in the implementation of low-cost broadband plans, and track federal and state dockets including the FCC broadband label docket</w:t>
      </w:r>
      <w:r>
        <w:rPr>
          <w:rStyle w:val="FootnoteReference"/>
        </w:rPr>
        <w:footnoteReference w:id="48"/>
      </w:r>
      <w:r>
        <w:t xml:space="preserve"> and Commission surcharge proceeding</w:t>
      </w:r>
      <w:r>
        <w:rPr>
          <w:rStyle w:val="FootnoteReference"/>
        </w:rPr>
        <w:footnoteReference w:id="49"/>
      </w:r>
      <w:r>
        <w:t xml:space="preserve"> for relevant consumer protections and other requirements.</w:t>
      </w:r>
    </w:p>
    <w:p w:rsidR="00A13D1F" w:rsidP="000A6EBE" w:rsidRDefault="00A13D1F" w14:paraId="1693A70F" w14:textId="2EE7D436">
      <w:pPr>
        <w:pStyle w:val="Heading1"/>
      </w:pPr>
      <w:bookmarkStart w:name="_Toc94637215" w:id="89"/>
      <w:bookmarkStart w:name="_Toc101519095" w:id="90"/>
      <w:r w:rsidRPr="000A6EBE">
        <w:t>Reimbursable</w:t>
      </w:r>
      <w:r w:rsidRPr="007512DA">
        <w:t xml:space="preserve"> Expenses</w:t>
      </w:r>
      <w:bookmarkEnd w:id="89"/>
      <w:bookmarkEnd w:id="90"/>
    </w:p>
    <w:p w:rsidR="00A13D1F" w:rsidP="000A6EBE" w:rsidRDefault="00A13D1F" w14:paraId="397CB0F5" w14:textId="77777777">
      <w:pPr>
        <w:pStyle w:val="Standard"/>
      </w:pPr>
      <w:r>
        <w:t xml:space="preserve">The ACR </w:t>
      </w:r>
      <w:r w:rsidRPr="000A6EBE">
        <w:t>proposes</w:t>
      </w:r>
      <w:r>
        <w:t xml:space="preserve"> that the Commission reimburse the following costs:</w:t>
      </w:r>
    </w:p>
    <w:p w:rsidR="00A13D1F" w:rsidP="000A6EBE" w:rsidRDefault="00A13D1F" w14:paraId="7F9D7DEB" w14:textId="77777777">
      <w:pPr>
        <w:pStyle w:val="Standard"/>
        <w:numPr>
          <w:ilvl w:val="0"/>
          <w:numId w:val="11"/>
        </w:numPr>
        <w:spacing w:after="120" w:line="240" w:lineRule="auto"/>
        <w:ind w:right="1440"/>
      </w:pPr>
      <w:r>
        <w:t>Costs directly related to the deployment of infrastructure;</w:t>
      </w:r>
    </w:p>
    <w:p w:rsidR="00A13D1F" w:rsidP="000A5FED" w:rsidRDefault="00A13D1F" w14:paraId="5D0C0CCE" w14:textId="42FCC30F">
      <w:pPr>
        <w:pStyle w:val="Standard"/>
        <w:numPr>
          <w:ilvl w:val="0"/>
          <w:numId w:val="11"/>
        </w:numPr>
        <w:spacing w:after="120" w:line="240" w:lineRule="auto"/>
        <w:ind w:right="1440"/>
      </w:pPr>
      <w:r>
        <w:lastRenderedPageBreak/>
        <w:t>Costs to lease access to property or for Internet backhaul services for a</w:t>
      </w:r>
      <w:r w:rsidR="00EB62A0">
        <w:t xml:space="preserve"> </w:t>
      </w:r>
      <w:r>
        <w:t>period not to exceed five years; and</w:t>
      </w:r>
    </w:p>
    <w:p w:rsidR="00A13D1F" w:rsidP="000A5FED" w:rsidRDefault="00A13D1F" w14:paraId="6187018A" w14:textId="75D3F60E">
      <w:pPr>
        <w:pStyle w:val="Standard"/>
        <w:numPr>
          <w:ilvl w:val="0"/>
          <w:numId w:val="11"/>
        </w:numPr>
        <w:spacing w:after="120" w:line="240" w:lineRule="auto"/>
        <w:ind w:right="1440"/>
      </w:pPr>
      <w:r>
        <w:t>Costs incurred by an existing facility-based broadband provider to upgrade its existing facilities to provide for interconnection.</w:t>
      </w:r>
    </w:p>
    <w:p w:rsidR="00A13D1F" w:rsidP="000A6EBE" w:rsidRDefault="00A13D1F" w14:paraId="1352FBD4" w14:textId="093906B1">
      <w:pPr>
        <w:pStyle w:val="Standard"/>
      </w:pPr>
      <w:r w:rsidRPr="000A6EBE">
        <w:t>Per</w:t>
      </w:r>
      <w:r>
        <w:t xml:space="preserve"> federal rules, the Commission will reimburse costs incurred during the period beginning </w:t>
      </w:r>
      <w:r w:rsidR="00E723F8">
        <w:t>March 3, 2021 and</w:t>
      </w:r>
      <w:r>
        <w:t xml:space="preserve"> ending December 31, 2024. Additionally, administrative expenses directly related to the project shall be capped at two</w:t>
      </w:r>
      <w:r w:rsidR="00683656">
        <w:t> </w:t>
      </w:r>
      <w:r>
        <w:t>percent of the grant amount and a maximum of 15 percent contingency on direct infrastructure costs.</w:t>
      </w:r>
      <w:r>
        <w:rPr>
          <w:rStyle w:val="FootnoteReference"/>
        </w:rPr>
        <w:footnoteReference w:id="50"/>
      </w:r>
    </w:p>
    <w:p w:rsidR="00A13D1F" w:rsidP="000A6EBE" w:rsidRDefault="00A13D1F" w14:paraId="7193AEAF" w14:textId="5C60AC45">
      <w:pPr>
        <w:pStyle w:val="Heading2"/>
      </w:pPr>
      <w:bookmarkStart w:name="_Toc94637216" w:id="91"/>
      <w:bookmarkStart w:name="_Toc101519096" w:id="92"/>
      <w:r>
        <w:t>Party Positions</w:t>
      </w:r>
      <w:bookmarkEnd w:id="91"/>
      <w:bookmarkEnd w:id="92"/>
    </w:p>
    <w:p w:rsidR="00A13D1F" w:rsidP="000A6EBE" w:rsidRDefault="00A13D1F" w14:paraId="49A15208" w14:textId="77777777">
      <w:pPr>
        <w:pStyle w:val="Standard"/>
      </w:pPr>
      <w:r>
        <w:t xml:space="preserve">Several </w:t>
      </w:r>
      <w:r w:rsidRPr="000A6EBE">
        <w:t>parties</w:t>
      </w:r>
      <w:r>
        <w:t xml:space="preserve"> suggest revisions to the proposed rules regarding what </w:t>
      </w:r>
    </w:p>
    <w:p w:rsidR="00A13D1F" w:rsidP="00A13D1F" w:rsidRDefault="00A13D1F" w14:paraId="4CD4CA75" w14:textId="6641AAE0">
      <w:pPr>
        <w:pStyle w:val="Standard"/>
        <w:ind w:firstLine="0"/>
      </w:pPr>
      <w:r>
        <w:t xml:space="preserve">expenses FFA funds will reimburse. CENIC recommends the Commission </w:t>
      </w:r>
      <w:r w:rsidRPr="00927701">
        <w:t>reimburs</w:t>
      </w:r>
      <w:r>
        <w:t>e</w:t>
      </w:r>
      <w:r w:rsidRPr="00927701">
        <w:t xml:space="preserve"> </w:t>
      </w:r>
      <w:r>
        <w:t>approved grantees</w:t>
      </w:r>
      <w:r w:rsidRPr="00927701">
        <w:t xml:space="preserve"> for</w:t>
      </w:r>
      <w:r>
        <w:t xml:space="preserve"> </w:t>
      </w:r>
      <w:r w:rsidRPr="00927701">
        <w:t>Costs</w:t>
      </w:r>
      <w:r>
        <w:t xml:space="preserve"> associated </w:t>
      </w:r>
      <w:r w:rsidRPr="00927701">
        <w:t>with the development of their grant</w:t>
      </w:r>
      <w:r>
        <w:t>s</w:t>
      </w:r>
      <w:r w:rsidRPr="00927701">
        <w:t xml:space="preserve">. </w:t>
      </w:r>
      <w:r>
        <w:t xml:space="preserve">CETF urges the Commission to increases the cap on administrative expenses in the range of eight to twelve percent, asserting that limiting administrative expenses to two percent is too low. CETF does not support the </w:t>
      </w:r>
      <w:r w:rsidR="000A6EBE">
        <w:br/>
      </w:r>
      <w:r w:rsidRPr="00BA6095">
        <w:t>15</w:t>
      </w:r>
      <w:r>
        <w:t xml:space="preserve"> percent</w:t>
      </w:r>
      <w:r w:rsidRPr="00BA6095">
        <w:t xml:space="preserve"> contingency on direct infrastructure costs, given the materials and supply costs for broadband is going up. </w:t>
      </w:r>
      <w:r>
        <w:t xml:space="preserve">SANDAG, CETF, Santa Clara County and Frederick L. Pilot encourage the Commission to allow </w:t>
      </w:r>
      <w:r w:rsidRPr="00CB40AE">
        <w:t>technical support to eligible applicants.</w:t>
      </w:r>
    </w:p>
    <w:p w:rsidR="00A13D1F" w:rsidP="006C6B6B" w:rsidRDefault="00A13D1F" w14:paraId="1A67C445" w14:textId="75F48C53">
      <w:pPr>
        <w:pStyle w:val="Heading2"/>
      </w:pPr>
      <w:bookmarkStart w:name="_Toc94637217" w:id="93"/>
      <w:bookmarkStart w:name="_Toc101519097" w:id="94"/>
      <w:r w:rsidRPr="006C6B6B">
        <w:t>Discussion</w:t>
      </w:r>
      <w:bookmarkEnd w:id="93"/>
      <w:bookmarkEnd w:id="94"/>
    </w:p>
    <w:p w:rsidRPr="00287902" w:rsidR="00A13D1F" w:rsidP="006C6B6B" w:rsidRDefault="00A13D1F" w14:paraId="19E155C6" w14:textId="77777777">
      <w:pPr>
        <w:pStyle w:val="Standard"/>
      </w:pPr>
      <w:r w:rsidRPr="00A42580">
        <w:t xml:space="preserve">We adopt the Staff Proposal without modification. It is imprudent to reimburse applicants for the cost of developing their application, particularly if </w:t>
      </w:r>
      <w:r w:rsidRPr="00A42580">
        <w:lastRenderedPageBreak/>
        <w:t xml:space="preserve">the applications are not viable or successful. Further, the Commission envisions providing assistance directly to potential applicants, as well as making funds available for technical assistance grants to eligible local agencies and sovereign </w:t>
      </w:r>
      <w:r>
        <w:t>T</w:t>
      </w:r>
      <w:r w:rsidRPr="00A42580">
        <w:t>ribal governments.</w:t>
      </w:r>
    </w:p>
    <w:p w:rsidR="00A13D1F" w:rsidP="006C6B6B" w:rsidRDefault="00A13D1F" w14:paraId="74A44413" w14:textId="4057DE9D">
      <w:pPr>
        <w:pStyle w:val="Heading1"/>
      </w:pPr>
      <w:r>
        <w:t xml:space="preserve"> </w:t>
      </w:r>
      <w:bookmarkStart w:name="_Toc94637218" w:id="95"/>
      <w:bookmarkStart w:name="_Toc101519098" w:id="96"/>
      <w:r w:rsidRPr="00EF2615">
        <w:t xml:space="preserve">Information </w:t>
      </w:r>
      <w:r w:rsidRPr="006C6B6B">
        <w:t>Required</w:t>
      </w:r>
      <w:r w:rsidRPr="00EF2615">
        <w:t xml:space="preserve"> from Applicants</w:t>
      </w:r>
      <w:bookmarkEnd w:id="95"/>
      <w:bookmarkEnd w:id="96"/>
    </w:p>
    <w:p w:rsidR="00A13D1F" w:rsidP="006C6B6B" w:rsidRDefault="00A13D1F" w14:paraId="5CD4811D" w14:textId="77777777">
      <w:pPr>
        <w:pStyle w:val="Standard"/>
      </w:pPr>
      <w:r>
        <w:t xml:space="preserve">In summary, the </w:t>
      </w:r>
      <w:r w:rsidRPr="006C6B6B">
        <w:t>ACR</w:t>
      </w:r>
      <w:r>
        <w:t xml:space="preserve"> proposes requiring applicants to submit separate applications for any eligible project. Non-contiguous project areas may be considered as a single project. In order to be reviewed, all applications must include:</w:t>
      </w:r>
    </w:p>
    <w:p w:rsidR="00A13D1F" w:rsidP="00EB62A0" w:rsidRDefault="00A13D1F" w14:paraId="5F6A2B3F" w14:textId="77777777">
      <w:pPr>
        <w:pStyle w:val="Standard"/>
        <w:numPr>
          <w:ilvl w:val="0"/>
          <w:numId w:val="11"/>
        </w:numPr>
        <w:spacing w:after="120" w:line="240" w:lineRule="auto"/>
        <w:ind w:right="1440"/>
      </w:pPr>
      <w:r>
        <w:t>A public project summary;</w:t>
      </w:r>
    </w:p>
    <w:p w:rsidR="00A13D1F" w:rsidP="006C6B6B" w:rsidRDefault="00A13D1F" w14:paraId="0709F771" w14:textId="77777777">
      <w:pPr>
        <w:pStyle w:val="Standard"/>
        <w:numPr>
          <w:ilvl w:val="0"/>
          <w:numId w:val="11"/>
        </w:numPr>
        <w:spacing w:after="120" w:line="240" w:lineRule="auto"/>
        <w:ind w:right="1440"/>
      </w:pPr>
      <w:r>
        <w:t xml:space="preserve">Specific information </w:t>
      </w:r>
      <w:r w:rsidRPr="003F20FF">
        <w:t>Applicant Entity Information</w:t>
      </w:r>
      <w:r>
        <w:t>;</w:t>
      </w:r>
    </w:p>
    <w:p w:rsidR="00A13D1F" w:rsidP="006C6B6B" w:rsidRDefault="00A13D1F" w14:paraId="24665E94" w14:textId="77777777">
      <w:pPr>
        <w:pStyle w:val="Standard"/>
        <w:numPr>
          <w:ilvl w:val="0"/>
          <w:numId w:val="11"/>
        </w:numPr>
        <w:spacing w:after="120" w:line="240" w:lineRule="auto"/>
        <w:ind w:right="1440"/>
      </w:pPr>
      <w:r>
        <w:t>A description of the provider’s current broadband infrastructure and service within five miles of the proposed project and a description of other providers’ infrastructure within the project area;</w:t>
      </w:r>
    </w:p>
    <w:p w:rsidR="00A13D1F" w:rsidP="006C6B6B" w:rsidRDefault="00A13D1F" w14:paraId="064713E8" w14:textId="77777777">
      <w:pPr>
        <w:pStyle w:val="Standard"/>
        <w:numPr>
          <w:ilvl w:val="0"/>
          <w:numId w:val="11"/>
        </w:numPr>
        <w:spacing w:after="120" w:line="240" w:lineRule="auto"/>
        <w:ind w:right="1440"/>
      </w:pPr>
      <w:r w:rsidRPr="0006113E">
        <w:t>The geographic location of all households and housing units</w:t>
      </w:r>
      <w:r>
        <w:t xml:space="preserve"> and project related key network equipment;</w:t>
      </w:r>
    </w:p>
    <w:p w:rsidR="00A13D1F" w:rsidP="006C6B6B" w:rsidRDefault="00A13D1F" w14:paraId="6FD37156" w14:textId="77777777">
      <w:pPr>
        <w:pStyle w:val="Standard"/>
        <w:numPr>
          <w:ilvl w:val="0"/>
          <w:numId w:val="11"/>
        </w:numPr>
        <w:spacing w:after="120" w:line="240" w:lineRule="auto"/>
        <w:ind w:right="1440"/>
      </w:pPr>
      <w:r>
        <w:t>The median household income for each Census Block Group (CBG) that intersects the project area;</w:t>
      </w:r>
    </w:p>
    <w:p w:rsidR="00A13D1F" w:rsidP="006C6B6B" w:rsidRDefault="00A13D1F" w14:paraId="1DAFEA14" w14:textId="77777777">
      <w:pPr>
        <w:pStyle w:val="Standard"/>
        <w:numPr>
          <w:ilvl w:val="0"/>
          <w:numId w:val="11"/>
        </w:numPr>
        <w:spacing w:after="120" w:line="240" w:lineRule="auto"/>
        <w:ind w:right="1440"/>
      </w:pPr>
      <w:r>
        <w:t>An assertion that the applicant reviewed the wireline served status on the Broadband Map and determined that the broadband project area proposed is eligible, or the applicant will provide evidence to dispute that the area is served;</w:t>
      </w:r>
    </w:p>
    <w:p w:rsidR="00A13D1F" w:rsidP="006C6B6B" w:rsidRDefault="00A13D1F" w14:paraId="00B3C23C" w14:textId="77777777">
      <w:pPr>
        <w:pStyle w:val="Standard"/>
        <w:numPr>
          <w:ilvl w:val="0"/>
          <w:numId w:val="11"/>
        </w:numPr>
        <w:spacing w:after="120" w:line="240" w:lineRule="auto"/>
        <w:ind w:right="1440"/>
      </w:pPr>
      <w:r>
        <w:t>A detailed deployment schedule;</w:t>
      </w:r>
    </w:p>
    <w:p w:rsidR="00A13D1F" w:rsidP="006C6B6B" w:rsidRDefault="00A13D1F" w14:paraId="0B2F176C" w14:textId="77777777">
      <w:pPr>
        <w:pStyle w:val="Standard"/>
        <w:numPr>
          <w:ilvl w:val="0"/>
          <w:numId w:val="11"/>
        </w:numPr>
        <w:spacing w:after="120" w:line="240" w:lineRule="auto"/>
        <w:ind w:right="1440"/>
      </w:pPr>
      <w:r>
        <w:t>A detailed budget showing p</w:t>
      </w:r>
      <w:r w:rsidRPr="00020D6D">
        <w:t xml:space="preserve">roposed </w:t>
      </w:r>
      <w:r>
        <w:t>p</w:t>
      </w:r>
      <w:r w:rsidRPr="00020D6D">
        <w:t xml:space="preserve">roject </w:t>
      </w:r>
      <w:r>
        <w:t>e</w:t>
      </w:r>
      <w:r w:rsidRPr="00020D6D">
        <w:t>xpenditures</w:t>
      </w:r>
      <w:r>
        <w:t>;</w:t>
      </w:r>
    </w:p>
    <w:p w:rsidR="00A13D1F" w:rsidP="006C6B6B" w:rsidRDefault="00A13D1F" w14:paraId="28A23060" w14:textId="77777777">
      <w:pPr>
        <w:pStyle w:val="Standard"/>
        <w:numPr>
          <w:ilvl w:val="0"/>
          <w:numId w:val="11"/>
        </w:numPr>
        <w:spacing w:after="120" w:line="240" w:lineRule="auto"/>
        <w:ind w:right="1440"/>
      </w:pPr>
      <w:r>
        <w:t>A listing of all the equipment to be funded and the estimated useful life;</w:t>
      </w:r>
    </w:p>
    <w:p w:rsidR="00A13D1F" w:rsidP="006C6B6B" w:rsidRDefault="00A13D1F" w14:paraId="7126A34F" w14:textId="77777777">
      <w:pPr>
        <w:pStyle w:val="Standard"/>
        <w:numPr>
          <w:ilvl w:val="0"/>
          <w:numId w:val="11"/>
        </w:numPr>
        <w:spacing w:after="120" w:line="240" w:lineRule="auto"/>
        <w:ind w:right="1440"/>
      </w:pPr>
      <w:r>
        <w:t>A Letter of Credit if the applicant does not hold a CPCN;</w:t>
      </w:r>
    </w:p>
    <w:p w:rsidR="00A13D1F" w:rsidP="006C6B6B" w:rsidRDefault="00A13D1F" w14:paraId="7253FA61" w14:textId="77777777">
      <w:pPr>
        <w:pStyle w:val="Standard"/>
        <w:numPr>
          <w:ilvl w:val="0"/>
          <w:numId w:val="11"/>
        </w:numPr>
        <w:spacing w:after="120" w:line="240" w:lineRule="auto"/>
        <w:ind w:right="1440"/>
      </w:pPr>
      <w:r>
        <w:t>A p</w:t>
      </w:r>
      <w:r w:rsidRPr="00AA6F30">
        <w:t xml:space="preserve">ricing </w:t>
      </w:r>
      <w:r>
        <w:t>c</w:t>
      </w:r>
      <w:r w:rsidRPr="00AA6F30">
        <w:t>ommitment</w:t>
      </w:r>
      <w:r>
        <w:t>;</w:t>
      </w:r>
    </w:p>
    <w:p w:rsidR="00A13D1F" w:rsidP="006C6B6B" w:rsidRDefault="00A13D1F" w14:paraId="1AB95A65" w14:textId="77777777">
      <w:pPr>
        <w:pStyle w:val="Standard"/>
        <w:numPr>
          <w:ilvl w:val="0"/>
          <w:numId w:val="11"/>
        </w:numPr>
        <w:spacing w:after="120" w:line="240" w:lineRule="auto"/>
        <w:ind w:right="1440"/>
      </w:pPr>
      <w:r>
        <w:lastRenderedPageBreak/>
        <w:t>Marketing/Outreach plans;</w:t>
      </w:r>
    </w:p>
    <w:p w:rsidR="00A13D1F" w:rsidP="006C6B6B" w:rsidRDefault="00A13D1F" w14:paraId="53CD919B" w14:textId="77777777">
      <w:pPr>
        <w:pStyle w:val="Standard"/>
        <w:numPr>
          <w:ilvl w:val="0"/>
          <w:numId w:val="11"/>
        </w:numPr>
        <w:spacing w:after="120" w:line="240" w:lineRule="auto"/>
        <w:ind w:right="1440"/>
      </w:pPr>
      <w:r>
        <w:t>Government and community support;</w:t>
      </w:r>
    </w:p>
    <w:p w:rsidR="00A13D1F" w:rsidP="006C6B6B" w:rsidRDefault="00A13D1F" w14:paraId="1057DB00" w14:textId="77777777">
      <w:pPr>
        <w:pStyle w:val="Standard"/>
        <w:numPr>
          <w:ilvl w:val="0"/>
          <w:numId w:val="11"/>
        </w:numPr>
        <w:spacing w:after="120" w:line="240" w:lineRule="auto"/>
        <w:ind w:right="1440"/>
      </w:pPr>
      <w:r>
        <w:t>Funding sources for expenses not covered by the grant;</w:t>
      </w:r>
    </w:p>
    <w:p w:rsidR="00A13D1F" w:rsidP="006C6B6B" w:rsidRDefault="00A13D1F" w14:paraId="157953DD" w14:textId="77777777">
      <w:pPr>
        <w:pStyle w:val="Standard"/>
        <w:numPr>
          <w:ilvl w:val="0"/>
          <w:numId w:val="11"/>
        </w:numPr>
        <w:spacing w:after="120" w:line="240" w:lineRule="auto"/>
        <w:ind w:right="1440"/>
      </w:pPr>
      <w:r>
        <w:t>Financial qualifications;</w:t>
      </w:r>
    </w:p>
    <w:p w:rsidR="00A13D1F" w:rsidP="006C6B6B" w:rsidRDefault="00A13D1F" w14:paraId="6A92F5FC" w14:textId="77777777">
      <w:pPr>
        <w:pStyle w:val="Standard"/>
        <w:numPr>
          <w:ilvl w:val="0"/>
          <w:numId w:val="11"/>
        </w:numPr>
        <w:spacing w:after="120" w:line="240" w:lineRule="auto"/>
        <w:ind w:right="1440"/>
      </w:pPr>
      <w:r>
        <w:t xml:space="preserve">A </w:t>
      </w:r>
      <w:r w:rsidRPr="00AA6F30">
        <w:t>project viability forecast</w:t>
      </w:r>
      <w:r>
        <w:t>; and</w:t>
      </w:r>
    </w:p>
    <w:p w:rsidR="00A13D1F" w:rsidP="006C6B6B" w:rsidRDefault="00A13D1F" w14:paraId="22F3C74D" w14:textId="77777777">
      <w:pPr>
        <w:pStyle w:val="Standard"/>
        <w:numPr>
          <w:ilvl w:val="0"/>
          <w:numId w:val="11"/>
        </w:numPr>
        <w:spacing w:after="120" w:line="240" w:lineRule="auto"/>
        <w:ind w:right="1440"/>
      </w:pPr>
      <w:r>
        <w:t>The following information:</w:t>
      </w:r>
    </w:p>
    <w:p w:rsidR="00A13D1F" w:rsidP="006C6B6B" w:rsidRDefault="00A13D1F" w14:paraId="7D318705" w14:textId="6A94790D">
      <w:pPr>
        <w:pStyle w:val="Standard"/>
        <w:numPr>
          <w:ilvl w:val="1"/>
          <w:numId w:val="11"/>
        </w:numPr>
        <w:spacing w:after="120" w:line="240" w:lineRule="auto"/>
        <w:ind w:right="1440"/>
      </w:pPr>
      <w:r>
        <w:t xml:space="preserve">Availability of voice service that meets California and FCC requirements for 9-1-1 service </w:t>
      </w:r>
      <w:r w:rsidRPr="00AA6F30">
        <w:t xml:space="preserve">battery </w:t>
      </w:r>
      <w:r w:rsidR="00FF4438">
        <w:br/>
      </w:r>
      <w:r w:rsidRPr="00AA6F30">
        <w:t>back-up;</w:t>
      </w:r>
    </w:p>
    <w:p w:rsidR="00A13D1F" w:rsidP="006C6B6B" w:rsidRDefault="00A13D1F" w14:paraId="7015D7E7" w14:textId="77777777">
      <w:pPr>
        <w:pStyle w:val="Standard"/>
        <w:numPr>
          <w:ilvl w:val="1"/>
          <w:numId w:val="11"/>
        </w:numPr>
        <w:spacing w:after="120" w:line="240" w:lineRule="auto"/>
        <w:ind w:right="1440"/>
      </w:pPr>
      <w:r>
        <w:t>Deployment plans for applicable Federal and state requirements;</w:t>
      </w:r>
    </w:p>
    <w:p w:rsidR="00A13D1F" w:rsidP="006C6B6B" w:rsidRDefault="00A13D1F" w14:paraId="1108BA53" w14:textId="77777777">
      <w:pPr>
        <w:pStyle w:val="Standard"/>
        <w:numPr>
          <w:ilvl w:val="1"/>
          <w:numId w:val="11"/>
        </w:numPr>
        <w:spacing w:after="120" w:line="240" w:lineRule="auto"/>
        <w:ind w:right="1440"/>
      </w:pPr>
      <w:r>
        <w:t>A CEQA Attestation;</w:t>
      </w:r>
    </w:p>
    <w:p w:rsidR="00A13D1F" w:rsidP="006C6B6B" w:rsidRDefault="00A13D1F" w14:paraId="16E0A9F1" w14:textId="77777777">
      <w:pPr>
        <w:pStyle w:val="Standard"/>
        <w:numPr>
          <w:ilvl w:val="1"/>
          <w:numId w:val="11"/>
        </w:numPr>
        <w:spacing w:after="120" w:line="240" w:lineRule="auto"/>
        <w:ind w:right="1440"/>
      </w:pPr>
      <w:r>
        <w:t>T</w:t>
      </w:r>
      <w:r w:rsidRPr="00AA6F30">
        <w:t>he Program Application Checklist Form</w:t>
      </w:r>
      <w:r>
        <w:t>; and</w:t>
      </w:r>
    </w:p>
    <w:p w:rsidR="00A13D1F" w:rsidP="006C6B6B" w:rsidRDefault="00A13D1F" w14:paraId="43E44756" w14:textId="77777777">
      <w:pPr>
        <w:pStyle w:val="Standard"/>
        <w:numPr>
          <w:ilvl w:val="1"/>
          <w:numId w:val="11"/>
        </w:numPr>
        <w:spacing w:after="120" w:line="240" w:lineRule="auto"/>
        <w:ind w:right="1440"/>
      </w:pPr>
      <w:r>
        <w:t>A</w:t>
      </w:r>
      <w:r w:rsidRPr="00AA6F30">
        <w:t>n affidavit</w:t>
      </w:r>
      <w:r>
        <w:t>.</w:t>
      </w:r>
    </w:p>
    <w:p w:rsidR="00A13D1F" w:rsidP="006C6B6B" w:rsidRDefault="00A13D1F" w14:paraId="27917E58" w14:textId="77777777">
      <w:pPr>
        <w:pStyle w:val="Standard"/>
      </w:pPr>
      <w:r>
        <w:t>Full details on each of the items listed above are in Attachment A of the ACR on pages 14-22.</w:t>
      </w:r>
    </w:p>
    <w:p w:rsidR="00A13D1F" w:rsidP="006C6B6B" w:rsidRDefault="00A13D1F" w14:paraId="13A8B01E" w14:textId="69F6A12B">
      <w:pPr>
        <w:pStyle w:val="Heading2"/>
      </w:pPr>
      <w:bookmarkStart w:name="_Toc94637219" w:id="97"/>
      <w:bookmarkStart w:name="_Toc101519099" w:id="98"/>
      <w:r>
        <w:t>Party Positions</w:t>
      </w:r>
      <w:bookmarkEnd w:id="97"/>
      <w:bookmarkEnd w:id="98"/>
    </w:p>
    <w:p w:rsidR="00A13D1F" w:rsidP="006C6B6B" w:rsidRDefault="00A13D1F" w14:paraId="49792093" w14:textId="77777777">
      <w:pPr>
        <w:pStyle w:val="Standard"/>
      </w:pPr>
      <w:r>
        <w:t xml:space="preserve">AT&amp;T asserts that providing major equipment expenses in an application are unnecessary details that is redundant with the general description of major infrastructure requirement. Further, the illustrative equipment listed are not “major equipment,” but customer premises equipment selected by the subscriber. Additionally, AT&amp;T argues that Item 9.9 “Economic Life of All Assets to be Funded” should be deleted as irrelevant and unnecessary. </w:t>
      </w:r>
    </w:p>
    <w:p w:rsidR="00A13D1F" w:rsidP="00A13D1F" w:rsidRDefault="00A13D1F" w14:paraId="46E391A7" w14:textId="77777777">
      <w:pPr>
        <w:pStyle w:val="Standard"/>
      </w:pPr>
      <w:r>
        <w:t>TURN u</w:t>
      </w:r>
      <w:r w:rsidRPr="00781EE2">
        <w:t xml:space="preserve">rges </w:t>
      </w:r>
      <w:r>
        <w:t xml:space="preserve">the Commission </w:t>
      </w:r>
      <w:r w:rsidRPr="00781EE2">
        <w:t>to require applicants to include a “roadmap” or detailed explanation of how the applicant will use funding related to project expenses and associated timelines that are currently required</w:t>
      </w:r>
      <w:r>
        <w:t xml:space="preserve">, as well as an explanation for </w:t>
      </w:r>
      <w:r w:rsidRPr="0054657F">
        <w:t xml:space="preserve">why CASF </w:t>
      </w:r>
      <w:r>
        <w:t xml:space="preserve">Infrastructure Grant </w:t>
      </w:r>
      <w:r w:rsidRPr="0054657F">
        <w:t>account</w:t>
      </w:r>
      <w:r>
        <w:t xml:space="preserve"> funds</w:t>
      </w:r>
      <w:r w:rsidRPr="0054657F">
        <w:t xml:space="preserve"> would not be more appropriate source of funds for upgrades.</w:t>
      </w:r>
    </w:p>
    <w:p w:rsidR="00A13D1F" w:rsidP="00A13D1F" w:rsidRDefault="00A13D1F" w14:paraId="23577CE0" w14:textId="77777777">
      <w:pPr>
        <w:pStyle w:val="Standard"/>
      </w:pPr>
      <w:r>
        <w:lastRenderedPageBreak/>
        <w:t xml:space="preserve">Verizon supports requiring a </w:t>
      </w:r>
      <w:r w:rsidRPr="0001047C">
        <w:t>FFA applicant</w:t>
      </w:r>
      <w:r>
        <w:t xml:space="preserve"> to</w:t>
      </w:r>
      <w:r w:rsidRPr="0001047C">
        <w:t xml:space="preserve"> disclose other grants or public funds </w:t>
      </w:r>
      <w:r>
        <w:t xml:space="preserve">it has </w:t>
      </w:r>
      <w:r w:rsidRPr="0001047C">
        <w:t>already received or expect</w:t>
      </w:r>
      <w:r>
        <w:t>s</w:t>
      </w:r>
      <w:r w:rsidRPr="0001047C">
        <w:t xml:space="preserve"> to receive</w:t>
      </w:r>
      <w:r>
        <w:t>.</w:t>
      </w:r>
    </w:p>
    <w:p w:rsidR="00A13D1F" w:rsidP="00A13D1F" w:rsidRDefault="00A13D1F" w14:paraId="6E5E629B" w14:textId="77777777">
      <w:pPr>
        <w:pStyle w:val="Standard"/>
      </w:pPr>
      <w:r>
        <w:t>CETF recommends that the required M</w:t>
      </w:r>
      <w:r w:rsidRPr="00DD0F87">
        <w:t>arketing/Outreach Plan</w:t>
      </w:r>
      <w:r>
        <w:t xml:space="preserve"> </w:t>
      </w:r>
      <w:r w:rsidRPr="00DD0F87">
        <w:t>be “in-language” when serving a population that is limited-English speaking</w:t>
      </w:r>
      <w:r>
        <w:t xml:space="preserve">, where applicable, and that the </w:t>
      </w:r>
      <w:r w:rsidRPr="00DD0F87">
        <w:t xml:space="preserve">Marketing/Outreach Plan </w:t>
      </w:r>
      <w:r>
        <w:t>i</w:t>
      </w:r>
      <w:r w:rsidRPr="00DD0F87">
        <w:t>nclude a requirement to advertise affirmatively in a prominent fashion, affordable broadband offer</w:t>
      </w:r>
      <w:r>
        <w:t>s.</w:t>
      </w:r>
    </w:p>
    <w:p w:rsidR="00A13D1F" w:rsidP="00A13D1F" w:rsidRDefault="00A13D1F" w14:paraId="35F9CE38" w14:textId="77777777">
      <w:pPr>
        <w:pStyle w:val="Standard"/>
      </w:pPr>
      <w:r>
        <w:t>Regarding the requirement for evidence of community support, AT&amp;T and CCTA caution the Commission against weighing that support more heavily than the various technical deployment requirements. RCRC recommends requiring community support. San Francisco suggest r</w:t>
      </w:r>
      <w:r w:rsidRPr="00DB616A">
        <w:t>equir</w:t>
      </w:r>
      <w:r>
        <w:t>ing</w:t>
      </w:r>
      <w:r w:rsidRPr="00DB616A">
        <w:t xml:space="preserve"> applications to include a letter of support from </w:t>
      </w:r>
      <w:r>
        <w:t xml:space="preserve">the </w:t>
      </w:r>
      <w:r w:rsidRPr="00DB616A">
        <w:t xml:space="preserve">executive of </w:t>
      </w:r>
      <w:r>
        <w:t xml:space="preserve">the </w:t>
      </w:r>
      <w:r w:rsidRPr="00DB616A">
        <w:t xml:space="preserve">jurisdiction </w:t>
      </w:r>
      <w:r>
        <w:t>(</w:t>
      </w:r>
      <w:r w:rsidRPr="00DB616A">
        <w:t>local or county</w:t>
      </w:r>
      <w:r>
        <w:t>)</w:t>
      </w:r>
      <w:r w:rsidRPr="00DB616A">
        <w:t xml:space="preserve"> that would be served by project</w:t>
      </w:r>
      <w:r>
        <w:t>, with the l</w:t>
      </w:r>
      <w:r w:rsidRPr="00DB616A">
        <w:t>etter</w:t>
      </w:r>
      <w:r>
        <w:t xml:space="preserve"> containing </w:t>
      </w:r>
      <w:r w:rsidRPr="00DB616A">
        <w:t xml:space="preserve">sufficient details to ensure community leaders understand </w:t>
      </w:r>
      <w:r>
        <w:t xml:space="preserve">the scope of the proposed </w:t>
      </w:r>
      <w:r w:rsidRPr="00DB616A">
        <w:t xml:space="preserve">project. </w:t>
      </w:r>
      <w:r>
        <w:t>CETF counters that the proposal is not a requirement.</w:t>
      </w:r>
    </w:p>
    <w:p w:rsidR="00A13D1F" w:rsidP="006C6B6B" w:rsidRDefault="00A13D1F" w14:paraId="4B690233" w14:textId="0A1BF345">
      <w:pPr>
        <w:pStyle w:val="Heading2"/>
      </w:pPr>
      <w:bookmarkStart w:name="_Toc94637220" w:id="99"/>
      <w:bookmarkStart w:name="_Toc101519100" w:id="100"/>
      <w:r>
        <w:t>Discussion</w:t>
      </w:r>
      <w:bookmarkEnd w:id="99"/>
      <w:bookmarkEnd w:id="100"/>
    </w:p>
    <w:p w:rsidR="00A13D1F" w:rsidP="006C6B6B" w:rsidRDefault="00A13D1F" w14:paraId="16863FCA" w14:textId="77777777">
      <w:pPr>
        <w:pStyle w:val="Standard"/>
      </w:pPr>
      <w:r>
        <w:t xml:space="preserve">The final adopted </w:t>
      </w:r>
      <w:r w:rsidRPr="006C6B6B">
        <w:t>requirements</w:t>
      </w:r>
      <w:r>
        <w:t xml:space="preserve">, including all details regarding the information applicants must provide, are contained in </w:t>
      </w:r>
      <w:r w:rsidRPr="005476C6">
        <w:t>Appendix A</w:t>
      </w:r>
      <w:r>
        <w:t>. We make the following refinements:</w:t>
      </w:r>
    </w:p>
    <w:p w:rsidR="00A13D1F" w:rsidP="008606BD" w:rsidRDefault="00A13D1F" w14:paraId="3749D305" w14:textId="77777777">
      <w:pPr>
        <w:pStyle w:val="Standard"/>
        <w:numPr>
          <w:ilvl w:val="0"/>
          <w:numId w:val="23"/>
        </w:numPr>
        <w:spacing w:after="120" w:line="240" w:lineRule="auto"/>
        <w:ind w:left="1080" w:right="1440"/>
      </w:pPr>
      <w:r>
        <w:t>As identified by AT&amp;T, we correct the examples of major equipment expenses;</w:t>
      </w:r>
    </w:p>
    <w:p w:rsidR="00A13D1F" w:rsidP="008606BD" w:rsidRDefault="00A13D1F" w14:paraId="263127DB" w14:textId="77777777">
      <w:pPr>
        <w:pStyle w:val="Standard"/>
        <w:numPr>
          <w:ilvl w:val="0"/>
          <w:numId w:val="23"/>
        </w:numPr>
        <w:spacing w:after="120" w:line="240" w:lineRule="auto"/>
        <w:ind w:left="1080" w:right="1440"/>
      </w:pPr>
      <w:r>
        <w:t xml:space="preserve">We clarify the process by which an applicant would propose revising the area for which they are requesting funding; </w:t>
      </w:r>
    </w:p>
    <w:p w:rsidR="00A13D1F" w:rsidP="008606BD" w:rsidRDefault="00A13D1F" w14:paraId="46D2C983" w14:textId="77777777">
      <w:pPr>
        <w:pStyle w:val="Standard"/>
        <w:numPr>
          <w:ilvl w:val="0"/>
          <w:numId w:val="23"/>
        </w:numPr>
        <w:spacing w:after="120" w:line="240" w:lineRule="auto"/>
        <w:ind w:left="1080" w:right="1440"/>
      </w:pPr>
      <w:r>
        <w:t>We revise the pricing commitment requirement to be consistent with the affordability requirements adopted in this decision;</w:t>
      </w:r>
    </w:p>
    <w:p w:rsidR="00A13D1F" w:rsidP="008606BD" w:rsidRDefault="00A13D1F" w14:paraId="1F896EF9" w14:textId="77777777">
      <w:pPr>
        <w:pStyle w:val="Standard"/>
        <w:numPr>
          <w:ilvl w:val="0"/>
          <w:numId w:val="23"/>
        </w:numPr>
        <w:spacing w:after="120" w:line="240" w:lineRule="auto"/>
        <w:ind w:left="1080" w:right="1440"/>
      </w:pPr>
      <w:r>
        <w:t>We revise the funding sources application item so that it is consistent with the requirements on leveraging other funds adopted in this decision;</w:t>
      </w:r>
    </w:p>
    <w:p w:rsidR="00A13D1F" w:rsidP="008606BD" w:rsidRDefault="00A13D1F" w14:paraId="76730BC3" w14:textId="5B61138A">
      <w:pPr>
        <w:pStyle w:val="Standard"/>
        <w:numPr>
          <w:ilvl w:val="0"/>
          <w:numId w:val="23"/>
        </w:numPr>
        <w:spacing w:after="120" w:line="240" w:lineRule="auto"/>
        <w:ind w:left="1080" w:right="1440"/>
      </w:pPr>
      <w:r>
        <w:lastRenderedPageBreak/>
        <w:t xml:space="preserve">We clarify that newly formed organizations applying for funding should submit financial statements of the parent or sponsoring organizations, including an explanation of the relationship between those organizations;  </w:t>
      </w:r>
    </w:p>
    <w:p w:rsidR="005667F1" w:rsidP="008606BD" w:rsidRDefault="00A13D1F" w14:paraId="722BA62D" w14:textId="36378CCB">
      <w:pPr>
        <w:pStyle w:val="Standard"/>
        <w:numPr>
          <w:ilvl w:val="0"/>
          <w:numId w:val="23"/>
        </w:numPr>
        <w:spacing w:after="120" w:line="240" w:lineRule="auto"/>
        <w:ind w:left="1080" w:right="1440"/>
      </w:pPr>
      <w:r>
        <w:t>We remove the requirement that an application include the checklist, as applications will be filed online</w:t>
      </w:r>
      <w:r w:rsidR="005667F1">
        <w:t>; and</w:t>
      </w:r>
    </w:p>
    <w:p w:rsidRPr="0006113E" w:rsidR="00A13D1F" w:rsidP="008606BD" w:rsidRDefault="005667F1" w14:paraId="369738B8" w14:textId="0663D63B">
      <w:pPr>
        <w:pStyle w:val="Standard"/>
        <w:numPr>
          <w:ilvl w:val="0"/>
          <w:numId w:val="23"/>
        </w:numPr>
        <w:spacing w:after="120" w:line="240" w:lineRule="auto"/>
        <w:ind w:left="1080" w:right="1440"/>
      </w:pPr>
      <w:r w:rsidRPr="005667F1">
        <w:t>Local and Tribal governments are exempt from the requirement to obtain a letter of credit, provided they can demonstrate administrative capability and expertise in financial administration; demonstrate relationships with financial advisors; in-house or contracted expertise in evaluating broadband infrastructure project feasibility; and demonstrate relationships with, and support from, experienced public or nonprofit broadband system operators. These types of applications must be approved by Commission resolution.</w:t>
      </w:r>
      <w:r w:rsidR="00A13D1F">
        <w:t xml:space="preserve"> </w:t>
      </w:r>
    </w:p>
    <w:p w:rsidR="00A13D1F" w:rsidP="006C6B6B" w:rsidRDefault="00A13D1F" w14:paraId="6267AE81" w14:textId="5DEEDEB9">
      <w:pPr>
        <w:pStyle w:val="Heading1"/>
      </w:pPr>
      <w:bookmarkStart w:name="_Toc94637221" w:id="101"/>
      <w:bookmarkStart w:name="_Toc101519101" w:id="102"/>
      <w:r w:rsidRPr="006C6B6B">
        <w:t>Application</w:t>
      </w:r>
      <w:r>
        <w:t xml:space="preserve"> Submission Timelines</w:t>
      </w:r>
      <w:bookmarkEnd w:id="101"/>
      <w:bookmarkEnd w:id="102"/>
    </w:p>
    <w:p w:rsidRPr="001A7520" w:rsidR="00A13D1F" w:rsidP="006C6B6B" w:rsidRDefault="00A13D1F" w14:paraId="3E9E6587" w14:textId="274BCF26">
      <w:pPr>
        <w:pStyle w:val="Standard"/>
      </w:pPr>
      <w:r>
        <w:t xml:space="preserve">The ACR proposes that </w:t>
      </w:r>
      <w:r w:rsidRPr="006C6B6B">
        <w:t>the</w:t>
      </w:r>
      <w:r>
        <w:t xml:space="preserve"> Commission accept FFA applications on a quarterly basis (i.e., January 1, April 1, July 1, and October 1). Applicants should electronically file complete applications at </w:t>
      </w:r>
      <w:hyperlink w:history="1" r:id="rId11">
        <w:r w:rsidRPr="00470A77" w:rsidR="00267EC6">
          <w:rPr>
            <w:rStyle w:val="Hyperlink"/>
          </w:rPr>
          <w:t>http://www.cpuc.ca.gov/puc/</w:t>
        </w:r>
      </w:hyperlink>
      <w:r w:rsidR="00267EC6">
        <w:t xml:space="preserve"> </w:t>
      </w:r>
      <w:r>
        <w:t>and mail a separate hard copy to the Communications Division, Attn: California Advanced Services Program, and mail another hard copy to the Public Advocates Office at the Commission. Since applications are not filed with the Commission’s Docket Office, they will not be assigned proceeding number(s).</w:t>
      </w:r>
    </w:p>
    <w:p w:rsidR="00A13D1F" w:rsidP="006C6B6B" w:rsidRDefault="00A13D1F" w14:paraId="5DA9BDA3" w14:textId="61C8C698">
      <w:pPr>
        <w:pStyle w:val="Heading2"/>
      </w:pPr>
      <w:bookmarkStart w:name="_Toc94637222" w:id="103"/>
      <w:bookmarkStart w:name="_Toc101519102" w:id="104"/>
      <w:r>
        <w:t xml:space="preserve">Party </w:t>
      </w:r>
      <w:r w:rsidRPr="006C6B6B">
        <w:t>Positions</w:t>
      </w:r>
      <w:bookmarkEnd w:id="103"/>
      <w:bookmarkEnd w:id="104"/>
    </w:p>
    <w:p w:rsidRPr="00733C29" w:rsidR="00A13D1F" w:rsidP="006C6B6B" w:rsidRDefault="00A13D1F" w14:paraId="53DD0F00" w14:textId="77777777">
      <w:pPr>
        <w:pStyle w:val="Standard"/>
      </w:pPr>
      <w:r>
        <w:t xml:space="preserve">Frontier and AT&amp;T support quarterly application windows. SANDAG urges the </w:t>
      </w:r>
      <w:r w:rsidRPr="006C6B6B">
        <w:t>Commission</w:t>
      </w:r>
      <w:r>
        <w:t xml:space="preserve"> to </w:t>
      </w:r>
      <w:r w:rsidRPr="00E71713">
        <w:t xml:space="preserve">allow applicants enough time to find appropriate ISP partners to avoid precluding public entities from participating. </w:t>
      </w:r>
      <w:r>
        <w:t xml:space="preserve">CCTA recommends two application cycles each year to allow </w:t>
      </w:r>
      <w:r w:rsidRPr="000456DE">
        <w:t>enough time to review and act on all pending applications and eliminate confusion for potential applicants as to which areas remain eligible for a FFA grant.</w:t>
      </w:r>
    </w:p>
    <w:p w:rsidR="00A13D1F" w:rsidP="006C6B6B" w:rsidRDefault="00A13D1F" w14:paraId="62954558" w14:textId="33C18E10">
      <w:pPr>
        <w:pStyle w:val="Heading2"/>
      </w:pPr>
      <w:bookmarkStart w:name="_Toc94637223" w:id="105"/>
      <w:bookmarkStart w:name="_Toc101519103" w:id="106"/>
      <w:r>
        <w:lastRenderedPageBreak/>
        <w:t>Discussion</w:t>
      </w:r>
      <w:bookmarkEnd w:id="105"/>
      <w:bookmarkEnd w:id="106"/>
    </w:p>
    <w:p w:rsidRPr="00A04A5C" w:rsidR="00A13D1F" w:rsidP="00A13D1F" w:rsidRDefault="00A13D1F" w14:paraId="139232B7" w14:textId="55649591">
      <w:pPr>
        <w:pStyle w:val="Standard"/>
      </w:pPr>
      <w:r>
        <w:t>We revise the proposed rules to no longer require</w:t>
      </w:r>
      <w:r w:rsidRPr="007664C2">
        <w:t xml:space="preserve"> mailed hard-copy applications. </w:t>
      </w:r>
      <w:r>
        <w:t>At the beginning of each application cycle, CD Staff will serve instructions regarding how to file electronic applications on the service list for this proceeding, the service list for the CASF proceeding, and the CASF Distribution List</w:t>
      </w:r>
      <w:r w:rsidRPr="007664C2">
        <w:t xml:space="preserve">. </w:t>
      </w:r>
      <w:r>
        <w:t>CD Staff will announce application submission and other deadlines. Applications should be due every six months and staff will target to review applications in no more than six months. Organizations will have 14</w:t>
      </w:r>
      <w:r w:rsidR="008606BD">
        <w:t> </w:t>
      </w:r>
      <w:r>
        <w:t xml:space="preserve">days, inclusive of holidays and weekends, to file objections to applications. </w:t>
      </w:r>
    </w:p>
    <w:p w:rsidR="00A13D1F" w:rsidP="008C5C7A" w:rsidRDefault="00A13D1F" w14:paraId="6AB03F9D" w14:textId="5D19A8FC">
      <w:pPr>
        <w:pStyle w:val="Heading1"/>
      </w:pPr>
      <w:bookmarkStart w:name="_Toc94637224" w:id="107"/>
      <w:bookmarkStart w:name="_Toc101519104" w:id="108"/>
      <w:r w:rsidRPr="00A04A5C">
        <w:t xml:space="preserve">Posting of </w:t>
      </w:r>
      <w:r w:rsidRPr="008C5C7A">
        <w:t>Applications</w:t>
      </w:r>
      <w:bookmarkEnd w:id="107"/>
      <w:bookmarkEnd w:id="108"/>
    </w:p>
    <w:p w:rsidR="00A13D1F" w:rsidP="008C5C7A" w:rsidRDefault="00A13D1F" w14:paraId="06855F87" w14:textId="77777777">
      <w:pPr>
        <w:pStyle w:val="Standard"/>
      </w:pPr>
      <w:r>
        <w:t xml:space="preserve">The ACR proposes </w:t>
      </w:r>
      <w:r w:rsidRPr="008C5C7A">
        <w:t>that</w:t>
      </w:r>
      <w:r>
        <w:t xml:space="preserve"> CD Staff post a list of all pending FFA applications, </w:t>
      </w:r>
      <w:r w:rsidRPr="00CE0C74">
        <w:t>objection deadlines</w:t>
      </w:r>
      <w:r>
        <w:t xml:space="preserve">, and notices of amendments to pending applications on the FFA webpage. CD Staff also will serve notice of the applications, deadlines and amendments on the existing CASF Distribution List, given the number of interested individuals and entities that already are part of that list. CD Staff will post Application Summaries and Maps to the Commission website and notify CASF Distribution List within 10 days after the application submission deadline. The deadline to submit </w:t>
      </w:r>
      <w:r w:rsidRPr="00CE0C74">
        <w:t>objections</w:t>
      </w:r>
      <w:r>
        <w:t xml:space="preserve"> to any applications will be 10 days after the notice is served. In the event any date falls on a weekend or holiday, the deadline is the next business day.</w:t>
      </w:r>
    </w:p>
    <w:p w:rsidRPr="00A04A5C" w:rsidR="00A13D1F" w:rsidP="008C5C7A" w:rsidRDefault="00A13D1F" w14:paraId="45AE6A53" w14:textId="77777777">
      <w:pPr>
        <w:pStyle w:val="Standard"/>
      </w:pPr>
      <w:r>
        <w:t>The Commission will endeavor to serve notice of applications and any amendments to an application for project funding to those on the service list for this proceeding, the service list for the CASF proceeding, and the CASF Distribution List, and post on the FFA webpage at least 30 days before publishing the corresponding draft resolution.</w:t>
      </w:r>
    </w:p>
    <w:p w:rsidR="00A13D1F" w:rsidP="008C5C7A" w:rsidRDefault="00A13D1F" w14:paraId="4F31D967" w14:textId="6484F386">
      <w:pPr>
        <w:pStyle w:val="Heading2"/>
      </w:pPr>
      <w:bookmarkStart w:name="_Toc94637225" w:id="109"/>
      <w:bookmarkStart w:name="_Toc101519105" w:id="110"/>
      <w:r>
        <w:lastRenderedPageBreak/>
        <w:t>Party Positions</w:t>
      </w:r>
      <w:bookmarkEnd w:id="109"/>
      <w:bookmarkEnd w:id="110"/>
    </w:p>
    <w:p w:rsidRPr="00A04A5C" w:rsidR="00A13D1F" w:rsidP="008C5C7A" w:rsidRDefault="00A13D1F" w14:paraId="466E29CC" w14:textId="77777777">
      <w:pPr>
        <w:pStyle w:val="Standard"/>
      </w:pPr>
      <w:r>
        <w:t xml:space="preserve">No parties </w:t>
      </w:r>
      <w:r w:rsidRPr="008C5C7A">
        <w:t>filed</w:t>
      </w:r>
      <w:r>
        <w:t xml:space="preserve"> comments on this proposal. </w:t>
      </w:r>
    </w:p>
    <w:p w:rsidR="00A13D1F" w:rsidP="008C5C7A" w:rsidRDefault="00A13D1F" w14:paraId="0B4647BC" w14:textId="0F37BEEC">
      <w:pPr>
        <w:pStyle w:val="Heading2"/>
      </w:pPr>
      <w:bookmarkStart w:name="_Toc94637226" w:id="111"/>
      <w:bookmarkStart w:name="_Toc101519106" w:id="112"/>
      <w:r>
        <w:t>Discussion</w:t>
      </w:r>
      <w:bookmarkEnd w:id="111"/>
      <w:bookmarkEnd w:id="112"/>
    </w:p>
    <w:p w:rsidRPr="00A04A5C" w:rsidR="00A13D1F" w:rsidP="008C5C7A" w:rsidRDefault="00A13D1F" w14:paraId="223ABBDC" w14:textId="77777777">
      <w:pPr>
        <w:pStyle w:val="Standard"/>
      </w:pPr>
      <w:r>
        <w:t xml:space="preserve">The </w:t>
      </w:r>
      <w:r w:rsidRPr="008C5C7A">
        <w:t>Commission</w:t>
      </w:r>
      <w:r>
        <w:t xml:space="preserve"> adopts this proposal.</w:t>
      </w:r>
    </w:p>
    <w:p w:rsidR="00A13D1F" w:rsidP="008C5C7A" w:rsidRDefault="00A13D1F" w14:paraId="4245A21E" w14:textId="07074D76">
      <w:pPr>
        <w:pStyle w:val="Heading1"/>
      </w:pPr>
      <w:bookmarkStart w:name="_Toc94637227" w:id="113"/>
      <w:bookmarkStart w:name="_Toc101519107" w:id="114"/>
      <w:r>
        <w:t xml:space="preserve">Application </w:t>
      </w:r>
      <w:r w:rsidRPr="008C5C7A">
        <w:t>Objections</w:t>
      </w:r>
      <w:bookmarkEnd w:id="113"/>
      <w:bookmarkEnd w:id="114"/>
    </w:p>
    <w:p w:rsidR="00A13D1F" w:rsidP="008C5C7A" w:rsidRDefault="00A13D1F" w14:paraId="04691F69" w14:textId="77777777">
      <w:pPr>
        <w:pStyle w:val="Standard"/>
      </w:pPr>
      <w:r>
        <w:t>The ACR proposes to provide a period during which interested persons may review FFA grant applications and file written comments objecting to an application under review. The Commission will consider these comments in reviewing the application. Any party that objects to a proposed area as already served must provide definitive evidence that the area is in fact already served.</w:t>
      </w:r>
    </w:p>
    <w:p w:rsidR="00A13D1F" w:rsidP="00A13D1F" w:rsidRDefault="00A13D1F" w14:paraId="4FE6AFB3" w14:textId="77777777">
      <w:pPr>
        <w:pStyle w:val="Standard"/>
      </w:pPr>
      <w:r>
        <w:t>An objection must identify and discuss an error of fact, or policy or statutory requirement that the application has contravened. Comments must be submitted no later than 21 calendar days</w:t>
      </w:r>
      <w:r w:rsidRPr="00CF6EA0">
        <w:t xml:space="preserve"> </w:t>
      </w:r>
      <w:r>
        <w:t>from when the entity serves notice of the application on the CASF Distribution List, or a different date set by CD Staff. Comments filed after the deadline will be deemed denied. Comments must be filed with the Commission and served on the CASF Distribution List.</w:t>
      </w:r>
    </w:p>
    <w:p w:rsidR="00A13D1F" w:rsidP="00A13D1F" w:rsidRDefault="00A13D1F" w14:paraId="5FEF347A" w14:textId="77777777">
      <w:pPr>
        <w:pStyle w:val="Standard"/>
      </w:pPr>
      <w:r>
        <w:t xml:space="preserve">Consistent with the Interim Final Rule, grant recipients should avoid investing in locations that have existing agreements to build reliable wireline service with minimum speeds of 100 Mbps download and 20 Mbps upload by December 31, 2024, in order to avoid duplication of efforts and resources. An objection asserting an existing agreement to build such a wireline service should provide evidence of the existing agreement, and plans indicating the construction route, service area boundaries, and other pertinent construction details. Consistent with the Interim Final Rule, it “suffices that an objective of a project is to provide service to unserved or underserved households or businesses. Doing so may involve a holistic approach that provides service to a </w:t>
      </w:r>
      <w:r>
        <w:lastRenderedPageBreak/>
        <w:t>wider area in order, for example, to make the ongoing service of unserved or underserved households or businesses within the service area economical. Unserved or underserved households or businesses need not be the only households or businesses in the service area receiving funds.”</w:t>
      </w:r>
      <w:r>
        <w:rPr>
          <w:rStyle w:val="FootnoteReference"/>
        </w:rPr>
        <w:footnoteReference w:id="51"/>
      </w:r>
      <w:r>
        <w:t xml:space="preserve"> As such, a project is not disqualified by proposing to provide service to served households. </w:t>
      </w:r>
    </w:p>
    <w:p w:rsidR="00A13D1F" w:rsidP="00A13D1F" w:rsidRDefault="00A13D1F" w14:paraId="76BD0CFA" w14:textId="77777777">
      <w:pPr>
        <w:pStyle w:val="Standard"/>
      </w:pPr>
      <w:r>
        <w:t>An objection asserting existing wireline communications infrastructure meets or exceeds the 25/3 Mbps unserved definition may still be provided. These objections must include the following information to be considered:</w:t>
      </w:r>
    </w:p>
    <w:p w:rsidR="00A13D1F" w:rsidP="008C5C7A" w:rsidRDefault="00A13D1F" w14:paraId="4DA7B8CC" w14:textId="77777777">
      <w:pPr>
        <w:pStyle w:val="Standard"/>
        <w:numPr>
          <w:ilvl w:val="0"/>
          <w:numId w:val="16"/>
        </w:numPr>
        <w:spacing w:after="120" w:line="240" w:lineRule="auto"/>
        <w:ind w:right="1440"/>
      </w:pPr>
      <w:r>
        <w:t>An attestation that all information provided is true and accurate in accordance with Rule 1 of the Commission’s Rules of Practice and Procedure;</w:t>
      </w:r>
    </w:p>
    <w:p w:rsidR="00A13D1F" w:rsidP="008C5C7A" w:rsidRDefault="00A13D1F" w14:paraId="36694C31" w14:textId="77777777">
      <w:pPr>
        <w:pStyle w:val="Standard"/>
        <w:numPr>
          <w:ilvl w:val="0"/>
          <w:numId w:val="16"/>
        </w:numPr>
        <w:spacing w:after="120" w:line="240" w:lineRule="auto"/>
        <w:ind w:right="1440"/>
      </w:pPr>
      <w:r>
        <w:t>An attestation that the households identified are offered service and have the capability to reliably receive minimum speeds of 25 Mbps download and 3 Mbps upload;</w:t>
      </w:r>
    </w:p>
    <w:p w:rsidR="00A13D1F" w:rsidP="008C5C7A" w:rsidRDefault="00A13D1F" w14:paraId="009CC4BA" w14:textId="77777777">
      <w:pPr>
        <w:pStyle w:val="Standard"/>
        <w:numPr>
          <w:ilvl w:val="0"/>
          <w:numId w:val="16"/>
        </w:numPr>
        <w:spacing w:after="120" w:line="240" w:lineRule="auto"/>
        <w:ind w:right="1440"/>
      </w:pPr>
      <w:r>
        <w:t>The geographic location of all households it serves in the area(s) for which the objection is filed. This information must be provided in a plaintext, comma-separated values (CSV) file, that contains geo-located street address information, including latitude and longitude coordinates;</w:t>
      </w:r>
    </w:p>
    <w:p w:rsidR="00A13D1F" w:rsidP="008C5C7A" w:rsidRDefault="00A13D1F" w14:paraId="1933CDA4" w14:textId="77777777">
      <w:pPr>
        <w:pStyle w:val="Standard"/>
        <w:numPr>
          <w:ilvl w:val="0"/>
          <w:numId w:val="16"/>
        </w:numPr>
        <w:spacing w:after="120" w:line="240" w:lineRule="auto"/>
        <w:ind w:right="1440"/>
      </w:pPr>
      <w:r>
        <w:t>The number of subscribers and the level of service subscribed to in the area being disputed. Additionally, Commission staff may request billing statement information to verify subscribership. This information shall be submitted unredacted to the Commission under seal;</w:t>
      </w:r>
    </w:p>
    <w:p w:rsidR="00A13D1F" w:rsidP="008C5C7A" w:rsidRDefault="00A13D1F" w14:paraId="7364DDA6" w14:textId="77777777">
      <w:pPr>
        <w:pStyle w:val="Standard"/>
        <w:numPr>
          <w:ilvl w:val="0"/>
          <w:numId w:val="16"/>
        </w:numPr>
        <w:spacing w:after="120" w:line="240" w:lineRule="auto"/>
        <w:ind w:right="1440"/>
      </w:pPr>
      <w:r>
        <w:t>Permits, easements, or pole attachment applications submit and approved when infrastructure was built; and</w:t>
      </w:r>
    </w:p>
    <w:p w:rsidR="00A13D1F" w:rsidP="008C5C7A" w:rsidRDefault="00A13D1F" w14:paraId="7F98232C" w14:textId="77777777">
      <w:pPr>
        <w:pStyle w:val="Standard"/>
        <w:numPr>
          <w:ilvl w:val="0"/>
          <w:numId w:val="16"/>
        </w:numPr>
        <w:spacing w:after="120" w:line="240" w:lineRule="auto"/>
        <w:ind w:right="1440"/>
      </w:pPr>
      <w:r>
        <w:t>Pictures of provider infrastructure in the area (i.e., wires, huts, vaults, etc.).</w:t>
      </w:r>
    </w:p>
    <w:p w:rsidR="00A13D1F" w:rsidP="008C5C7A" w:rsidRDefault="00A13D1F" w14:paraId="0A8A4CF1" w14:textId="77777777">
      <w:pPr>
        <w:pStyle w:val="Standard"/>
      </w:pPr>
      <w:r w:rsidRPr="008C5C7A">
        <w:lastRenderedPageBreak/>
        <w:t>The</w:t>
      </w:r>
      <w:r>
        <w:t xml:space="preserve"> ACR proposed that comments that do not meet these requirements be deemed denied, that the Commission will only accept public comments and that objections based upon confidential and other non-public service data not be given weight in the evaluation process.</w:t>
      </w:r>
    </w:p>
    <w:p w:rsidR="00A13D1F" w:rsidP="00A13D1F" w:rsidRDefault="00A13D1F" w14:paraId="76B67A10" w14:textId="77777777">
      <w:pPr>
        <w:pStyle w:val="Standard"/>
      </w:pPr>
      <w:r>
        <w:t>An applicant may respond to any objection filed by an interested party within 14 days. A response to an objection must provide a public notice on the CASF Distribution List.</w:t>
      </w:r>
    </w:p>
    <w:p w:rsidR="00A13D1F" w:rsidP="00A13D1F" w:rsidRDefault="00A13D1F" w14:paraId="5175A0B6" w14:textId="77777777">
      <w:pPr>
        <w:pStyle w:val="Standard"/>
      </w:pPr>
      <w:r>
        <w:t xml:space="preserve">CD Staff will review this information, along with the applicant’s documentation, as it develops its recommendations to the </w:t>
      </w:r>
      <w:r w:rsidRPr="00E91757">
        <w:t>Commission for the disposition of each application.</w:t>
      </w:r>
    </w:p>
    <w:p w:rsidR="00A13D1F" w:rsidP="008C5C7A" w:rsidRDefault="00A13D1F" w14:paraId="28A34B59" w14:textId="05305862">
      <w:pPr>
        <w:pStyle w:val="Heading2"/>
      </w:pPr>
      <w:bookmarkStart w:name="_Toc94637228" w:id="115"/>
      <w:bookmarkStart w:name="_Toc101519108" w:id="116"/>
      <w:r>
        <w:t>Party Positions</w:t>
      </w:r>
      <w:bookmarkEnd w:id="115"/>
      <w:bookmarkEnd w:id="116"/>
    </w:p>
    <w:p w:rsidR="00A13D1F" w:rsidP="008C5C7A" w:rsidRDefault="00A13D1F" w14:paraId="1B8E5805" w14:textId="77777777">
      <w:pPr>
        <w:pStyle w:val="Standard"/>
      </w:pPr>
      <w:r>
        <w:t xml:space="preserve">TURN asserts </w:t>
      </w:r>
      <w:r w:rsidRPr="008C5C7A">
        <w:t>that</w:t>
      </w:r>
      <w:r>
        <w:t xml:space="preserve"> the B</w:t>
      </w:r>
      <w:r w:rsidRPr="002B723A">
        <w:t xml:space="preserve">roadband </w:t>
      </w:r>
      <w:r>
        <w:t>M</w:t>
      </w:r>
      <w:r w:rsidRPr="002B723A">
        <w:t xml:space="preserve">ap does not necessarily demonstrate minimum speeds at any given time, </w:t>
      </w:r>
      <w:r>
        <w:t xml:space="preserve">and that both </w:t>
      </w:r>
      <w:r w:rsidRPr="002B723A">
        <w:t xml:space="preserve">applicants and objectors </w:t>
      </w:r>
      <w:r>
        <w:t xml:space="preserve">should be required </w:t>
      </w:r>
      <w:r w:rsidRPr="002B723A">
        <w:t xml:space="preserve">to </w:t>
      </w:r>
      <w:r>
        <w:t>submit</w:t>
      </w:r>
      <w:r w:rsidRPr="002B723A">
        <w:t xml:space="preserve"> evidence (speed, jitter, and latency tests) to determine if the broadband availability provides 25/3 Mbps at all times</w:t>
      </w:r>
      <w:r>
        <w:t>. CCTA contends the Commission should require that both applicants and objectors submit “credible and verifiable” evidence about served status of a proposed project area with a comparable attestation of the accuracy of all submitted information. CCTA argues the Staff Proposal includes disparate evidentiary standards heavily biased toward determining an area to be unserved, which it declares is unfair, unjustified, and contrary to statute. SANDAG contends that if</w:t>
      </w:r>
      <w:r w:rsidRPr="005A504E">
        <w:t xml:space="preserve"> a</w:t>
      </w:r>
      <w:r>
        <w:t>n entity</w:t>
      </w:r>
      <w:r w:rsidRPr="005A504E">
        <w:t xml:space="preserve"> wants to contest an application, it should be t</w:t>
      </w:r>
      <w:r>
        <w:t>hat</w:t>
      </w:r>
      <w:r w:rsidRPr="005A504E">
        <w:t xml:space="preserve"> </w:t>
      </w:r>
      <w:r>
        <w:t>entity</w:t>
      </w:r>
      <w:r w:rsidRPr="005A504E">
        <w:t>’s responsibility to show the project area is served and has widespread adoption</w:t>
      </w:r>
      <w:r>
        <w:t xml:space="preserve"> by </w:t>
      </w:r>
      <w:r w:rsidRPr="005A504E">
        <w:t>provid</w:t>
      </w:r>
      <w:r>
        <w:t>ing</w:t>
      </w:r>
      <w:r w:rsidRPr="005A504E">
        <w:t xml:space="preserve"> households subscribed, service quality and service costs.</w:t>
      </w:r>
    </w:p>
    <w:p w:rsidR="00A13D1F" w:rsidP="00A13D1F" w:rsidRDefault="00A13D1F" w14:paraId="3ED3849E" w14:textId="5F936E98">
      <w:pPr>
        <w:pStyle w:val="Standard"/>
      </w:pPr>
      <w:r w:rsidRPr="000161B9">
        <w:t xml:space="preserve">Regarding objector deadlines, </w:t>
      </w:r>
      <w:r>
        <w:t xml:space="preserve">Comcast and CCTA note the </w:t>
      </w:r>
      <w:r w:rsidRPr="000161B9">
        <w:t>inconsistency in the Staff Proposal (Section 10 allows 10 days and Section 12 allows 21 days)</w:t>
      </w:r>
      <w:r>
        <w:t xml:space="preserve">, </w:t>
      </w:r>
      <w:r w:rsidRPr="000161B9">
        <w:lastRenderedPageBreak/>
        <w:t xml:space="preserve">and </w:t>
      </w:r>
      <w:r>
        <w:t xml:space="preserve">assert that </w:t>
      </w:r>
      <w:r w:rsidRPr="000161B9">
        <w:t xml:space="preserve">neither of </w:t>
      </w:r>
      <w:r>
        <w:t xml:space="preserve">10 days nor 21 days </w:t>
      </w:r>
      <w:r w:rsidRPr="000161B9">
        <w:t>is sufficient time for ISPs</w:t>
      </w:r>
      <w:r>
        <w:t xml:space="preserve"> to prepare objections, given the expected high volume of applications, and instead ask that the</w:t>
      </w:r>
      <w:r w:rsidRPr="000161B9">
        <w:t xml:space="preserve"> deadline for submitting objections </w:t>
      </w:r>
      <w:r>
        <w:t xml:space="preserve">be </w:t>
      </w:r>
      <w:r w:rsidRPr="000161B9">
        <w:t>at least 30 days.</w:t>
      </w:r>
      <w:r>
        <w:t xml:space="preserve"> CforAT g</w:t>
      </w:r>
      <w:r w:rsidRPr="00F45B17">
        <w:t xml:space="preserve">enerally supports </w:t>
      </w:r>
      <w:r>
        <w:t>the</w:t>
      </w:r>
      <w:r w:rsidRPr="00F45B17">
        <w:t xml:space="preserve"> proposal </w:t>
      </w:r>
      <w:r>
        <w:t xml:space="preserve">to allow objections, though it asserts that a </w:t>
      </w:r>
      <w:r w:rsidRPr="00F45B17">
        <w:t>21</w:t>
      </w:r>
      <w:r>
        <w:t>-</w:t>
      </w:r>
      <w:r w:rsidRPr="00F45B17">
        <w:t>day objection period may allow some IS</w:t>
      </w:r>
      <w:r>
        <w:t>P</w:t>
      </w:r>
      <w:r w:rsidRPr="00F45B17">
        <w:t xml:space="preserve">s to upgrade service and block applications. To avoid this, </w:t>
      </w:r>
      <w:r w:rsidR="00D513C3">
        <w:t xml:space="preserve">CforAT </w:t>
      </w:r>
      <w:r>
        <w:t xml:space="preserve">recommends the Commission </w:t>
      </w:r>
      <w:r w:rsidRPr="00F45B17">
        <w:t xml:space="preserve">require the objecting ISP to show </w:t>
      </w:r>
      <w:r>
        <w:t xml:space="preserve">served </w:t>
      </w:r>
      <w:r w:rsidRPr="00F45B17">
        <w:t xml:space="preserve">households at the time </w:t>
      </w:r>
      <w:r>
        <w:t xml:space="preserve">the </w:t>
      </w:r>
      <w:r w:rsidRPr="00F45B17">
        <w:t xml:space="preserve">application </w:t>
      </w:r>
      <w:r>
        <w:t>i</w:t>
      </w:r>
      <w:r w:rsidRPr="00F45B17">
        <w:t xml:space="preserve">s filed and </w:t>
      </w:r>
      <w:r>
        <w:t xml:space="preserve">have a </w:t>
      </w:r>
      <w:r w:rsidR="008C5C7A">
        <w:br/>
      </w:r>
      <w:r w:rsidRPr="00F45B17">
        <w:t>high-ranking executive attest to that</w:t>
      </w:r>
      <w:r>
        <w:t xml:space="preserve"> fact.</w:t>
      </w:r>
      <w:r>
        <w:tab/>
      </w:r>
    </w:p>
    <w:p w:rsidR="00A13D1F" w:rsidP="00A13D1F" w:rsidRDefault="00A13D1F" w14:paraId="53938234" w14:textId="77777777">
      <w:pPr>
        <w:pStyle w:val="Standard"/>
      </w:pPr>
      <w:r>
        <w:t>CCTA and Comcast support e</w:t>
      </w:r>
      <w:r w:rsidRPr="007C7D3E">
        <w:t>liminat</w:t>
      </w:r>
      <w:r>
        <w:t xml:space="preserve">ing the </w:t>
      </w:r>
      <w:r w:rsidRPr="007C7D3E">
        <w:t>requirements that objections must include permits, easements, or pole attachment applications and pictures as evidence for disputing unserved status</w:t>
      </w:r>
      <w:r>
        <w:t>, arguing t</w:t>
      </w:r>
      <w:r w:rsidRPr="007C7D3E">
        <w:t xml:space="preserve">hese </w:t>
      </w:r>
      <w:r>
        <w:t xml:space="preserve">requirements </w:t>
      </w:r>
      <w:r w:rsidRPr="007C7D3E">
        <w:t>are unnecessary and would disadvantage objectors due to the time involved</w:t>
      </w:r>
      <w:r>
        <w:t xml:space="preserve"> in collecting that information</w:t>
      </w:r>
      <w:r w:rsidRPr="007C7D3E">
        <w:t xml:space="preserve">. </w:t>
      </w:r>
      <w:r>
        <w:t xml:space="preserve"> Comcast requests the Commission a</w:t>
      </w:r>
      <w:r w:rsidRPr="00140E99">
        <w:t xml:space="preserve">llow objectors to submit competing speed tests to challenge CalSPEED as well as qualitative information (e.g., community interviews and testimony re served speeds). </w:t>
      </w:r>
    </w:p>
    <w:p w:rsidR="00A13D1F" w:rsidP="00A13D1F" w:rsidRDefault="00A13D1F" w14:paraId="5CF6F8CE" w14:textId="77777777">
      <w:pPr>
        <w:pStyle w:val="Standard"/>
      </w:pPr>
      <w:r>
        <w:t>CforAT supports the proposal to use only information that is available to the public. CCTA and Comcast argue the Commission should e</w:t>
      </w:r>
      <w:r w:rsidRPr="00264350">
        <w:t>nsur</w:t>
      </w:r>
      <w:r>
        <w:t>e the</w:t>
      </w:r>
      <w:r w:rsidRPr="00264350">
        <w:t xml:space="preserve"> confidentiality of customers’ personally identifying information and critical infrastructure information that is </w:t>
      </w:r>
      <w:r>
        <w:t>included in an objection</w:t>
      </w:r>
      <w:r w:rsidRPr="00264350">
        <w:t xml:space="preserve">. </w:t>
      </w:r>
      <w:r>
        <w:t xml:space="preserve">Joint WISPs contend the information provided by an objector should remain confidential or released information should be redacted.  </w:t>
      </w:r>
    </w:p>
    <w:p w:rsidR="00A13D1F" w:rsidP="00A13D1F" w:rsidRDefault="00A13D1F" w14:paraId="09B3D09B" w14:textId="77777777">
      <w:pPr>
        <w:pStyle w:val="Standard"/>
      </w:pPr>
      <w:r>
        <w:t>Comcast o</w:t>
      </w:r>
      <w:r w:rsidRPr="0050577A">
        <w:t>ppose</w:t>
      </w:r>
      <w:r>
        <w:t>s</w:t>
      </w:r>
      <w:r w:rsidRPr="0050577A">
        <w:t xml:space="preserve"> the requirement to include a Rule 1 attestation in an objection</w:t>
      </w:r>
      <w:r>
        <w:t>, asserting it is unnecessary.</w:t>
      </w:r>
    </w:p>
    <w:p w:rsidR="00A13D1F" w:rsidP="00A13D1F" w:rsidRDefault="00A13D1F" w14:paraId="52566EA6" w14:textId="77777777">
      <w:pPr>
        <w:pStyle w:val="Standard"/>
      </w:pPr>
      <w:r>
        <w:t>SBUA r</w:t>
      </w:r>
      <w:r w:rsidRPr="006B3D9A">
        <w:t xml:space="preserve">ecommends </w:t>
      </w:r>
      <w:r>
        <w:t xml:space="preserve">the Commission </w:t>
      </w:r>
      <w:r w:rsidRPr="006B3D9A">
        <w:t xml:space="preserve">prohibit formal objections to wireless broadband </w:t>
      </w:r>
      <w:r>
        <w:t xml:space="preserve">applications </w:t>
      </w:r>
      <w:r w:rsidRPr="006B3D9A">
        <w:t>in locations where geography, topography, or cost prohibitive implementation may render wireline broadband impractical.</w:t>
      </w:r>
    </w:p>
    <w:p w:rsidR="00A13D1F" w:rsidP="00A13D1F" w:rsidRDefault="00A13D1F" w14:paraId="58DFB3D0" w14:textId="77777777">
      <w:pPr>
        <w:pStyle w:val="Standard"/>
      </w:pPr>
      <w:r>
        <w:lastRenderedPageBreak/>
        <w:t>CETF notes that a w</w:t>
      </w:r>
      <w:r w:rsidRPr="00561CC8">
        <w:t>eblink to the CASF Distribution List should be provided at the end of the second paragraph where it is referenced.</w:t>
      </w:r>
    </w:p>
    <w:p w:rsidR="00A13D1F" w:rsidP="00E902F9" w:rsidRDefault="00A13D1F" w14:paraId="190226C7" w14:textId="3BBA79D0">
      <w:pPr>
        <w:pStyle w:val="Heading2"/>
      </w:pPr>
      <w:bookmarkStart w:name="_Toc94637229" w:id="117"/>
      <w:bookmarkStart w:name="_Toc101519109" w:id="118"/>
      <w:r>
        <w:t>Discussion</w:t>
      </w:r>
      <w:bookmarkEnd w:id="117"/>
      <w:bookmarkEnd w:id="118"/>
    </w:p>
    <w:p w:rsidR="00A13D1F" w:rsidP="000C7396" w:rsidRDefault="00A13D1F" w14:paraId="02966F92" w14:textId="0C2124A9">
      <w:pPr>
        <w:pStyle w:val="Standard"/>
      </w:pPr>
      <w:r>
        <w:t xml:space="preserve">The </w:t>
      </w:r>
      <w:r w:rsidRPr="000C7396">
        <w:t>Commission</w:t>
      </w:r>
      <w:r>
        <w:t xml:space="preserve"> adopts the proposed rules on application objections with revisions updating the language to reflect the Final Rule.  </w:t>
      </w:r>
    </w:p>
    <w:p w:rsidR="00A13D1F" w:rsidP="00A13D1F" w:rsidRDefault="00A13D1F" w14:paraId="6042EE42" w14:textId="6E8823DC">
      <w:pPr>
        <w:pStyle w:val="Standard"/>
      </w:pPr>
      <w:r>
        <w:t xml:space="preserve">We note that federal rules grant the Commission broad discretion to implement these rules. We disagree with </w:t>
      </w:r>
      <w:r w:rsidRPr="00380C4D">
        <w:t>CCTA</w:t>
      </w:r>
      <w:r>
        <w:t>’s argument that the p</w:t>
      </w:r>
      <w:r w:rsidRPr="00380C4D">
        <w:t>ropos</w:t>
      </w:r>
      <w:r>
        <w:t>ed rules for application objections are</w:t>
      </w:r>
      <w:r w:rsidRPr="00380C4D">
        <w:t xml:space="preserve"> heavily biased toward</w:t>
      </w:r>
      <w:r>
        <w:t>s</w:t>
      </w:r>
      <w:r w:rsidRPr="00380C4D">
        <w:t xml:space="preserve"> determining an area to be unserved</w:t>
      </w:r>
      <w:r>
        <w:t xml:space="preserve">. That contention ignores the fact that the initial determination of whether an area is served or </w:t>
      </w:r>
      <w:r w:rsidR="005667F1">
        <w:t>unserved</w:t>
      </w:r>
      <w:r>
        <w:t xml:space="preserve"> is based entirely on the data an ISP submits to the Commission as part of its annual broadband data collection. If an area is eligible, at least initially, it means either that an ISP did not indicate that it served the area in question at served speeds, or CD Staff was unable to validate the data the ISP submitted.</w:t>
      </w:r>
    </w:p>
    <w:p w:rsidR="005667F1" w:rsidP="008606BD" w:rsidRDefault="005667F1" w14:paraId="3844E6E9" w14:textId="77777777">
      <w:pPr>
        <w:pStyle w:val="Standard"/>
        <w:ind w:right="-90"/>
      </w:pPr>
      <w:r>
        <w:t xml:space="preserve">We revise the objection requirements to also require an attestation asserting that households are offered broadband service at speeds of 100/20 Mbps or 100/100 Mbps. This more robust information (on whether a location is offered 25/3 Mbps, 100/20 Mbps, or 100/100 Mbps) will allow the Commission to better understand broadband service in a given community. </w:t>
      </w:r>
    </w:p>
    <w:p w:rsidR="005667F1" w:rsidP="005667F1" w:rsidRDefault="005667F1" w14:paraId="465B5D46" w14:textId="77777777">
      <w:pPr>
        <w:pStyle w:val="Standard"/>
      </w:pPr>
      <w:r>
        <w:t>With our revisions, objections must include the following information:</w:t>
      </w:r>
    </w:p>
    <w:p w:rsidR="005667F1" w:rsidP="005667F1" w:rsidRDefault="005667F1" w14:paraId="3A161E19" w14:textId="77777777">
      <w:pPr>
        <w:pStyle w:val="Standard"/>
        <w:numPr>
          <w:ilvl w:val="0"/>
          <w:numId w:val="16"/>
        </w:numPr>
        <w:spacing w:after="120" w:line="240" w:lineRule="auto"/>
        <w:ind w:right="1440"/>
      </w:pPr>
      <w:r>
        <w:t>An attestation that all information provided is true and accurate in accordance with Rule 1 of the Commission’s Rules of Practice and Procedure;</w:t>
      </w:r>
    </w:p>
    <w:p w:rsidR="005667F1" w:rsidP="005667F1" w:rsidRDefault="005667F1" w14:paraId="7D8D6C7C" w14:textId="0CAAF46A">
      <w:pPr>
        <w:pStyle w:val="Standard"/>
        <w:numPr>
          <w:ilvl w:val="0"/>
          <w:numId w:val="16"/>
        </w:numPr>
        <w:spacing w:after="120" w:line="240" w:lineRule="auto"/>
        <w:ind w:right="1440"/>
      </w:pPr>
      <w:r>
        <w:t xml:space="preserve">An attestation that the households or locations identified are offered service and have the capability to reliably receive minimum speeds of 25 Mbps download and </w:t>
      </w:r>
      <w:r w:rsidR="002D25F3">
        <w:br/>
      </w:r>
      <w:r>
        <w:t>3 Mbps upload by a wireline service provider;</w:t>
      </w:r>
    </w:p>
    <w:p w:rsidRPr="005D4A75" w:rsidR="005667F1" w:rsidP="005667F1" w:rsidRDefault="005667F1" w14:paraId="3587D539" w14:textId="77777777">
      <w:pPr>
        <w:pStyle w:val="Standard"/>
        <w:numPr>
          <w:ilvl w:val="0"/>
          <w:numId w:val="16"/>
        </w:numPr>
        <w:spacing w:after="120" w:line="240" w:lineRule="auto"/>
        <w:ind w:right="1440"/>
      </w:pPr>
      <w:r w:rsidRPr="00C017BD">
        <w:lastRenderedPageBreak/>
        <w:t>An attestatio</w:t>
      </w:r>
      <w:r w:rsidRPr="00AB7F8A">
        <w:t xml:space="preserve">n </w:t>
      </w:r>
      <w:r w:rsidRPr="00E636AE">
        <w:t xml:space="preserve">as to whether or not </w:t>
      </w:r>
      <w:r w:rsidRPr="005D4A75">
        <w:t>the households</w:t>
      </w:r>
      <w:r w:rsidRPr="00E636AE">
        <w:t xml:space="preserve"> or locations</w:t>
      </w:r>
      <w:r w:rsidRPr="00C017BD">
        <w:t xml:space="preserve"> identified are offered service and have the capability to reliably receive speeds of at le</w:t>
      </w:r>
      <w:r w:rsidRPr="00AB7F8A">
        <w:t>ast 100 Mbps download and 100 Mbps upload or, or at least 100 Mbps download and 20 Mbps upload and information</w:t>
      </w:r>
      <w:r w:rsidRPr="005D4A75">
        <w:t xml:space="preserve"> on why provision of 100 Mbps upload is not practicable</w:t>
      </w:r>
      <w:r w:rsidRPr="00C017BD">
        <w:t>.</w:t>
      </w:r>
    </w:p>
    <w:p w:rsidR="005667F1" w:rsidP="005667F1" w:rsidRDefault="005667F1" w14:paraId="370BAF12" w14:textId="77777777">
      <w:pPr>
        <w:pStyle w:val="Standard"/>
        <w:numPr>
          <w:ilvl w:val="0"/>
          <w:numId w:val="16"/>
        </w:numPr>
        <w:spacing w:after="120" w:line="240" w:lineRule="auto"/>
        <w:ind w:right="1440"/>
      </w:pPr>
      <w:r>
        <w:t>The geographic location of all households or locations it serves in the area(s) for which the objection is filed. This information must be provided in a plaintext, comma-separated values (CSV) file, that contains geo-located street address information, including latitude and longitude coordinates;</w:t>
      </w:r>
    </w:p>
    <w:p w:rsidR="005667F1" w:rsidP="005667F1" w:rsidRDefault="005667F1" w14:paraId="56480454" w14:textId="77777777">
      <w:pPr>
        <w:pStyle w:val="Standard"/>
        <w:numPr>
          <w:ilvl w:val="0"/>
          <w:numId w:val="16"/>
        </w:numPr>
        <w:spacing w:after="120" w:line="240" w:lineRule="auto"/>
        <w:ind w:right="1440"/>
      </w:pPr>
      <w:r>
        <w:t>The number of subscribers and the level of service subscribed to in the area being disputed, including customer billing statements to verify subscribership. Unredacted customer bills shall be filed under seal and kept confidential; and</w:t>
      </w:r>
    </w:p>
    <w:p w:rsidR="005667F1" w:rsidP="005667F1" w:rsidRDefault="005667F1" w14:paraId="23DAEC99" w14:textId="77777777">
      <w:pPr>
        <w:pStyle w:val="Standard"/>
        <w:numPr>
          <w:ilvl w:val="0"/>
          <w:numId w:val="16"/>
        </w:numPr>
        <w:spacing w:after="120" w:line="240" w:lineRule="auto"/>
        <w:ind w:right="1440"/>
      </w:pPr>
      <w:r>
        <w:t>At least two of the following: (1) permits, (2) easements, or (3) pole attachment applications submit and approved when infrastructure was built; and (4) pictures of provider infrastructure in the area (</w:t>
      </w:r>
      <w:r w:rsidRPr="00192C46">
        <w:rPr>
          <w:i/>
        </w:rPr>
        <w:t>e.g</w:t>
      </w:r>
      <w:r>
        <w:t>., wires, huts, vaults, etc.).</w:t>
      </w:r>
      <w:r>
        <w:rPr>
          <w:rStyle w:val="FootnoteReference"/>
        </w:rPr>
        <w:footnoteReference w:id="52"/>
      </w:r>
    </w:p>
    <w:p w:rsidR="00A13D1F" w:rsidP="00A13D1F" w:rsidRDefault="00A13D1F" w14:paraId="02BB38FE" w14:textId="47DEA187">
      <w:pPr>
        <w:pStyle w:val="Standard"/>
      </w:pPr>
      <w:r>
        <w:t xml:space="preserve">In response to comments from </w:t>
      </w:r>
      <w:r w:rsidRPr="005476C6">
        <w:t>Comcast</w:t>
      </w:r>
      <w:r>
        <w:t>, n</w:t>
      </w:r>
      <w:r w:rsidRPr="005476C6">
        <w:t>ot</w:t>
      </w:r>
      <w:r>
        <w:t xml:space="preserve">ing the </w:t>
      </w:r>
      <w:r w:rsidRPr="005476C6">
        <w:t>inconsiste</w:t>
      </w:r>
      <w:r>
        <w:t xml:space="preserve">ncies with the amount of time provided to submit objections, we revise program rules to </w:t>
      </w:r>
      <w:r w:rsidRPr="005476C6">
        <w:t>allow</w:t>
      </w:r>
      <w:r>
        <w:t xml:space="preserve"> objectors</w:t>
      </w:r>
      <w:r w:rsidRPr="005476C6">
        <w:t xml:space="preserve"> </w:t>
      </w:r>
      <w:r>
        <w:t>14</w:t>
      </w:r>
      <w:r w:rsidRPr="005476C6">
        <w:t xml:space="preserve"> days</w:t>
      </w:r>
      <w:r>
        <w:t xml:space="preserve"> to file their objections.</w:t>
      </w:r>
      <w:r w:rsidRPr="005476C6">
        <w:t xml:space="preserve"> </w:t>
      </w:r>
      <w:r>
        <w:t>In the event the fourteenth day falls on a weekend day or holiday, objections are due the next business day. While some parties suggest</w:t>
      </w:r>
      <w:r w:rsidRPr="005476C6">
        <w:t xml:space="preserve"> 30 days</w:t>
      </w:r>
      <w:r>
        <w:t xml:space="preserve"> would be more reasonable, we find that </w:t>
      </w:r>
      <w:r w:rsidRPr="005476C6">
        <w:t>the accelerated timeline to expend ARPA funds</w:t>
      </w:r>
      <w:r>
        <w:t xml:space="preserve"> necessitates a shorter timeframe</w:t>
      </w:r>
      <w:r w:rsidRPr="005476C6">
        <w:t xml:space="preserve">. </w:t>
      </w:r>
    </w:p>
    <w:p w:rsidR="000B079D" w:rsidP="000B079D" w:rsidRDefault="000B079D" w14:paraId="29022AB5" w14:textId="77777777">
      <w:pPr>
        <w:pStyle w:val="Standard"/>
        <w:ind w:left="720" w:firstLine="0"/>
      </w:pPr>
      <w:r>
        <w:t xml:space="preserve">We dismiss CCTA’s opinion that the Commission is required to keep </w:t>
      </w:r>
    </w:p>
    <w:p w:rsidR="000B079D" w:rsidP="000B079D" w:rsidRDefault="000B079D" w14:paraId="532D1D2C" w14:textId="77777777">
      <w:pPr>
        <w:pStyle w:val="Standard"/>
        <w:ind w:firstLine="0"/>
      </w:pPr>
      <w:r>
        <w:t xml:space="preserve">much of the data supplied as part of an application objection confidential. CCTA contends that the Commission should clarify that customer bills, service </w:t>
      </w:r>
      <w:r>
        <w:lastRenderedPageBreak/>
        <w:t>locations, pole attachment applications and permits, and granular subscriber data will be afforded confidential treatment and that any customer bills provided to staff can be redacted as needed to comply with state (and federal) customer privacy requirements.</w:t>
      </w:r>
      <w:r>
        <w:rPr>
          <w:rStyle w:val="FootnoteReference"/>
        </w:rPr>
        <w:footnoteReference w:id="53"/>
      </w:r>
      <w:r>
        <w:t xml:space="preserve"> Below we discuss each issue, relying on statute and previous Commission decisions.</w:t>
      </w:r>
    </w:p>
    <w:p w:rsidR="000B079D" w:rsidP="000B079D" w:rsidRDefault="000B079D" w14:paraId="04C4FC67" w14:textId="0331D6C6">
      <w:pPr>
        <w:pStyle w:val="Standard"/>
      </w:pPr>
      <w:r>
        <w:t>Regarding whether or not to disclose pole attachment applications/agreements, t</w:t>
      </w:r>
      <w:r w:rsidRPr="005B167E">
        <w:t xml:space="preserve">he Commission </w:t>
      </w:r>
      <w:r>
        <w:t xml:space="preserve">concluded the following in </w:t>
      </w:r>
      <w:r w:rsidRPr="005B167E">
        <w:t>D.21</w:t>
      </w:r>
      <w:r w:rsidR="008606BD">
        <w:noBreakHyphen/>
      </w:r>
      <w:r w:rsidRPr="005B167E">
        <w:t>10</w:t>
      </w:r>
      <w:r w:rsidR="008606BD">
        <w:noBreakHyphen/>
      </w:r>
      <w:r w:rsidRPr="005B167E">
        <w:t>019</w:t>
      </w:r>
      <w:r>
        <w:t>:</w:t>
      </w:r>
    </w:p>
    <w:p w:rsidR="000B079D" w:rsidP="000B079D" w:rsidRDefault="000B079D" w14:paraId="14139F9D" w14:textId="77777777">
      <w:pPr>
        <w:pStyle w:val="Standard"/>
        <w:spacing w:line="240" w:lineRule="auto"/>
        <w:ind w:left="720" w:firstLine="0"/>
      </w:pPr>
      <w:r w:rsidRPr="005B167E">
        <w:t>It is reasonable to conclude that the five major pole owners and/or attachers have not demonstrated that the attachment data required by this decision is confidential, trade secret protect, privileged, exempt from disclosure from Section V (Nondisclosure of the Commission’s Right-of-Way Rules), or protected from disclosure by national security concerns. Any of the five major pole owners and/or attachers may renew their request to prevent the disclosure of their data attachment information by filing a motion and provide the necessary granular information and declaration to support the confidentiality request.</w:t>
      </w:r>
      <w:r>
        <w:rPr>
          <w:rStyle w:val="FootnoteReference"/>
        </w:rPr>
        <w:footnoteReference w:id="54"/>
      </w:r>
    </w:p>
    <w:p w:rsidR="000B079D" w:rsidP="000B079D" w:rsidRDefault="000B079D" w14:paraId="4FDEF33F" w14:textId="77777777">
      <w:pPr>
        <w:pStyle w:val="Standard"/>
      </w:pPr>
    </w:p>
    <w:p w:rsidR="000B079D" w:rsidP="000B079D" w:rsidRDefault="000B079D" w14:paraId="37268DFB" w14:textId="139CE7E0">
      <w:pPr>
        <w:pStyle w:val="Standard"/>
      </w:pPr>
      <w:r>
        <w:t xml:space="preserve">We adopt the same rebuttable presumption here, allowing ISPs objecting to a FFA application relying on a pole attachment application to </w:t>
      </w:r>
      <w:r w:rsidRPr="00E12646">
        <w:t>fil</w:t>
      </w:r>
      <w:r>
        <w:t>e</w:t>
      </w:r>
      <w:r w:rsidRPr="00E12646">
        <w:t xml:space="preserve"> a motion </w:t>
      </w:r>
      <w:r>
        <w:t xml:space="preserve">for confidential treatment </w:t>
      </w:r>
      <w:r w:rsidRPr="00E12646">
        <w:t>and provide the necessary granular information and declaration to support th</w:t>
      </w:r>
      <w:r>
        <w:t xml:space="preserve">at </w:t>
      </w:r>
      <w:r w:rsidRPr="00E12646">
        <w:t>request</w:t>
      </w:r>
      <w:r>
        <w:t>, in accordance with the Commission rules regarding confidential submissions</w:t>
      </w:r>
      <w:r w:rsidRPr="00E12646">
        <w:t>.</w:t>
      </w:r>
      <w:r>
        <w:t xml:space="preserve"> When the Commission reaches a determination on those motions as part of </w:t>
      </w:r>
      <w:r w:rsidRPr="002F68FF">
        <w:t xml:space="preserve">Investigation </w:t>
      </w:r>
      <w:r>
        <w:t xml:space="preserve">(I.) </w:t>
      </w:r>
      <w:r w:rsidRPr="002F68FF">
        <w:t>17-06-027</w:t>
      </w:r>
      <w:r>
        <w:t xml:space="preserve"> and I.17</w:t>
      </w:r>
      <w:r w:rsidR="008606BD">
        <w:noBreakHyphen/>
      </w:r>
      <w:r>
        <w:t>06</w:t>
      </w:r>
      <w:r w:rsidR="008606BD">
        <w:noBreakHyphen/>
      </w:r>
      <w:r>
        <w:t>028, those rules will apply here.</w:t>
      </w:r>
      <w:r>
        <w:tab/>
      </w:r>
    </w:p>
    <w:p w:rsidR="000B079D" w:rsidP="000B079D" w:rsidRDefault="000B079D" w14:paraId="5D21A4B5" w14:textId="77777777">
      <w:pPr>
        <w:pStyle w:val="Standard"/>
      </w:pPr>
      <w:r>
        <w:lastRenderedPageBreak/>
        <w:t xml:space="preserve">While customer bills must be kept confidential because those documents contain </w:t>
      </w:r>
      <w:r w:rsidRPr="00437D22">
        <w:t>Customer Proprietary Network Information (CPNI)</w:t>
      </w:r>
      <w:r>
        <w:t>, an ArcGIS-compatible file containing serviceable addresses/locations, or a map displaying this data, does not. These files do not include the name of the resident at the address, if they subscribe to Internet service, the ISP they subscribe to, how much their monthly bills are, their data usage or search history, or other information that may constitute CPNI. Permits also do not contain CPNI. Thus, we see no reason to not disclose this information based on that claim.</w:t>
      </w:r>
    </w:p>
    <w:p w:rsidR="000B079D" w:rsidP="000B079D" w:rsidRDefault="000B079D" w14:paraId="6EB89B61" w14:textId="253F0D74">
      <w:pPr>
        <w:pStyle w:val="Standard"/>
      </w:pPr>
      <w:r>
        <w:t>In D.20</w:t>
      </w:r>
      <w:r w:rsidR="008606BD">
        <w:noBreakHyphen/>
      </w:r>
      <w:r>
        <w:t>12</w:t>
      </w:r>
      <w:r w:rsidR="008606BD">
        <w:noBreakHyphen/>
      </w:r>
      <w:r>
        <w:t xml:space="preserve">021, the Commission analyzed in great detail a number of claims by telecommunications services providers regarding information that must remain confidential and other information that may be disclosed. One recurring theme throughout that decision is that information already in the public domain does not receive confidential treatment, as it does </w:t>
      </w:r>
      <w:bookmarkStart w:name="_Hlk100660803" w:id="119"/>
      <w:r>
        <w:t>not meet the definition of a trade secret,</w:t>
      </w:r>
      <w:r>
        <w:rPr>
          <w:rStyle w:val="FootnoteReference"/>
        </w:rPr>
        <w:footnoteReference w:id="55"/>
      </w:r>
      <w:r>
        <w:t xml:space="preserve"> nor does it meet the definition of “</w:t>
      </w:r>
      <w:r w:rsidRPr="003376D6">
        <w:t>critical infrastructure information</w:t>
      </w:r>
      <w:r>
        <w:t>.”</w:t>
      </w:r>
      <w:r>
        <w:rPr>
          <w:rStyle w:val="FootnoteReference"/>
        </w:rPr>
        <w:footnoteReference w:id="56"/>
      </w:r>
      <w:r>
        <w:t xml:space="preserve"> </w:t>
      </w:r>
      <w:bookmarkEnd w:id="119"/>
      <w:r>
        <w:t>Permits generally are already in the public domain. Deployment/serviceable address data also is in the public domain. The California Broadband Availability Map provides the census blocks where an ISP claims to offer service. Therefore, we see no reason to not disclose permits and broadband deployment/serviceable address information relying on their status as trade secrets or critical infrastructure information, since they do not meet the definition of either category.</w:t>
      </w:r>
    </w:p>
    <w:p w:rsidRPr="00E91757" w:rsidR="000B079D" w:rsidP="00A13D1F" w:rsidRDefault="000B079D" w14:paraId="42E79099" w14:textId="0A9F2970">
      <w:pPr>
        <w:pStyle w:val="Standard"/>
      </w:pPr>
      <w:r>
        <w:lastRenderedPageBreak/>
        <w:t xml:space="preserve">One exception to our finding is that </w:t>
      </w:r>
      <w:bookmarkStart w:name="_Hlk100748281" w:id="120"/>
      <w:r>
        <w:t>the number of subscribers provided by an ISP objecting to a FFA application may be submitted with a request for confidential treatment pursuant to the requirements of General Order (GO) 66-D</w:t>
      </w:r>
      <w:bookmarkEnd w:id="120"/>
      <w:r>
        <w:t xml:space="preserve">. The Commission would need to analyze this data in greater detail, including if this information meets the definition of trade secret, before ordering its disclosure. </w:t>
      </w:r>
    </w:p>
    <w:p w:rsidR="00A13D1F" w:rsidP="000C7396" w:rsidRDefault="00A13D1F" w14:paraId="638618AD" w14:textId="53713F14">
      <w:pPr>
        <w:pStyle w:val="Heading1"/>
      </w:pPr>
      <w:bookmarkStart w:name="_Toc94637230" w:id="121"/>
      <w:bookmarkStart w:name="_Toc101519110" w:id="122"/>
      <w:r w:rsidRPr="000C7396">
        <w:t>Ministerial</w:t>
      </w:r>
      <w:r>
        <w:t xml:space="preserve"> Review</w:t>
      </w:r>
      <w:bookmarkEnd w:id="121"/>
      <w:bookmarkEnd w:id="122"/>
    </w:p>
    <w:p w:rsidR="00A13D1F" w:rsidP="000C7396" w:rsidRDefault="00A13D1F" w14:paraId="2A6D8BBA" w14:textId="77777777">
      <w:pPr>
        <w:pStyle w:val="Standard"/>
      </w:pPr>
      <w:r>
        <w:t xml:space="preserve">The </w:t>
      </w:r>
      <w:r w:rsidRPr="000C7396">
        <w:t>ACR</w:t>
      </w:r>
      <w:r>
        <w:t xml:space="preserve"> proposes that the Commission delegate to CD Staff the authority to approve applications, including determinations of funding, that meet all of the following criteria:</w:t>
      </w:r>
    </w:p>
    <w:p w:rsidR="008606BD" w:rsidP="008606BD" w:rsidRDefault="00A13D1F" w14:paraId="5A6EC132" w14:textId="77777777">
      <w:pPr>
        <w:pStyle w:val="ListNum"/>
        <w:numPr>
          <w:ilvl w:val="6"/>
          <w:numId w:val="29"/>
        </w:numPr>
        <w:ind w:left="1080" w:right="1440"/>
      </w:pPr>
      <w:r>
        <w:t>The applicant meets the program eligibility requirements</w:t>
      </w:r>
      <w:r w:rsidR="007F6296">
        <w:t>;</w:t>
      </w:r>
    </w:p>
    <w:p w:rsidR="008606BD" w:rsidP="000C7396" w:rsidRDefault="00A13D1F" w14:paraId="27251931" w14:textId="77777777">
      <w:pPr>
        <w:pStyle w:val="ListNum"/>
        <w:numPr>
          <w:ilvl w:val="6"/>
          <w:numId w:val="29"/>
        </w:numPr>
        <w:ind w:left="1080" w:right="1440"/>
      </w:pPr>
      <w:r>
        <w:t>The application has not received objections or</w:t>
      </w:r>
      <w:r w:rsidR="007F6296">
        <w:t xml:space="preserve"> CD</w:t>
      </w:r>
      <w:r>
        <w:t xml:space="preserve"> Staff has determined that the project area is unserved</w:t>
      </w:r>
      <w:r w:rsidR="007F6296">
        <w:t>;</w:t>
      </w:r>
    </w:p>
    <w:p w:rsidR="008606BD" w:rsidP="008606BD" w:rsidRDefault="00A13D1F" w14:paraId="2F02F9C4" w14:textId="77777777">
      <w:pPr>
        <w:pStyle w:val="ListNum"/>
        <w:numPr>
          <w:ilvl w:val="6"/>
          <w:numId w:val="29"/>
        </w:numPr>
        <w:ind w:left="1080" w:right="1440"/>
      </w:pPr>
      <w:r>
        <w:t>The total grant does not exceed $25,000,000</w:t>
      </w:r>
      <w:r w:rsidR="007F6296">
        <w:t>;</w:t>
      </w:r>
    </w:p>
    <w:p w:rsidR="008606BD" w:rsidP="008606BD" w:rsidRDefault="00A13D1F" w14:paraId="088C6484" w14:textId="77777777">
      <w:pPr>
        <w:pStyle w:val="ListNum"/>
        <w:numPr>
          <w:ilvl w:val="6"/>
          <w:numId w:val="29"/>
        </w:numPr>
        <w:ind w:left="1080" w:right="1440"/>
      </w:pPr>
      <w:r>
        <w:t>The project is exempt from CEQA, or approval letter must state that authorization to construct and release funds will be provided in a forthcoming resolution</w:t>
      </w:r>
      <w:r w:rsidR="007F6296">
        <w:t>;</w:t>
      </w:r>
    </w:p>
    <w:p w:rsidR="008606BD" w:rsidP="008606BD" w:rsidRDefault="00A13D1F" w14:paraId="2D56D166" w14:textId="77777777">
      <w:pPr>
        <w:pStyle w:val="ListNum"/>
        <w:numPr>
          <w:ilvl w:val="6"/>
          <w:numId w:val="29"/>
        </w:numPr>
        <w:ind w:left="1080" w:right="1440"/>
      </w:pPr>
      <w:r>
        <w:t>There are no competing applications for the same project area in the</w:t>
      </w:r>
      <w:r w:rsidR="007F6296">
        <w:t xml:space="preserve"> </w:t>
      </w:r>
      <w:r>
        <w:t>same application period</w:t>
      </w:r>
      <w:r w:rsidR="007F6296">
        <w:t>; and</w:t>
      </w:r>
    </w:p>
    <w:p w:rsidR="00A13D1F" w:rsidP="008606BD" w:rsidRDefault="00A13D1F" w14:paraId="4590B9C1" w14:textId="4ED06F9E">
      <w:pPr>
        <w:pStyle w:val="ListNum"/>
        <w:numPr>
          <w:ilvl w:val="6"/>
          <w:numId w:val="29"/>
        </w:numPr>
        <w:ind w:left="1080" w:right="1440"/>
      </w:pPr>
      <w:r>
        <w:t>The proposed project costs $9,300 per household or less.</w:t>
      </w:r>
    </w:p>
    <w:p w:rsidRPr="00D97B2A" w:rsidR="00A13D1F" w:rsidP="00FB18D2" w:rsidRDefault="00A13D1F" w14:paraId="5C330238" w14:textId="77777777">
      <w:pPr>
        <w:pStyle w:val="Standard"/>
      </w:pPr>
      <w:r w:rsidRPr="00FB18D2">
        <w:t>Applications</w:t>
      </w:r>
      <w:r>
        <w:t xml:space="preserve"> not meeting these criteria may only be approved by the Commission via resolution.</w:t>
      </w:r>
    </w:p>
    <w:p w:rsidR="00A13D1F" w:rsidP="00FB18D2" w:rsidRDefault="00A13D1F" w14:paraId="2BE907C5" w14:textId="60144F01">
      <w:pPr>
        <w:pStyle w:val="Heading2"/>
      </w:pPr>
      <w:bookmarkStart w:name="_Toc94637231" w:id="123"/>
      <w:bookmarkStart w:name="_Toc101519111" w:id="124"/>
      <w:r>
        <w:t>Party Positions</w:t>
      </w:r>
      <w:bookmarkEnd w:id="123"/>
      <w:bookmarkEnd w:id="124"/>
    </w:p>
    <w:p w:rsidR="00A13D1F" w:rsidP="00FB18D2" w:rsidRDefault="00A13D1F" w14:paraId="25DBD9D9" w14:textId="77777777">
      <w:pPr>
        <w:pStyle w:val="Standard"/>
      </w:pPr>
      <w:r>
        <w:t xml:space="preserve">Parties disagree on the </w:t>
      </w:r>
      <w:r w:rsidRPr="00FB18D2">
        <w:t>overall</w:t>
      </w:r>
      <w:r>
        <w:t xml:space="preserve"> grant limit for ministerial review. AT&amp;T suggests </w:t>
      </w:r>
      <w:r w:rsidRPr="00182AB4">
        <w:t>the Commission increase the monetary eligibility per household and maximum grant amount thresholds</w:t>
      </w:r>
      <w:r>
        <w:t xml:space="preserve"> </w:t>
      </w:r>
      <w:r w:rsidRPr="00182AB4">
        <w:t xml:space="preserve">to </w:t>
      </w:r>
      <w:r>
        <w:t>$75</w:t>
      </w:r>
      <w:r w:rsidRPr="00182AB4">
        <w:t xml:space="preserve"> million dollars. </w:t>
      </w:r>
      <w:r>
        <w:t xml:space="preserve">CETF recommends increasing the cap to $100 million. CCTA and Comcast </w:t>
      </w:r>
      <w:r w:rsidRPr="00182AB4">
        <w:t xml:space="preserve">urge the Commission </w:t>
      </w:r>
      <w:r>
        <w:t xml:space="preserve">to reduce the overall grant amount threshold to </w:t>
      </w:r>
      <w:r w:rsidRPr="00182AB4">
        <w:t>$10 million</w:t>
      </w:r>
      <w:r>
        <w:t xml:space="preserve">. CCTA also supports </w:t>
      </w:r>
      <w:r>
        <w:lastRenderedPageBreak/>
        <w:t xml:space="preserve">reducing the </w:t>
      </w:r>
      <w:r w:rsidRPr="00182AB4">
        <w:t xml:space="preserve">per-household cost </w:t>
      </w:r>
      <w:r>
        <w:t>to n</w:t>
      </w:r>
      <w:r w:rsidRPr="00182AB4">
        <w:t>ot exceed $9,300</w:t>
      </w:r>
      <w:r>
        <w:t xml:space="preserve">, to align with CASF Infrastructure Grant Account criteria. CETF and Santa Clara County support increasing the per household cap to $15,000 per household, to account for the increase in the cost for materials and labor. South Valley Internet and LCB Communications suggest increasing the cap to $13,000 per household. </w:t>
      </w:r>
    </w:p>
    <w:p w:rsidR="00A13D1F" w:rsidP="00A13D1F" w:rsidRDefault="00A13D1F" w14:paraId="7E412608" w14:textId="77777777">
      <w:pPr>
        <w:pStyle w:val="Standard"/>
      </w:pPr>
      <w:r>
        <w:t xml:space="preserve">CCTA also claims </w:t>
      </w:r>
      <w:r w:rsidRPr="00182AB4">
        <w:t xml:space="preserve">Section 3 of the Staff Proposal would potentially give </w:t>
      </w:r>
      <w:r>
        <w:t>CD S</w:t>
      </w:r>
      <w:r w:rsidRPr="00182AB4">
        <w:t>taff unfettered discretion to reject any application, determine all funding amounts, and negotiate all grant terms with each applicant</w:t>
      </w:r>
      <w:r>
        <w:t xml:space="preserve"> and</w:t>
      </w:r>
      <w:r w:rsidRPr="00182AB4">
        <w:t xml:space="preserve"> raise</w:t>
      </w:r>
      <w:r>
        <w:t>s</w:t>
      </w:r>
      <w:r w:rsidRPr="00182AB4">
        <w:t xml:space="preserve"> serious questions of unlawful delegation of authority to </w:t>
      </w:r>
      <w:r>
        <w:t xml:space="preserve">CD </w:t>
      </w:r>
      <w:r w:rsidRPr="00182AB4">
        <w:t>Staff.</w:t>
      </w:r>
      <w:r>
        <w:t xml:space="preserve"> RCRC asks the Commission to not require a per-household cost projection as an evaluation point for application review or approval, arguing it will disadvantage low-density rural areas that have historically lacked adequate service, given that the least served areas will have a very high per-household costs and need FFA subsidization. RCRC asserts these areas will require ministerial review as the projects will likely take the longest to build</w:t>
      </w:r>
    </w:p>
    <w:p w:rsidRPr="00D97B2A" w:rsidR="00A13D1F" w:rsidP="00A13D1F" w:rsidRDefault="00A13D1F" w14:paraId="245CF6B2" w14:textId="77777777">
      <w:pPr>
        <w:pStyle w:val="Standard"/>
      </w:pPr>
      <w:r w:rsidRPr="00182AB4">
        <w:t>AT&amp;T recommends the Commission augment the ministerial program to establish a process whereby an applicant, who commits to bring broadband at a per-household cost at or below the threshold and provides a general project time and material estimates, would be relieved of specific application and reporting requirements and instead paid upon completion.</w:t>
      </w:r>
    </w:p>
    <w:p w:rsidR="00A13D1F" w:rsidP="00FB18D2" w:rsidRDefault="00A13D1F" w14:paraId="1D70D2D3" w14:textId="039C883C">
      <w:pPr>
        <w:pStyle w:val="Heading2"/>
      </w:pPr>
      <w:bookmarkStart w:name="_Toc94637232" w:id="125"/>
      <w:bookmarkStart w:name="_Toc101519112" w:id="126"/>
      <w:r>
        <w:t>Discussion</w:t>
      </w:r>
      <w:bookmarkEnd w:id="125"/>
      <w:bookmarkEnd w:id="126"/>
    </w:p>
    <w:p w:rsidR="00A13D1F" w:rsidP="00FB18D2" w:rsidRDefault="00A13D1F" w14:paraId="0C54990F" w14:textId="77777777">
      <w:pPr>
        <w:pStyle w:val="Standard"/>
      </w:pPr>
      <w:r>
        <w:t xml:space="preserve">The Commission </w:t>
      </w:r>
      <w:r w:rsidRPr="00FB18D2">
        <w:t>adopts</w:t>
      </w:r>
      <w:r>
        <w:t xml:space="preserve"> the ministerial review rules with the following additions:</w:t>
      </w:r>
    </w:p>
    <w:p w:rsidR="00A13D1F" w:rsidP="00FB18D2" w:rsidRDefault="00A13D1F" w14:paraId="248094F7" w14:textId="77777777">
      <w:pPr>
        <w:pStyle w:val="Standard"/>
        <w:numPr>
          <w:ilvl w:val="0"/>
          <w:numId w:val="22"/>
        </w:numPr>
        <w:spacing w:after="120" w:line="240" w:lineRule="auto"/>
        <w:ind w:right="1440"/>
      </w:pPr>
      <w:r>
        <w:t>Applications that propose to leverage funding from other state or federal programs may not be approved by ministerial review;</w:t>
      </w:r>
    </w:p>
    <w:p w:rsidR="00A13D1F" w:rsidP="00FB18D2" w:rsidRDefault="00A13D1F" w14:paraId="73DF8A44" w14:textId="03947C9F">
      <w:pPr>
        <w:pStyle w:val="Standard"/>
        <w:numPr>
          <w:ilvl w:val="0"/>
          <w:numId w:val="22"/>
        </w:numPr>
        <w:spacing w:after="120" w:line="240" w:lineRule="auto"/>
        <w:ind w:right="1440"/>
      </w:pPr>
      <w:r>
        <w:lastRenderedPageBreak/>
        <w:t>Applications with proposed project areas that overlap areas with existing commitments to provide broadband Internet service that is reliable and offer speeds of</w:t>
      </w:r>
      <w:r w:rsidR="008606BD">
        <w:br/>
      </w:r>
      <w:r>
        <w:t>100/20 Mbps</w:t>
      </w:r>
      <w:r w:rsidRPr="0090589C">
        <w:t xml:space="preserve"> </w:t>
      </w:r>
      <w:r>
        <w:t>may not be approved by ministerial review;</w:t>
      </w:r>
    </w:p>
    <w:p w:rsidR="00A13D1F" w:rsidP="00FB18D2" w:rsidRDefault="00A13D1F" w14:paraId="61C837EE" w14:textId="657C6AB8">
      <w:pPr>
        <w:pStyle w:val="Standard"/>
        <w:numPr>
          <w:ilvl w:val="0"/>
          <w:numId w:val="22"/>
        </w:numPr>
        <w:spacing w:after="120" w:line="240" w:lineRule="auto"/>
        <w:ind w:right="1440"/>
      </w:pPr>
      <w:r>
        <w:t>Applications that propose project areas that include areas that have been identified by CD Staff as having an existing provider that offers 25/3 Mbps wireline service</w:t>
      </w:r>
      <w:r w:rsidRPr="0090589C">
        <w:t xml:space="preserve"> </w:t>
      </w:r>
      <w:r w:rsidR="0082743C">
        <w:br/>
      </w:r>
      <w:r>
        <w:t>(</w:t>
      </w:r>
      <w:r w:rsidRPr="00D62B72">
        <w:rPr>
          <w:i/>
          <w:iCs/>
        </w:rPr>
        <w:t>e.g</w:t>
      </w:r>
      <w:r>
        <w:t>., projects designed to improve economies of scale of existing projects, or areas in which the existing provider does not provide reliable service) may not be approved by ministerial review; and</w:t>
      </w:r>
    </w:p>
    <w:p w:rsidR="00A13D1F" w:rsidP="00FB18D2" w:rsidRDefault="00A13D1F" w14:paraId="59168E96" w14:textId="77777777">
      <w:pPr>
        <w:pStyle w:val="Standard"/>
        <w:numPr>
          <w:ilvl w:val="0"/>
          <w:numId w:val="22"/>
        </w:numPr>
        <w:spacing w:after="120" w:line="240" w:lineRule="auto"/>
        <w:ind w:right="1440"/>
      </w:pPr>
      <w:r>
        <w:t>Applications that request a waiver of any program requirement may not be approved by ministerial review.</w:t>
      </w:r>
    </w:p>
    <w:p w:rsidRPr="008B2BD6" w:rsidR="00A13D1F" w:rsidP="00FB18D2" w:rsidRDefault="00A13D1F" w14:paraId="5168E443" w14:textId="35387296">
      <w:pPr>
        <w:pStyle w:val="Standard"/>
      </w:pPr>
      <w:r>
        <w:t xml:space="preserve">With these revisions, the Commission delegates to CD Staff the authority to approve applications that meet the requirements of the Ministerial Review section in the adopted rules. We firmly dismiss CCTA’s opinion that the proposed or adopted rules represent an </w:t>
      </w:r>
      <w:r w:rsidRPr="00997978">
        <w:t xml:space="preserve">unlawful delegation of authority to </w:t>
      </w:r>
      <w:r>
        <w:t xml:space="preserve">CD </w:t>
      </w:r>
      <w:r w:rsidRPr="00997978">
        <w:t>Staff</w:t>
      </w:r>
      <w:r>
        <w:t>. The Commission has previously found that industry division s</w:t>
      </w:r>
      <w:r w:rsidRPr="003C5C74">
        <w:rPr>
          <w:szCs w:val="26"/>
        </w:rPr>
        <w:t xml:space="preserve">taff may approve applications </w:t>
      </w:r>
      <w:r>
        <w:rPr>
          <w:szCs w:val="26"/>
        </w:rPr>
        <w:t xml:space="preserve">and other filings </w:t>
      </w:r>
      <w:r w:rsidRPr="003C5C74">
        <w:rPr>
          <w:szCs w:val="26"/>
        </w:rPr>
        <w:t xml:space="preserve">after </w:t>
      </w:r>
      <w:r>
        <w:rPr>
          <w:szCs w:val="26"/>
        </w:rPr>
        <w:t xml:space="preserve">the Commission adopts </w:t>
      </w:r>
      <w:r w:rsidRPr="003C5C74">
        <w:rPr>
          <w:szCs w:val="26"/>
        </w:rPr>
        <w:t>a specific standard</w:t>
      </w:r>
      <w:r>
        <w:rPr>
          <w:szCs w:val="26"/>
        </w:rPr>
        <w:t xml:space="preserve"> for approval,</w:t>
      </w:r>
      <w:r w:rsidRPr="003C5C74">
        <w:rPr>
          <w:rStyle w:val="FootnoteReference"/>
        </w:rPr>
        <w:footnoteReference w:id="57"/>
      </w:r>
      <w:r w:rsidRPr="003C5C74">
        <w:rPr>
          <w:szCs w:val="26"/>
        </w:rPr>
        <w:t xml:space="preserve"> </w:t>
      </w:r>
      <w:r>
        <w:rPr>
          <w:szCs w:val="26"/>
        </w:rPr>
        <w:t xml:space="preserve">including other </w:t>
      </w:r>
      <w:r w:rsidRPr="003C5C74">
        <w:rPr>
          <w:szCs w:val="26"/>
        </w:rPr>
        <w:t xml:space="preserve">public purpose programs, </w:t>
      </w:r>
      <w:r>
        <w:rPr>
          <w:szCs w:val="26"/>
        </w:rPr>
        <w:t>such as the</w:t>
      </w:r>
      <w:r w:rsidRPr="003C5C74">
        <w:rPr>
          <w:szCs w:val="26"/>
        </w:rPr>
        <w:t xml:space="preserve"> CASF </w:t>
      </w:r>
      <w:r>
        <w:rPr>
          <w:szCs w:val="26"/>
        </w:rPr>
        <w:t xml:space="preserve">Infrastructure Account. Further, we note the area of significant concern to providers, including the cable companies that are members of CCTA, is the initial determination of project area eligibility, which has been ministerial in CASF for many years. </w:t>
      </w:r>
      <w:r w:rsidR="007F6296">
        <w:rPr>
          <w:szCs w:val="26"/>
        </w:rPr>
        <w:t xml:space="preserve">A ministerial review </w:t>
      </w:r>
      <w:r>
        <w:rPr>
          <w:szCs w:val="26"/>
        </w:rPr>
        <w:t>process will help meet the short deadlines set by federal law</w:t>
      </w:r>
      <w:r w:rsidRPr="003C5C74">
        <w:rPr>
          <w:szCs w:val="26"/>
        </w:rPr>
        <w:t>.</w:t>
      </w:r>
    </w:p>
    <w:p w:rsidR="00A13D1F" w:rsidP="00FB18D2" w:rsidRDefault="00A13D1F" w14:paraId="4009BB07" w14:textId="2909B3A8">
      <w:pPr>
        <w:pStyle w:val="Heading1"/>
      </w:pPr>
      <w:bookmarkStart w:name="_Toc94637233" w:id="127"/>
      <w:bookmarkStart w:name="_Toc101519113" w:id="128"/>
      <w:r>
        <w:t xml:space="preserve">Reporting </w:t>
      </w:r>
      <w:r w:rsidRPr="00FB18D2">
        <w:t>Requirements</w:t>
      </w:r>
      <w:bookmarkEnd w:id="127"/>
      <w:bookmarkEnd w:id="128"/>
    </w:p>
    <w:p w:rsidR="00A13D1F" w:rsidP="00FB18D2" w:rsidRDefault="00A13D1F" w14:paraId="5058C978" w14:textId="77777777">
      <w:pPr>
        <w:pStyle w:val="Standard"/>
      </w:pPr>
      <w:r>
        <w:t>The ACR proposes to require g</w:t>
      </w:r>
      <w:r w:rsidRPr="008B2BD6">
        <w:t>rantees to file progress reports on a bi-annual basis. These reports</w:t>
      </w:r>
      <w:r>
        <w:t xml:space="preserve"> will be publicly posted by the Commission. Progress </w:t>
      </w:r>
      <w:r>
        <w:lastRenderedPageBreak/>
        <w:t>reports are due on March 1 and September 1 of each year. In the event either date falls on a weekend or holiday, the reports are due the following business day. Details on the information the progress reports shall include are found in Appendix A.</w:t>
      </w:r>
    </w:p>
    <w:p w:rsidR="00A13D1F" w:rsidP="00FB18D2" w:rsidRDefault="00A13D1F" w14:paraId="7935D6D5" w14:textId="77777777">
      <w:pPr>
        <w:pStyle w:val="Standard"/>
      </w:pPr>
      <w:r>
        <w:t xml:space="preserve">Grantees also must submit completion </w:t>
      </w:r>
      <w:r w:rsidRPr="00FB18D2">
        <w:t>reports</w:t>
      </w:r>
      <w:r>
        <w:t xml:space="preserve"> prior to receiving the final</w:t>
      </w:r>
    </w:p>
    <w:p w:rsidR="00A13D1F" w:rsidP="00A13D1F" w:rsidRDefault="00A13D1F" w14:paraId="217FAC35" w14:textId="3606B2A2">
      <w:pPr>
        <w:pStyle w:val="Standard"/>
        <w:ind w:firstLine="0"/>
      </w:pPr>
      <w:r>
        <w:t>payment. Details on the information to include in project completion reports are in Appendix A.</w:t>
      </w:r>
    </w:p>
    <w:p w:rsidR="00A13D1F" w:rsidP="00FB18D2" w:rsidRDefault="00A13D1F" w14:paraId="39FE266D" w14:textId="77777777">
      <w:pPr>
        <w:pStyle w:val="Standard"/>
      </w:pPr>
      <w:r>
        <w:t xml:space="preserve">Pursuant to Pub. Util. Code </w:t>
      </w:r>
      <w:r>
        <w:rPr>
          <w:rFonts w:ascii="Courier New" w:hAnsi="Courier New" w:cs="Courier New"/>
        </w:rPr>
        <w:t>§</w:t>
      </w:r>
      <w:r>
        <w:t xml:space="preserve"> 281(l), grantees must report monthly to the Commission all of the </w:t>
      </w:r>
      <w:r w:rsidRPr="00FB18D2">
        <w:t>following</w:t>
      </w:r>
      <w:r>
        <w:t xml:space="preserve"> information throughout the construction phase:</w:t>
      </w:r>
    </w:p>
    <w:p w:rsidR="008606BD" w:rsidP="007206CF" w:rsidRDefault="00A13D1F" w14:paraId="12B85686" w14:textId="77777777">
      <w:pPr>
        <w:pStyle w:val="Standard"/>
        <w:numPr>
          <w:ilvl w:val="1"/>
          <w:numId w:val="30"/>
        </w:numPr>
        <w:spacing w:after="120" w:line="240" w:lineRule="auto"/>
        <w:ind w:left="1267" w:right="1440"/>
      </w:pPr>
      <w:r>
        <w:t>The name and contractor’s license number of each licensed contractor and subcontractor undertaking a contract or subcontract in excess of twenty-five thousand dollars ($25,000) to perform work on a project funded or financed pursuant to this section;</w:t>
      </w:r>
    </w:p>
    <w:p w:rsidR="008606BD" w:rsidP="007206CF" w:rsidRDefault="00A13D1F" w14:paraId="6C692509" w14:textId="77777777">
      <w:pPr>
        <w:pStyle w:val="Standard"/>
        <w:numPr>
          <w:ilvl w:val="1"/>
          <w:numId w:val="30"/>
        </w:numPr>
        <w:spacing w:after="120" w:line="240" w:lineRule="auto"/>
        <w:ind w:left="1267" w:right="1440"/>
      </w:pPr>
      <w:r>
        <w:t>The location where a contractor or subcontractor described in subparagraph (A) will be performing that work; and</w:t>
      </w:r>
    </w:p>
    <w:p w:rsidR="00A13D1F" w:rsidP="007206CF" w:rsidRDefault="00A13D1F" w14:paraId="3A7EC6AA" w14:textId="42EF2B9E">
      <w:pPr>
        <w:pStyle w:val="Standard"/>
        <w:numPr>
          <w:ilvl w:val="1"/>
          <w:numId w:val="30"/>
        </w:numPr>
        <w:spacing w:after="120" w:line="240" w:lineRule="auto"/>
        <w:ind w:left="1267" w:right="1440"/>
      </w:pPr>
      <w:r>
        <w:t>The anticipated dates when that work will be performed.</w:t>
      </w:r>
    </w:p>
    <w:p w:rsidR="00A13D1F" w:rsidP="007206CF" w:rsidRDefault="00A13D1F" w14:paraId="2C983469" w14:textId="77777777">
      <w:pPr>
        <w:pStyle w:val="Standard"/>
        <w:spacing w:before="240"/>
      </w:pPr>
      <w:r>
        <w:t xml:space="preserve">The </w:t>
      </w:r>
      <w:r w:rsidRPr="00FB18D2">
        <w:t>Commission</w:t>
      </w:r>
      <w:r>
        <w:t xml:space="preserve"> will, on a monthly basis, post the information reported pursuant to this subdivision on the commission’s FFA internet website.</w:t>
      </w:r>
    </w:p>
    <w:p w:rsidR="00A13D1F" w:rsidP="00FB18D2" w:rsidRDefault="00A13D1F" w14:paraId="661F7303" w14:textId="77EE5E42">
      <w:pPr>
        <w:pStyle w:val="Heading2"/>
      </w:pPr>
      <w:bookmarkStart w:name="_Toc94637234" w:id="129"/>
      <w:bookmarkStart w:name="_Toc101519114" w:id="130"/>
      <w:r>
        <w:t>Party Positions</w:t>
      </w:r>
      <w:bookmarkEnd w:id="129"/>
      <w:bookmarkEnd w:id="130"/>
    </w:p>
    <w:p w:rsidR="00A13D1F" w:rsidP="00FB18D2" w:rsidRDefault="00A13D1F" w14:paraId="5F8C363F" w14:textId="5B9C0B8A">
      <w:pPr>
        <w:pStyle w:val="Standard"/>
      </w:pPr>
      <w:r>
        <w:t xml:space="preserve">Parties disagree on the </w:t>
      </w:r>
      <w:r w:rsidRPr="00FB18D2">
        <w:t>frequency</w:t>
      </w:r>
      <w:r>
        <w:t xml:space="preserve"> of reporting requirements. Frederick</w:t>
      </w:r>
      <w:r w:rsidR="007206CF">
        <w:t> </w:t>
      </w:r>
      <w:r>
        <w:t>L.</w:t>
      </w:r>
      <w:r w:rsidR="007206CF">
        <w:t> </w:t>
      </w:r>
      <w:r>
        <w:t xml:space="preserve">Pilot supports the semiannual reporting requirement. AT&amp;T recommends the </w:t>
      </w:r>
      <w:r w:rsidRPr="00BC61E8">
        <w:t xml:space="preserve">reporting frequency </w:t>
      </w:r>
      <w:r>
        <w:t xml:space="preserve">either be </w:t>
      </w:r>
      <w:r w:rsidRPr="00BC61E8">
        <w:t>quarterly</w:t>
      </w:r>
      <w:r>
        <w:t xml:space="preserve">, </w:t>
      </w:r>
      <w:r w:rsidRPr="00BC61E8">
        <w:t>annual</w:t>
      </w:r>
      <w:r>
        <w:t>ly,</w:t>
      </w:r>
      <w:r w:rsidRPr="00BC61E8">
        <w:t xml:space="preserve"> </w:t>
      </w:r>
      <w:r>
        <w:t xml:space="preserve">or </w:t>
      </w:r>
      <w:r w:rsidRPr="00BC61E8">
        <w:t xml:space="preserve">only on </w:t>
      </w:r>
      <w:r>
        <w:t xml:space="preserve">upon </w:t>
      </w:r>
      <w:r w:rsidRPr="00BC61E8">
        <w:t xml:space="preserve">completion for projects approved via the ministerial review process. </w:t>
      </w:r>
      <w:r>
        <w:t>Cal</w:t>
      </w:r>
      <w:r w:rsidR="007206CF">
        <w:t> </w:t>
      </w:r>
      <w:r>
        <w:t xml:space="preserve">Advocates urges the Commission to require progress reports, not just completion reports. Verizon and Frontier urges the Commission to avoid onerous reporting requirements and instead adopt minimal requirements that </w:t>
      </w:r>
      <w:r>
        <w:lastRenderedPageBreak/>
        <w:t xml:space="preserve">comply with federal laws on FFA. Verizon recommends the Commission delete proposed categories of information such as the number of paying subscribers enrolled in the service, number of low-income or affordable plan customers enrolled. Verizon also suggests the Commission provide flexibility in the speed measurements for the speed tests, similar to what the FCC has recognized that the range of speed thresholds may be met for speed tests in the Connect America Fund program and allow </w:t>
      </w:r>
      <w:r w:rsidR="00FB18D2">
        <w:br/>
      </w:r>
      <w:r>
        <w:t xml:space="preserve">80 percent of speed tests. Verizon also asserts that some of the information contained in the reports are “competitively sensitive,” such as the number of paying subscribers, and therefore the reports should not be made public on the Commission’s website. </w:t>
      </w:r>
    </w:p>
    <w:p w:rsidR="00A13D1F" w:rsidP="00FB18D2" w:rsidRDefault="00A13D1F" w14:paraId="2109E7E7" w14:textId="77777777">
      <w:pPr>
        <w:pStyle w:val="Standard"/>
      </w:pPr>
      <w:r>
        <w:t xml:space="preserve">Cal Advocates </w:t>
      </w:r>
      <w:r w:rsidRPr="00FB18D2">
        <w:t>recommends</w:t>
      </w:r>
      <w:r>
        <w:t xml:space="preserve"> the Commission require FFA grant recipients to file a Tier 2 Advice Letter on an annual basis to report on the following items: </w:t>
      </w:r>
    </w:p>
    <w:p w:rsidR="00A13D1F" w:rsidP="00FB18D2" w:rsidRDefault="00A13D1F" w14:paraId="14125AAB" w14:textId="77777777">
      <w:pPr>
        <w:pStyle w:val="Standard"/>
        <w:numPr>
          <w:ilvl w:val="0"/>
          <w:numId w:val="18"/>
        </w:numPr>
        <w:spacing w:after="120" w:line="240" w:lineRule="auto"/>
        <w:ind w:right="1440"/>
      </w:pPr>
      <w:r>
        <w:t xml:space="preserve">the number of customers that have been notified of the low-income plans and the form of notifications used; </w:t>
      </w:r>
    </w:p>
    <w:p w:rsidR="00A13D1F" w:rsidP="00FB18D2" w:rsidRDefault="00A13D1F" w14:paraId="1F2D0C1E" w14:textId="77777777">
      <w:pPr>
        <w:pStyle w:val="Standard"/>
        <w:numPr>
          <w:ilvl w:val="0"/>
          <w:numId w:val="18"/>
        </w:numPr>
        <w:spacing w:after="120" w:line="240" w:lineRule="auto"/>
        <w:ind w:right="1440"/>
      </w:pPr>
      <w:r>
        <w:t xml:space="preserve">the number of customers that have signed up for the plans; and </w:t>
      </w:r>
    </w:p>
    <w:p w:rsidR="00A13D1F" w:rsidP="00FB18D2" w:rsidRDefault="00A13D1F" w14:paraId="1E36A501" w14:textId="77777777">
      <w:pPr>
        <w:pStyle w:val="Standard"/>
        <w:numPr>
          <w:ilvl w:val="0"/>
          <w:numId w:val="18"/>
        </w:numPr>
        <w:spacing w:after="120" w:line="240" w:lineRule="auto"/>
        <w:ind w:right="1440"/>
      </w:pPr>
      <w:r>
        <w:t xml:space="preserve">the number of customers that have cancelled their plans, until four years after the recipients have met the enrollment targets. </w:t>
      </w:r>
    </w:p>
    <w:p w:rsidR="00A13D1F" w:rsidP="00FB18D2" w:rsidRDefault="00A13D1F" w14:paraId="3164E37E" w14:textId="77777777">
      <w:pPr>
        <w:pStyle w:val="Standard"/>
      </w:pPr>
      <w:r>
        <w:t xml:space="preserve">If a grant recipient cannot meet its enrollment target, Cal Advocates recommends the Commission require it to meet with the California LifeLine Administrator to discuss how to meet the target. If the grant recipient still fails to meet them, it should be penalized via resolution. </w:t>
      </w:r>
      <w:bookmarkStart w:name="_Hlk93870914" w:id="131"/>
      <w:r>
        <w:t xml:space="preserve">Also, Cal Advocates supports requiring FFA grant recipients to provide to the Commission a web link with information on the affordable plan. The web link should provide all information on the plan, ways to sign up, and necessary forms. </w:t>
      </w:r>
      <w:bookmarkEnd w:id="131"/>
    </w:p>
    <w:p w:rsidR="00A13D1F" w:rsidP="00A13D1F" w:rsidRDefault="00A13D1F" w14:paraId="0678213C" w14:textId="77777777">
      <w:pPr>
        <w:pStyle w:val="Standard"/>
      </w:pPr>
      <w:r>
        <w:lastRenderedPageBreak/>
        <w:t>CETF suggests that for items such as c</w:t>
      </w:r>
      <w:r w:rsidRPr="00D53A58">
        <w:t xml:space="preserve">ommitments </w:t>
      </w:r>
      <w:r>
        <w:t>on</w:t>
      </w:r>
      <w:r w:rsidRPr="00D53A58">
        <w:t xml:space="preserve"> rates, affordable broadband plan, open access, </w:t>
      </w:r>
      <w:r>
        <w:t xml:space="preserve">and </w:t>
      </w:r>
      <w:r w:rsidRPr="00D53A58">
        <w:t xml:space="preserve">marketing/outreach a brief annual report could be filed where the grantee reports on its compliance with its commitments and signs it under penalty of perjury. </w:t>
      </w:r>
    </w:p>
    <w:p w:rsidR="00A13D1F" w:rsidP="00A13D1F" w:rsidRDefault="00A13D1F" w14:paraId="499FA0B6" w14:textId="77777777">
      <w:pPr>
        <w:pStyle w:val="Standard"/>
      </w:pPr>
      <w:r>
        <w:t>Santa Clara County recommend continuing r</w:t>
      </w:r>
      <w:r w:rsidRPr="006E767A">
        <w:t>eporting requirements for affordability and price commitments should last for the life of the longest commitment attached to a project</w:t>
      </w:r>
      <w:r>
        <w:t>.</w:t>
      </w:r>
    </w:p>
    <w:p w:rsidRPr="008B2BD6" w:rsidR="00A13D1F" w:rsidP="00A13D1F" w:rsidRDefault="00A13D1F" w14:paraId="0BE53C83" w14:textId="77777777">
      <w:pPr>
        <w:pStyle w:val="Standard"/>
      </w:pPr>
      <w:r>
        <w:t>SBUA asserts post-construction requirements should not have an end date and reporting should be maintained, arguing this will encourage broadband providers to maintain quality of service.</w:t>
      </w:r>
    </w:p>
    <w:p w:rsidR="00A13D1F" w:rsidP="00FB18D2" w:rsidRDefault="00A13D1F" w14:paraId="744F319F" w14:textId="75A95848">
      <w:pPr>
        <w:pStyle w:val="Heading2"/>
      </w:pPr>
      <w:bookmarkStart w:name="_Toc94637235" w:id="132"/>
      <w:bookmarkStart w:name="_Toc101519115" w:id="133"/>
      <w:r>
        <w:t>Discussion</w:t>
      </w:r>
      <w:bookmarkEnd w:id="132"/>
      <w:bookmarkEnd w:id="133"/>
    </w:p>
    <w:p w:rsidR="00A13D1F" w:rsidP="00FB18D2" w:rsidRDefault="00A13D1F" w14:paraId="1D2F9E45" w14:textId="77777777">
      <w:pPr>
        <w:pStyle w:val="Standard"/>
      </w:pPr>
      <w:r w:rsidRPr="00FB18D2">
        <w:t>Treasury’s</w:t>
      </w:r>
      <w:r>
        <w:t xml:space="preserve"> Final Rule requires that grant </w:t>
      </w:r>
      <w:r w:rsidRPr="00834FD8">
        <w:t>recipients report speed, pricing, and any data allowance information</w:t>
      </w:r>
      <w:r>
        <w:t xml:space="preserve">. </w:t>
      </w:r>
      <w:r>
        <w:rPr>
          <w:rStyle w:val="FootnoteReference"/>
        </w:rPr>
        <w:footnoteReference w:id="58"/>
      </w:r>
      <w:r>
        <w:t>As such, FFA grantees will be required to report annually to the Commission’s Communications Division the speed, pricing, and any data allowance information on all of their plans.</w:t>
      </w:r>
    </w:p>
    <w:p w:rsidR="00A13D1F" w:rsidP="00A13D1F" w:rsidRDefault="00A13D1F" w14:paraId="46D77A22" w14:textId="5454835B">
      <w:pPr>
        <w:pStyle w:val="Standard"/>
      </w:pPr>
      <w:r>
        <w:t xml:space="preserve">In addition, to address concerns raised by parties regarding the need for information on the subscribership and availability of affordable and income-qualified plans, we require recipients to report on the </w:t>
      </w:r>
      <w:r w:rsidRPr="00593169">
        <w:t xml:space="preserve">number of customers </w:t>
      </w:r>
      <w:r>
        <w:t xml:space="preserve">subscribed to </w:t>
      </w:r>
      <w:r w:rsidR="007F6296">
        <w:t xml:space="preserve">the ACP, </w:t>
      </w:r>
      <w:r>
        <w:t xml:space="preserve">income-qualified and low-cost plans. We also require </w:t>
      </w:r>
      <w:r w:rsidRPr="004740B6">
        <w:t xml:space="preserve">grant recipients to </w:t>
      </w:r>
      <w:r>
        <w:t>include in their report</w:t>
      </w:r>
      <w:r w:rsidRPr="004740B6">
        <w:t xml:space="preserve"> a web link with information on the</w:t>
      </w:r>
      <w:r>
        <w:t>ir income-qualified and</w:t>
      </w:r>
      <w:r w:rsidRPr="004740B6">
        <w:t xml:space="preserve"> affordable plan</w:t>
      </w:r>
      <w:r>
        <w:t>s</w:t>
      </w:r>
      <w:r w:rsidRPr="004740B6">
        <w:t>. The web link should provide all info</w:t>
      </w:r>
      <w:r>
        <w:t>rmation</w:t>
      </w:r>
      <w:r w:rsidRPr="004740B6">
        <w:t xml:space="preserve"> on the plan, ways to sign up, and necessary forms.</w:t>
      </w:r>
    </w:p>
    <w:p w:rsidRPr="008B2BD6" w:rsidR="0079767C" w:rsidP="00A13D1F" w:rsidRDefault="0079767C" w14:paraId="49400ECD" w14:textId="1C4EE070">
      <w:pPr>
        <w:pStyle w:val="Standard"/>
      </w:pPr>
      <w:r>
        <w:t>In response to comments filed by Cal Advocates, we clarify in Appendix A that grant recipients must report the number of customers enrolled in low-</w:t>
      </w:r>
      <w:r>
        <w:lastRenderedPageBreak/>
        <w:t xml:space="preserve">income broadband plans. We </w:t>
      </w:r>
      <w:r w:rsidRPr="00EB4DCC">
        <w:t>define low-income broadband plans as income-qualified broadband plans offered to low-income customers.</w:t>
      </w:r>
      <w:r>
        <w:rPr>
          <w:rStyle w:val="FootnoteReference"/>
        </w:rPr>
        <w:footnoteReference w:id="59"/>
      </w:r>
      <w:r w:rsidRPr="00EB4DCC">
        <w:t xml:space="preserve"> We also clarify that grantees must submit project progress reports on a quarterly basis to be consistent with the Final Rul</w:t>
      </w:r>
      <w:r>
        <w:t>e.</w:t>
      </w:r>
    </w:p>
    <w:p w:rsidR="00A13D1F" w:rsidP="00FB18D2" w:rsidRDefault="00A13D1F" w14:paraId="5375459D" w14:textId="2AA11633">
      <w:pPr>
        <w:pStyle w:val="Heading1"/>
      </w:pPr>
      <w:bookmarkStart w:name="_Toc94637236" w:id="134"/>
      <w:bookmarkStart w:name="_Toc101519116" w:id="135"/>
      <w:r w:rsidRPr="00FB18D2">
        <w:t>Payment</w:t>
      </w:r>
      <w:bookmarkEnd w:id="134"/>
      <w:bookmarkEnd w:id="135"/>
    </w:p>
    <w:p w:rsidR="00A13D1F" w:rsidP="00FB18D2" w:rsidRDefault="00A13D1F" w14:paraId="54FC7B04" w14:textId="0F0AD65B">
      <w:pPr>
        <w:pStyle w:val="Standard"/>
      </w:pPr>
      <w:r>
        <w:t>The ACR proposes to allow FFA grantees to make requests for payment as the project is progressively deployed. The prerequisite for first payment is the submittal of a progress report to the Commission showing that at least 10 percent of the project has been completed. Subsequent payments are made at the following milestones: 35 percent completion, 60 percent completion, 85 percent completion, and 100 percent completion. The final 15 percent payment request (from 85 to 100 percent) will not be paid without an approved completion report. Payments must be based on submitted receipts, invoices and other supporting documentation showing expenditures incurred for the project in accordance with the approved FFA funding budget included in the FFA grantee’s application.</w:t>
      </w:r>
    </w:p>
    <w:p w:rsidR="00A13D1F" w:rsidP="00A13D1F" w:rsidRDefault="00A13D1F" w14:paraId="75082044" w14:textId="77777777">
      <w:pPr>
        <w:pStyle w:val="Standard"/>
      </w:pPr>
      <w:r>
        <w:t>If an application also meets the ministerial review criteria, a provider with a CPCN that wishes to front the full costs of a project in exchange for reduced</w:t>
      </w:r>
    </w:p>
    <w:p w:rsidR="00A13D1F" w:rsidP="00A13D1F" w:rsidRDefault="00A13D1F" w14:paraId="53CACC69" w14:textId="77777777">
      <w:pPr>
        <w:pStyle w:val="Standard"/>
        <w:ind w:firstLine="0"/>
      </w:pPr>
      <w:r>
        <w:t>reporting burdens may request an alternative payment structure. The one-time</w:t>
      </w:r>
    </w:p>
    <w:p w:rsidR="00A13D1F" w:rsidP="00A13D1F" w:rsidRDefault="00A13D1F" w14:paraId="2610ADCA" w14:textId="77777777">
      <w:pPr>
        <w:pStyle w:val="Standard"/>
        <w:ind w:firstLine="0"/>
      </w:pPr>
      <w:r>
        <w:t>payment request must include a project completion report and receipts/invoices</w:t>
      </w:r>
    </w:p>
    <w:p w:rsidR="00A13D1F" w:rsidP="00A13D1F" w:rsidRDefault="00A13D1F" w14:paraId="68E7E975" w14:textId="77777777">
      <w:pPr>
        <w:pStyle w:val="Standard"/>
        <w:ind w:firstLine="0"/>
      </w:pPr>
      <w:r>
        <w:t>of major equipment and materials purchased, with labor costs and other items</w:t>
      </w:r>
    </w:p>
    <w:p w:rsidR="00A13D1F" w:rsidP="00A13D1F" w:rsidRDefault="00A13D1F" w14:paraId="23F42DDC" w14:textId="77777777">
      <w:pPr>
        <w:pStyle w:val="Standard"/>
        <w:ind w:firstLine="0"/>
      </w:pPr>
      <w:r>
        <w:t xml:space="preserve">being line items reflecting the remaining total amounts charged to FFA. </w:t>
      </w:r>
    </w:p>
    <w:p w:rsidR="00A13D1F" w:rsidP="00142367" w:rsidRDefault="00A13D1F" w14:paraId="69900A2A" w14:textId="77777777">
      <w:pPr>
        <w:pStyle w:val="Standard"/>
      </w:pPr>
      <w:r>
        <w:lastRenderedPageBreak/>
        <w:t xml:space="preserve">Staff must </w:t>
      </w:r>
      <w:r w:rsidRPr="00142367">
        <w:t>conduct</w:t>
      </w:r>
      <w:r>
        <w:t xml:space="preserve"> a site visit to confirm project completion prior to authorizing payment and these reimbursements are still subject to audit.</w:t>
      </w:r>
    </w:p>
    <w:p w:rsidR="00A13D1F" w:rsidP="00A13D1F" w:rsidRDefault="00A13D1F" w14:paraId="55E2E4C4" w14:textId="77777777">
      <w:pPr>
        <w:pStyle w:val="Standard"/>
      </w:pPr>
      <w:r>
        <w:t>Grantees shall submit the final request for payment within 90 days after</w:t>
      </w:r>
    </w:p>
    <w:p w:rsidR="00A13D1F" w:rsidP="00A13D1F" w:rsidRDefault="00A13D1F" w14:paraId="7C6F288A" w14:textId="77777777">
      <w:pPr>
        <w:pStyle w:val="Standard"/>
        <w:ind w:firstLine="0"/>
      </w:pPr>
      <w:r>
        <w:t>completion of the project. If the grantee cannot complete the project within the</w:t>
      </w:r>
    </w:p>
    <w:p w:rsidR="00A13D1F" w:rsidP="00A13D1F" w:rsidRDefault="00A13D1F" w14:paraId="4F732134" w14:textId="77777777">
      <w:pPr>
        <w:pStyle w:val="Standard"/>
        <w:ind w:firstLine="0"/>
      </w:pPr>
      <w:r>
        <w:t>24-month timeline, the grantee shall notify the Commission as soon as they</w:t>
      </w:r>
    </w:p>
    <w:p w:rsidR="00A13D1F" w:rsidP="00A13D1F" w:rsidRDefault="00A13D1F" w14:paraId="0ECDB776" w14:textId="77777777">
      <w:pPr>
        <w:pStyle w:val="Standard"/>
        <w:ind w:firstLine="0"/>
      </w:pPr>
      <w:r>
        <w:t>become aware that they may not be able to meet the timeline and provide a new</w:t>
      </w:r>
    </w:p>
    <w:p w:rsidR="00A13D1F" w:rsidP="00A13D1F" w:rsidRDefault="00A13D1F" w14:paraId="0503EF1B" w14:textId="77777777">
      <w:pPr>
        <w:pStyle w:val="Standard"/>
        <w:ind w:firstLine="0"/>
      </w:pPr>
      <w:r>
        <w:t>project completion date.</w:t>
      </w:r>
    </w:p>
    <w:p w:rsidR="00A13D1F" w:rsidP="00A13D1F" w:rsidRDefault="00A13D1F" w14:paraId="02F88BFF" w14:textId="77777777">
      <w:pPr>
        <w:pStyle w:val="Standard"/>
      </w:pPr>
      <w:r>
        <w:t>If the recipient fails to notify CD Staff of any delays in the project completion and the project fails to meet the approved completion date, the Commission may impose penalties by resolution. This may include rescinding the grant. Invoices submitted will be subject to a financial audit by the Commission at any time within three years of completion of project. If portions of reimbursements are found to be out of compliance, grantees will be responsible for refunding any disallowed amounts along with appropriate interest at rates determined in accordance with applicable Commission decisions.</w:t>
      </w:r>
    </w:p>
    <w:p w:rsidR="00A13D1F" w:rsidP="00A13D1F" w:rsidRDefault="00A13D1F" w14:paraId="141F570F" w14:textId="77777777">
      <w:pPr>
        <w:pStyle w:val="Standard"/>
      </w:pPr>
      <w:r>
        <w:t>Per federal rules, all funds must be obligated within the statutory period between March 3, 2021 and December 31, 2024, and expended to cover such obligations by December 31, 2026.</w:t>
      </w:r>
      <w:r>
        <w:rPr>
          <w:rStyle w:val="FootnoteReference"/>
        </w:rPr>
        <w:footnoteReference w:id="60"/>
      </w:r>
    </w:p>
    <w:p w:rsidRPr="00167646" w:rsidR="00A13D1F" w:rsidP="00A13D1F" w:rsidRDefault="00A13D1F" w14:paraId="115B8E61" w14:textId="77777777">
      <w:pPr>
        <w:pStyle w:val="Standard"/>
      </w:pPr>
      <w:r>
        <w:t>In the event approved FFA projects have not made substantial progress in constructing the proposed infrastructure, the ACR proposes that on an annual basis, CD Staff draft a resolution for Commission approval that recommends modifications, revisions, and rescissions of grants not demonstrating substantial progress.</w:t>
      </w:r>
    </w:p>
    <w:p w:rsidR="00A13D1F" w:rsidP="00142367" w:rsidRDefault="00A13D1F" w14:paraId="0071E500" w14:textId="15B58D74">
      <w:pPr>
        <w:pStyle w:val="Heading2"/>
      </w:pPr>
      <w:bookmarkStart w:name="_Toc94637237" w:id="136"/>
      <w:bookmarkStart w:name="_Toc101519117" w:id="137"/>
      <w:r>
        <w:lastRenderedPageBreak/>
        <w:t>Party Positions</w:t>
      </w:r>
      <w:bookmarkEnd w:id="136"/>
      <w:bookmarkEnd w:id="137"/>
    </w:p>
    <w:p w:rsidRPr="00167646" w:rsidR="00A13D1F" w:rsidP="00F01565" w:rsidRDefault="00A13D1F" w14:paraId="2C6AE899" w14:textId="77777777">
      <w:pPr>
        <w:pStyle w:val="Standard"/>
      </w:pPr>
      <w:r>
        <w:t xml:space="preserve">AT&amp;T asserts it is </w:t>
      </w:r>
      <w:r w:rsidRPr="00EA37ED">
        <w:t xml:space="preserve">burdensome </w:t>
      </w:r>
      <w:r>
        <w:t xml:space="preserve">for grantees </w:t>
      </w:r>
      <w:r w:rsidRPr="00EA37ED">
        <w:t>to produce project-specific receipts</w:t>
      </w:r>
      <w:r>
        <w:t xml:space="preserve"> and urges </w:t>
      </w:r>
      <w:r w:rsidRPr="00F01565">
        <w:t>the</w:t>
      </w:r>
      <w:r w:rsidRPr="00EA37ED">
        <w:t xml:space="preserve"> Commission </w:t>
      </w:r>
      <w:r>
        <w:t xml:space="preserve">to </w:t>
      </w:r>
      <w:r w:rsidRPr="00EA37ED">
        <w:t>accept cost information from bulk purchase orders.</w:t>
      </w:r>
    </w:p>
    <w:p w:rsidR="00A13D1F" w:rsidP="00F01565" w:rsidRDefault="00A13D1F" w14:paraId="1C6A06E2" w14:textId="6729062A">
      <w:pPr>
        <w:pStyle w:val="Heading2"/>
      </w:pPr>
      <w:bookmarkStart w:name="_Toc94637238" w:id="138"/>
      <w:bookmarkStart w:name="_Toc101519118" w:id="139"/>
      <w:r>
        <w:t>Discussion</w:t>
      </w:r>
      <w:bookmarkEnd w:id="138"/>
      <w:bookmarkEnd w:id="139"/>
    </w:p>
    <w:p w:rsidRPr="00167646" w:rsidR="00A13D1F" w:rsidP="00F01565" w:rsidRDefault="00A13D1F" w14:paraId="2A96CE27" w14:textId="77777777">
      <w:pPr>
        <w:pStyle w:val="Standard"/>
      </w:pPr>
      <w:r>
        <w:t xml:space="preserve">The Commission </w:t>
      </w:r>
      <w:r w:rsidRPr="00F01565">
        <w:t>adopts</w:t>
      </w:r>
      <w:r>
        <w:t xml:space="preserve"> the proposed rules with the clarification that CD Staff will provide a template for payments that is consistent with the Treasury’s Final Rule and this Decision. The Commission believes</w:t>
      </w:r>
      <w:r w:rsidRPr="0069788B">
        <w:t xml:space="preserve"> it is important to have project specific expenses, </w:t>
      </w:r>
      <w:r>
        <w:t xml:space="preserve">though it </w:t>
      </w:r>
      <w:r w:rsidRPr="0069788B">
        <w:t>will endeavor to be flexible</w:t>
      </w:r>
      <w:r>
        <w:t xml:space="preserve">, </w:t>
      </w:r>
      <w:r w:rsidRPr="0069788B">
        <w:t>in reviewing project expenditures</w:t>
      </w:r>
      <w:r>
        <w:t>,</w:t>
      </w:r>
      <w:r w:rsidRPr="0069788B">
        <w:t xml:space="preserve"> depending on the project and circumstances.</w:t>
      </w:r>
    </w:p>
    <w:p w:rsidR="00A13D1F" w:rsidP="00F01565" w:rsidRDefault="00A13D1F" w14:paraId="766F7948" w14:textId="3CD71708">
      <w:pPr>
        <w:pStyle w:val="Heading1"/>
      </w:pPr>
      <w:bookmarkStart w:name="_Toc94637239" w:id="140"/>
      <w:bookmarkStart w:name="_Toc101519119" w:id="141"/>
      <w:r>
        <w:t xml:space="preserve">CEQA </w:t>
      </w:r>
      <w:r w:rsidRPr="00F01565">
        <w:t>Payments</w:t>
      </w:r>
      <w:bookmarkEnd w:id="140"/>
      <w:bookmarkEnd w:id="141"/>
    </w:p>
    <w:p w:rsidRPr="00DC2C40" w:rsidR="00A13D1F" w:rsidP="00F01565" w:rsidRDefault="00A13D1F" w14:paraId="2D8CAFD0" w14:textId="77777777">
      <w:pPr>
        <w:pStyle w:val="Standard"/>
      </w:pPr>
      <w:r>
        <w:t xml:space="preserve">The ACR </w:t>
      </w:r>
      <w:r w:rsidRPr="00F01565">
        <w:t>proposes</w:t>
      </w:r>
      <w:r>
        <w:t xml:space="preserve"> that the Commission directly pay CEQA consultant costs. Following award of a grant the Energy Division CEQA Section Staff will obtain a contractor to review the CEQA documents for the project. The FFA will pay directly the project’s CEQA PEA preparation costs, but those costs will be identified as costs associated with the grant and will have no effect on the applicable shares of grantee assigned and program supported total project costs. The applicant may file with the Energy Division’s CEQA Section a completed CEQA review conducted by another agency acting as the Lead Agency pursuant to CEQA. Should this occur, grantees may request funds to pay for preparation of a PEA.</w:t>
      </w:r>
    </w:p>
    <w:p w:rsidR="00A13D1F" w:rsidP="00F01565" w:rsidRDefault="00A13D1F" w14:paraId="094188F8" w14:textId="0AFC03C8">
      <w:pPr>
        <w:pStyle w:val="Heading2"/>
      </w:pPr>
      <w:bookmarkStart w:name="_Toc94637240" w:id="142"/>
      <w:bookmarkStart w:name="_Toc101519120" w:id="143"/>
      <w:r>
        <w:t>Party Positions</w:t>
      </w:r>
      <w:bookmarkEnd w:id="142"/>
      <w:bookmarkEnd w:id="143"/>
    </w:p>
    <w:p w:rsidRPr="00DC2C40" w:rsidR="00A13D1F" w:rsidP="00F01565" w:rsidRDefault="00A13D1F" w14:paraId="323053BB" w14:textId="77777777">
      <w:pPr>
        <w:pStyle w:val="Standard"/>
      </w:pPr>
      <w:r>
        <w:t xml:space="preserve">No party filed </w:t>
      </w:r>
      <w:r w:rsidRPr="00F01565">
        <w:t>comments</w:t>
      </w:r>
      <w:r>
        <w:t>.</w:t>
      </w:r>
    </w:p>
    <w:p w:rsidR="00A13D1F" w:rsidP="00F01565" w:rsidRDefault="00A13D1F" w14:paraId="03090B46" w14:textId="5880F05B">
      <w:pPr>
        <w:pStyle w:val="Heading2"/>
      </w:pPr>
      <w:bookmarkStart w:name="_Toc94637241" w:id="144"/>
      <w:bookmarkStart w:name="_Toc101519121" w:id="145"/>
      <w:r>
        <w:t>Discussion</w:t>
      </w:r>
      <w:bookmarkEnd w:id="144"/>
      <w:bookmarkEnd w:id="145"/>
    </w:p>
    <w:p w:rsidRPr="00DC2C40" w:rsidR="00A13D1F" w:rsidP="00F01565" w:rsidRDefault="00A13D1F" w14:paraId="0D0223D8" w14:textId="77777777">
      <w:pPr>
        <w:pStyle w:val="Standard"/>
      </w:pPr>
      <w:r>
        <w:t xml:space="preserve">The Commission </w:t>
      </w:r>
      <w:r w:rsidRPr="00F01565">
        <w:t>adopts</w:t>
      </w:r>
      <w:r>
        <w:t xml:space="preserve"> this proposal.</w:t>
      </w:r>
    </w:p>
    <w:p w:rsidR="00A13D1F" w:rsidP="00F01565" w:rsidRDefault="00A13D1F" w14:paraId="2625DDC7" w14:textId="66606DE0">
      <w:pPr>
        <w:pStyle w:val="Heading1"/>
      </w:pPr>
      <w:bookmarkStart w:name="_Toc94637242" w:id="146"/>
      <w:bookmarkStart w:name="_Toc101519122" w:id="147"/>
      <w:r>
        <w:lastRenderedPageBreak/>
        <w:t>Execution, Performance and Grant Termination</w:t>
      </w:r>
      <w:bookmarkEnd w:id="146"/>
      <w:bookmarkEnd w:id="147"/>
    </w:p>
    <w:p w:rsidR="00A13D1F" w:rsidP="00F01565" w:rsidRDefault="00A13D1F" w14:paraId="15B9F0A1" w14:textId="77777777">
      <w:pPr>
        <w:pStyle w:val="Standard"/>
      </w:pPr>
      <w:r>
        <w:t xml:space="preserve">The ACR proposes that CD Staff and the grantee shall determine the project start date after the grant </w:t>
      </w:r>
      <w:r w:rsidRPr="00F01565">
        <w:t>recipient</w:t>
      </w:r>
      <w:r>
        <w:t xml:space="preserve"> has obtained all approvals. Should the recipient or its contractor fail to commence work at the agreed upon time, the Commission, upon five days written notice to the FFA recipient, reserves the right to terminate the award.</w:t>
      </w:r>
    </w:p>
    <w:p w:rsidR="00A13D1F" w:rsidP="00A13D1F" w:rsidRDefault="00A13D1F" w14:paraId="195116D0" w14:textId="77777777">
      <w:pPr>
        <w:pStyle w:val="Standard"/>
      </w:pPr>
      <w:r>
        <w:t>If the FFA recipient fails to complete the project, in accordance with the terms of approval granted by the Commission, the FFA recipient must reimburse some or all of the funds that it has received. The FFA grantee must complete all performance under the award on or before the termination date of the award.</w:t>
      </w:r>
    </w:p>
    <w:p w:rsidR="00A13D1F" w:rsidP="00A13D1F" w:rsidRDefault="00A13D1F" w14:paraId="56E4DBE0" w14:textId="77777777">
      <w:pPr>
        <w:pStyle w:val="Standard"/>
      </w:pPr>
      <w:bookmarkStart w:name="_Hlk95743720" w:id="148"/>
      <w:r w:rsidRPr="00705F03">
        <w:t>Failure of a grantee to comply with the terms of the grant, provided in this decision,</w:t>
      </w:r>
      <w:r w:rsidRPr="00705F03">
        <w:rPr>
          <w:color w:val="FF0000"/>
        </w:rPr>
        <w:t xml:space="preserve"> </w:t>
      </w:r>
      <w:r w:rsidRPr="009D4297">
        <w:t>and the US Treasury Final Rule</w:t>
      </w:r>
      <w:r w:rsidRPr="00705F03">
        <w:t>, in the Commission’s Order approving the grant, or in the grant Agreement included as part of projects approved by CD Staff using its ministerial review authority, may result in cancellation of the award.</w:t>
      </w:r>
      <w:bookmarkEnd w:id="148"/>
      <w:r>
        <w:t xml:space="preserve"> The Commission or the Recipient may terminate a grant award, at any time by delivering 10 days written notice to the applicant/grant award recipient. If the applicant terminates the grant award, for any reason, it will refund to the Commission within 30 days of the termination, all payments made by the Commission to the applicant for work not completed or not accepted by the Commission. No less than 10 days before the termination, the applicant must notify the Commission in writing.  </w:t>
      </w:r>
    </w:p>
    <w:p w:rsidRPr="00611A1F" w:rsidR="00A13D1F" w:rsidP="00A13D1F" w:rsidRDefault="00A13D1F" w14:paraId="24D40C50" w14:textId="77777777">
      <w:pPr>
        <w:pStyle w:val="Standard"/>
      </w:pPr>
      <w:r>
        <w:t>Grant recipients shall comply with the ARPA and all other applicable federal statutes, regulations, and executive orders.</w:t>
      </w:r>
    </w:p>
    <w:p w:rsidR="00A13D1F" w:rsidP="00F01565" w:rsidRDefault="00A13D1F" w14:paraId="75E91274" w14:textId="75B8155D">
      <w:pPr>
        <w:pStyle w:val="Heading2"/>
      </w:pPr>
      <w:bookmarkStart w:name="_Toc94637243" w:id="149"/>
      <w:bookmarkStart w:name="_Toc101519123" w:id="150"/>
      <w:r>
        <w:t>Party Positions</w:t>
      </w:r>
      <w:bookmarkEnd w:id="149"/>
      <w:bookmarkEnd w:id="150"/>
    </w:p>
    <w:p w:rsidRPr="00683554" w:rsidR="00A13D1F" w:rsidP="00F01565" w:rsidRDefault="00A13D1F" w14:paraId="0975F197" w14:textId="77777777">
      <w:pPr>
        <w:pStyle w:val="Standard"/>
      </w:pPr>
      <w:r>
        <w:t xml:space="preserve">Frontier argues the </w:t>
      </w:r>
      <w:r w:rsidRPr="00F01565">
        <w:t>Commission</w:t>
      </w:r>
      <w:r>
        <w:t xml:space="preserve"> should not adopt the proposal to allow the </w:t>
      </w:r>
      <w:r w:rsidRPr="007C3850">
        <w:t>de-funding of approved projects</w:t>
      </w:r>
      <w:r>
        <w:t xml:space="preserve">, as some projects may encounter permitting </w:t>
      </w:r>
      <w:r>
        <w:lastRenderedPageBreak/>
        <w:t xml:space="preserve">and other delays not under an applicant’s control and </w:t>
      </w:r>
      <w:r w:rsidRPr="007C3850">
        <w:t>make</w:t>
      </w:r>
      <w:r>
        <w:t>s</w:t>
      </w:r>
      <w:r w:rsidRPr="007C3850">
        <w:t xml:space="preserve"> applying less attractive. </w:t>
      </w:r>
    </w:p>
    <w:p w:rsidR="00A13D1F" w:rsidP="00F01565" w:rsidRDefault="00A13D1F" w14:paraId="0CC1F4AB" w14:textId="3058D2AD">
      <w:pPr>
        <w:pStyle w:val="Heading2"/>
      </w:pPr>
      <w:bookmarkStart w:name="_Toc94637244" w:id="151"/>
      <w:bookmarkStart w:name="_Toc101519124" w:id="152"/>
      <w:r>
        <w:t>Discussion</w:t>
      </w:r>
      <w:bookmarkEnd w:id="151"/>
      <w:bookmarkEnd w:id="152"/>
    </w:p>
    <w:p w:rsidR="00A13D1F" w:rsidP="00F01565" w:rsidRDefault="00A13D1F" w14:paraId="07D3EA30" w14:textId="77777777">
      <w:pPr>
        <w:pStyle w:val="Standard"/>
      </w:pPr>
      <w:r>
        <w:t xml:space="preserve">We revise the proposed rule to reflect that CD Staff will notify a grant recipient of its intent to prepare for </w:t>
      </w:r>
      <w:r w:rsidRPr="00F01565">
        <w:t>Commission</w:t>
      </w:r>
      <w:r>
        <w:t xml:space="preserve"> approval a draft resolution that would rescind a FFA grant due to nonperformance.  </w:t>
      </w:r>
    </w:p>
    <w:p w:rsidR="00A13D1F" w:rsidP="00A13D1F" w:rsidRDefault="00A13D1F" w14:paraId="67CBF167" w14:textId="77777777">
      <w:pPr>
        <w:pStyle w:val="Standard"/>
      </w:pPr>
      <w:r>
        <w:t>We decline to adopt Frontier’s recommendation for practical reasons. Given federal time limits, the Commission must be aware of delays FFA grantees encounter. In some instances, Commission staff may be able to assist the recipient in moving the project forward. However, a logical consequence of projects that are not moving forward is that the Commission must repurpose those funds before they are rescinded by the Treasury. The Commission does not have the luxury of being overly patient with FFA grantees, since that may mean losing federal funds – and not being able to reimburse FFA grantees.</w:t>
      </w:r>
    </w:p>
    <w:p w:rsidR="00A13D1F" w:rsidP="00F01565" w:rsidRDefault="00A13D1F" w14:paraId="15F8DE94" w14:textId="3665B8BE">
      <w:pPr>
        <w:pStyle w:val="Heading1"/>
      </w:pPr>
      <w:bookmarkStart w:name="_Toc94461575" w:id="153"/>
      <w:bookmarkStart w:name="_Toc94637245" w:id="154"/>
      <w:bookmarkStart w:name="_Toc101519125" w:id="155"/>
      <w:bookmarkEnd w:id="153"/>
      <w:r>
        <w:t xml:space="preserve">Transfer of Grant and/or Assets Built Using Grant </w:t>
      </w:r>
      <w:r w:rsidRPr="00F01565">
        <w:t>Funding</w:t>
      </w:r>
      <w:bookmarkEnd w:id="154"/>
      <w:bookmarkEnd w:id="155"/>
    </w:p>
    <w:p w:rsidRPr="00020B74" w:rsidR="00A13D1F" w:rsidP="00F01565" w:rsidRDefault="00A13D1F" w14:paraId="077F854C" w14:textId="725F8704">
      <w:pPr>
        <w:pStyle w:val="Standard"/>
      </w:pPr>
      <w:r>
        <w:t xml:space="preserve">The ACR </w:t>
      </w:r>
      <w:r w:rsidRPr="00F01565">
        <w:t>proposes</w:t>
      </w:r>
      <w:r>
        <w:t xml:space="preserve"> that prior to construction under the grant, and for up to three years after project completion, a grantee must notify the Commission within five days of determining that the grantee is planning to sell or transfer its assets. The grantee shall notify </w:t>
      </w:r>
      <w:r w:rsidRPr="00F01565">
        <w:t>the</w:t>
      </w:r>
      <w:r>
        <w:t xml:space="preserve"> Director of the Commission’s Communications Division in writing of its intent to sell or transfer company assets within five days of becoming aware of these plans. Both the grantee and the new entity shall file an affidavit, stating that the new entity will comply with the requirements of the FFA award the </w:t>
      </w:r>
      <w:r w:rsidRPr="00705F03">
        <w:t>Treasury Department, as well as other appropriate documentation, if any, requested by CD Staff.</w:t>
      </w:r>
      <w:r>
        <w:t xml:space="preserve"> The grantee shall provide the Commission with any necessary documents requested in its review of the transfer. This will include all documents that are generally required of all </w:t>
      </w:r>
      <w:r>
        <w:lastRenderedPageBreak/>
        <w:t>entities applying for the FFA grants. The grantee shall not transfer FFA funds or the built portion of the project to the new entity prior to Commission approval. If the Commission does not provide approval, it will rescind the grant.</w:t>
      </w:r>
    </w:p>
    <w:p w:rsidR="00A13D1F" w:rsidP="00276C4F" w:rsidRDefault="00A13D1F" w14:paraId="42296A8F" w14:textId="414140F0">
      <w:pPr>
        <w:pStyle w:val="Heading2"/>
      </w:pPr>
      <w:bookmarkStart w:name="_Toc94637246" w:id="156"/>
      <w:bookmarkStart w:name="_Toc101519126" w:id="157"/>
      <w:r>
        <w:t>Party Positions</w:t>
      </w:r>
      <w:bookmarkEnd w:id="156"/>
      <w:bookmarkEnd w:id="157"/>
    </w:p>
    <w:p w:rsidR="00A13D1F" w:rsidP="00276C4F" w:rsidRDefault="00A13D1F" w14:paraId="49E9C165" w14:textId="77777777">
      <w:pPr>
        <w:pStyle w:val="Standard"/>
      </w:pPr>
      <w:r w:rsidRPr="00D53A58">
        <w:t xml:space="preserve">CETF </w:t>
      </w:r>
      <w:r>
        <w:t xml:space="preserve">recommends the </w:t>
      </w:r>
      <w:r w:rsidRPr="00276C4F">
        <w:t>Commission</w:t>
      </w:r>
      <w:r>
        <w:t xml:space="preserve"> </w:t>
      </w:r>
      <w:r w:rsidRPr="00D53A58">
        <w:t xml:space="preserve">require reporting only on transfer or sale of the assets for three years. </w:t>
      </w:r>
      <w:r>
        <w:t>To CETF, t</w:t>
      </w:r>
      <w:r w:rsidRPr="00D53A58">
        <w:t xml:space="preserve">he issue is whether the applicant built the system with the intent to “flip it” for a profit. On commitments such as rates, affordable broadband plan, open access commitment, marketing/outreach commitment, a brief annual report could be filed where the grantee reports on its compliance with its commitments and signs it under penalty of perjury. </w:t>
      </w:r>
    </w:p>
    <w:p w:rsidR="00A13D1F" w:rsidP="00276C4F" w:rsidRDefault="00A13D1F" w14:paraId="27AD2A8A" w14:textId="0D09C1D2">
      <w:pPr>
        <w:pStyle w:val="Standard"/>
      </w:pPr>
      <w:r>
        <w:t>Cal Advocates proposes that the Commission require FFA grantees to obtain a waiver to sell FFA-funded infrastructure, and any sale should be subject to gain-on-sale requirements. Cal Advocates asserts that to ensure public interest when FFA funded infrastructure is sold, a waiver should hinge on the three requirements that were adopted for the Broadband Technology Opportunities Program: the transaction is for adequate consideration; the purchaser or lessee agrees to fulfill the terms and conditions relating to the project after such sale or lease; and the transaction would be in the best interests of those served by the project. Cal Advocates also argues that, in the case of depreciable assets, the Commission should receive 100 percent of the gains-on-sale, consistent with gain-on-sale regulations established in D.06-05-041. In the case of non</w:t>
      </w:r>
      <w:r w:rsidR="007206CF">
        <w:noBreakHyphen/>
      </w:r>
      <w:r>
        <w:t xml:space="preserve">depreciable assets, Cal Advocates proposes that the Commission receive a percentage of the total gains-on-sale equal to the percentage of the grant’s contribution relative to the total project cost. Cal Advocates also supports any proceeds from asset sales that revert to the Commission through this gain-on-sale rule should be deposited in the CASF Infrastructure Grant Account. </w:t>
      </w:r>
    </w:p>
    <w:p w:rsidRPr="00013280" w:rsidR="00A13D1F" w:rsidP="00A13D1F" w:rsidRDefault="00A13D1F" w14:paraId="3945CAB9" w14:textId="77777777">
      <w:pPr>
        <w:pStyle w:val="Standard"/>
      </w:pPr>
      <w:r>
        <w:lastRenderedPageBreak/>
        <w:t>AT&amp;T recommends that b</w:t>
      </w:r>
      <w:r w:rsidRPr="009A293D">
        <w:t xml:space="preserve">ecause the SLFRF program requires all funds to be expended by December 31, 2026, </w:t>
      </w:r>
      <w:r>
        <w:t xml:space="preserve">that </w:t>
      </w:r>
      <w:r w:rsidRPr="009A293D">
        <w:t>any post-construction requirements associated with receiving a FFA grant, including notification of transfers of control, should extend for no longer than four years</w:t>
      </w:r>
      <w:r>
        <w:t>,</w:t>
      </w:r>
      <w:r w:rsidRPr="009A293D">
        <w:t xml:space="preserve"> or</w:t>
      </w:r>
      <w:r>
        <w:t xml:space="preserve">, at the latest, </w:t>
      </w:r>
      <w:r w:rsidRPr="009A293D">
        <w:t>until December 31, 2030.</w:t>
      </w:r>
    </w:p>
    <w:p w:rsidR="00A13D1F" w:rsidP="00276C4F" w:rsidRDefault="00A13D1F" w14:paraId="457EE5D6" w14:textId="777619FA">
      <w:pPr>
        <w:pStyle w:val="Heading2"/>
      </w:pPr>
      <w:bookmarkStart w:name="_Toc94461578" w:id="158"/>
      <w:bookmarkStart w:name="_Toc94637247" w:id="159"/>
      <w:bookmarkStart w:name="_Toc101519127" w:id="160"/>
      <w:bookmarkEnd w:id="158"/>
      <w:r>
        <w:t>Discussion</w:t>
      </w:r>
      <w:bookmarkEnd w:id="159"/>
      <w:bookmarkEnd w:id="160"/>
    </w:p>
    <w:p w:rsidRPr="00020B74" w:rsidR="00A13D1F" w:rsidP="00276C4F" w:rsidRDefault="00A13D1F" w14:paraId="30441949" w14:textId="5FB4B40C">
      <w:pPr>
        <w:pStyle w:val="Standard"/>
      </w:pPr>
      <w:r>
        <w:t xml:space="preserve">Provisions </w:t>
      </w:r>
      <w:r w:rsidRPr="00276C4F">
        <w:t>ensuring</w:t>
      </w:r>
      <w:r>
        <w:t xml:space="preserve"> a sale or transfer is in the public interest </w:t>
      </w:r>
      <w:r w:rsidR="00AB0A36">
        <w:t xml:space="preserve">are </w:t>
      </w:r>
      <w:r>
        <w:t>reasonable and make clear the Commission’s expectations for grant recipients in such instances. In addition to these provisions,</w:t>
      </w:r>
      <w:r w:rsidRPr="00F60237">
        <w:t xml:space="preserve"> the </w:t>
      </w:r>
      <w:r>
        <w:t>Commission will require any grant recipients</w:t>
      </w:r>
      <w:r w:rsidRPr="00F60237">
        <w:t xml:space="preserve"> to </w:t>
      </w:r>
      <w:r>
        <w:t>file a Tier 2 Advice Letter</w:t>
      </w:r>
      <w:r w:rsidR="00E62B86">
        <w:t xml:space="preserve"> with</w:t>
      </w:r>
      <w:r>
        <w:t xml:space="preserve"> the following</w:t>
      </w:r>
      <w:r w:rsidRPr="00F60237">
        <w:t xml:space="preserve"> information</w:t>
      </w:r>
      <w:r>
        <w:t>:</w:t>
      </w:r>
      <w:r w:rsidRPr="00F60237">
        <w:t xml:space="preserve"> purchase price</w:t>
      </w:r>
      <w:r>
        <w:t>; copy of the agreement; binding agreement from</w:t>
      </w:r>
      <w:r w:rsidRPr="00565221">
        <w:t xml:space="preserve"> the purchaser or lessee to fulfill the terms and conditions relating to the project after such sale or lease; and </w:t>
      </w:r>
      <w:r>
        <w:t>explanation as to how the</w:t>
      </w:r>
      <w:r w:rsidRPr="00565221">
        <w:t xml:space="preserve"> transaction would be in the best interests of those served by the project.</w:t>
      </w:r>
      <w:r w:rsidRPr="00D90BFC">
        <w:t xml:space="preserve"> </w:t>
      </w:r>
      <w:r>
        <w:t xml:space="preserve">These provisions are in addition to – and do not supersede – existing laws, including but not limited to </w:t>
      </w:r>
      <w:r w:rsidRPr="00F60237">
        <w:t>P</w:t>
      </w:r>
      <w:r>
        <w:t>ub. Util.</w:t>
      </w:r>
      <w:r w:rsidR="00E62B86">
        <w:t xml:space="preserve"> Code</w:t>
      </w:r>
      <w:r>
        <w:t xml:space="preserve"> </w:t>
      </w:r>
      <w:r w:rsidRPr="007206CF">
        <w:rPr>
          <w:rFonts w:cs="Courier New"/>
        </w:rPr>
        <w:t>§§</w:t>
      </w:r>
      <w:r>
        <w:t xml:space="preserve"> </w:t>
      </w:r>
      <w:r w:rsidRPr="00F60237">
        <w:t>851 and 854</w:t>
      </w:r>
      <w:r>
        <w:t>, that direct how the Commission addresses</w:t>
      </w:r>
      <w:r w:rsidRPr="00F60237">
        <w:t xml:space="preserve"> transfers of control.</w:t>
      </w:r>
    </w:p>
    <w:p w:rsidR="00A13D1F" w:rsidP="00276C4F" w:rsidRDefault="00A13D1F" w14:paraId="3F8AD77E" w14:textId="6C9D4561">
      <w:pPr>
        <w:pStyle w:val="Heading1"/>
      </w:pPr>
      <w:bookmarkStart w:name="_Toc94637248" w:id="161"/>
      <w:bookmarkStart w:name="_Toc101519128" w:id="162"/>
      <w:r w:rsidRPr="009B1704">
        <w:t xml:space="preserve">Audit </w:t>
      </w:r>
      <w:r w:rsidRPr="00276C4F">
        <w:t>Compliance</w:t>
      </w:r>
      <w:bookmarkEnd w:id="161"/>
      <w:bookmarkEnd w:id="162"/>
    </w:p>
    <w:p w:rsidRPr="009B1704" w:rsidR="00A13D1F" w:rsidP="00276C4F" w:rsidRDefault="00A13D1F" w14:paraId="4C79CBAC" w14:textId="77777777">
      <w:pPr>
        <w:pStyle w:val="Standard"/>
      </w:pPr>
      <w:r>
        <w:t xml:space="preserve">The ACR </w:t>
      </w:r>
      <w:r w:rsidRPr="00276C4F">
        <w:t>proposes</w:t>
      </w:r>
      <w:r>
        <w:t xml:space="preserve"> to require all applicants to sign a consent form agreeing to the terms and conditions of the Federal Funding Account. These will be stated either in the Resolution approving the project, or in a letter sent by Staff to the successful applicant. </w:t>
      </w:r>
    </w:p>
    <w:p w:rsidR="00A13D1F" w:rsidP="00276C4F" w:rsidRDefault="00A13D1F" w14:paraId="77876996" w14:textId="67C5E881">
      <w:pPr>
        <w:pStyle w:val="Heading2"/>
      </w:pPr>
      <w:bookmarkStart w:name="_Toc94637249" w:id="163"/>
      <w:bookmarkStart w:name="_Toc101519129" w:id="164"/>
      <w:r>
        <w:t>Party Positions</w:t>
      </w:r>
      <w:bookmarkEnd w:id="163"/>
      <w:bookmarkEnd w:id="164"/>
    </w:p>
    <w:p w:rsidRPr="009B1704" w:rsidR="00A13D1F" w:rsidP="00A13D1F" w:rsidRDefault="00A13D1F" w14:paraId="20EA931C" w14:textId="77777777">
      <w:pPr>
        <w:pStyle w:val="Standard"/>
      </w:pPr>
      <w:r>
        <w:t>No party filed comments.</w:t>
      </w:r>
    </w:p>
    <w:p w:rsidR="00A13D1F" w:rsidP="00276C4F" w:rsidRDefault="00A13D1F" w14:paraId="621A5723" w14:textId="39131AB0">
      <w:pPr>
        <w:pStyle w:val="Heading2"/>
      </w:pPr>
      <w:bookmarkStart w:name="_Toc94637250" w:id="165"/>
      <w:bookmarkStart w:name="_Toc101519130" w:id="166"/>
      <w:r>
        <w:t>Discussion</w:t>
      </w:r>
      <w:bookmarkEnd w:id="165"/>
      <w:bookmarkEnd w:id="166"/>
    </w:p>
    <w:p w:rsidRPr="005C755F" w:rsidR="00A13D1F" w:rsidP="00276C4F" w:rsidRDefault="00A13D1F" w14:paraId="278DBBDF" w14:textId="77777777">
      <w:pPr>
        <w:pStyle w:val="Standard"/>
      </w:pPr>
      <w:r>
        <w:t xml:space="preserve">The Commission </w:t>
      </w:r>
      <w:r w:rsidRPr="00276C4F">
        <w:t>adopts</w:t>
      </w:r>
      <w:r>
        <w:t xml:space="preserve"> this proposal with a revision clarifying that all recipients of federally funded grants exceeding $750,000 will need to include a budget for a federal audit, consistent with the Final Rule.</w:t>
      </w:r>
    </w:p>
    <w:p w:rsidR="00A13D1F" w:rsidP="00276C4F" w:rsidRDefault="00A13D1F" w14:paraId="036D31E8" w14:textId="64E8754D">
      <w:pPr>
        <w:pStyle w:val="Heading1"/>
      </w:pPr>
      <w:bookmarkStart w:name="_Toc94461583" w:id="167"/>
      <w:bookmarkStart w:name="_Toc94461584" w:id="168"/>
      <w:bookmarkStart w:name="_Toc94461585" w:id="169"/>
      <w:bookmarkStart w:name="_Toc94461586" w:id="170"/>
      <w:bookmarkStart w:name="_Toc94461587" w:id="171"/>
      <w:bookmarkStart w:name="_Toc94461588" w:id="172"/>
      <w:bookmarkStart w:name="_Toc94461589" w:id="173"/>
      <w:bookmarkStart w:name="_Toc94461590" w:id="174"/>
      <w:bookmarkStart w:name="_Toc94637251" w:id="175"/>
      <w:bookmarkStart w:name="_Toc101519131" w:id="176"/>
      <w:bookmarkEnd w:id="167"/>
      <w:bookmarkEnd w:id="168"/>
      <w:bookmarkEnd w:id="169"/>
      <w:bookmarkEnd w:id="170"/>
      <w:bookmarkEnd w:id="171"/>
      <w:bookmarkEnd w:id="172"/>
      <w:bookmarkEnd w:id="173"/>
      <w:bookmarkEnd w:id="174"/>
      <w:r w:rsidRPr="00276C4F">
        <w:lastRenderedPageBreak/>
        <w:t>Conclusion</w:t>
      </w:r>
      <w:bookmarkEnd w:id="175"/>
      <w:bookmarkEnd w:id="176"/>
    </w:p>
    <w:p w:rsidRPr="00343E5C" w:rsidR="00A13D1F" w:rsidP="00276C4F" w:rsidRDefault="00A13D1F" w14:paraId="0F20473C" w14:textId="77777777">
      <w:pPr>
        <w:pStyle w:val="Standard"/>
      </w:pPr>
      <w:r>
        <w:t xml:space="preserve">The Commission adopts the revised rules </w:t>
      </w:r>
      <w:r w:rsidRPr="00276C4F">
        <w:t>contained</w:t>
      </w:r>
      <w:r>
        <w:t xml:space="preserve"> in Appendix A. The revised rules exclude the application template and some application guidance from FFA Program Rules. The Commission delegates to CD Staff that authority to prepare and revise those documents as needed. </w:t>
      </w:r>
    </w:p>
    <w:p w:rsidR="00A13D1F" w:rsidP="00276C4F" w:rsidRDefault="00A13D1F" w14:paraId="645973E1" w14:textId="5B835CE6">
      <w:pPr>
        <w:pStyle w:val="Heading1"/>
      </w:pPr>
      <w:bookmarkStart w:name="_Toc94637252" w:id="177"/>
      <w:bookmarkStart w:name="_Toc101519132" w:id="178"/>
      <w:r w:rsidRPr="00276C4F">
        <w:t>Comments</w:t>
      </w:r>
      <w:r>
        <w:t xml:space="preserve"> on Proposed Decision</w:t>
      </w:r>
      <w:bookmarkEnd w:id="177"/>
      <w:bookmarkEnd w:id="178"/>
    </w:p>
    <w:p w:rsidR="0079767C" w:rsidP="007206CF" w:rsidRDefault="00A13D1F" w14:paraId="6D13FE6F" w14:textId="2D2A23D3">
      <w:pPr>
        <w:pStyle w:val="Standard"/>
      </w:pPr>
      <w:r w:rsidRPr="005476C6">
        <w:t xml:space="preserve">The </w:t>
      </w:r>
      <w:r w:rsidRPr="00276C4F">
        <w:t>proposed</w:t>
      </w:r>
      <w:r w:rsidRPr="005476C6">
        <w:t xml:space="preserve"> decision of Commission President Alice Reynolds</w:t>
      </w:r>
      <w:r>
        <w:t xml:space="preserve"> in this matter was mailed to the parties in accordance with Section 311 of the Public Utilities Code and comments were allowed under Rule 14.3 of the Commission’s Rules of Practice and Procedure. </w:t>
      </w:r>
      <w:r w:rsidR="0079767C">
        <w:t xml:space="preserve">The following parties filed comments on </w:t>
      </w:r>
      <w:r w:rsidR="002D6E88">
        <w:br/>
      </w:r>
      <w:r w:rsidR="0079767C">
        <w:t>March 22, 2022:  AARP; AT&amp;T; CCTA; CSAC; CforAT;  Charter and Time Warner; City and County of San Francisco; Foothill De Anza Community College District; Frontier Communications; Great Public Schools Now (GPSN); NDC;.</w:t>
      </w:r>
      <w:r w:rsidR="0079767C">
        <w:tab/>
        <w:t xml:space="preserve">Placer County; Cal Advocates; RCRC; SBUA; the Small LECs; UCAN; Verizon Wireless (Cellco Partnership); and the Yurok Tribe. On March 28, 2022, the following parties filed reply comments:  AT&amp;T; CCTA; CETF; CforAT; Charter-Time Warner; Frontier Communications; NDC; Cal Advocates; SBUA; the Small LECs; TURN; and Verizon Wireless (Cellco Partnership). </w:t>
      </w:r>
    </w:p>
    <w:p w:rsidR="0079767C" w:rsidP="0079767C" w:rsidRDefault="0079767C" w14:paraId="3314D785" w14:textId="77777777">
      <w:pPr>
        <w:pStyle w:val="Standard"/>
      </w:pPr>
      <w:r>
        <w:t>Several parties ask the Commission to revise its allocation of funding between urban and rural counties, to pick another method for allocating the funding, or to use different data. To begin, statute specifies the data this Commission must use when determining each county’s “</w:t>
      </w:r>
      <w:r w:rsidRPr="004E013F">
        <w:t>proportionate share of</w:t>
      </w:r>
      <w:r>
        <w:t>…</w:t>
      </w:r>
      <w:r w:rsidRPr="004E013F">
        <w:t xml:space="preserve"> households without access to broadband internet access service with at least 100 megabits per second download</w:t>
      </w:r>
      <w:r>
        <w:t>…”</w:t>
      </w:r>
      <w:r>
        <w:rPr>
          <w:rStyle w:val="FootnoteReference"/>
        </w:rPr>
        <w:footnoteReference w:id="61"/>
      </w:r>
      <w:r>
        <w:t xml:space="preserve"> We recognize, as do several parties, that </w:t>
      </w:r>
      <w:r>
        <w:lastRenderedPageBreak/>
        <w:t>there is not a perfect way to divide the funds in a manner that also is consistent with statute. We believe the method we choose is the most reasoned and reflects the reality that more unserved households are in urban counties than in rural counties, while building or extending broadband networks in rural counties general costs more than in urban. As CSAC also notes, there are additional funding opportunities available for last mile broadband investments, including other programs that were expanded or newly created by SB 156, such as the Broadband Infrastructure Grant Program, the Broadband Loan Loss Reserve Fund, and the Broadband Public Housing Account. In addition, California will be eligible for additional federal funding as part of the Infrastructure Investment and Jobs Act, as well as future rounds of the Rural Digital Opportunity Fund. These programs do not have the short deadlines attached with FFA funds, and will provide additional opportunities for local governments, advocates, and providers to receive funding necessary to provide service to all unserved communities in the state.</w:t>
      </w:r>
    </w:p>
    <w:p w:rsidR="0079767C" w:rsidP="0079767C" w:rsidRDefault="0079767C" w14:paraId="419CD212" w14:textId="5BC386D6">
      <w:pPr>
        <w:pStyle w:val="Standard"/>
      </w:pPr>
      <w:r>
        <w:t>In response to comments and reply comments</w:t>
      </w:r>
      <w:r w:rsidR="000B079D">
        <w:t>, especially those</w:t>
      </w:r>
      <w:r>
        <w:t xml:space="preserve"> filed by several ISPs, </w:t>
      </w:r>
      <w:r w:rsidR="000B079D">
        <w:t xml:space="preserve">, in opposition to both the proposed </w:t>
      </w:r>
      <w:r>
        <w:t xml:space="preserve">ten-year price commitment requirement </w:t>
      </w:r>
      <w:r w:rsidR="000B079D">
        <w:t xml:space="preserve">and the affordable low-cost broadband plan requirement, we revise both of these requirements, as well as the application scoring criteria. We require FFA grantees to include in their applications a commitment to not increase pricing for a five-year period for their existing service plans. As several parties note, ISP offerings change with time, and speeds offered should increase substantially over those offered today, including </w:t>
      </w:r>
      <w:r w:rsidRPr="00A11E7E" w:rsidR="000B079D">
        <w:t>new multi-gigabit services that become feasible with new protocols</w:t>
      </w:r>
      <w:r w:rsidR="000B079D">
        <w:t>, infrastructure</w:t>
      </w:r>
      <w:r w:rsidRPr="00A11E7E" w:rsidR="000B079D">
        <w:t xml:space="preserve"> and standards, or modes of delivering service</w:t>
      </w:r>
      <w:r w:rsidR="000B079D">
        <w:t xml:space="preserve">. Thus, this requirement does not apply to substantially different plans, since an ISP may not know at the time of its application if it will </w:t>
      </w:r>
      <w:r w:rsidR="000B079D">
        <w:lastRenderedPageBreak/>
        <w:t xml:space="preserve">be offering that plan. We also wish to incent applicants to commit to a longer pricing commitment of ten years, and will provide those applications with up to an additional ten points. </w:t>
      </w:r>
      <w:r>
        <w:t>The Commission has no intention of this requirement hampering the ability of applicants to develop sustainable networks. Should an externality arise beyond the grant recipient’s control (</w:t>
      </w:r>
      <w:r w:rsidRPr="00B260E3">
        <w:rPr>
          <w:i/>
        </w:rPr>
        <w:t>e.g.</w:t>
      </w:r>
      <w:r>
        <w:t>, inflation), they may seek a modification of this requirement with the Commission’s Communications Division. Waivers must be approved by the Commission as part of the resolution process.</w:t>
      </w:r>
      <w:r w:rsidR="000B079D">
        <w:t xml:space="preserve"> </w:t>
      </w:r>
      <w:r w:rsidRPr="00A37D75" w:rsidR="000B079D">
        <w:t>Since applications that receive lower scores reflect a</w:t>
      </w:r>
      <w:r w:rsidR="000B079D">
        <w:t xml:space="preserve"> reduced</w:t>
      </w:r>
      <w:r w:rsidRPr="00A37D75" w:rsidR="000B079D">
        <w:t xml:space="preserve"> commitment to provide public benefits, staff may make recommendations to the Commission via resolution to reduce the percentage of</w:t>
      </w:r>
      <w:r w:rsidR="000B079D">
        <w:t xml:space="preserve"> public</w:t>
      </w:r>
      <w:r w:rsidRPr="00A37D75" w:rsidR="000B079D">
        <w:t xml:space="preserve"> funding commensurate with the reduced </w:t>
      </w:r>
      <w:r w:rsidR="000B079D">
        <w:t xml:space="preserve">public </w:t>
      </w:r>
      <w:r w:rsidRPr="00A37D75" w:rsidR="000B079D">
        <w:t>benefit.</w:t>
      </w:r>
    </w:p>
    <w:p w:rsidR="00D4002D" w:rsidP="00D4002D" w:rsidRDefault="00D4002D" w14:paraId="5FDEA4AC" w14:textId="53586A02">
      <w:pPr>
        <w:pStyle w:val="Standard"/>
      </w:pPr>
      <w:r>
        <w:t>We re</w:t>
      </w:r>
      <w:r w:rsidR="00AB7186">
        <w:t>move</w:t>
      </w:r>
      <w:r>
        <w:t xml:space="preserve"> the requirement to offer an affordable low-cost broadband plan</w:t>
      </w:r>
      <w:r w:rsidR="00AB7186">
        <w:t xml:space="preserve">. </w:t>
      </w:r>
      <w:r>
        <w:t>Applications proposing plan</w:t>
      </w:r>
      <w:r w:rsidR="00AB7186">
        <w:t>s that offer</w:t>
      </w:r>
      <w:r>
        <w:t xml:space="preserve"> speeds of at least 50 Mbps download </w:t>
      </w:r>
      <w:r w:rsidR="00AB7186">
        <w:t xml:space="preserve">and </w:t>
      </w:r>
      <w:r>
        <w:t xml:space="preserve">50 Mbps upload for no more than $40 per month will receive </w:t>
      </w:r>
      <w:r w:rsidR="00AB7186">
        <w:t>20</w:t>
      </w:r>
      <w:r w:rsidR="007206CF">
        <w:t> </w:t>
      </w:r>
      <w:r>
        <w:t xml:space="preserve">additional points. </w:t>
      </w:r>
      <w:r w:rsidR="00AB7186">
        <w:t>These applicants may offer plans with higher speeds or at a lower cost. FFA grantees have the option to adjust plans in accordance with the Consumer Price Index.</w:t>
      </w:r>
    </w:p>
    <w:p w:rsidR="0079767C" w:rsidP="0079767C" w:rsidRDefault="0079767C" w14:paraId="3833E4B1" w14:textId="77777777">
      <w:pPr>
        <w:pStyle w:val="Standard"/>
      </w:pPr>
      <w:r>
        <w:t>In response to concerns raised by parties regarding the impact on affordable broadband service s</w:t>
      </w:r>
      <w:r w:rsidRPr="007E4C32">
        <w:t xml:space="preserve">hould the ACP program end, </w:t>
      </w:r>
      <w:r>
        <w:t xml:space="preserve">as well as on FFA grantees, </w:t>
      </w:r>
      <w:r w:rsidRPr="007E4C32">
        <w:t xml:space="preserve">the Commission will identify a successor low-income subsidy program </w:t>
      </w:r>
      <w:r>
        <w:t>that FFA grantees</w:t>
      </w:r>
      <w:r w:rsidRPr="007E4C32">
        <w:t xml:space="preserve"> must participate in.</w:t>
      </w:r>
    </w:p>
    <w:p w:rsidR="0079767C" w:rsidP="0079767C" w:rsidRDefault="0079767C" w14:paraId="39D92036" w14:textId="77777777">
      <w:pPr>
        <w:pStyle w:val="Standard"/>
        <w:rPr>
          <w:highlight w:val="yellow"/>
        </w:rPr>
      </w:pPr>
      <w:r>
        <w:t>In response to comments from the Yurok Tribe, we clarify that</w:t>
      </w:r>
      <w:r w:rsidRPr="00D1117D">
        <w:t xml:space="preserve"> </w:t>
      </w:r>
      <w:r>
        <w:t>California tribal governments, as well as their wholly-owned tribal corporations and tribal non-profits,</w:t>
      </w:r>
      <w:r w:rsidRPr="007A1F27">
        <w:t xml:space="preserve"> are the sole entities that may receive credit </w:t>
      </w:r>
      <w:r>
        <w:t xml:space="preserve">in the “Type of Partnership” category for </w:t>
      </w:r>
      <w:r w:rsidRPr="0025746F">
        <w:t>application</w:t>
      </w:r>
      <w:r>
        <w:t>s</w:t>
      </w:r>
      <w:r w:rsidRPr="0025746F">
        <w:t xml:space="preserve"> proposing to build a broadband network owned, operated by, or affiliated with</w:t>
      </w:r>
      <w:r>
        <w:t xml:space="preserve"> a</w:t>
      </w:r>
      <w:r w:rsidRPr="0025746F">
        <w:t xml:space="preserve"> </w:t>
      </w:r>
      <w:r>
        <w:t xml:space="preserve">California tribal government, their </w:t>
      </w:r>
      <w:r>
        <w:lastRenderedPageBreak/>
        <w:t>wholly-owned tribal corporations or tribal non-profit organization</w:t>
      </w:r>
      <w:r w:rsidRPr="0025746F">
        <w:t>,</w:t>
      </w:r>
      <w:r w:rsidRPr="007A1F27">
        <w:t xml:space="preserve"> </w:t>
      </w:r>
      <w:r>
        <w:t>on</w:t>
      </w:r>
      <w:r w:rsidRPr="007A1F27">
        <w:t xml:space="preserve"> tribal lands.</w:t>
      </w:r>
      <w:r>
        <w:t xml:space="preserve"> In response to the concerns raised by the Yurok Tribe, and consistent with Commission practice, applicants seeking to offer service on tribals lands are strongly encouraged to consult with those tribes ahead of filing their applications. We also modify our performance requirements of FFA grantees offering service on tribal lands to mandate consultation with those tribes after FFA grant approval.</w:t>
      </w:r>
      <w:r w:rsidRPr="00723B8E">
        <w:t xml:space="preserve"> If a Tribe and other entities apply for the same proposed funding area which includes Tribal land, then special consideration will be given to the Tribal applicant.  </w:t>
      </w:r>
    </w:p>
    <w:p w:rsidR="0079767C" w:rsidP="0079767C" w:rsidRDefault="0079767C" w14:paraId="59B57D26" w14:textId="77777777">
      <w:pPr>
        <w:pStyle w:val="Standard"/>
      </w:pPr>
      <w:r>
        <w:t>RCRC requests the Commission e</w:t>
      </w:r>
      <w:r w:rsidRPr="00BD6685">
        <w:t xml:space="preserve">stablish a </w:t>
      </w:r>
      <w:r>
        <w:t>“</w:t>
      </w:r>
      <w:r w:rsidRPr="00BD6685">
        <w:t>Public Right of First Refusal</w:t>
      </w:r>
      <w:r>
        <w:t>”</w:t>
      </w:r>
      <w:r w:rsidRPr="00BD6685">
        <w:t xml:space="preserve"> process for local governments with identified plans to deploy broadband services in a priority</w:t>
      </w:r>
      <w:r>
        <w:t xml:space="preserve"> area, asserting the proposed FFA program requirements place public providers at a disadvantage. For example, since </w:t>
      </w:r>
      <w:r w:rsidRPr="00711FB2">
        <w:t xml:space="preserve">local governments </w:t>
      </w:r>
      <w:r>
        <w:t>typically do not have</w:t>
      </w:r>
      <w:r w:rsidRPr="00711FB2">
        <w:t xml:space="preserve"> CPCN</w:t>
      </w:r>
      <w:r>
        <w:t xml:space="preserve">s, the proposed rules would require local governments to </w:t>
      </w:r>
      <w:r w:rsidRPr="00711FB2">
        <w:t>acquire a letter of credit for the entire project cost</w:t>
      </w:r>
      <w:r>
        <w:t>, a significant expenditure. RCRC also contends that local governments are disadvantaged by the proposed ministerial review process, as their applications are unlikely to be eligible for ministerial review. To ensure a more level playing field for local governments seeking to offer broadband service, we adopt two revisions. First, we adopt RCRC’s proposal to require “</w:t>
      </w:r>
      <w:r w:rsidRPr="00B260E3">
        <w:t>local governments to demonstrate administrative capability and expertise in financial administration; demonstrate relationships with financial advisors; in-house or contracted expertise in evaluating broadband infrastructure project feasibility; and demonstrate relationships with, and support from, experienced public or nonprofit broadband system operators.”</w:t>
      </w:r>
      <w:r>
        <w:t xml:space="preserve"> We apply this exemption to Tribal governments as well. These criteria are similar to CPCN approval requirements, though, like when the </w:t>
      </w:r>
      <w:r>
        <w:lastRenderedPageBreak/>
        <w:t>Commission grants a CPCN application, it cannot be granted by CD Staff.  Second, we clarify that we do not intend for the m</w:t>
      </w:r>
      <w:r w:rsidRPr="00515183">
        <w:t xml:space="preserve">inisterial review </w:t>
      </w:r>
      <w:r>
        <w:t xml:space="preserve">process to </w:t>
      </w:r>
      <w:r w:rsidRPr="00515183">
        <w:t xml:space="preserve"> provide an applicant with an advantage over other applicants</w:t>
      </w:r>
      <w:r>
        <w:t>, and that Communications Division will ensure that all applications are reviewed holistically (</w:t>
      </w:r>
      <w:r w:rsidRPr="00B260E3">
        <w:rPr>
          <w:i/>
        </w:rPr>
        <w:t>e.g.</w:t>
      </w:r>
      <w:r>
        <w:t>, applications within a county)</w:t>
      </w:r>
      <w:r w:rsidRPr="00515183">
        <w:t xml:space="preserve">. </w:t>
      </w:r>
      <w:r>
        <w:t>With t</w:t>
      </w:r>
      <w:r w:rsidRPr="006E7D0D">
        <w:t>his in mind, applications eligible for ministerial review may still be referred to the Commission for consideration such as when multiple entities have taken steps to provide service in the same county.</w:t>
      </w:r>
    </w:p>
    <w:p w:rsidR="0079767C" w:rsidP="0079767C" w:rsidRDefault="0079767C" w14:paraId="228F0A3A" w14:textId="77777777">
      <w:pPr>
        <w:pStyle w:val="Standard"/>
      </w:pPr>
      <w:r>
        <w:t xml:space="preserve">Various parties recommend the Communications Division include analysis of disadvantaged communities in the development of the priority areas. These parties also encourage the Commission to give priority to projects that propose to serve disadvantaged communities. The program rules are revised to require </w:t>
      </w:r>
      <w:r w:rsidRPr="00963D1E">
        <w:t xml:space="preserve">Communications Division </w:t>
      </w:r>
      <w:r>
        <w:t>to include</w:t>
      </w:r>
      <w:r w:rsidRPr="00963D1E" w:rsidDel="005A0DFB">
        <w:t xml:space="preserve"> </w:t>
      </w:r>
      <w:r w:rsidRPr="00963D1E">
        <w:t>demographic information, such as the number of low-income households</w:t>
      </w:r>
      <w:r>
        <w:t xml:space="preserve">, or disadvantaged community status, in developing </w:t>
      </w:r>
      <w:r w:rsidRPr="00963D1E">
        <w:t>priority area</w:t>
      </w:r>
      <w:r>
        <w:t>s. In addition, the scoring criteria are updated to consider disadvantaged communities as part of the “Existing broadband service need” criteria.</w:t>
      </w:r>
    </w:p>
    <w:p w:rsidR="0079767C" w:rsidP="0079767C" w:rsidRDefault="0079767C" w14:paraId="64880A5E" w14:textId="5DB53A31">
      <w:pPr>
        <w:pStyle w:val="Standard"/>
      </w:pPr>
      <w:r>
        <w:t xml:space="preserve">In response to comments filed by CCTA, we clarify that ISPs objecting to a FFA application must submit unredacted customer bills for CD Staff to review, and because customer bills contain personally identifiable information, this information will be kept confidential, in accordance with the Commission’s confidentiality rules. </w:t>
      </w:r>
      <w:r w:rsidR="00D4002D">
        <w:t xml:space="preserve">We also revise the rules to indicate that a carrier may request confidential treatment pursuant to requirements of GO 66-D as to the number of subscribers an ISP has in a proposed project area that is included in a FFA application objection. </w:t>
      </w:r>
      <w:r>
        <w:t xml:space="preserve">Appropriately redacted information must still be provided as part of the public objection process. In addition, we revise the </w:t>
      </w:r>
      <w:r>
        <w:lastRenderedPageBreak/>
        <w:t xml:space="preserve">objection process to provide some flexibility for how objectors may document claims of </w:t>
      </w:r>
      <w:r w:rsidRPr="00AF5D5D">
        <w:t>proof of existing infrastructure.</w:t>
      </w:r>
    </w:p>
    <w:p w:rsidR="00A13D1F" w:rsidP="00276C4F" w:rsidRDefault="0079767C" w14:paraId="56BF6996" w14:textId="4FC39D8D">
      <w:pPr>
        <w:pStyle w:val="Standard"/>
      </w:pPr>
      <w:r>
        <w:t>In response to comments filed by Cal Advocates, we clarify in the Appendix that grant recipients must report the number of customers enrolled in low-income broadband plans (</w:t>
      </w:r>
      <w:r w:rsidRPr="00F34F2D" w:rsidR="008C6C83">
        <w:rPr>
          <w:i/>
          <w:iCs/>
        </w:rPr>
        <w:t>i.e</w:t>
      </w:r>
      <w:r w:rsidR="008C6C83">
        <w:t>.,</w:t>
      </w:r>
      <w:r>
        <w:t xml:space="preserve"> income qualified plans). We define low-income broadband plans as </w:t>
      </w:r>
      <w:r w:rsidRPr="00BF2D00">
        <w:t>income-qualified broadband plans offered to low-income customers</w:t>
      </w:r>
      <w:r>
        <w:t>. We also clarify that grantees must submit project progress reports on a quarterly basis to be consistent with the Final Rule.</w:t>
      </w:r>
    </w:p>
    <w:p w:rsidR="00E7713E" w:rsidP="00E7713E" w:rsidRDefault="00E7713E" w14:paraId="3F0A6114" w14:textId="291AB8E3">
      <w:pPr>
        <w:rPr>
          <w:rFonts w:ascii="Calibri" w:hAnsi="Calibri"/>
          <w:sz w:val="22"/>
        </w:rPr>
      </w:pPr>
      <w:r>
        <w:t xml:space="preserve">In response to CCTA’s opinion that “the geographic location of all households or locations (that an ISP objecting to a FFA application must provide)” is confidential information, </w:t>
      </w:r>
      <w:r w:rsidR="00D4002D">
        <w:t xml:space="preserve">as well as permits and pole attachment applications, </w:t>
      </w:r>
      <w:r>
        <w:t xml:space="preserve">we </w:t>
      </w:r>
      <w:r w:rsidR="00D4002D">
        <w:t xml:space="preserve">clarify </w:t>
      </w:r>
      <w:r w:rsidR="0058609A">
        <w:t xml:space="preserve">and revise this decision and the rules in Appendix A to make clear that an ISP objecting to a FFA application must provide deployment data on the locations where it offers service in a given project area, and this information will be disclosed. Further, permits submitted as part of an application objection will be disclosed. This is consistent with statute, and Commission rules and practices, including those articulated in </w:t>
      </w:r>
      <w:r>
        <w:t>G.O.</w:t>
      </w:r>
      <w:r w:rsidR="007206CF">
        <w:t> </w:t>
      </w:r>
      <w:r>
        <w:t>66-D or D.20</w:t>
      </w:r>
      <w:r w:rsidR="007206CF">
        <w:noBreakHyphen/>
      </w:r>
      <w:r>
        <w:t>12</w:t>
      </w:r>
      <w:r w:rsidR="007206CF">
        <w:noBreakHyphen/>
      </w:r>
      <w:r>
        <w:t xml:space="preserve">021. </w:t>
      </w:r>
      <w:r w:rsidRPr="0058609A" w:rsidR="0058609A">
        <w:t xml:space="preserve"> </w:t>
      </w:r>
      <w:r w:rsidR="0058609A">
        <w:t>We align our determination on the confidentiality of pole attachment applications with that in D.21</w:t>
      </w:r>
      <w:r w:rsidR="007206CF">
        <w:noBreakHyphen/>
      </w:r>
      <w:r w:rsidR="0058609A">
        <w:t>10</w:t>
      </w:r>
      <w:r w:rsidR="007206CF">
        <w:noBreakHyphen/>
      </w:r>
      <w:r w:rsidR="0058609A">
        <w:t>019. We revise this decision at pages</w:t>
      </w:r>
      <w:r w:rsidR="007206CF">
        <w:t> </w:t>
      </w:r>
      <w:r w:rsidR="0058609A">
        <w:t>78-81, and add new conclusions of law 8-11, to reflect the information that the Commission may disclose and that which may submitted under a request for confidentiality under GO</w:t>
      </w:r>
      <w:r w:rsidR="007206CF">
        <w:t> </w:t>
      </w:r>
      <w:r w:rsidR="0058609A">
        <w:t xml:space="preserve">66-D. </w:t>
      </w:r>
    </w:p>
    <w:p w:rsidR="00A13D1F" w:rsidP="00276C4F" w:rsidRDefault="00A13D1F" w14:paraId="08427A16" w14:textId="1A878D35">
      <w:pPr>
        <w:pStyle w:val="Heading1"/>
      </w:pPr>
      <w:bookmarkStart w:name="_Toc94637253" w:id="179"/>
      <w:bookmarkStart w:name="_Toc101519133" w:id="180"/>
      <w:r w:rsidRPr="00276C4F">
        <w:t>Assignment</w:t>
      </w:r>
      <w:r>
        <w:t xml:space="preserve"> of Proceeding</w:t>
      </w:r>
      <w:bookmarkEnd w:id="179"/>
      <w:bookmarkEnd w:id="180"/>
    </w:p>
    <w:p w:rsidR="00A13D1F" w:rsidP="00276C4F" w:rsidRDefault="00A13D1F" w14:paraId="79524241" w14:textId="09EC6C91">
      <w:pPr>
        <w:pStyle w:val="Standard"/>
      </w:pPr>
      <w:r>
        <w:t xml:space="preserve">Commission </w:t>
      </w:r>
      <w:r w:rsidRPr="00276C4F">
        <w:t>President</w:t>
      </w:r>
      <w:r>
        <w:t xml:space="preserve"> </w:t>
      </w:r>
      <w:bookmarkStart w:name="_Hlk96678344" w:id="181"/>
      <w:r>
        <w:t xml:space="preserve">Alice Reynolds </w:t>
      </w:r>
      <w:bookmarkEnd w:id="181"/>
      <w:r>
        <w:t>is the assigned Commissioner and Thomas J. Glegola is the assigned Administrative Law Judge in this proceeding.</w:t>
      </w:r>
    </w:p>
    <w:p w:rsidR="00A13D1F" w:rsidP="00276C4F" w:rsidRDefault="00A13D1F" w14:paraId="63C4B484" w14:textId="7910B3A9">
      <w:pPr>
        <w:pStyle w:val="Dummy"/>
      </w:pPr>
      <w:bookmarkStart w:name="_Toc94637254" w:id="182"/>
      <w:bookmarkStart w:name="_Toc101519134" w:id="183"/>
      <w:r w:rsidRPr="00276C4F">
        <w:lastRenderedPageBreak/>
        <w:t>Findings</w:t>
      </w:r>
      <w:r>
        <w:t xml:space="preserve"> of Fact</w:t>
      </w:r>
      <w:bookmarkEnd w:id="182"/>
      <w:bookmarkEnd w:id="183"/>
    </w:p>
    <w:p w:rsidRPr="00276C4F" w:rsidR="00A13D1F" w:rsidP="007206CF" w:rsidRDefault="00A13D1F" w14:paraId="2CD5D9A8" w14:textId="4C7D4094">
      <w:pPr>
        <w:pStyle w:val="FoF"/>
      </w:pPr>
      <w:r w:rsidRPr="00276C4F">
        <w:t>On August 14, 2020, Governor Gavin Newsom issued Executive</w:t>
      </w:r>
      <w:r w:rsidR="007206CF">
        <w:br/>
      </w:r>
      <w:r w:rsidRPr="00276C4F">
        <w:t>Order</w:t>
      </w:r>
      <w:r w:rsidR="007206CF">
        <w:t> </w:t>
      </w:r>
      <w:r w:rsidRPr="00276C4F">
        <w:t>N-73-20, directing state agencies to accomplish 15 specific actions to help bridge the digital divide, including ordering state agencies to pursue a minimum broadband speed goal of 100 Mbps download to guide infrastructure investments and program implementation to benefit all Californians.</w:t>
      </w:r>
    </w:p>
    <w:p w:rsidRPr="00276C4F" w:rsidR="00A13D1F" w:rsidP="00276C4F" w:rsidRDefault="00A13D1F" w14:paraId="230BBBA7" w14:textId="77777777">
      <w:pPr>
        <w:pStyle w:val="FoF"/>
      </w:pPr>
      <w:r w:rsidRPr="00276C4F">
        <w:t xml:space="preserve">On September 10, 2020, this Commission opened this Rulemaking to set </w:t>
      </w:r>
    </w:p>
    <w:p w:rsidRPr="00276C4F" w:rsidR="00A13D1F" w:rsidP="000A5FED" w:rsidRDefault="00A13D1F" w14:paraId="142AC34C" w14:textId="22F0726B">
      <w:pPr>
        <w:pStyle w:val="FoF"/>
        <w:numPr>
          <w:ilvl w:val="0"/>
          <w:numId w:val="0"/>
        </w:numPr>
      </w:pPr>
      <w:r w:rsidRPr="00276C4F">
        <w:t>the strategic direction and changes necessary to expeditiously deploy reliable,</w:t>
      </w:r>
      <w:r w:rsidR="00BB4FCB">
        <w:t xml:space="preserve"> </w:t>
      </w:r>
      <w:r w:rsidRPr="00276C4F">
        <w:t>fast, and affordable broadband Internet access services that connect all Californians.</w:t>
      </w:r>
    </w:p>
    <w:p w:rsidRPr="00276C4F" w:rsidR="00A13D1F" w:rsidP="00276C4F" w:rsidRDefault="00A13D1F" w14:paraId="4792F4FA" w14:textId="77777777">
      <w:pPr>
        <w:pStyle w:val="FoF"/>
      </w:pPr>
      <w:r w:rsidRPr="00276C4F">
        <w:t xml:space="preserve">On March 11, 2021, President Biden signed into law the American </w:t>
      </w:r>
    </w:p>
    <w:p w:rsidRPr="00276C4F" w:rsidR="00A13D1F" w:rsidP="000A5FED" w:rsidRDefault="00A13D1F" w14:paraId="6BCD07C4" w14:textId="3CCF3F35">
      <w:pPr>
        <w:pStyle w:val="FoF"/>
        <w:numPr>
          <w:ilvl w:val="0"/>
          <w:numId w:val="0"/>
        </w:numPr>
      </w:pPr>
      <w:r w:rsidRPr="00276C4F">
        <w:t>Rescue Plan Act of 2021 (Public Law No. 117-2), also called the COVID-19 Stimulus Package or American Rescue Plan</w:t>
      </w:r>
      <w:r w:rsidR="00422E4F">
        <w:t xml:space="preserve">, which established the Coronavirus State Fiscal Recovery Fund </w:t>
      </w:r>
      <w:r w:rsidRPr="00276C4F">
        <w:t xml:space="preserve">(SLFRF), which appropriated funds for states to deploy last-mile broadband Internet networks. </w:t>
      </w:r>
    </w:p>
    <w:p w:rsidRPr="00276C4F" w:rsidR="00A13D1F" w:rsidP="00BB4FCB" w:rsidRDefault="00A13D1F" w14:paraId="799BE4C2" w14:textId="71F6DB34">
      <w:pPr>
        <w:pStyle w:val="FoF"/>
      </w:pPr>
      <w:r w:rsidRPr="00276C4F">
        <w:t>The Secretary of the U.S. Treasury Department (Treasury) issued an Interim Final Rule effective May 17, 2021, to implement SLFRF. Treasury also issued a SLFRF Frequently Asked Questions (FAQ) document to provide additional guidance on how funds should be utilized. Treasury issued its Final Rule on January 6, 2022, which was published in the Federal Register on January</w:t>
      </w:r>
      <w:r w:rsidR="007D0F9A">
        <w:t> </w:t>
      </w:r>
      <w:r w:rsidRPr="00276C4F">
        <w:t>27,</w:t>
      </w:r>
      <w:r w:rsidR="007D0F9A">
        <w:t> </w:t>
      </w:r>
      <w:r w:rsidRPr="00276C4F">
        <w:t>2022. The Final Rule is effective April 1, 2022.</w:t>
      </w:r>
    </w:p>
    <w:p w:rsidRPr="00276C4F" w:rsidR="00A13D1F" w:rsidP="00BB4FCB" w:rsidRDefault="00A13D1F" w14:paraId="6334FCA7" w14:textId="4696FF89">
      <w:pPr>
        <w:pStyle w:val="FoF"/>
      </w:pPr>
      <w:r w:rsidRPr="00276C4F">
        <w:t>On July 20, 2021, Governor Newsom signed SB 156 into law, creating the Federal Funding Account, with this Commission being responsible for</w:t>
      </w:r>
      <w:r w:rsidR="00B0258C">
        <w:t xml:space="preserve"> </w:t>
      </w:r>
      <w:r w:rsidRPr="00276C4F">
        <w:t xml:space="preserve">implementing the new grant program. </w:t>
      </w:r>
    </w:p>
    <w:p w:rsidRPr="00276C4F" w:rsidR="00A13D1F" w:rsidP="00B0258C" w:rsidRDefault="00A13D1F" w14:paraId="21BC5B61" w14:textId="75B8A8FF">
      <w:pPr>
        <w:pStyle w:val="FoF"/>
      </w:pPr>
      <w:r w:rsidRPr="00276C4F">
        <w:t xml:space="preserve">SB 156 appropriates two billion dollars </w:t>
      </w:r>
      <w:r w:rsidR="008E76DC">
        <w:t>in</w:t>
      </w:r>
      <w:r w:rsidRPr="00276C4F" w:rsidR="008E76DC">
        <w:t xml:space="preserve"> </w:t>
      </w:r>
      <w:r w:rsidRPr="00276C4F">
        <w:t>SLFRF funds into the new</w:t>
      </w:r>
      <w:r w:rsidR="00B0258C">
        <w:t xml:space="preserve"> </w:t>
      </w:r>
      <w:r w:rsidRPr="00276C4F">
        <w:t>Federal Funding Account (FFA).</w:t>
      </w:r>
    </w:p>
    <w:p w:rsidRPr="00276C4F" w:rsidR="00A13D1F" w:rsidP="00B0258C" w:rsidRDefault="00A13D1F" w14:paraId="710A4883" w14:textId="4838292F">
      <w:pPr>
        <w:pStyle w:val="FoF"/>
      </w:pPr>
      <w:r w:rsidRPr="00276C4F">
        <w:lastRenderedPageBreak/>
        <w:t>SB 156 and the Final Rule permit the construction of a new state</w:t>
      </w:r>
      <w:r w:rsidR="008E76DC">
        <w:t>-</w:t>
      </w:r>
      <w:r w:rsidRPr="00276C4F">
        <w:t xml:space="preserve">owned and operated statewide middle-mile network. </w:t>
      </w:r>
    </w:p>
    <w:p w:rsidRPr="00276C4F" w:rsidR="00A13D1F" w:rsidP="00B0258C" w:rsidRDefault="00A13D1F" w14:paraId="5EA1DD01" w14:textId="2812F2F4">
      <w:pPr>
        <w:pStyle w:val="FoF"/>
      </w:pPr>
      <w:r w:rsidRPr="00276C4F">
        <w:t>The Second Amended Scoping Memorandum and Ruling in the instant proceeding, issued on August 2, 2021, adds implementation of the FFA to Phase</w:t>
      </w:r>
      <w:r w:rsidR="007D0F9A">
        <w:t> </w:t>
      </w:r>
      <w:r w:rsidRPr="00276C4F">
        <w:t>III of this proceeding.</w:t>
      </w:r>
    </w:p>
    <w:p w:rsidRPr="00276C4F" w:rsidR="00A13D1F" w:rsidP="00B0258C" w:rsidRDefault="00A13D1F" w14:paraId="11431112" w14:textId="52D8B228">
      <w:pPr>
        <w:pStyle w:val="FoF"/>
      </w:pPr>
      <w:r w:rsidRPr="00276C4F">
        <w:t xml:space="preserve">On September 23, 2021, the Assigned Commissioner issued a ruling requesting comment on a Staff Proposal for the rules that would implement the Federal Funding Account grant program (ACR).  </w:t>
      </w:r>
    </w:p>
    <w:p w:rsidRPr="00276C4F" w:rsidR="00A13D1F" w:rsidP="00B0258C" w:rsidRDefault="00A13D1F" w14:paraId="774CDCA7" w14:textId="36DB3E8D">
      <w:pPr>
        <w:pStyle w:val="FoF"/>
      </w:pPr>
      <w:r w:rsidRPr="00276C4F">
        <w:t xml:space="preserve"> The Final Rule grant</w:t>
      </w:r>
      <w:r w:rsidR="003268BC">
        <w:t>s</w:t>
      </w:r>
      <w:r w:rsidRPr="00276C4F">
        <w:t xml:space="preserve"> this Commission broad discretion to determine what areas are eligible, how to define reliable service, and what information to require from entities objecting to an application, among other items.</w:t>
      </w:r>
    </w:p>
    <w:p w:rsidRPr="00276C4F" w:rsidR="00A13D1F" w:rsidP="00B0258C" w:rsidRDefault="00A13D1F" w14:paraId="2A7EE892" w14:textId="116095E5">
      <w:pPr>
        <w:pStyle w:val="FoF"/>
      </w:pPr>
      <w:r w:rsidRPr="00276C4F">
        <w:t>The Final Rule identifies that legacy network technologies, such as copper telephone lines and early versions of cable system technology, may not provide reliable service because they typically lag on speeds, latency, and other factors, as compared to more modern technologies like fiber-optic networks.</w:t>
      </w:r>
    </w:p>
    <w:p w:rsidRPr="00276C4F" w:rsidR="00A13D1F" w:rsidP="00B0258C" w:rsidRDefault="00A13D1F" w14:paraId="43743902" w14:textId="5F3F609B">
      <w:pPr>
        <w:pStyle w:val="FoF"/>
      </w:pPr>
      <w:r w:rsidRPr="00276C4F">
        <w:t xml:space="preserve">The Final Rule requires grant recipients to build broadband infrastructure that reliably delivers or exceeds symmetrical upload and download speeds of </w:t>
      </w:r>
      <w:r w:rsidR="008E7E3E">
        <w:br/>
      </w:r>
      <w:r w:rsidRPr="00276C4F">
        <w:t>100 Mbps unless it is not practicable because of the geography, topography, or excessive costs associated with such a project. In these instances, the Final Rule require projects to deliver 100 Mbps download and at least 20 Mbps and be scalable to provide higher upload speeds.</w:t>
      </w:r>
    </w:p>
    <w:p w:rsidRPr="00276C4F" w:rsidR="00A13D1F" w:rsidP="00B0258C" w:rsidRDefault="00A13D1F" w14:paraId="2D78C022" w14:textId="15D0C9F7">
      <w:pPr>
        <w:pStyle w:val="FoF"/>
      </w:pPr>
      <w:r w:rsidRPr="00276C4F">
        <w:t>The Final Rule encourages recipients to prioritize support for broadband networks owned, operated by, or affiliated with local governments, nonprofits, and cooperatives, finding that these networks have less pressure to generate profits and a commitment to serve entire communities.</w:t>
      </w:r>
    </w:p>
    <w:p w:rsidRPr="00276C4F" w:rsidR="00A13D1F" w:rsidP="00B0258C" w:rsidRDefault="00A13D1F" w14:paraId="33DD35EE" w14:textId="1BB7B6E0">
      <w:pPr>
        <w:pStyle w:val="FoF"/>
      </w:pPr>
      <w:r w:rsidRPr="00276C4F">
        <w:lastRenderedPageBreak/>
        <w:t>The Final Rule requires grant recipients to participate in the Federal</w:t>
      </w:r>
      <w:r w:rsidR="00B0258C">
        <w:t xml:space="preserve"> </w:t>
      </w:r>
      <w:r w:rsidRPr="00276C4F">
        <w:t>Communications Commission’s Affordable Connectivity Program or offer an equivalent program, as well as offer a low-cost broadband plan.</w:t>
      </w:r>
    </w:p>
    <w:p w:rsidRPr="00276C4F" w:rsidR="00A13D1F" w:rsidP="00B0258C" w:rsidRDefault="00A13D1F" w14:paraId="434B0AB4" w14:textId="71EF6326">
      <w:pPr>
        <w:pStyle w:val="FoF"/>
      </w:pPr>
      <w:r w:rsidRPr="00276C4F">
        <w:t>All SLFRF funds must be awarded within the statutory period between March 3, 2021 and December 31, 2024 and expended to cover such obligations by December 31, 2026.</w:t>
      </w:r>
    </w:p>
    <w:p w:rsidRPr="00276C4F" w:rsidR="00A13D1F" w:rsidP="00B0258C" w:rsidRDefault="00A13D1F" w14:paraId="1656F126" w14:textId="07BB965B">
      <w:pPr>
        <w:pStyle w:val="FoF"/>
      </w:pPr>
      <w:r w:rsidRPr="00276C4F">
        <w:t xml:space="preserve">ISPs have two opportunities to demonstrate whether a specific geographic area is served, based on data submitted by ISPs to the Commission, which Communications Division Staff validates, and the application objection process adopted herein.  </w:t>
      </w:r>
    </w:p>
    <w:p w:rsidR="00A13D1F" w:rsidP="00276C4F" w:rsidRDefault="00A13D1F" w14:paraId="206DFC19" w14:textId="08567143">
      <w:pPr>
        <w:pStyle w:val="Dummy"/>
      </w:pPr>
      <w:bookmarkStart w:name="_Toc94637255" w:id="184"/>
      <w:bookmarkStart w:name="_Toc101519135" w:id="185"/>
      <w:r w:rsidRPr="00276C4F">
        <w:t>Conclusions</w:t>
      </w:r>
      <w:r>
        <w:t xml:space="preserve"> of Law</w:t>
      </w:r>
      <w:bookmarkEnd w:id="184"/>
      <w:bookmarkEnd w:id="185"/>
    </w:p>
    <w:p w:rsidRPr="00D11865" w:rsidR="00A13D1F" w:rsidP="00B0258C" w:rsidRDefault="00A13D1F" w14:paraId="11C71F16" w14:textId="4283C3C0">
      <w:pPr>
        <w:pStyle w:val="CoL"/>
      </w:pPr>
      <w:r w:rsidRPr="00EC2C87">
        <w:t>The rules, application requirements and guidelines for the Federal</w:t>
      </w:r>
      <w:r>
        <w:t xml:space="preserve"> Funding Account, as set forth in Appendix A, are consistent with federal statute, the Treasury Final Rule and state statute and should be approved. </w:t>
      </w:r>
    </w:p>
    <w:p w:rsidR="00A13D1F" w:rsidP="00276C4F" w:rsidRDefault="00A13D1F" w14:paraId="1F004192" w14:textId="77777777">
      <w:pPr>
        <w:pStyle w:val="CoL"/>
      </w:pPr>
      <w:r w:rsidRPr="00D174A4">
        <w:t xml:space="preserve">Initially limiting funds to areas of the state that do not have access to </w:t>
      </w:r>
      <w:r>
        <w:t>reliable 25 Mbps download and 3 Mbps upload connection is reasonable, given the significant need for high-speed, reliable and affordable wireline broadband service in the state.</w:t>
      </w:r>
    </w:p>
    <w:p w:rsidR="00A13D1F" w:rsidP="00B0258C" w:rsidRDefault="00A13D1F" w14:paraId="22565E68" w14:textId="5F2925F9">
      <w:pPr>
        <w:pStyle w:val="CoL"/>
      </w:pPr>
      <w:r>
        <w:t>It is reasonable to allow lower build out requirements for grant recipients proposing projects in which delivering symmetrical speeds of 100 Mbps</w:t>
      </w:r>
      <w:r w:rsidR="00B0258C">
        <w:t xml:space="preserve"> </w:t>
      </w:r>
      <w:r w:rsidR="005E09AD">
        <w:t xml:space="preserve">is </w:t>
      </w:r>
      <w:r>
        <w:t>impracticable because of the geography, topography, or excessive costs associated with such a project.</w:t>
      </w:r>
    </w:p>
    <w:p w:rsidR="00A13D1F" w:rsidP="00B0258C" w:rsidRDefault="00A13D1F" w14:paraId="05BEC23E" w14:textId="30ED9BFE">
      <w:pPr>
        <w:pStyle w:val="CoL"/>
      </w:pPr>
      <w:r w:rsidRPr="0050562F">
        <w:t>The Final Rule encourages program eligibility determinations as well as</w:t>
      </w:r>
      <w:r>
        <w:t xml:space="preserve"> program funding</w:t>
      </w:r>
      <w:r w:rsidR="00591B0C">
        <w:t xml:space="preserve"> to</w:t>
      </w:r>
      <w:r>
        <w:t xml:space="preserve"> be limited to reliable wireline broadband infrastructure</w:t>
      </w:r>
      <w:r w:rsidR="00AA2908">
        <w:t>.</w:t>
      </w:r>
    </w:p>
    <w:p w:rsidRPr="00D11865" w:rsidR="00A13D1F" w:rsidP="00276C4F" w:rsidRDefault="00A13D1F" w14:paraId="022E7B3A" w14:textId="26862CD3">
      <w:pPr>
        <w:pStyle w:val="CoL"/>
      </w:pPr>
      <w:r w:rsidRPr="004F0D3A">
        <w:t>The Final Rule encourages recipients to prioritize investments in fiber optic in</w:t>
      </w:r>
      <w:r>
        <w:t xml:space="preserve">frastructure, finding that </w:t>
      </w:r>
      <w:r w:rsidRPr="00B11143">
        <w:t xml:space="preserve">such advanced technology enables the next </w:t>
      </w:r>
      <w:r w:rsidRPr="00B11143">
        <w:lastRenderedPageBreak/>
        <w:t>generation of application</w:t>
      </w:r>
      <w:r>
        <w:t xml:space="preserve"> solutions for all communities, can deliver </w:t>
      </w:r>
      <w:r w:rsidRPr="009477E1">
        <w:t>superior, reliable performance</w:t>
      </w:r>
      <w:r>
        <w:t>,</w:t>
      </w:r>
      <w:r w:rsidRPr="009477E1">
        <w:t xml:space="preserve"> and is generally most scalable to meet future needs</w:t>
      </w:r>
      <w:r>
        <w:t xml:space="preserve">. </w:t>
      </w:r>
    </w:p>
    <w:p w:rsidR="00A13D1F" w:rsidP="00276C4F" w:rsidRDefault="00A13D1F" w14:paraId="4C3A041C" w14:textId="35E8F793">
      <w:pPr>
        <w:pStyle w:val="CoL"/>
      </w:pPr>
      <w:r w:rsidRPr="00AE07DC">
        <w:t>This decision complies with directive</w:t>
      </w:r>
      <w:r w:rsidR="00C90204">
        <w:t>s</w:t>
      </w:r>
      <w:r w:rsidRPr="00AE07DC">
        <w:t xml:space="preserve"> of Pub. Util. Code §§ 281(n)(3)(A) and §§ 281(n)(3)(B) respectively which direct the Commission to spend $2 billion on broadband Internet infrastructure projects, with $1 billion allocated to projects in urban counties and $1 billion allocated to projects in rural counties, requiring the Commission to allocate initially $5 million for projects in each county and then allocate the remaining funds in the respective urban or rural allocation, based on each county’s proportionate share of households without access to broadband Internet access service speeds of at least </w:t>
      </w:r>
      <w:r w:rsidR="00FA6FB1">
        <w:br/>
      </w:r>
      <w:r w:rsidRPr="00AE07DC">
        <w:t>100 megabits per second download</w:t>
      </w:r>
      <w:r>
        <w:t>.</w:t>
      </w:r>
    </w:p>
    <w:p w:rsidR="00A13D1F" w:rsidP="00B0258C" w:rsidRDefault="00A13D1F" w14:paraId="24A72353" w14:textId="0BD857F7">
      <w:pPr>
        <w:pStyle w:val="CoL"/>
      </w:pPr>
      <w:r>
        <w:t xml:space="preserve">The application objection rules adopted in this decision, including the </w:t>
      </w:r>
      <w:r w:rsidR="00E35B8B">
        <w:br/>
      </w:r>
      <w:r>
        <w:t>21-day submission deadline and the information requirements of applicants and application objectors</w:t>
      </w:r>
      <w:r w:rsidR="00387DE0">
        <w:t>,</w:t>
      </w:r>
      <w:r>
        <w:t xml:space="preserve"> balance the need to award grants expeditiously against the potential for committing funds to unnecessary projects and should be approved.</w:t>
      </w:r>
    </w:p>
    <w:p w:rsidR="0058609A" w:rsidP="0058609A" w:rsidRDefault="0058609A" w14:paraId="491E072E" w14:textId="4276787C">
      <w:pPr>
        <w:pStyle w:val="CoL"/>
        <w:ind w:firstLine="540"/>
      </w:pPr>
      <w:r>
        <w:t>In D.20</w:t>
      </w:r>
      <w:r w:rsidR="007D0F9A">
        <w:noBreakHyphen/>
      </w:r>
      <w:r>
        <w:t>12</w:t>
      </w:r>
      <w:r w:rsidR="007D0F9A">
        <w:noBreakHyphen/>
      </w:r>
      <w:r>
        <w:t>021, the Commission analyzed, at great length, information that meets the definitions of trade secret and critical infrastructure information.</w:t>
      </w:r>
    </w:p>
    <w:p w:rsidR="0058609A" w:rsidP="0058609A" w:rsidRDefault="0058609A" w14:paraId="200641AF" w14:textId="77777777">
      <w:pPr>
        <w:pStyle w:val="CoL"/>
        <w:ind w:firstLine="540"/>
      </w:pPr>
      <w:r>
        <w:t>ISP deployment data, also called serviceable address data, as well as permits, do not contain c</w:t>
      </w:r>
      <w:r w:rsidRPr="002256A9">
        <w:t>ustomer proprietary network information (CPNI)</w:t>
      </w:r>
      <w:r>
        <w:t>.</w:t>
      </w:r>
    </w:p>
    <w:p w:rsidR="0058609A" w:rsidP="0058609A" w:rsidRDefault="0058609A" w14:paraId="2B12A57A" w14:textId="77777777">
      <w:pPr>
        <w:pStyle w:val="CoL"/>
        <w:numPr>
          <w:ilvl w:val="0"/>
          <w:numId w:val="0"/>
        </w:numPr>
      </w:pPr>
      <w:r>
        <w:t xml:space="preserve">ISP deployment data, also called serviceable address data, and permits are already in the public domain, and therefore do not meet the definitions of a trade secret or critical infrastructure information. </w:t>
      </w:r>
    </w:p>
    <w:p w:rsidR="0058609A" w:rsidP="0058609A" w:rsidRDefault="0058609A" w14:paraId="0562F711" w14:textId="10E9C9DF">
      <w:pPr>
        <w:pStyle w:val="CoL"/>
        <w:ind w:firstLine="540"/>
      </w:pPr>
      <w:r>
        <w:t>In D.21</w:t>
      </w:r>
      <w:r w:rsidR="007D0F9A">
        <w:noBreakHyphen/>
      </w:r>
      <w:r>
        <w:t>10</w:t>
      </w:r>
      <w:r w:rsidR="007D0F9A">
        <w:noBreakHyphen/>
      </w:r>
      <w:r>
        <w:t xml:space="preserve">019, the Commission found that carriers did not satisfy their burden of demonstrating that </w:t>
      </w:r>
      <w:r w:rsidRPr="000C0B54">
        <w:t xml:space="preserve">pole attachment </w:t>
      </w:r>
      <w:r>
        <w:t xml:space="preserve">data warranted confidential treatment, but still allowed any of </w:t>
      </w:r>
      <w:r w:rsidRPr="000B13A9">
        <w:t xml:space="preserve">the five major pole owners and/or attachers </w:t>
      </w:r>
      <w:r>
        <w:t xml:space="preserve">to </w:t>
      </w:r>
      <w:r>
        <w:lastRenderedPageBreak/>
        <w:t xml:space="preserve">file a </w:t>
      </w:r>
      <w:r w:rsidRPr="000B13A9">
        <w:t>motio</w:t>
      </w:r>
      <w:r>
        <w:t xml:space="preserve">n seeking confidential treatment </w:t>
      </w:r>
      <w:r w:rsidRPr="000B13A9">
        <w:t>and provide the necessary granular information and declaration to support the</w:t>
      </w:r>
      <w:r>
        <w:t>ir</w:t>
      </w:r>
      <w:r w:rsidRPr="000B13A9">
        <w:t xml:space="preserve"> confidentiality request.</w:t>
      </w:r>
    </w:p>
    <w:p w:rsidR="00A13D1F" w:rsidP="00B0258C" w:rsidRDefault="00A13D1F" w14:paraId="7A1F4669" w14:textId="261FC8CC">
      <w:pPr>
        <w:pStyle w:val="CoL"/>
      </w:pPr>
      <w:r>
        <w:t>This Commission has the authority to delegate to Staff the ministerial review of Federal Funding Account applications meeting the criteria specified in the Ministerial Review Section of this Decision and in Appendix A, and it is reasonable that it do so in the context of this proceeding.</w:t>
      </w:r>
    </w:p>
    <w:p w:rsidRPr="00B26339" w:rsidR="00A13D1F" w:rsidP="00B0258C" w:rsidRDefault="00A13D1F" w14:paraId="6D4C5774" w14:textId="2C66F707">
      <w:pPr>
        <w:pStyle w:val="CoL"/>
      </w:pPr>
      <w:r>
        <w:t xml:space="preserve"> The</w:t>
      </w:r>
      <w:r w:rsidRPr="00B26339">
        <w:t xml:space="preserve"> new state owned and operated statewide middle-mile network</w:t>
      </w:r>
      <w:r>
        <w:t xml:space="preserve"> authorized</w:t>
      </w:r>
      <w:r w:rsidRPr="00B26339">
        <w:t xml:space="preserve"> </w:t>
      </w:r>
      <w:r>
        <w:t>by SB 156</w:t>
      </w:r>
      <w:r w:rsidRPr="00B26339">
        <w:t xml:space="preserve"> will not reach all parts of the state, making </w:t>
      </w:r>
      <w:r>
        <w:t>it necessary to use some Federal Funding Account grant funds on middle-mile infrastructure.</w:t>
      </w:r>
      <w:r w:rsidRPr="00B26339">
        <w:t xml:space="preserve"> </w:t>
      </w:r>
    </w:p>
    <w:p w:rsidRPr="001E2A62" w:rsidR="00A13D1F" w:rsidP="00276C4F" w:rsidRDefault="00A13D1F" w14:paraId="0C231E95" w14:textId="583AF94D">
      <w:pPr>
        <w:pStyle w:val="CoL"/>
      </w:pPr>
      <w:r>
        <w:t>The Commission should adopt the Federal Funding Account rules, as revised in this decision.</w:t>
      </w:r>
    </w:p>
    <w:p w:rsidR="00A13D1F" w:rsidP="00A40584" w:rsidRDefault="00A13D1F" w14:paraId="3A58E570" w14:textId="77777777">
      <w:pPr>
        <w:pStyle w:val="Mainex"/>
      </w:pPr>
      <w:bookmarkStart w:name="_Toc101519136" w:id="186"/>
      <w:r w:rsidRPr="00A40584">
        <w:t>ORDER</w:t>
      </w:r>
      <w:bookmarkEnd w:id="186"/>
    </w:p>
    <w:p w:rsidR="00A13D1F" w:rsidP="00A13D1F" w:rsidRDefault="00A13D1F" w14:paraId="7F66D313" w14:textId="77777777">
      <w:pPr>
        <w:keepNext/>
      </w:pPr>
      <w:r w:rsidRPr="00BB0243">
        <w:rPr>
          <w:b/>
        </w:rPr>
        <w:t>IT IS ORDERED</w:t>
      </w:r>
      <w:r>
        <w:t xml:space="preserve"> that:</w:t>
      </w:r>
    </w:p>
    <w:p w:rsidRPr="00A40584" w:rsidR="00A13D1F" w:rsidP="00A40584" w:rsidRDefault="00A13D1F" w14:paraId="26BC747E" w14:textId="77777777">
      <w:pPr>
        <w:pStyle w:val="OP"/>
      </w:pPr>
      <w:r w:rsidRPr="00A40584">
        <w:t>The revised Federal Funding Account rules contained in Appendix A are adopted.</w:t>
      </w:r>
    </w:p>
    <w:p w:rsidRPr="00A40584" w:rsidR="00A13D1F" w:rsidP="00A40584" w:rsidRDefault="00A13D1F" w14:paraId="26CDD187" w14:textId="66C34432">
      <w:pPr>
        <w:pStyle w:val="OP"/>
      </w:pPr>
      <w:r w:rsidRPr="00A40584">
        <w:t xml:space="preserve">The Commission delegates to Communications Division Staff the authority to develop application submission guidance and templates for applicants and interested individuals that are consistent with this Decision and with the </w:t>
      </w:r>
      <w:r w:rsidR="00C5392E">
        <w:t>U.S. Treasury Department’s</w:t>
      </w:r>
      <w:r w:rsidRPr="00A40584">
        <w:t xml:space="preserve"> Final Rule.</w:t>
      </w:r>
    </w:p>
    <w:p w:rsidRPr="00A40584" w:rsidR="00A13D1F" w:rsidP="00A40584" w:rsidRDefault="00A13D1F" w14:paraId="40EBF405" w14:textId="6C1C12BF">
      <w:pPr>
        <w:pStyle w:val="OP"/>
      </w:pPr>
      <w:r w:rsidRPr="00A40584">
        <w:t xml:space="preserve">The Commission delegates to Communications Division Staff the authority to approve applications meeting the ministerial review requirements contained in Appendix A and consistent with this </w:t>
      </w:r>
      <w:r w:rsidR="008058A6">
        <w:t>d</w:t>
      </w:r>
      <w:r w:rsidRPr="00A40584" w:rsidR="008058A6">
        <w:t>ecision</w:t>
      </w:r>
      <w:r w:rsidRPr="00A40584">
        <w:t>. Applications that do not meet the ministerial review requirements may only be approved by Commission resolution.</w:t>
      </w:r>
    </w:p>
    <w:p w:rsidRPr="00A40584" w:rsidR="00A13D1F" w:rsidP="00A40584" w:rsidRDefault="00A13D1F" w14:paraId="36FD44B3" w14:textId="77777777">
      <w:pPr>
        <w:pStyle w:val="OP"/>
      </w:pPr>
      <w:r w:rsidRPr="00A40584">
        <w:lastRenderedPageBreak/>
        <w:t>The Commission delegates to Communications Division Staff the authority to establish application deadlines for the Federal Funding Account approved by this decision.</w:t>
      </w:r>
    </w:p>
    <w:p w:rsidRPr="00A40584" w:rsidR="00A13D1F" w:rsidP="007D0F9A" w:rsidRDefault="00A13D1F" w14:paraId="2D415B8C" w14:textId="77777777">
      <w:pPr>
        <w:pStyle w:val="OP"/>
        <w:keepNext/>
        <w:keepLines/>
      </w:pPr>
      <w:r w:rsidRPr="00A40584">
        <w:t>Rulemaking 20-09-001 remains open.</w:t>
      </w:r>
    </w:p>
    <w:p w:rsidR="008F0116" w:rsidP="007D0F9A" w:rsidRDefault="008F0116" w14:paraId="0FA7F1BA" w14:textId="77777777">
      <w:pPr>
        <w:keepNext/>
        <w:keepLines/>
      </w:pPr>
      <w:r>
        <w:t>This order is effective today.</w:t>
      </w:r>
    </w:p>
    <w:p w:rsidR="00714CF2" w:rsidP="00C418A0" w:rsidRDefault="008F0116" w14:paraId="38F11DCD" w14:textId="1E38A060">
      <w:pPr>
        <w:keepNext/>
        <w:keepLines/>
        <w:spacing w:line="240" w:lineRule="auto"/>
      </w:pPr>
      <w:r>
        <w:t xml:space="preserve">Dated </w:t>
      </w:r>
      <w:r w:rsidR="00C418A0">
        <w:t>April 21, 2022</w:t>
      </w:r>
      <w:r>
        <w:t>, at San Francisco, California</w:t>
      </w:r>
      <w:r w:rsidR="00A13D1F">
        <w:t>.</w:t>
      </w:r>
    </w:p>
    <w:p w:rsidR="00C418A0" w:rsidP="00C418A0" w:rsidRDefault="00C418A0" w14:paraId="7D6D446F" w14:textId="3E8F3988">
      <w:pPr>
        <w:keepNext/>
        <w:keepLines/>
        <w:spacing w:line="240" w:lineRule="auto"/>
      </w:pPr>
    </w:p>
    <w:p w:rsidR="00C418A0" w:rsidP="00C418A0" w:rsidRDefault="00C418A0" w14:paraId="179EE635" w14:textId="77777777">
      <w:pPr>
        <w:keepNext/>
        <w:keepLines/>
        <w:spacing w:line="240" w:lineRule="auto"/>
      </w:pPr>
    </w:p>
    <w:p w:rsidRPr="0091446B" w:rsidR="00C418A0" w:rsidP="00C418A0" w:rsidRDefault="00C418A0" w14:paraId="3E6CCF04" w14:textId="77777777">
      <w:pPr>
        <w:keepNext/>
        <w:autoSpaceDE w:val="0"/>
        <w:autoSpaceDN w:val="0"/>
        <w:adjustRightInd w:val="0"/>
        <w:spacing w:line="240" w:lineRule="auto"/>
        <w:ind w:left="4950" w:firstLine="0"/>
        <w:jc w:val="both"/>
        <w:rPr>
          <w:rFonts w:ascii="Palatino" w:hAnsi="Palatino" w:eastAsia="Times New Roman" w:cs="Times New Roman"/>
          <w:szCs w:val="26"/>
        </w:rPr>
      </w:pPr>
      <w:bookmarkStart w:name="_Hlk17215919" w:id="187"/>
      <w:bookmarkStart w:name="_Hlk96596216" w:id="188"/>
      <w:bookmarkStart w:name="_Hlk101173981" w:id="189"/>
      <w:r w:rsidRPr="0091446B">
        <w:rPr>
          <w:rFonts w:ascii="Palatino" w:hAnsi="Palatino" w:eastAsia="Times New Roman" w:cs="Times New Roman"/>
          <w:szCs w:val="26"/>
        </w:rPr>
        <w:t>ALICE REYNOLDS</w:t>
      </w:r>
      <w:r w:rsidRPr="0091446B">
        <w:rPr>
          <w:rFonts w:ascii="Palatino" w:hAnsi="Palatino" w:eastAsia="Times New Roman" w:cs="Times New Roman"/>
          <w:szCs w:val="26"/>
        </w:rPr>
        <w:tab/>
      </w:r>
      <w:r w:rsidRPr="0091446B">
        <w:rPr>
          <w:rFonts w:ascii="Palatino" w:hAnsi="Palatino" w:eastAsia="Times New Roman" w:cs="Times New Roman"/>
          <w:szCs w:val="26"/>
        </w:rPr>
        <w:tab/>
      </w:r>
      <w:r w:rsidRPr="0091446B">
        <w:rPr>
          <w:rFonts w:ascii="Palatino" w:hAnsi="Palatino" w:eastAsia="Times New Roman" w:cs="Times New Roman"/>
          <w:szCs w:val="26"/>
        </w:rPr>
        <w:tab/>
      </w:r>
      <w:r w:rsidRPr="0091446B">
        <w:rPr>
          <w:rFonts w:ascii="Palatino" w:hAnsi="Palatino" w:eastAsia="Times New Roman" w:cs="Times New Roman"/>
          <w:szCs w:val="26"/>
        </w:rPr>
        <w:tab/>
        <w:t xml:space="preserve">          President</w:t>
      </w:r>
    </w:p>
    <w:p w:rsidRPr="0091446B" w:rsidR="00C418A0" w:rsidP="00C418A0" w:rsidRDefault="00C418A0" w14:paraId="6F4EA949" w14:textId="77777777">
      <w:pPr>
        <w:keepNext/>
        <w:autoSpaceDE w:val="0"/>
        <w:autoSpaceDN w:val="0"/>
        <w:adjustRightInd w:val="0"/>
        <w:spacing w:line="240" w:lineRule="auto"/>
        <w:ind w:left="4950" w:firstLine="0"/>
        <w:jc w:val="both"/>
        <w:rPr>
          <w:rFonts w:ascii="Palatino" w:hAnsi="Palatino" w:eastAsia="Times New Roman" w:cs="Times New Roman"/>
          <w:szCs w:val="26"/>
        </w:rPr>
      </w:pPr>
      <w:r w:rsidRPr="0091446B">
        <w:rPr>
          <w:rFonts w:ascii="Palatino" w:hAnsi="Palatino" w:eastAsia="Times New Roman" w:cs="Times New Roman"/>
          <w:szCs w:val="26"/>
        </w:rPr>
        <w:t>CLIFFORD RECHTSCHAFFEN</w:t>
      </w:r>
    </w:p>
    <w:p w:rsidRPr="0091446B" w:rsidR="00C418A0" w:rsidP="00C418A0" w:rsidRDefault="00C418A0" w14:paraId="37C157BF" w14:textId="77777777">
      <w:pPr>
        <w:keepNext/>
        <w:autoSpaceDE w:val="0"/>
        <w:autoSpaceDN w:val="0"/>
        <w:adjustRightInd w:val="0"/>
        <w:spacing w:line="240" w:lineRule="auto"/>
        <w:ind w:left="4950" w:firstLine="0"/>
        <w:jc w:val="both"/>
        <w:rPr>
          <w:rFonts w:ascii="Palatino" w:hAnsi="Palatino" w:eastAsia="Times New Roman" w:cs="Times New Roman"/>
          <w:szCs w:val="26"/>
        </w:rPr>
      </w:pPr>
      <w:r w:rsidRPr="0091446B">
        <w:rPr>
          <w:rFonts w:ascii="Palatino" w:hAnsi="Palatino" w:eastAsia="Times New Roman" w:cs="Times New Roman"/>
          <w:szCs w:val="26"/>
        </w:rPr>
        <w:t>GENEVIEVE SHIROMA</w:t>
      </w:r>
    </w:p>
    <w:p w:rsidRPr="0091446B" w:rsidR="00C418A0" w:rsidP="00C418A0" w:rsidRDefault="00C418A0" w14:paraId="0F50088A" w14:textId="77777777">
      <w:pPr>
        <w:keepNext/>
        <w:autoSpaceDE w:val="0"/>
        <w:autoSpaceDN w:val="0"/>
        <w:adjustRightInd w:val="0"/>
        <w:spacing w:line="240" w:lineRule="auto"/>
        <w:ind w:left="4950" w:firstLine="0"/>
        <w:jc w:val="both"/>
        <w:rPr>
          <w:rFonts w:ascii="Palatino" w:hAnsi="Palatino" w:eastAsia="Times New Roman" w:cs="Times New Roman"/>
          <w:szCs w:val="26"/>
        </w:rPr>
      </w:pPr>
      <w:r w:rsidRPr="0091446B">
        <w:rPr>
          <w:rFonts w:ascii="Palatino" w:hAnsi="Palatino" w:eastAsia="Times New Roman" w:cs="Times New Roman"/>
          <w:szCs w:val="26"/>
        </w:rPr>
        <w:t>DARCIE L. HOUCK</w:t>
      </w:r>
    </w:p>
    <w:p w:rsidRPr="0091446B" w:rsidR="00C418A0" w:rsidP="00C418A0" w:rsidRDefault="00C418A0" w14:paraId="0C645AEC" w14:textId="77777777">
      <w:pPr>
        <w:keepNext/>
        <w:autoSpaceDE w:val="0"/>
        <w:autoSpaceDN w:val="0"/>
        <w:adjustRightInd w:val="0"/>
        <w:spacing w:line="240" w:lineRule="auto"/>
        <w:ind w:left="4950" w:firstLine="0"/>
        <w:jc w:val="both"/>
        <w:rPr>
          <w:rFonts w:ascii="Palatino" w:hAnsi="Palatino" w:eastAsia="Times New Roman" w:cs="Times New Roman"/>
          <w:szCs w:val="26"/>
        </w:rPr>
      </w:pPr>
      <w:r w:rsidRPr="0091446B">
        <w:rPr>
          <w:rFonts w:ascii="Palatino" w:hAnsi="Palatino" w:eastAsia="Times New Roman" w:cs="Times New Roman"/>
          <w:szCs w:val="26"/>
        </w:rPr>
        <w:t>JOHN R.D. REYNOLDS</w:t>
      </w:r>
    </w:p>
    <w:p w:rsidRPr="0091446B" w:rsidR="00C418A0" w:rsidP="00C418A0" w:rsidRDefault="00C418A0" w14:paraId="0100B979" w14:textId="77777777">
      <w:pPr>
        <w:keepNext/>
        <w:autoSpaceDE w:val="0"/>
        <w:autoSpaceDN w:val="0"/>
        <w:adjustRightInd w:val="0"/>
        <w:spacing w:line="240" w:lineRule="auto"/>
        <w:ind w:left="4950" w:firstLine="0"/>
        <w:jc w:val="both"/>
        <w:rPr>
          <w:rFonts w:ascii="Palatino" w:hAnsi="Palatino" w:eastAsia="Times New Roman" w:cs="Times New Roman"/>
          <w:szCs w:val="26"/>
        </w:rPr>
      </w:pPr>
      <w:r w:rsidRPr="0091446B">
        <w:rPr>
          <w:rFonts w:ascii="Palatino" w:hAnsi="Palatino" w:eastAsia="Times New Roman" w:cs="Times New Roman"/>
          <w:szCs w:val="26"/>
        </w:rPr>
        <w:t xml:space="preserve">         Commissioners</w:t>
      </w:r>
      <w:bookmarkEnd w:id="187"/>
      <w:bookmarkEnd w:id="188"/>
      <w:bookmarkEnd w:id="189"/>
    </w:p>
    <w:p w:rsidR="007D0F9A" w:rsidP="00816E05" w:rsidRDefault="007D0F9A" w14:paraId="2E3C4212" w14:textId="77777777"/>
    <w:p w:rsidR="00A40584" w:rsidP="00816E05" w:rsidRDefault="00A40584" w14:paraId="7E947D67" w14:textId="77777777"/>
    <w:p w:rsidR="00C418A0" w:rsidP="00816E05" w:rsidRDefault="00C418A0" w14:paraId="0C279712" w14:textId="2837C530">
      <w:pPr>
        <w:sectPr w:rsidR="00C418A0" w:rsidSect="00A75DA7">
          <w:headerReference w:type="default" r:id="rId12"/>
          <w:footerReference w:type="default" r:id="rId13"/>
          <w:pgSz w:w="12240" w:h="15840"/>
          <w:pgMar w:top="1728" w:right="1440" w:bottom="1440" w:left="1440" w:header="720" w:footer="720" w:gutter="0"/>
          <w:pgNumType w:start="2"/>
          <w:cols w:space="720"/>
          <w:docGrid w:linePitch="360"/>
        </w:sectPr>
      </w:pPr>
    </w:p>
    <w:p w:rsidR="00854487" w:rsidP="00854487" w:rsidRDefault="00854487" w14:paraId="7188ED34" w14:textId="77777777">
      <w:pPr>
        <w:jc w:val="center"/>
        <w:rPr>
          <w:b/>
          <w:bCs/>
          <w:sz w:val="36"/>
          <w:szCs w:val="36"/>
        </w:rPr>
      </w:pPr>
    </w:p>
    <w:p w:rsidR="00854487" w:rsidP="00854487" w:rsidRDefault="00854487" w14:paraId="165DBCEB" w14:textId="77777777">
      <w:pPr>
        <w:jc w:val="center"/>
        <w:rPr>
          <w:b/>
          <w:bCs/>
          <w:sz w:val="36"/>
          <w:szCs w:val="36"/>
        </w:rPr>
      </w:pPr>
    </w:p>
    <w:p w:rsidR="00854487" w:rsidP="00854487" w:rsidRDefault="00854487" w14:paraId="1F069C65" w14:textId="77777777">
      <w:pPr>
        <w:jc w:val="center"/>
        <w:rPr>
          <w:b/>
          <w:bCs/>
          <w:sz w:val="36"/>
          <w:szCs w:val="36"/>
        </w:rPr>
      </w:pPr>
    </w:p>
    <w:p w:rsidR="00A40584" w:rsidP="007E526C" w:rsidRDefault="00854487" w14:paraId="2974CE62" w14:textId="3C47F7C1">
      <w:pPr>
        <w:ind w:firstLine="0"/>
        <w:jc w:val="center"/>
        <w:rPr>
          <w:b/>
          <w:bCs/>
          <w:sz w:val="36"/>
          <w:szCs w:val="36"/>
        </w:rPr>
      </w:pPr>
      <w:r>
        <w:rPr>
          <w:b/>
          <w:bCs/>
          <w:sz w:val="36"/>
          <w:szCs w:val="36"/>
        </w:rPr>
        <w:t>APPENDIX A</w:t>
      </w:r>
    </w:p>
    <w:p w:rsidRPr="007E526C" w:rsidR="007E526C" w:rsidP="007E526C" w:rsidRDefault="007E526C" w14:paraId="2FF882FA" w14:textId="6BC57ED1">
      <w:pPr>
        <w:ind w:firstLine="0"/>
        <w:jc w:val="center"/>
        <w:rPr>
          <w:b/>
          <w:bCs/>
          <w:sz w:val="28"/>
          <w:szCs w:val="28"/>
        </w:rPr>
      </w:pPr>
      <w:r w:rsidRPr="007E526C">
        <w:rPr>
          <w:rFonts w:cs="Arial"/>
          <w:b/>
          <w:bCs/>
          <w:sz w:val="28"/>
          <w:szCs w:val="28"/>
        </w:rPr>
        <w:t>Revised Federal Funding Account Grant Program Rules</w:t>
      </w:r>
    </w:p>
    <w:sectPr w:rsidRPr="007E526C" w:rsidR="007E526C" w:rsidSect="00A13D1F">
      <w:headerReference w:type="default" r:id="rId14"/>
      <w:footerReference w:type="default" r:id="rId15"/>
      <w:pgSz w:w="12240" w:h="15840"/>
      <w:pgMar w:top="1728" w:right="1440" w:bottom="1440" w:left="1440" w:header="720" w:footer="720" w:gutter="0"/>
      <w:cols w:space="720"/>
      <w:docGrid w:linePitch="360"/>
    </w:sectPr>
    <w:p>
      <w:r>
        <w:t xml:space="preserve"/>
      </w:r>
    </w:p>
    <w:p>
      <w:r>
        <w:t xml:space="preserve">Attachment 1: </w:t>
      </w:r>
    </w:p>
    <w:p>
      <w:hyperlink w:history="true" r:id="Rc61ed278eb114569">
        <w:r w:rsidRPr="00CB1292">
          <w:rPr>
            <w:rStyle w:val="Hyperlink"/>
            <w:color w:val="2E74B5" w:themeColor="accent1" w:themeShade="BF"/>
            <w:u w:val="single"/>
          </w:rPr>
          <w:t>D2204055 Appendix A (Federal Funding Account Program Rules and Guidelines)</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023FF" w14:textId="77777777" w:rsidR="001F5672" w:rsidRDefault="001F5672" w:rsidP="0098138E">
      <w:pPr>
        <w:spacing w:line="240" w:lineRule="auto"/>
      </w:pPr>
      <w:r>
        <w:separator/>
      </w:r>
    </w:p>
  </w:endnote>
  <w:endnote w:type="continuationSeparator" w:id="0">
    <w:p w14:paraId="155A3118" w14:textId="77777777" w:rsidR="001F5672" w:rsidRDefault="001F5672"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69B6" w14:textId="5D2FA460" w:rsidR="00747336" w:rsidRDefault="00E41BD4" w:rsidP="007E0FEE">
    <w:pPr>
      <w:tabs>
        <w:tab w:val="center" w:pos="4680"/>
      </w:tabs>
      <w:ind w:firstLine="0"/>
      <w:rPr>
        <w:noProof/>
      </w:rPr>
    </w:pPr>
    <w:r w:rsidRPr="00E41BD4">
      <w:rPr>
        <w:sz w:val="16"/>
        <w:szCs w:val="16"/>
      </w:rPr>
      <w:t>470543650</w:t>
    </w:r>
    <w:sdt>
      <w:sdtPr>
        <w:id w:val="-1601335100"/>
        <w:docPartObj>
          <w:docPartGallery w:val="Page Numbers (Bottom of Page)"/>
          <w:docPartUnique/>
        </w:docPartObj>
      </w:sdtPr>
      <w:sdtEndPr>
        <w:rPr>
          <w:noProof/>
        </w:rPr>
      </w:sdtEndPr>
      <w:sdtContent>
        <w:r w:rsidR="00747336">
          <w:rPr>
            <w:rFonts w:ascii="Arial" w:hAnsi="Arial" w:cs="Arial"/>
            <w:sz w:val="16"/>
            <w:szCs w:val="16"/>
          </w:rPr>
          <w:tab/>
        </w:r>
        <w:r w:rsidR="00747336">
          <w:t xml:space="preserve">- </w:t>
        </w:r>
        <w:r w:rsidR="00747336">
          <w:fldChar w:fldCharType="begin"/>
        </w:r>
        <w:r w:rsidR="00747336">
          <w:instrText xml:space="preserve"> PAGE   \* MERGEFORMAT </w:instrText>
        </w:r>
        <w:r w:rsidR="00747336">
          <w:fldChar w:fldCharType="separate"/>
        </w:r>
        <w:r w:rsidR="00747336">
          <w:rPr>
            <w:noProof/>
          </w:rPr>
          <w:t>2</w:t>
        </w:r>
        <w:r w:rsidR="00747336">
          <w:rPr>
            <w:noProof/>
          </w:rPr>
          <w:fldChar w:fldCharType="end"/>
        </w:r>
      </w:sdtContent>
    </w:sdt>
    <w:r w:rsidR="00747336">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CA8F" w14:textId="77777777" w:rsidR="00E23CBB" w:rsidRDefault="00E23CBB" w:rsidP="007E0FEE">
    <w:pPr>
      <w:ind w:firstLine="0"/>
      <w:jc w:val="center"/>
    </w:pPr>
    <w:r>
      <w:t>-</w:t>
    </w:r>
    <w:r w:rsidR="00EE4315">
      <w:t xml:space="preserve"> </w:t>
    </w:r>
    <w:sdt>
      <w:sdtPr>
        <w:id w:val="17931696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sidR="00EE4315">
          <w:rPr>
            <w:noProof/>
          </w:rPr>
          <w:t xml:space="preserve"> </w:t>
        </w:r>
        <w:r>
          <w:rPr>
            <w:noProof/>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04BA" w14:textId="77777777" w:rsidR="00E23CBB" w:rsidRDefault="00E23CBB" w:rsidP="007E0FEE">
    <w:pPr>
      <w:ind w:firstLine="0"/>
      <w:jc w:val="center"/>
    </w:pPr>
    <w:r>
      <w:t>-</w:t>
    </w:r>
    <w:sdt>
      <w:sdtPr>
        <w:id w:val="-1034043401"/>
        <w:docPartObj>
          <w:docPartGallery w:val="Page Numbers (Bottom of Page)"/>
          <w:docPartUnique/>
        </w:docPartObj>
      </w:sdtPr>
      <w:sdtEndPr>
        <w:rPr>
          <w:noProof/>
        </w:rPr>
      </w:sdtEndPr>
      <w:sdtContent>
        <w:r w:rsidR="00EE4315">
          <w:t xml:space="preserve"> </w:t>
        </w:r>
        <w:r>
          <w:fldChar w:fldCharType="begin"/>
        </w:r>
        <w:r>
          <w:instrText xml:space="preserve"> PAGE   \* MERGEFORMAT </w:instrText>
        </w:r>
        <w:r>
          <w:fldChar w:fldCharType="separate"/>
        </w:r>
        <w:r>
          <w:rPr>
            <w:noProof/>
          </w:rPr>
          <w:t>2</w:t>
        </w:r>
        <w:r>
          <w:rPr>
            <w:noProof/>
          </w:rPr>
          <w:fldChar w:fldCharType="end"/>
        </w:r>
        <w:r w:rsidR="00EE4315">
          <w:rPr>
            <w:noProof/>
          </w:rPr>
          <w:t xml:space="preserve"> </w:t>
        </w:r>
        <w:r>
          <w:rPr>
            <w:noProof/>
          </w:rPr>
          <w:t>-</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BE7C" w14:textId="00C27364" w:rsidR="00A40584" w:rsidRPr="00A40584" w:rsidRDefault="00A40584" w:rsidP="00A40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86BD7" w14:textId="77777777" w:rsidR="001F5672" w:rsidRDefault="001F5672" w:rsidP="00DF58E7">
      <w:pPr>
        <w:spacing w:line="240" w:lineRule="auto"/>
        <w:ind w:firstLine="0"/>
      </w:pPr>
      <w:r>
        <w:separator/>
      </w:r>
    </w:p>
  </w:footnote>
  <w:footnote w:type="continuationSeparator" w:id="0">
    <w:p w14:paraId="1CA5DCCF" w14:textId="77777777" w:rsidR="001F5672" w:rsidRDefault="001F5672" w:rsidP="00DF58E7">
      <w:pPr>
        <w:spacing w:line="240" w:lineRule="auto"/>
        <w:ind w:firstLine="0"/>
      </w:pPr>
      <w:r>
        <w:continuationSeparator/>
      </w:r>
    </w:p>
  </w:footnote>
  <w:footnote w:type="continuationNotice" w:id="1">
    <w:p w14:paraId="11EC39C0" w14:textId="77777777" w:rsidR="001F5672" w:rsidRPr="00DF58E7" w:rsidRDefault="001F5672" w:rsidP="00DF58E7">
      <w:pPr>
        <w:spacing w:line="240" w:lineRule="auto"/>
        <w:ind w:firstLine="0"/>
        <w:jc w:val="right"/>
        <w:rPr>
          <w:i/>
          <w:sz w:val="22"/>
        </w:rPr>
      </w:pPr>
    </w:p>
  </w:footnote>
  <w:footnote w:id="2">
    <w:p w14:paraId="20F1518B" w14:textId="77777777" w:rsidR="00A13D1F" w:rsidRDefault="00A13D1F" w:rsidP="00A13D1F">
      <w:pPr>
        <w:pStyle w:val="FootnoteText"/>
      </w:pPr>
      <w:r>
        <w:rPr>
          <w:rStyle w:val="FootnoteReference"/>
        </w:rPr>
        <w:footnoteRef/>
      </w:r>
      <w:r>
        <w:t xml:space="preserve"> </w:t>
      </w:r>
      <w:r w:rsidRPr="00F26F79">
        <w:t>Public Law No. 117-2</w:t>
      </w:r>
      <w:r>
        <w:t>.</w:t>
      </w:r>
    </w:p>
  </w:footnote>
  <w:footnote w:id="3">
    <w:p w14:paraId="64D1FABD" w14:textId="77777777" w:rsidR="00A13D1F" w:rsidRDefault="00A13D1F" w:rsidP="00A13D1F">
      <w:pPr>
        <w:pStyle w:val="FootnoteText"/>
      </w:pPr>
      <w:r>
        <w:rPr>
          <w:rStyle w:val="FootnoteReference"/>
        </w:rPr>
        <w:footnoteRef/>
      </w:r>
      <w:r>
        <w:t xml:space="preserve"> SB 156, An act to amend Sections 6547.7 and 53167 of, to add Section 26231 to, and to add Chapter 5.8 (commencing with Section 11549.50) to Part 1 of Division 3 of Title 2 of, the Government Code, to add Section 21080.51 to the Public Resources Code, and to amend Sections 281, 912.2, and 914.7 of, and to add Section 281.2 to, the Public Utilities Code.</w:t>
      </w:r>
    </w:p>
  </w:footnote>
  <w:footnote w:id="4">
    <w:p w14:paraId="668D1C2B" w14:textId="77777777" w:rsidR="00A13D1F" w:rsidRDefault="00A13D1F" w:rsidP="00A13D1F">
      <w:pPr>
        <w:pStyle w:val="FootnoteText"/>
      </w:pPr>
      <w:r>
        <w:rPr>
          <w:rStyle w:val="FootnoteReference"/>
        </w:rPr>
        <w:footnoteRef/>
      </w:r>
      <w:r>
        <w:t xml:space="preserve"> DigitalPath, Inc. (U 1151 C), Cal.net, Inc. (U 7309 C), ShastaBeam, Etheric Communications, LLC , Velocity Communications, Inc. (U 1653 C) and Jefferson State Broadband d/b/a Com-Pair </w:t>
      </w:r>
    </w:p>
  </w:footnote>
  <w:footnote w:id="5">
    <w:p w14:paraId="4E7E92F5" w14:textId="35B67427" w:rsidR="00A13D1F" w:rsidRDefault="00A13D1F" w:rsidP="00A13D1F">
      <w:pPr>
        <w:pStyle w:val="FootnoteText"/>
      </w:pPr>
      <w:r>
        <w:rPr>
          <w:rStyle w:val="FootnoteReference"/>
        </w:rPr>
        <w:footnoteRef/>
      </w:r>
      <w:r>
        <w:t xml:space="preserve"> </w:t>
      </w:r>
      <w:r w:rsidRPr="00E17A56">
        <w:t>The Siskiyou Telephone Company,</w:t>
      </w:r>
      <w:r w:rsidR="00673BE5">
        <w:t xml:space="preserve"> </w:t>
      </w:r>
      <w:r w:rsidRPr="00E17A56">
        <w:t>Volcano Telephone Company,</w:t>
      </w:r>
      <w:r w:rsidR="00CC11CA">
        <w:t xml:space="preserve"> </w:t>
      </w:r>
      <w:r w:rsidRPr="00E17A56">
        <w:t>Foresthill Telephone Co.</w:t>
      </w:r>
      <w:r w:rsidR="00CC11CA">
        <w:t xml:space="preserve"> </w:t>
      </w:r>
      <w:r w:rsidRPr="00E17A56">
        <w:t>The Ponderosa Telephone Co.,</w:t>
      </w:r>
      <w:r w:rsidR="00E75E28">
        <w:t xml:space="preserve"> </w:t>
      </w:r>
      <w:r w:rsidRPr="00E17A56">
        <w:t>Winterhaven Telephone Company,</w:t>
      </w:r>
      <w:r w:rsidR="00E75E28">
        <w:t xml:space="preserve"> </w:t>
      </w:r>
      <w:r w:rsidRPr="00E17A56">
        <w:t>Calaveras Telephone Company,</w:t>
      </w:r>
      <w:r w:rsidR="00E75E28">
        <w:t xml:space="preserve"> </w:t>
      </w:r>
      <w:r w:rsidRPr="00E17A56">
        <w:t>Happy Valley Telephone Company,</w:t>
      </w:r>
      <w:r w:rsidR="00E75E28">
        <w:t xml:space="preserve"> </w:t>
      </w:r>
      <w:r w:rsidRPr="00E17A56">
        <w:t>Ducor Telephone Company,</w:t>
      </w:r>
      <w:r w:rsidR="00E75E28">
        <w:t xml:space="preserve"> </w:t>
      </w:r>
      <w:r w:rsidRPr="00E17A56">
        <w:t>Pinnacles Telephone Co.,</w:t>
      </w:r>
      <w:r w:rsidR="00212373">
        <w:t xml:space="preserve"> </w:t>
      </w:r>
      <w:r w:rsidRPr="00E17A56">
        <w:t>Cal-Ore Telephone Co.,</w:t>
      </w:r>
      <w:r w:rsidR="00E75E28">
        <w:t xml:space="preserve"> </w:t>
      </w:r>
      <w:r w:rsidRPr="00E17A56">
        <w:t>Sierra Telephone Company, Inc.,</w:t>
      </w:r>
      <w:r w:rsidR="00E75E28">
        <w:t xml:space="preserve"> </w:t>
      </w:r>
      <w:r w:rsidRPr="00E17A56">
        <w:t>Hornitos Telephone Company,</w:t>
      </w:r>
      <w:r w:rsidR="00E75E28">
        <w:t xml:space="preserve"> </w:t>
      </w:r>
      <w:r w:rsidRPr="00E17A56">
        <w:t>Kerman Telephone Co.</w:t>
      </w:r>
    </w:p>
  </w:footnote>
  <w:footnote w:id="6">
    <w:p w14:paraId="68D8AC13" w14:textId="77777777" w:rsidR="00A13D1F" w:rsidRDefault="00A13D1F" w:rsidP="00A13D1F">
      <w:pPr>
        <w:pStyle w:val="FootnoteText"/>
      </w:pPr>
      <w:r>
        <w:rPr>
          <w:rStyle w:val="FootnoteReference"/>
        </w:rPr>
        <w:footnoteRef/>
      </w:r>
      <w:r>
        <w:t xml:space="preserve"> </w:t>
      </w:r>
      <w:r w:rsidRPr="00CB6FEB">
        <w:rPr>
          <w:i/>
          <w:iCs/>
        </w:rPr>
        <w:t>See</w:t>
      </w:r>
      <w:r>
        <w:t xml:space="preserve"> California 2021-2022 Enacted Budget Summary at page 27, available at </w:t>
      </w:r>
      <w:hyperlink r:id="rId1" w:history="1">
        <w:r w:rsidRPr="003F25A3">
          <w:rPr>
            <w:rStyle w:val="Hyperlink"/>
          </w:rPr>
          <w:t>http://ebudget.ca.gov/2021-22/pdf/Enacted/BudgetSummary/FullBudgetSummary.pdf</w:t>
        </w:r>
      </w:hyperlink>
    </w:p>
  </w:footnote>
  <w:footnote w:id="7">
    <w:p w14:paraId="5B4E4465" w14:textId="77777777" w:rsidR="00A13D1F" w:rsidRDefault="00A13D1F" w:rsidP="00A13D1F">
      <w:pPr>
        <w:pStyle w:val="FootnoteText"/>
      </w:pPr>
      <w:r>
        <w:rPr>
          <w:rStyle w:val="FootnoteReference"/>
        </w:rPr>
        <w:footnoteRef/>
      </w:r>
      <w:r>
        <w:t xml:space="preserve"> </w:t>
      </w:r>
      <w:r w:rsidRPr="00C54D3C">
        <w:rPr>
          <w:i/>
          <w:iCs/>
        </w:rPr>
        <w:t>See</w:t>
      </w:r>
      <w:r w:rsidRPr="00C54D3C">
        <w:t xml:space="preserve"> Public Utilities Code Section 281(n)(3).</w:t>
      </w:r>
    </w:p>
  </w:footnote>
  <w:footnote w:id="8">
    <w:p w14:paraId="64A2BB51" w14:textId="77777777" w:rsidR="00A13D1F" w:rsidRDefault="00A13D1F" w:rsidP="00A13D1F">
      <w:pPr>
        <w:pStyle w:val="FootnoteText"/>
      </w:pPr>
      <w:r>
        <w:rPr>
          <w:rStyle w:val="FootnoteReference"/>
        </w:rPr>
        <w:footnoteRef/>
      </w:r>
      <w:r>
        <w:t xml:space="preserve"> </w:t>
      </w:r>
      <w:r w:rsidRPr="00C54D3C">
        <w:rPr>
          <w:i/>
          <w:iCs/>
        </w:rPr>
        <w:t>Id</w:t>
      </w:r>
      <w:r>
        <w:t xml:space="preserve">. </w:t>
      </w:r>
    </w:p>
  </w:footnote>
  <w:footnote w:id="9">
    <w:p w14:paraId="51F91074" w14:textId="77777777" w:rsidR="00A13D1F" w:rsidRDefault="00A13D1F" w:rsidP="00A13D1F">
      <w:pPr>
        <w:pStyle w:val="FootnoteText"/>
      </w:pPr>
      <w:r>
        <w:rPr>
          <w:rStyle w:val="FootnoteReference"/>
        </w:rPr>
        <w:footnoteRef/>
      </w:r>
      <w:r>
        <w:t xml:space="preserve"> </w:t>
      </w:r>
      <w:r w:rsidRPr="00C54D3C">
        <w:rPr>
          <w:i/>
          <w:iCs/>
        </w:rPr>
        <w:t>See</w:t>
      </w:r>
      <w:r>
        <w:t xml:space="preserve"> Public Utilities Code Section 281(n)(3)(B)(ii) (“as identified and validated by the Commission, pursuant to the most recent broadband data collection, as of July 1, 2021…”).</w:t>
      </w:r>
    </w:p>
  </w:footnote>
  <w:footnote w:id="10">
    <w:p w14:paraId="5AF91FE9" w14:textId="77777777" w:rsidR="00A13D1F" w:rsidRDefault="00A13D1F" w:rsidP="00A13D1F">
      <w:pPr>
        <w:pStyle w:val="FootnoteText"/>
      </w:pPr>
      <w:r>
        <w:rPr>
          <w:rStyle w:val="FootnoteReference"/>
        </w:rPr>
        <w:footnoteRef/>
      </w:r>
      <w:r>
        <w:t xml:space="preserve"> </w:t>
      </w:r>
      <w:r w:rsidRPr="00BC5AF4">
        <w:t xml:space="preserve">The Interim Rule is available </w:t>
      </w:r>
      <w:r>
        <w:t>at</w:t>
      </w:r>
      <w:r w:rsidRPr="00BC5AF4">
        <w:t xml:space="preserve">: </w:t>
      </w:r>
      <w:hyperlink r:id="rId2" w:history="1">
        <w:r w:rsidRPr="00C473F3">
          <w:rPr>
            <w:rStyle w:val="Hyperlink"/>
          </w:rPr>
          <w:t>https://www.govinfo.gov/content/pkg/FR-2021-05-17/pdf/2021-10283.pdf</w:t>
        </w:r>
      </w:hyperlink>
      <w:r>
        <w:t>.</w:t>
      </w:r>
    </w:p>
  </w:footnote>
  <w:footnote w:id="11">
    <w:p w14:paraId="224A0B75" w14:textId="77777777" w:rsidR="00A13D1F" w:rsidRDefault="00A13D1F" w:rsidP="00A13D1F">
      <w:pPr>
        <w:pStyle w:val="FootnoteText"/>
      </w:pPr>
      <w:r>
        <w:rPr>
          <w:rStyle w:val="FootnoteReference"/>
        </w:rPr>
        <w:footnoteRef/>
      </w:r>
      <w:r>
        <w:t xml:space="preserve"> </w:t>
      </w:r>
      <w:r w:rsidRPr="00BC5AF4">
        <w:t xml:space="preserve">The FAQ is available here: </w:t>
      </w:r>
      <w:hyperlink r:id="rId3" w:history="1">
        <w:r w:rsidRPr="00C473F3">
          <w:rPr>
            <w:rStyle w:val="Hyperlink"/>
          </w:rPr>
          <w:t>https://home.treasury.gov/system/files/136/SLFRPFAQ.pdf</w:t>
        </w:r>
      </w:hyperlink>
      <w:r>
        <w:t>.</w:t>
      </w:r>
    </w:p>
  </w:footnote>
  <w:footnote w:id="12">
    <w:p w14:paraId="0DA64ADE" w14:textId="77777777" w:rsidR="00A13D1F" w:rsidRDefault="00A13D1F" w:rsidP="00A13D1F">
      <w:pPr>
        <w:pStyle w:val="FootnoteText"/>
      </w:pPr>
      <w:r>
        <w:rPr>
          <w:rStyle w:val="FootnoteReference"/>
        </w:rPr>
        <w:footnoteRef/>
      </w:r>
      <w:r>
        <w:t xml:space="preserve"> </w:t>
      </w:r>
      <w:r w:rsidRPr="005D158F">
        <w:rPr>
          <w:i/>
          <w:iCs/>
        </w:rPr>
        <w:t xml:space="preserve">See </w:t>
      </w:r>
      <w:r>
        <w:t xml:space="preserve">87 Fed. Reg. </w:t>
      </w:r>
      <w:r w:rsidRPr="00896509">
        <w:t>4338-4454</w:t>
      </w:r>
      <w:r>
        <w:t xml:space="preserve"> (January 27. 2022).</w:t>
      </w:r>
    </w:p>
  </w:footnote>
  <w:footnote w:id="13">
    <w:p w14:paraId="3F92E570" w14:textId="77777777" w:rsidR="00A13D1F" w:rsidRDefault="00A13D1F" w:rsidP="00A13D1F">
      <w:pPr>
        <w:pStyle w:val="FootnoteText"/>
      </w:pPr>
      <w:r>
        <w:rPr>
          <w:rStyle w:val="FootnoteReference"/>
        </w:rPr>
        <w:footnoteRef/>
      </w:r>
      <w:r>
        <w:t xml:space="preserve"> </w:t>
      </w:r>
      <w:r w:rsidRPr="0042184B">
        <w:t xml:space="preserve">Note we refer to the “California LifeLine Program” either as </w:t>
      </w:r>
      <w:r>
        <w:t xml:space="preserve">the </w:t>
      </w:r>
      <w:r w:rsidRPr="0042184B">
        <w:t xml:space="preserve">California LifeLine Program or as “LifeLine,” while the federal program is referred to as Lifeline.  </w:t>
      </w:r>
    </w:p>
  </w:footnote>
  <w:footnote w:id="14">
    <w:p w14:paraId="0178DBC6" w14:textId="77777777" w:rsidR="00A13D1F" w:rsidRDefault="00A13D1F" w:rsidP="00A13D1F">
      <w:pPr>
        <w:pStyle w:val="FootnoteText"/>
      </w:pPr>
      <w:r>
        <w:rPr>
          <w:rStyle w:val="FootnoteReference"/>
        </w:rPr>
        <w:footnoteRef/>
      </w:r>
      <w:r>
        <w:t xml:space="preserve"> Treasury, Compliance and Reporting Guidance State and Local Fiscal Recovery Funds </w:t>
      </w:r>
      <w:r>
        <w:br/>
        <w:t>(June 24, 2021 Version 1.1), available at</w:t>
      </w:r>
    </w:p>
    <w:p w14:paraId="1493E57E" w14:textId="77777777" w:rsidR="00A13D1F" w:rsidRDefault="00E41BD4" w:rsidP="00A13D1F">
      <w:pPr>
        <w:pStyle w:val="FootnoteText"/>
      </w:pPr>
      <w:hyperlink r:id="rId4" w:history="1">
        <w:r w:rsidR="00A13D1F" w:rsidRPr="002A1073">
          <w:rPr>
            <w:rStyle w:val="Hyperlink"/>
          </w:rPr>
          <w:t>https://home.treasury.gov/system/files/136/SLFRF-Compliance-and-Reporting-Guidance.pdf</w:t>
        </w:r>
      </w:hyperlink>
    </w:p>
  </w:footnote>
  <w:footnote w:id="15">
    <w:p w14:paraId="08D7CCD9" w14:textId="77777777" w:rsidR="00A13D1F" w:rsidRDefault="00A13D1F" w:rsidP="00A13D1F">
      <w:pPr>
        <w:pStyle w:val="FootnoteText"/>
      </w:pPr>
      <w:r>
        <w:rPr>
          <w:rStyle w:val="FootnoteReference"/>
        </w:rPr>
        <w:footnoteRef/>
      </w:r>
      <w:r>
        <w:t xml:space="preserve"> Department of the Treasury, Coronavirus State and Local Fiscal Recovery Funds, Interim Final Rule, 86 Fed. Reg. </w:t>
      </w:r>
      <w:r w:rsidRPr="00230650">
        <w:t>26805</w:t>
      </w:r>
      <w:r>
        <w:t xml:space="preserve"> (May 17, 2021), </w:t>
      </w:r>
      <w:hyperlink r:id="rId5" w:history="1">
        <w:r w:rsidRPr="002A1073">
          <w:rPr>
            <w:rStyle w:val="Hyperlink"/>
          </w:rPr>
          <w:t>https://www.govinfo.gov/content/pkg/FR-2021-05-17/pdf/2021-10283.pdf</w:t>
        </w:r>
      </w:hyperlink>
    </w:p>
  </w:footnote>
  <w:footnote w:id="16">
    <w:p w14:paraId="59DA570B" w14:textId="77777777" w:rsidR="00A13D1F" w:rsidRDefault="00A13D1F" w:rsidP="00A13D1F">
      <w:pPr>
        <w:pStyle w:val="FootnoteText"/>
      </w:pPr>
      <w:r>
        <w:rPr>
          <w:rStyle w:val="FootnoteReference"/>
        </w:rPr>
        <w:footnoteRef/>
      </w:r>
      <w:r>
        <w:t xml:space="preserve"> The term “business” includes non-residential users of broadband, such as private businesses and institutions that serve the public, such as schools, libraries, healthcare facilities, and public safety organizations.</w:t>
      </w:r>
    </w:p>
  </w:footnote>
  <w:footnote w:id="17">
    <w:p w14:paraId="284A17A7" w14:textId="50A78FEA" w:rsidR="00A13D1F" w:rsidRDefault="00A13D1F" w:rsidP="00A13D1F">
      <w:pPr>
        <w:pStyle w:val="FootnoteText"/>
      </w:pPr>
      <w:r>
        <w:rPr>
          <w:rStyle w:val="FootnoteReference"/>
        </w:rPr>
        <w:footnoteRef/>
      </w:r>
      <w:r>
        <w:t xml:space="preserve"> The use of “reliably” in the Interim Final Rule provides significant discretion to assess whether the households and businesses in the area to be served by a project have access to wireline broadband service that can consistently meet the specified thresholds of at least 25Mbps/3Mbps—i.e., to consider the actual experience of current wireline broadband customers that subscribe to services at or above the 25 Mbps/3 Mbps threshold. Whether there is a provider serving the area that advertises or otherwise claims to offer speeds that meet the </w:t>
      </w:r>
      <w:r w:rsidR="007311F8">
        <w:br/>
      </w:r>
      <w:r>
        <w:t>25 Mbps download and 3 Mbps upload speed thresholds is not dispositive.</w:t>
      </w:r>
    </w:p>
  </w:footnote>
  <w:footnote w:id="18">
    <w:p w14:paraId="3D7A2AF3" w14:textId="77777777" w:rsidR="00A13D1F" w:rsidRDefault="00A13D1F" w:rsidP="00A13D1F">
      <w:pPr>
        <w:pStyle w:val="FootnoteText"/>
      </w:pPr>
      <w:r>
        <w:rPr>
          <w:rStyle w:val="FootnoteReference"/>
        </w:rPr>
        <w:footnoteRef/>
      </w:r>
      <w:r>
        <w:t xml:space="preserve"> Per Pub. Util. Code </w:t>
      </w:r>
      <w:r>
        <w:rPr>
          <w:rFonts w:ascii="Courier New" w:hAnsi="Courier New" w:cs="Courier New"/>
        </w:rPr>
        <w:t>§§</w:t>
      </w:r>
      <w:r>
        <w:t xml:space="preserve"> 851 and 854, the Commission approves transfers of control of public utilities, including many licensed telecommunications service providers in California.  </w:t>
      </w:r>
    </w:p>
  </w:footnote>
  <w:footnote w:id="19">
    <w:p w14:paraId="12CE787C" w14:textId="77777777" w:rsidR="00A13D1F" w:rsidRDefault="00A13D1F" w:rsidP="00A13D1F">
      <w:pPr>
        <w:pStyle w:val="FootnoteText"/>
      </w:pPr>
      <w:r>
        <w:rPr>
          <w:rStyle w:val="FootnoteReference"/>
        </w:rPr>
        <w:footnoteRef/>
      </w:r>
      <w:r>
        <w:t xml:space="preserve"> 87 Fed. Reg. 4452 (January 27, 2022).</w:t>
      </w:r>
    </w:p>
  </w:footnote>
  <w:footnote w:id="20">
    <w:p w14:paraId="15F0D61C" w14:textId="77777777" w:rsidR="00A13D1F" w:rsidRDefault="00A13D1F" w:rsidP="00A13D1F">
      <w:pPr>
        <w:pStyle w:val="FootnoteText"/>
      </w:pPr>
      <w:r>
        <w:rPr>
          <w:rStyle w:val="FootnoteReference"/>
        </w:rPr>
        <w:footnoteRef/>
      </w:r>
      <w:r>
        <w:t xml:space="preserve"> 87 Fed. Reg. 4420 (January 27, 2022).</w:t>
      </w:r>
    </w:p>
  </w:footnote>
  <w:footnote w:id="21">
    <w:p w14:paraId="5352B854" w14:textId="77777777" w:rsidR="00A13D1F" w:rsidRPr="00E56963" w:rsidRDefault="00A13D1F" w:rsidP="00A13D1F">
      <w:pPr>
        <w:pStyle w:val="FootnoteText"/>
      </w:pPr>
      <w:r>
        <w:rPr>
          <w:rStyle w:val="FootnoteReference"/>
        </w:rPr>
        <w:footnoteRef/>
      </w:r>
      <w:r>
        <w:t xml:space="preserve"> </w:t>
      </w:r>
      <w:r w:rsidRPr="00E56963">
        <w:t xml:space="preserve">For clarity, Pub. Util. Code </w:t>
      </w:r>
      <w:r w:rsidRPr="00E56963">
        <w:rPr>
          <w:rFonts w:cs="Courier New"/>
        </w:rPr>
        <w:t>§</w:t>
      </w:r>
      <w:r w:rsidRPr="00E56963">
        <w:t xml:space="preserve"> 281 (b)(1)(B)(ii) reads, in part “For purposes of the Broadband Infrastructure Grant Account, both of the following definitions apply:… ‘unserved area’ means an area for which there is no facility-based broadband provider offering at least one tier of broadband service at speeds of at least 25 Mbps downstream, 3 Mbps upstream, and a latency that is sufficiently low to allow real-time interactive applications, considering updated federal and state broadband mapping data.”</w:t>
      </w:r>
    </w:p>
  </w:footnote>
  <w:footnote w:id="22">
    <w:p w14:paraId="27764549" w14:textId="77777777" w:rsidR="00A13D1F" w:rsidRDefault="00A13D1F" w:rsidP="00A13D1F">
      <w:pPr>
        <w:pStyle w:val="FootnoteText"/>
      </w:pPr>
      <w:r>
        <w:rPr>
          <w:rStyle w:val="FootnoteReference"/>
        </w:rPr>
        <w:footnoteRef/>
      </w:r>
      <w:r>
        <w:t xml:space="preserve"> For clarification, we use the term “historically unserved or underserved” in this context to distinguish from the definitions of unserved and underserved that define FFA grant eligibility (or CASF Infrastructure grant eligibility).  </w:t>
      </w:r>
    </w:p>
  </w:footnote>
  <w:footnote w:id="23">
    <w:p w14:paraId="7F4CC207" w14:textId="77777777" w:rsidR="00A13D1F" w:rsidRDefault="00A13D1F" w:rsidP="00A13D1F">
      <w:pPr>
        <w:pStyle w:val="FootnoteText"/>
      </w:pPr>
      <w:r>
        <w:rPr>
          <w:rStyle w:val="FootnoteReference"/>
        </w:rPr>
        <w:footnoteRef/>
      </w:r>
      <w:r>
        <w:t xml:space="preserve"> R. 20-08-021.</w:t>
      </w:r>
    </w:p>
  </w:footnote>
  <w:footnote w:id="24">
    <w:p w14:paraId="3EBC95CE" w14:textId="77777777" w:rsidR="00A13D1F" w:rsidRDefault="00A13D1F" w:rsidP="00A13D1F">
      <w:pPr>
        <w:pStyle w:val="FootnoteText"/>
      </w:pPr>
      <w:r>
        <w:rPr>
          <w:rStyle w:val="FootnoteReference"/>
        </w:rPr>
        <w:footnoteRef/>
      </w:r>
      <w:r>
        <w:t xml:space="preserve"> Al</w:t>
      </w:r>
      <w:r w:rsidRPr="005D5ACF">
        <w:t xml:space="preserve">though </w:t>
      </w:r>
      <w:r>
        <w:t xml:space="preserve">IOUs are eligible for FFA grants, this decision does </w:t>
      </w:r>
      <w:r w:rsidRPr="005D5ACF">
        <w:t>not change other rules outside the scope of this proceeding that may impact an IOU’s ability to participate</w:t>
      </w:r>
      <w:r>
        <w:t>.</w:t>
      </w:r>
    </w:p>
  </w:footnote>
  <w:footnote w:id="25">
    <w:p w14:paraId="63CBE510" w14:textId="77777777" w:rsidR="00A13D1F" w:rsidRDefault="00A13D1F" w:rsidP="00A13D1F">
      <w:pPr>
        <w:pStyle w:val="FootnoteText"/>
      </w:pPr>
      <w:r>
        <w:rPr>
          <w:rStyle w:val="FootnoteReference"/>
        </w:rPr>
        <w:footnoteRef/>
      </w:r>
      <w:r>
        <w:t xml:space="preserve"> The seven methodologies come from the United States Census Bureau, the White House Office of Management and Budget, the United States Department of Agriculture, the United States Department of Health and Human Services, the Pew Research Center, the California State Association of Counties, and the Rural County Representatives of California. </w:t>
      </w:r>
    </w:p>
  </w:footnote>
  <w:footnote w:id="26">
    <w:p w14:paraId="201F7FDD" w14:textId="77777777" w:rsidR="00A13D1F" w:rsidRDefault="00A13D1F" w:rsidP="00A13D1F">
      <w:pPr>
        <w:pStyle w:val="FootnoteText"/>
      </w:pPr>
      <w:r>
        <w:rPr>
          <w:rStyle w:val="FootnoteReference"/>
        </w:rPr>
        <w:footnoteRef/>
      </w:r>
      <w:r>
        <w:t xml:space="preserve"> According to data as of December 31, 2019, Los Angeles County and Orange County have </w:t>
      </w:r>
      <w:r w:rsidRPr="00AD4FF8">
        <w:t xml:space="preserve">60,752 and 53,039 unserved households </w:t>
      </w:r>
      <w:r>
        <w:t xml:space="preserve">without access to speeds of 100 Mbps </w:t>
      </w:r>
      <w:r w:rsidRPr="00AD4FF8">
        <w:t>respectively</w:t>
      </w:r>
      <w:r>
        <w:t>.</w:t>
      </w:r>
    </w:p>
  </w:footnote>
  <w:footnote w:id="27">
    <w:p w14:paraId="73790E15" w14:textId="77777777" w:rsidR="00A13D1F" w:rsidRPr="005476C6" w:rsidRDefault="00A13D1F" w:rsidP="001607DB">
      <w:pPr>
        <w:spacing w:line="240" w:lineRule="auto"/>
        <w:ind w:left="58" w:hanging="58"/>
        <w:rPr>
          <w:sz w:val="22"/>
        </w:rPr>
      </w:pPr>
      <w:r w:rsidRPr="005476C6">
        <w:rPr>
          <w:rStyle w:val="FootnoteReference"/>
          <w:sz w:val="22"/>
        </w:rPr>
        <w:footnoteRef/>
      </w:r>
      <w:r w:rsidRPr="005476C6">
        <w:rPr>
          <w:sz w:val="22"/>
        </w:rPr>
        <w:t xml:space="preserve"> Allocation per unserved resident = ($1B – [($5M/county)x(27 counties)])/(159,601 unserved residents).</w:t>
      </w:r>
    </w:p>
  </w:footnote>
  <w:footnote w:id="28">
    <w:p w14:paraId="061E42CE" w14:textId="77777777" w:rsidR="00A13D1F" w:rsidRDefault="00A13D1F" w:rsidP="00A13D1F">
      <w:pPr>
        <w:pStyle w:val="FootnoteText"/>
      </w:pPr>
      <w:r>
        <w:rPr>
          <w:rStyle w:val="FootnoteReference"/>
        </w:rPr>
        <w:footnoteRef/>
      </w:r>
      <w:r>
        <w:t xml:space="preserve"> </w:t>
      </w:r>
      <w:r w:rsidRPr="00FD00FD">
        <w:t>Allocation per unserved resident = ($1B – [($5M/county)x(31 counties)])/(515,127 unserved residents).</w:t>
      </w:r>
    </w:p>
  </w:footnote>
  <w:footnote w:id="29">
    <w:p w14:paraId="51F58006" w14:textId="77777777" w:rsidR="00A13D1F" w:rsidRDefault="00A13D1F" w:rsidP="00A13D1F">
      <w:pPr>
        <w:pStyle w:val="FootnoteText"/>
      </w:pPr>
      <w:r>
        <w:rPr>
          <w:rStyle w:val="FootnoteReference"/>
        </w:rPr>
        <w:footnoteRef/>
      </w:r>
      <w:r>
        <w:t xml:space="preserve"> There may be instances in which it would not be practicable for a project to deliver such service speeds because of the geography, topography, or excessive costs associated with such a project. In these instances, the affected project would be expected to deliver, upon project completion, service that reliably meets or exceeds 100 Mbps download and between at least 20 Mbps and 100 Mbps upload speeds and be scalable to a minimum of 100 Mbps symmetrical for download and upload speeds.</w:t>
      </w:r>
    </w:p>
  </w:footnote>
  <w:footnote w:id="30">
    <w:p w14:paraId="523D3FF1" w14:textId="77777777" w:rsidR="00A13D1F" w:rsidRDefault="00A13D1F" w:rsidP="00A13D1F">
      <w:pPr>
        <w:pStyle w:val="FootnoteText"/>
      </w:pPr>
      <w:r>
        <w:rPr>
          <w:rStyle w:val="FootnoteReference"/>
        </w:rPr>
        <w:footnoteRef/>
      </w:r>
      <w:r>
        <w:t xml:space="preserve"> </w:t>
      </w:r>
      <w:r w:rsidRPr="00A729BB">
        <w:t>Interim Rule, 86 Fed. Reg. 26786, 26806.</w:t>
      </w:r>
    </w:p>
  </w:footnote>
  <w:footnote w:id="31">
    <w:p w14:paraId="12CAF19F" w14:textId="77777777" w:rsidR="00A13D1F" w:rsidRDefault="00A13D1F" w:rsidP="00A13D1F">
      <w:pPr>
        <w:pStyle w:val="FootnoteText"/>
      </w:pPr>
      <w:r>
        <w:rPr>
          <w:rStyle w:val="FootnoteReference"/>
        </w:rPr>
        <w:footnoteRef/>
      </w:r>
      <w:r>
        <w:t xml:space="preserve"> Pub. Util. Code </w:t>
      </w:r>
      <w:r w:rsidRPr="00E06F80">
        <w:t>§</w:t>
      </w:r>
      <w:r>
        <w:t xml:space="preserve"> 281 (b)(5)(C). </w:t>
      </w:r>
      <w:r w:rsidRPr="00472908">
        <w:rPr>
          <w:i/>
          <w:iCs/>
        </w:rPr>
        <w:t>See</w:t>
      </w:r>
      <w:r>
        <w:t xml:space="preserve"> also, Coronavirus State and Local Fiscal Recovery Funds, Federal Register Volume 86, No. 93, Page 26804 (May 17, 2021).</w:t>
      </w:r>
    </w:p>
  </w:footnote>
  <w:footnote w:id="32">
    <w:p w14:paraId="0EA417EA" w14:textId="77777777" w:rsidR="00A13D1F" w:rsidRDefault="00A13D1F" w:rsidP="00A13D1F">
      <w:pPr>
        <w:pStyle w:val="FootnoteText"/>
      </w:pPr>
      <w:r>
        <w:rPr>
          <w:rStyle w:val="FootnoteReference"/>
        </w:rPr>
        <w:footnoteRef/>
      </w:r>
      <w:r>
        <w:t xml:space="preserve"> </w:t>
      </w:r>
      <w:r w:rsidRPr="00A729BB">
        <w:t>Interim Rule, 86 Fed. Reg. 26786, 26806.</w:t>
      </w:r>
    </w:p>
  </w:footnote>
  <w:footnote w:id="33">
    <w:p w14:paraId="4836137F" w14:textId="77777777" w:rsidR="00A13D1F" w:rsidRDefault="00A13D1F" w:rsidP="00A13D1F">
      <w:pPr>
        <w:pStyle w:val="FootnoteText"/>
      </w:pPr>
      <w:r>
        <w:rPr>
          <w:rStyle w:val="FootnoteReference"/>
        </w:rPr>
        <w:footnoteRef/>
      </w:r>
      <w:r>
        <w:t xml:space="preserve"> Public Utilities Code </w:t>
      </w:r>
      <w:r w:rsidRPr="00E06F80">
        <w:t>§</w:t>
      </w:r>
      <w:r>
        <w:t xml:space="preserve"> 281 (b)(5)(C). See also, Coronavirus State and Local Fiscal Recovery Funds, Federal Register Volume 86, No. 93, Page 26804 (May 17, 2021).</w:t>
      </w:r>
    </w:p>
  </w:footnote>
  <w:footnote w:id="34">
    <w:p w14:paraId="5D96BE69" w14:textId="77777777" w:rsidR="00A13D1F" w:rsidRDefault="00A13D1F" w:rsidP="00A13D1F">
      <w:pPr>
        <w:pStyle w:val="FootnoteText"/>
      </w:pPr>
      <w:r>
        <w:rPr>
          <w:rStyle w:val="FootnoteReference"/>
        </w:rPr>
        <w:footnoteRef/>
      </w:r>
      <w:r>
        <w:t xml:space="preserve"> </w:t>
      </w:r>
      <w:r w:rsidRPr="007877FD">
        <w:t>87 F</w:t>
      </w:r>
      <w:r>
        <w:t xml:space="preserve">ed. </w:t>
      </w:r>
      <w:r w:rsidRPr="007877FD">
        <w:t>R</w:t>
      </w:r>
      <w:r>
        <w:t xml:space="preserve">eg. </w:t>
      </w:r>
      <w:r w:rsidRPr="007877FD">
        <w:t>44</w:t>
      </w:r>
      <w:r>
        <w:t>22 (January 27, 2022).</w:t>
      </w:r>
      <w:r w:rsidRPr="00BF75C5">
        <w:t xml:space="preserve"> </w:t>
      </w:r>
    </w:p>
  </w:footnote>
  <w:footnote w:id="35">
    <w:p w14:paraId="7B13A2B9" w14:textId="77777777" w:rsidR="00A13D1F" w:rsidRDefault="00A13D1F" w:rsidP="00A13D1F">
      <w:pPr>
        <w:pStyle w:val="FootnoteText"/>
      </w:pPr>
      <w:r>
        <w:rPr>
          <w:rStyle w:val="FootnoteReference"/>
        </w:rPr>
        <w:footnoteRef/>
      </w:r>
      <w:r>
        <w:t xml:space="preserve"> </w:t>
      </w:r>
      <w:r w:rsidRPr="0014211B">
        <w:t xml:space="preserve">On April 6, 2018, </w:t>
      </w:r>
      <w:r>
        <w:t>a</w:t>
      </w:r>
      <w:r w:rsidRPr="0014211B">
        <w:t xml:space="preserve"> Tribal Consultation Policy was formally adopted by the California Public Utilities Commission (Commission).  </w:t>
      </w:r>
      <w:r w:rsidRPr="00BD1489">
        <w:t>The Commission’s Tribal Consultation Policy defines “California Native American tribe” as a Native American Tribe located in California that is on the contact list maintained by the Native American Heritage Commission for the purposes of Chapter 905 of the Statutes of 2004.  (</w:t>
      </w:r>
      <w:r w:rsidRPr="00BD1489">
        <w:rPr>
          <w:i/>
          <w:iCs/>
        </w:rPr>
        <w:t>See</w:t>
      </w:r>
      <w:r w:rsidRPr="00BD1489">
        <w:t xml:space="preserve"> Public Resources Code Section 21073.)  California Native American Tribes include both federally recognized and non-federally recognized Tribes</w:t>
      </w:r>
      <w:r>
        <w:t>.</w:t>
      </w:r>
    </w:p>
  </w:footnote>
  <w:footnote w:id="36">
    <w:p w14:paraId="3B569894" w14:textId="77777777" w:rsidR="00A13D1F" w:rsidRDefault="00A13D1F" w:rsidP="00A13D1F">
      <w:pPr>
        <w:pStyle w:val="FootnoteText"/>
      </w:pPr>
      <w:r>
        <w:rPr>
          <w:rStyle w:val="FootnoteReference"/>
        </w:rPr>
        <w:footnoteRef/>
      </w:r>
      <w:r>
        <w:t xml:space="preserve"> </w:t>
      </w:r>
      <w:r w:rsidRPr="00EB42B8">
        <w:t>Reasonable prices, terms, and conditions for last-mile provider access to middle-mile infrastructure may vary depending on local circumstances such as physical and network conditions, or the types of services and service levels requested by the last-mile provider.</w:t>
      </w:r>
    </w:p>
  </w:footnote>
  <w:footnote w:id="37">
    <w:p w14:paraId="04284BE6" w14:textId="77777777" w:rsidR="00A13D1F" w:rsidRDefault="00A13D1F" w:rsidP="00A13D1F">
      <w:pPr>
        <w:pStyle w:val="FootnoteText"/>
      </w:pPr>
      <w:r>
        <w:rPr>
          <w:rStyle w:val="FootnoteReference"/>
        </w:rPr>
        <w:footnoteRef/>
      </w:r>
      <w:r>
        <w:t xml:space="preserve"> </w:t>
      </w:r>
      <w:r w:rsidRPr="00EA1FFE">
        <w:rPr>
          <w:i/>
          <w:iCs/>
        </w:rPr>
        <w:t>See</w:t>
      </w:r>
      <w:r>
        <w:t xml:space="preserve"> </w:t>
      </w:r>
      <w:r w:rsidRPr="00284F10">
        <w:t>C</w:t>
      </w:r>
      <w:r>
        <w:t xml:space="preserve">WA’s </w:t>
      </w:r>
      <w:r w:rsidRPr="00284F10">
        <w:t>Opening Comments on A</w:t>
      </w:r>
      <w:r>
        <w:t>CR at 10. CWA urges the Commission to give preference to applicants who can demonstrate that the workforce performing the contract will meet the following criteria:</w:t>
      </w:r>
    </w:p>
    <w:p w14:paraId="18F459C6" w14:textId="77777777" w:rsidR="00A13D1F" w:rsidRDefault="00A13D1F" w:rsidP="000A5FED">
      <w:pPr>
        <w:pStyle w:val="FootnoteText"/>
        <w:spacing w:after="0"/>
      </w:pPr>
      <w:r>
        <w:t>● High standards of safety training, certification, and/or licensure for all relevant workers,</w:t>
      </w:r>
    </w:p>
    <w:p w14:paraId="7124C2A4" w14:textId="77777777" w:rsidR="00A13D1F" w:rsidRDefault="00A13D1F" w:rsidP="000A5FED">
      <w:pPr>
        <w:pStyle w:val="FootnoteText"/>
        <w:spacing w:after="0"/>
      </w:pPr>
      <w:r>
        <w:t>for example, OSHA 10, OSHA 30, confined space, traffic control, or other training, as</w:t>
      </w:r>
    </w:p>
    <w:p w14:paraId="2A4BF2E2" w14:textId="77777777" w:rsidR="00A13D1F" w:rsidRDefault="00A13D1F" w:rsidP="000A5FED">
      <w:pPr>
        <w:pStyle w:val="FootnoteText"/>
        <w:spacing w:after="0"/>
      </w:pPr>
      <w:r>
        <w:t>relevant depending on title and work, and exemplary workplace safety practices;</w:t>
      </w:r>
    </w:p>
    <w:p w14:paraId="3EB191C2" w14:textId="77777777" w:rsidR="00A13D1F" w:rsidRDefault="00A13D1F" w:rsidP="000A5FED">
      <w:pPr>
        <w:pStyle w:val="FootnoteText"/>
        <w:spacing w:after="0"/>
      </w:pPr>
      <w:r>
        <w:t>● Professional certifications and/or in-house training to ensure that deployment is done at</w:t>
      </w:r>
    </w:p>
    <w:p w14:paraId="3D318828" w14:textId="77777777" w:rsidR="00A13D1F" w:rsidRDefault="00A13D1F" w:rsidP="000A5FED">
      <w:pPr>
        <w:pStyle w:val="FootnoteText"/>
        <w:spacing w:after="0"/>
      </w:pPr>
      <w:r>
        <w:t>a high standard;</w:t>
      </w:r>
    </w:p>
    <w:p w14:paraId="304147B7" w14:textId="77777777" w:rsidR="00A13D1F" w:rsidRDefault="00A13D1F" w:rsidP="000A5FED">
      <w:pPr>
        <w:pStyle w:val="FootnoteText"/>
        <w:spacing w:after="0"/>
      </w:pPr>
      <w:r>
        <w:t>● In-house training programs with established requirements tied to certifications, titles,</w:t>
      </w:r>
    </w:p>
    <w:p w14:paraId="53690182" w14:textId="77777777" w:rsidR="00A13D1F" w:rsidRDefault="00A13D1F" w:rsidP="000A5FED">
      <w:pPr>
        <w:pStyle w:val="FootnoteText"/>
        <w:spacing w:after="0"/>
      </w:pPr>
      <w:r>
        <w:t>and/or uniform wage scales;</w:t>
      </w:r>
    </w:p>
    <w:p w14:paraId="7E6BC3BF" w14:textId="77777777" w:rsidR="00A13D1F" w:rsidRDefault="00A13D1F" w:rsidP="000A5FED">
      <w:pPr>
        <w:pStyle w:val="FootnoteText"/>
        <w:spacing w:after="0"/>
      </w:pPr>
      <w:r>
        <w:t>● Locally-based workforce that supports job pipelines for traditionally marginalized</w:t>
      </w:r>
    </w:p>
    <w:p w14:paraId="07416955" w14:textId="77777777" w:rsidR="00A13D1F" w:rsidRDefault="00A13D1F" w:rsidP="000A5FED">
      <w:pPr>
        <w:pStyle w:val="FootnoteText"/>
        <w:spacing w:after="0"/>
      </w:pPr>
      <w:r>
        <w:t>communities;</w:t>
      </w:r>
    </w:p>
    <w:p w14:paraId="73728791" w14:textId="77777777" w:rsidR="00A13D1F" w:rsidRDefault="00A13D1F" w:rsidP="000A5FED">
      <w:pPr>
        <w:pStyle w:val="FootnoteText"/>
        <w:spacing w:after="0"/>
      </w:pPr>
      <w:r>
        <w:t>● Relevant work will be performed by a directly employed workforce or employer has</w:t>
      </w:r>
    </w:p>
    <w:p w14:paraId="0BC7AD88" w14:textId="77777777" w:rsidR="00A13D1F" w:rsidRDefault="00A13D1F" w:rsidP="000A5FED">
      <w:pPr>
        <w:pStyle w:val="FootnoteText"/>
        <w:spacing w:after="0"/>
      </w:pPr>
      <w:r>
        <w:t>policies and/or practices to ensure that any employees of contractors used meet the</w:t>
      </w:r>
    </w:p>
    <w:p w14:paraId="0658E498" w14:textId="77777777" w:rsidR="00A13D1F" w:rsidRDefault="00A13D1F" w:rsidP="000A5FED">
      <w:pPr>
        <w:pStyle w:val="FootnoteText"/>
        <w:spacing w:after="0"/>
      </w:pPr>
      <w:r>
        <w:t>criteria as described above;</w:t>
      </w:r>
    </w:p>
    <w:p w14:paraId="1B4658D0" w14:textId="77777777" w:rsidR="00A13D1F" w:rsidRDefault="00A13D1F" w:rsidP="000A5FED">
      <w:pPr>
        <w:pStyle w:val="FootnoteText"/>
        <w:spacing w:after="0"/>
      </w:pPr>
      <w:r>
        <w:t>● No recent violations of Occupational Safety and Health Act, the Fair Labor Standards</w:t>
      </w:r>
    </w:p>
    <w:p w14:paraId="74C9E2E0" w14:textId="77777777" w:rsidR="00A13D1F" w:rsidRDefault="00A13D1F" w:rsidP="000A5FED">
      <w:pPr>
        <w:pStyle w:val="FootnoteText"/>
        <w:spacing w:after="0"/>
      </w:pPr>
      <w:r>
        <w:t>Act, Title VII of the Civil Rights Act of 1964, and state labor and employment laws.</w:t>
      </w:r>
    </w:p>
  </w:footnote>
  <w:footnote w:id="38">
    <w:p w14:paraId="001197E0" w14:textId="77777777" w:rsidR="00A13D1F" w:rsidRDefault="00A13D1F" w:rsidP="00A13D1F">
      <w:pPr>
        <w:pStyle w:val="FootnoteText"/>
      </w:pPr>
      <w:r>
        <w:rPr>
          <w:rStyle w:val="FootnoteReference"/>
        </w:rPr>
        <w:footnoteRef/>
      </w:r>
      <w:r>
        <w:t xml:space="preserve"> California Labor Code, </w:t>
      </w:r>
      <w:r>
        <w:rPr>
          <w:rFonts w:ascii="Courier New" w:hAnsi="Courier New" w:cs="Courier New"/>
        </w:rPr>
        <w:t>§</w:t>
      </w:r>
      <w:r>
        <w:t xml:space="preserve"> 1720.</w:t>
      </w:r>
    </w:p>
  </w:footnote>
  <w:footnote w:id="39">
    <w:p w14:paraId="3DFC2073" w14:textId="77777777" w:rsidR="00A13D1F" w:rsidRDefault="00A13D1F" w:rsidP="00A13D1F">
      <w:pPr>
        <w:pStyle w:val="FootnoteText"/>
      </w:pPr>
      <w:r>
        <w:rPr>
          <w:rStyle w:val="FootnoteReference"/>
        </w:rPr>
        <w:footnoteRef/>
      </w:r>
      <w:r>
        <w:t xml:space="preserve"> </w:t>
      </w:r>
      <w:r w:rsidRPr="008D6EBE">
        <w:t>R.18-07-006</w:t>
      </w:r>
      <w:r>
        <w:t>.</w:t>
      </w:r>
    </w:p>
  </w:footnote>
  <w:footnote w:id="40">
    <w:p w14:paraId="0C75BED6" w14:textId="77777777" w:rsidR="00A13D1F" w:rsidRDefault="00A13D1F" w:rsidP="00A13D1F">
      <w:pPr>
        <w:pStyle w:val="FootnoteText"/>
      </w:pPr>
      <w:r>
        <w:rPr>
          <w:rStyle w:val="FootnoteReference"/>
        </w:rPr>
        <w:footnoteRef/>
      </w:r>
      <w:r>
        <w:t xml:space="preserve"> </w:t>
      </w:r>
      <w:r w:rsidRPr="007877FD">
        <w:t>87 F</w:t>
      </w:r>
      <w:r>
        <w:t xml:space="preserve">ed. </w:t>
      </w:r>
      <w:r w:rsidRPr="007877FD">
        <w:t>R</w:t>
      </w:r>
      <w:r>
        <w:t>eg.</w:t>
      </w:r>
      <w:r w:rsidRPr="007877FD">
        <w:t xml:space="preserve"> 44</w:t>
      </w:r>
      <w:r>
        <w:t>1</w:t>
      </w:r>
      <w:r w:rsidRPr="007877FD">
        <w:t>8</w:t>
      </w:r>
      <w:r>
        <w:t xml:space="preserve"> (January 27, 2022).</w:t>
      </w:r>
    </w:p>
  </w:footnote>
  <w:footnote w:id="41">
    <w:p w14:paraId="1C26DDCD" w14:textId="77777777" w:rsidR="00A13D1F" w:rsidRDefault="00A13D1F" w:rsidP="00A13D1F">
      <w:pPr>
        <w:pStyle w:val="FootnoteText"/>
      </w:pPr>
      <w:r>
        <w:rPr>
          <w:rStyle w:val="FootnoteReference"/>
        </w:rPr>
        <w:footnoteRef/>
      </w:r>
      <w:r>
        <w:t xml:space="preserve"> </w:t>
      </w:r>
      <w:r w:rsidRPr="005476C6">
        <w:rPr>
          <w:i/>
          <w:iCs/>
        </w:rPr>
        <w:t>Id</w:t>
      </w:r>
      <w:r>
        <w:t>. at 4418, 4421.</w:t>
      </w:r>
    </w:p>
  </w:footnote>
  <w:footnote w:id="42">
    <w:p w14:paraId="1A17D4F2" w14:textId="77777777" w:rsidR="00A13D1F" w:rsidRDefault="00A13D1F" w:rsidP="00A13D1F">
      <w:pPr>
        <w:pStyle w:val="FootnoteText"/>
      </w:pPr>
      <w:r>
        <w:rPr>
          <w:rStyle w:val="FootnoteReference"/>
        </w:rPr>
        <w:footnoteRef/>
      </w:r>
      <w:r>
        <w:t xml:space="preserve"> </w:t>
      </w:r>
      <w:r w:rsidRPr="00F66996">
        <w:t>87 F</w:t>
      </w:r>
      <w:r>
        <w:t xml:space="preserve">ed. </w:t>
      </w:r>
      <w:r w:rsidRPr="00F66996">
        <w:t>R</w:t>
      </w:r>
      <w:r>
        <w:t>eg.</w:t>
      </w:r>
      <w:r w:rsidRPr="00F66996">
        <w:t xml:space="preserve"> 4</w:t>
      </w:r>
      <w:r>
        <w:t>408 (January 27, 2022).</w:t>
      </w:r>
    </w:p>
  </w:footnote>
  <w:footnote w:id="43">
    <w:p w14:paraId="1F5108BB" w14:textId="77777777" w:rsidR="00A13D1F" w:rsidRDefault="00A13D1F" w:rsidP="00A13D1F">
      <w:pPr>
        <w:pStyle w:val="FootnoteText"/>
      </w:pPr>
      <w:r>
        <w:rPr>
          <w:rStyle w:val="FootnoteReference"/>
        </w:rPr>
        <w:footnoteRef/>
      </w:r>
      <w:r>
        <w:t xml:space="preserve"> </w:t>
      </w:r>
      <w:r w:rsidRPr="005476C6">
        <w:rPr>
          <w:i/>
          <w:iCs/>
        </w:rPr>
        <w:t>Id</w:t>
      </w:r>
      <w:r>
        <w:rPr>
          <w:i/>
          <w:iCs/>
        </w:rPr>
        <w:t>.</w:t>
      </w:r>
    </w:p>
  </w:footnote>
  <w:footnote w:id="44">
    <w:p w14:paraId="02C8A5FC" w14:textId="77777777" w:rsidR="00A13D1F" w:rsidRDefault="00A13D1F" w:rsidP="00A13D1F">
      <w:pPr>
        <w:pStyle w:val="FootnoteText"/>
      </w:pPr>
      <w:r>
        <w:rPr>
          <w:rStyle w:val="FootnoteReference"/>
        </w:rPr>
        <w:footnoteRef/>
      </w:r>
      <w:r>
        <w:t xml:space="preserve"> </w:t>
      </w:r>
      <w:r w:rsidRPr="005A0178">
        <w:t>47 U.S.C. § 1752(</w:t>
      </w:r>
      <w:r>
        <w:t>b</w:t>
      </w:r>
      <w:r w:rsidRPr="005A0178">
        <w:t>)(7).</w:t>
      </w:r>
    </w:p>
  </w:footnote>
  <w:footnote w:id="45">
    <w:p w14:paraId="669462ED" w14:textId="77777777" w:rsidR="00A13D1F" w:rsidRDefault="00A13D1F" w:rsidP="00A13D1F">
      <w:pPr>
        <w:pStyle w:val="FootnoteText"/>
      </w:pPr>
      <w:r>
        <w:rPr>
          <w:rStyle w:val="FootnoteReference"/>
        </w:rPr>
        <w:footnoteRef/>
      </w:r>
      <w:r>
        <w:t xml:space="preserve"> Affordable Connectivity Program Emergency Broadband Benefit, Report and Order and Further Notice of Proposed Rulemaking, Federal Communications Commission (Jan. 21, 2022), para. 94, </w:t>
      </w:r>
      <w:r w:rsidRPr="00C80B48">
        <w:t>https://docs.fcc.gov/public/attachments/FCC-22-2A1.pdf</w:t>
      </w:r>
      <w:r>
        <w:t xml:space="preserve"> (accessed Jan. 28, 2022).</w:t>
      </w:r>
    </w:p>
  </w:footnote>
  <w:footnote w:id="46">
    <w:p w14:paraId="65A408A5" w14:textId="77777777" w:rsidR="00A13D1F" w:rsidRDefault="00A13D1F" w:rsidP="00A13D1F">
      <w:pPr>
        <w:pStyle w:val="FootnoteText"/>
      </w:pPr>
      <w:r>
        <w:rPr>
          <w:rStyle w:val="FootnoteReference"/>
        </w:rPr>
        <w:footnoteRef/>
      </w:r>
      <w:r>
        <w:t xml:space="preserve"> </w:t>
      </w:r>
      <w:r w:rsidRPr="00F66996">
        <w:t>87 F</w:t>
      </w:r>
      <w:r>
        <w:t xml:space="preserve">ed. </w:t>
      </w:r>
      <w:r w:rsidRPr="00F66996">
        <w:t>R</w:t>
      </w:r>
      <w:r>
        <w:t>eg.</w:t>
      </w:r>
      <w:r w:rsidRPr="00F66996">
        <w:t xml:space="preserve"> 4</w:t>
      </w:r>
      <w:r>
        <w:t>408 (January 27, 2022).</w:t>
      </w:r>
    </w:p>
  </w:footnote>
  <w:footnote w:id="47">
    <w:p w14:paraId="60EC9E05" w14:textId="77777777" w:rsidR="00A13D1F" w:rsidRDefault="00A13D1F" w:rsidP="00A13D1F">
      <w:pPr>
        <w:pStyle w:val="FootnoteText"/>
      </w:pPr>
      <w:r>
        <w:rPr>
          <w:rStyle w:val="FootnoteReference"/>
        </w:rPr>
        <w:footnoteRef/>
      </w:r>
      <w:r>
        <w:t xml:space="preserve"> </w:t>
      </w:r>
      <w:r w:rsidRPr="005476C6">
        <w:rPr>
          <w:i/>
          <w:iCs/>
        </w:rPr>
        <w:t>See</w:t>
      </w:r>
      <w:r>
        <w:t xml:space="preserve"> </w:t>
      </w:r>
      <w:r w:rsidRPr="00A35CF8">
        <w:t>Appendix A</w:t>
      </w:r>
      <w:r>
        <w:t xml:space="preserve"> at</w:t>
      </w:r>
      <w:r w:rsidRPr="00A35CF8">
        <w:t xml:space="preserve"> 6</w:t>
      </w:r>
      <w:r>
        <w:t>.</w:t>
      </w:r>
    </w:p>
  </w:footnote>
  <w:footnote w:id="48">
    <w:p w14:paraId="70771E39" w14:textId="77777777" w:rsidR="00A13D1F" w:rsidRDefault="00A13D1F" w:rsidP="00A13D1F">
      <w:pPr>
        <w:pStyle w:val="FootnoteText"/>
      </w:pPr>
      <w:r>
        <w:rPr>
          <w:rStyle w:val="FootnoteReference"/>
        </w:rPr>
        <w:footnoteRef/>
      </w:r>
      <w:r>
        <w:t xml:space="preserve"> </w:t>
      </w:r>
      <w:r w:rsidRPr="006A69B2">
        <w:rPr>
          <w:i/>
          <w:iCs/>
        </w:rPr>
        <w:t>See</w:t>
      </w:r>
      <w:r>
        <w:t xml:space="preserve"> Empowering Broadband Consumers Through Transparency, </w:t>
      </w:r>
      <w:r w:rsidRPr="00A8690B">
        <w:t>CG Docket No. 22-2</w:t>
      </w:r>
      <w:r>
        <w:t xml:space="preserve">, Notice of Proposed Rulemaking, Federal Communications Commission (Jan. 27, 2022), </w:t>
      </w:r>
      <w:hyperlink r:id="rId6" w:history="1">
        <w:r w:rsidRPr="008849C6">
          <w:rPr>
            <w:rStyle w:val="Hyperlink"/>
          </w:rPr>
          <w:t>https://docs.fcc.gov/public/attachments/FCC-22-7A1.pdf</w:t>
        </w:r>
      </w:hyperlink>
      <w:r>
        <w:t xml:space="preserve"> (access Jan. 28, 2022).</w:t>
      </w:r>
    </w:p>
  </w:footnote>
  <w:footnote w:id="49">
    <w:p w14:paraId="24CF6CF1" w14:textId="77777777" w:rsidR="00A13D1F" w:rsidRDefault="00A13D1F" w:rsidP="00A13D1F">
      <w:pPr>
        <w:pStyle w:val="FootnoteText"/>
      </w:pPr>
      <w:r>
        <w:rPr>
          <w:rStyle w:val="FootnoteReference"/>
        </w:rPr>
        <w:footnoteRef/>
      </w:r>
      <w:r>
        <w:t xml:space="preserve"> </w:t>
      </w:r>
      <w:r w:rsidRPr="006A69B2">
        <w:rPr>
          <w:i/>
          <w:iCs/>
        </w:rPr>
        <w:t>See</w:t>
      </w:r>
      <w:r>
        <w:t xml:space="preserve"> </w:t>
      </w:r>
      <w:r w:rsidRPr="006A69B2">
        <w:t>Order Instituting Rulemaking to Update Surcharge Mechanisms to Ensure Equity and Transparency of Fees, Taxes and Surcharges Assessed on Customers of Telecommunications Services in California</w:t>
      </w:r>
      <w:r>
        <w:t>, Rulemaking 21-03-002 (Mar. 4, 2021).</w:t>
      </w:r>
    </w:p>
  </w:footnote>
  <w:footnote w:id="50">
    <w:p w14:paraId="44931352" w14:textId="77777777" w:rsidR="00A13D1F" w:rsidRDefault="00A13D1F" w:rsidP="00A13D1F">
      <w:pPr>
        <w:pStyle w:val="FootnoteText"/>
      </w:pPr>
      <w:r>
        <w:rPr>
          <w:rStyle w:val="FootnoteReference"/>
        </w:rPr>
        <w:footnoteRef/>
      </w:r>
      <w:r>
        <w:t xml:space="preserve"> We define administrative costs as “indirect overhead costs attributable to a project, per generally accepted accounting principles (GAAP), and the direct cost of complying with Commission administrative and regulatory requirements related to the grant itself.” Applicants seeking additional funds will require a Commission exemption included in a draft resolution.</w:t>
      </w:r>
    </w:p>
  </w:footnote>
  <w:footnote w:id="51">
    <w:p w14:paraId="59590C5A" w14:textId="77777777" w:rsidR="00A13D1F" w:rsidRDefault="00A13D1F" w:rsidP="00A13D1F">
      <w:pPr>
        <w:pStyle w:val="FootnoteText"/>
      </w:pPr>
      <w:r>
        <w:rPr>
          <w:rStyle w:val="FootnoteReference"/>
        </w:rPr>
        <w:footnoteRef/>
      </w:r>
      <w:r>
        <w:t xml:space="preserve"> </w:t>
      </w:r>
      <w:r w:rsidRPr="001947CD">
        <w:rPr>
          <w:i/>
          <w:iCs/>
        </w:rPr>
        <w:t>See</w:t>
      </w:r>
      <w:r w:rsidRPr="001947CD">
        <w:t>, FAQ Question 6.9.</w:t>
      </w:r>
    </w:p>
  </w:footnote>
  <w:footnote w:id="52">
    <w:p w14:paraId="20B37A82" w14:textId="77777777" w:rsidR="005667F1" w:rsidRDefault="005667F1" w:rsidP="005667F1">
      <w:pPr>
        <w:pStyle w:val="FootnoteText"/>
      </w:pPr>
      <w:r>
        <w:rPr>
          <w:rStyle w:val="FootnoteReference"/>
        </w:rPr>
        <w:footnoteRef/>
      </w:r>
      <w:r>
        <w:t xml:space="preserve"> An </w:t>
      </w:r>
      <w:r w:rsidRPr="006F022E">
        <w:t>example</w:t>
      </w:r>
      <w:r>
        <w:t xml:space="preserve"> to meet the picture requirement is a</w:t>
      </w:r>
      <w:r w:rsidRPr="006F022E">
        <w:t xml:space="preserve"> street-view </w:t>
      </w:r>
      <w:r>
        <w:t>image using Google Maps</w:t>
      </w:r>
      <w:r w:rsidRPr="006F022E">
        <w:t xml:space="preserve"> </w:t>
      </w:r>
      <w:r>
        <w:t>that contains</w:t>
      </w:r>
      <w:r w:rsidRPr="006F022E">
        <w:t xml:space="preserve"> poles </w:t>
      </w:r>
      <w:r>
        <w:t>that</w:t>
      </w:r>
      <w:r w:rsidRPr="006F022E">
        <w:t xml:space="preserve"> the </w:t>
      </w:r>
      <w:r>
        <w:t xml:space="preserve">objector has fiber </w:t>
      </w:r>
      <w:r w:rsidRPr="006F022E">
        <w:t>attached.</w:t>
      </w:r>
    </w:p>
  </w:footnote>
  <w:footnote w:id="53">
    <w:p w14:paraId="64490D3F" w14:textId="77777777" w:rsidR="000B079D" w:rsidRDefault="000B079D" w:rsidP="000B079D">
      <w:pPr>
        <w:pStyle w:val="FootnoteText"/>
      </w:pPr>
      <w:r>
        <w:rPr>
          <w:rStyle w:val="FootnoteReference"/>
        </w:rPr>
        <w:footnoteRef/>
      </w:r>
      <w:r>
        <w:t xml:space="preserve"> </w:t>
      </w:r>
      <w:r w:rsidRPr="00F5070E">
        <w:rPr>
          <w:i/>
          <w:iCs/>
        </w:rPr>
        <w:t>Comments of the California Cable and Telecommunications Association on Proposed Decision</w:t>
      </w:r>
      <w:r>
        <w:t>, filed March 22, 2022, at 11-12.</w:t>
      </w:r>
    </w:p>
  </w:footnote>
  <w:footnote w:id="54">
    <w:p w14:paraId="618E249E" w14:textId="77777777" w:rsidR="000B079D" w:rsidRDefault="000B079D" w:rsidP="000B079D">
      <w:pPr>
        <w:pStyle w:val="FootnoteText"/>
      </w:pPr>
      <w:r>
        <w:rPr>
          <w:rStyle w:val="FootnoteReference"/>
        </w:rPr>
        <w:footnoteRef/>
      </w:r>
      <w:r>
        <w:t xml:space="preserve"> Conclusion of Law 21.</w:t>
      </w:r>
    </w:p>
  </w:footnote>
  <w:footnote w:id="55">
    <w:p w14:paraId="251FAF78" w14:textId="319E2A3D" w:rsidR="000B079D" w:rsidRDefault="000B079D" w:rsidP="000B079D">
      <w:pPr>
        <w:pStyle w:val="FootnoteText"/>
      </w:pPr>
      <w:r>
        <w:rPr>
          <w:rStyle w:val="FootnoteReference"/>
        </w:rPr>
        <w:footnoteRef/>
      </w:r>
      <w:r>
        <w:t xml:space="preserve"> </w:t>
      </w:r>
      <w:r w:rsidRPr="000E187A">
        <w:rPr>
          <w:i/>
          <w:iCs/>
        </w:rPr>
        <w:t>See</w:t>
      </w:r>
      <w:r>
        <w:t xml:space="preserve"> D.20</w:t>
      </w:r>
      <w:r w:rsidR="008606BD">
        <w:noBreakHyphen/>
      </w:r>
      <w:r>
        <w:t>12</w:t>
      </w:r>
      <w:r w:rsidR="008606BD">
        <w:noBreakHyphen/>
      </w:r>
      <w:r>
        <w:t xml:space="preserve">021 at 21. </w:t>
      </w:r>
    </w:p>
  </w:footnote>
  <w:footnote w:id="56">
    <w:p w14:paraId="4B9B61EA" w14:textId="77777777" w:rsidR="000B079D" w:rsidRDefault="000B079D" w:rsidP="000B079D">
      <w:pPr>
        <w:pStyle w:val="FootnoteText"/>
      </w:pPr>
      <w:r>
        <w:rPr>
          <w:rStyle w:val="FootnoteReference"/>
        </w:rPr>
        <w:footnoteRef/>
      </w:r>
      <w:r>
        <w:t xml:space="preserve"> </w:t>
      </w:r>
      <w:r w:rsidRPr="000E187A">
        <w:rPr>
          <w:i/>
          <w:iCs/>
        </w:rPr>
        <w:t>Id</w:t>
      </w:r>
      <w:r>
        <w:t xml:space="preserve"> at 29. </w:t>
      </w:r>
      <w:r w:rsidRPr="00426099">
        <w:t>For a thorough discussion of the applicable laws related to public access to government records and requirements for confidential treatment of information submitted by utilities, see D.20-12-021, at pp. 9-19.  See also pp. 18-35 for an overview of the applicable standards governing confidentiality claims based on personal customer information, trade secret privileges, the Critical Infrastructure Information Act of 2002, and the California Public Records Act balancing test under Gov. Code  § 6255(a).</w:t>
      </w:r>
    </w:p>
  </w:footnote>
  <w:footnote w:id="57">
    <w:p w14:paraId="483BB12F" w14:textId="77777777" w:rsidR="00A13D1F" w:rsidRPr="003C5C74" w:rsidRDefault="00A13D1F" w:rsidP="00A13D1F">
      <w:pPr>
        <w:pStyle w:val="FootnoteText"/>
        <w:rPr>
          <w:szCs w:val="22"/>
        </w:rPr>
      </w:pPr>
      <w:r w:rsidRPr="003C5C74">
        <w:rPr>
          <w:rStyle w:val="FootnoteReference"/>
          <w:szCs w:val="22"/>
        </w:rPr>
        <w:footnoteRef/>
      </w:r>
      <w:r w:rsidRPr="003C5C74">
        <w:rPr>
          <w:szCs w:val="22"/>
        </w:rPr>
        <w:t xml:space="preserve">  </w:t>
      </w:r>
      <w:r w:rsidRPr="003C5C74">
        <w:rPr>
          <w:i/>
          <w:szCs w:val="22"/>
        </w:rPr>
        <w:t>See</w:t>
      </w:r>
      <w:r w:rsidRPr="003C5C74">
        <w:rPr>
          <w:szCs w:val="22"/>
        </w:rPr>
        <w:t xml:space="preserve"> D.09</w:t>
      </w:r>
      <w:r w:rsidRPr="003C5C74">
        <w:rPr>
          <w:szCs w:val="22"/>
        </w:rPr>
        <w:noBreakHyphen/>
        <w:t>05</w:t>
      </w:r>
      <w:r w:rsidRPr="003C5C74">
        <w:rPr>
          <w:szCs w:val="22"/>
        </w:rPr>
        <w:noBreakHyphen/>
        <w:t>020 at 2</w:t>
      </w:r>
      <w:r w:rsidRPr="003C5C74">
        <w:rPr>
          <w:szCs w:val="22"/>
        </w:rPr>
        <w:noBreakHyphen/>
        <w:t>3; D.07</w:t>
      </w:r>
      <w:r w:rsidRPr="003C5C74">
        <w:rPr>
          <w:szCs w:val="22"/>
        </w:rPr>
        <w:noBreakHyphen/>
        <w:t>09</w:t>
      </w:r>
      <w:r w:rsidRPr="003C5C74">
        <w:rPr>
          <w:szCs w:val="22"/>
        </w:rPr>
        <w:noBreakHyphen/>
        <w:t>018 at 18, n.34</w:t>
      </w:r>
      <w:r>
        <w:rPr>
          <w:szCs w:val="22"/>
        </w:rPr>
        <w:t xml:space="preserve">; D.18-12-018 at 25-26, Conclusion of Law 2. </w:t>
      </w:r>
    </w:p>
  </w:footnote>
  <w:footnote w:id="58">
    <w:p w14:paraId="350945C5" w14:textId="77777777" w:rsidR="00A13D1F" w:rsidRDefault="00A13D1F" w:rsidP="00A13D1F">
      <w:pPr>
        <w:pStyle w:val="FootnoteText"/>
      </w:pPr>
      <w:r>
        <w:rPr>
          <w:rStyle w:val="FootnoteReference"/>
        </w:rPr>
        <w:footnoteRef/>
      </w:r>
      <w:r>
        <w:t xml:space="preserve"> 87 FR 4418.</w:t>
      </w:r>
    </w:p>
  </w:footnote>
  <w:footnote w:id="59">
    <w:p w14:paraId="33BAD9E5" w14:textId="77777777" w:rsidR="0079767C" w:rsidRDefault="0079767C" w:rsidP="0079767C">
      <w:pPr>
        <w:pStyle w:val="FootnoteText"/>
      </w:pPr>
      <w:r>
        <w:rPr>
          <w:rStyle w:val="FootnoteReference"/>
        </w:rPr>
        <w:footnoteRef/>
      </w:r>
      <w:r>
        <w:t xml:space="preserve"> As defined in the Appendix, </w:t>
      </w:r>
      <w:r w:rsidRPr="008653E0">
        <w:t>”</w:t>
      </w:r>
      <w:r>
        <w:t>l</w:t>
      </w:r>
      <w:r w:rsidRPr="008653E0">
        <w:t>ow-income customers“ are households with incomes that would qualify for CARE pursuant to Pub. Util. Code §739.1(a) and D.16-11-022 at 18 (or as updated in a successor decision). As noted above, for a household of four the income threshold is $52,400 through May 31, 2021. The threshold is updated regularly in the CARE proceeding, A.19-11-003, et. al.</w:t>
      </w:r>
    </w:p>
  </w:footnote>
  <w:footnote w:id="60">
    <w:p w14:paraId="3FC66D69" w14:textId="77777777" w:rsidR="00A13D1F" w:rsidRDefault="00A13D1F" w:rsidP="00A13D1F">
      <w:pPr>
        <w:pStyle w:val="FootnoteText"/>
      </w:pPr>
      <w:r>
        <w:rPr>
          <w:rStyle w:val="FootnoteReference"/>
        </w:rPr>
        <w:footnoteRef/>
      </w:r>
      <w:r>
        <w:t xml:space="preserve"> </w:t>
      </w:r>
      <w:r w:rsidRPr="00F378EB">
        <w:rPr>
          <w:i/>
          <w:iCs/>
        </w:rPr>
        <w:t>See</w:t>
      </w:r>
      <w:r w:rsidRPr="00F378EB">
        <w:t>, FAQ Question 6.11.</w:t>
      </w:r>
    </w:p>
  </w:footnote>
  <w:footnote w:id="61">
    <w:p w14:paraId="2F8AB6AD" w14:textId="77777777" w:rsidR="0079767C" w:rsidRDefault="0079767C" w:rsidP="0079767C">
      <w:pPr>
        <w:pStyle w:val="FootnoteText"/>
      </w:pPr>
      <w:r>
        <w:rPr>
          <w:rStyle w:val="FootnoteReference"/>
        </w:rPr>
        <w:footnoteRef/>
      </w:r>
      <w:r>
        <w:t xml:space="preserve"> Pub. Util. Code </w:t>
      </w:r>
      <w:r>
        <w:rPr>
          <w:rFonts w:ascii="Courier New" w:hAnsi="Courier New" w:cs="Courier New"/>
        </w:rPr>
        <w:t>§§</w:t>
      </w:r>
      <w:r>
        <w:t xml:space="preserve"> 281(n)(3)(A)(ii) and 281(n)(3)(B)(ii).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A710" w14:textId="36C515B4" w:rsidR="00E23CBB" w:rsidRDefault="00EA3D5B" w:rsidP="00EE4315">
    <w:pPr>
      <w:pStyle w:val="Header"/>
      <w:tabs>
        <w:tab w:val="clear" w:pos="4680"/>
      </w:tabs>
      <w:ind w:firstLine="0"/>
      <w:rPr>
        <w:b/>
      </w:rPr>
    </w:pPr>
    <w:r>
      <w:t xml:space="preserve">R.20-09-001  </w:t>
    </w:r>
    <w:r w:rsidR="00535ABF">
      <w:t>COM/ARD/mph</w:t>
    </w:r>
    <w:r w:rsidR="007E526C">
      <w:t>/jnf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D378" w14:textId="05BBC6A0" w:rsidR="00887C1D" w:rsidRPr="00C418A0" w:rsidRDefault="00EA3D5B" w:rsidP="00B3087D">
    <w:pPr>
      <w:pStyle w:val="Header"/>
      <w:tabs>
        <w:tab w:val="clear" w:pos="4680"/>
      </w:tabs>
      <w:ind w:firstLine="0"/>
      <w:rPr>
        <w:b/>
      </w:rPr>
    </w:pPr>
    <w:r>
      <w:t xml:space="preserve">R.20-09-001  </w:t>
    </w:r>
    <w:r w:rsidR="00535ABF">
      <w:t>COM/ARD/mph</w:t>
    </w:r>
    <w:r w:rsidR="007E526C">
      <w:t>/jnf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B9F" w14:textId="2EEEC763" w:rsidR="00A40584" w:rsidRDefault="00A40584" w:rsidP="00EE4315">
    <w:pPr>
      <w:pStyle w:val="Header"/>
      <w:tabs>
        <w:tab w:val="clear" w:pos="4680"/>
      </w:tabs>
      <w:ind w:firstLine="0"/>
      <w:rPr>
        <w:b/>
      </w:rPr>
    </w:pPr>
    <w:r>
      <w:t>R.20-09-001  ALJ/TJG/mph</w:t>
    </w:r>
    <w:r w:rsidR="007E526C">
      <w:t>/jnf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1B253A"/>
    <w:multiLevelType w:val="hybridMultilevel"/>
    <w:tmpl w:val="61822AE2"/>
    <w:lvl w:ilvl="0" w:tplc="C0D05DBE">
      <w:start w:val="1"/>
      <w:numFmt w:val="decimal"/>
      <w:lvlText w:val="%1."/>
      <w:lvlJc w:val="center"/>
      <w:pPr>
        <w:ind w:left="1440" w:hanging="360"/>
      </w:pPr>
      <w:rPr>
        <w:rFonts w:hint="default"/>
      </w:rPr>
    </w:lvl>
    <w:lvl w:ilvl="1" w:tplc="A404BD84">
      <w:start w:val="1"/>
      <w:numFmt w:val="upperLetter"/>
      <w:lvlText w:val="(%2)"/>
      <w:lvlJc w:val="left"/>
      <w:pPr>
        <w:ind w:left="2235" w:hanging="43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5008A3"/>
    <w:multiLevelType w:val="hybridMultilevel"/>
    <w:tmpl w:val="F8BC0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4" w15:restartNumberingAfterBreak="0">
    <w:nsid w:val="15F056CB"/>
    <w:multiLevelType w:val="multilevel"/>
    <w:tmpl w:val="18F4A5AC"/>
    <w:numStyleLink w:val="FoFCoLOP"/>
  </w:abstractNum>
  <w:abstractNum w:abstractNumId="5" w15:restartNumberingAfterBreak="0">
    <w:nsid w:val="1C7975E8"/>
    <w:multiLevelType w:val="hybridMultilevel"/>
    <w:tmpl w:val="365CF230"/>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6" w15:restartNumberingAfterBreak="0">
    <w:nsid w:val="1C9D68CC"/>
    <w:multiLevelType w:val="hybridMultilevel"/>
    <w:tmpl w:val="2E4A529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2377CD"/>
    <w:multiLevelType w:val="hybridMultilevel"/>
    <w:tmpl w:val="AAE6DA6A"/>
    <w:lvl w:ilvl="0" w:tplc="B4080754">
      <w:start w:val="1"/>
      <w:numFmt w:val="upperLetter"/>
      <w:lvlText w:val="(%1)"/>
      <w:lvlJc w:val="center"/>
      <w:pPr>
        <w:ind w:left="1440" w:hanging="360"/>
      </w:pPr>
      <w:rPr>
        <w:rFonts w:hint="default"/>
      </w:rPr>
    </w:lvl>
    <w:lvl w:ilvl="1" w:tplc="B4080754">
      <w:start w:val="1"/>
      <w:numFmt w:val="upperLetter"/>
      <w:lvlText w:val="(%2)"/>
      <w:lvlJc w:val="center"/>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471BCF"/>
    <w:multiLevelType w:val="hybridMultilevel"/>
    <w:tmpl w:val="3B080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B640D5"/>
    <w:multiLevelType w:val="hybridMultilevel"/>
    <w:tmpl w:val="FE6E4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F863CA"/>
    <w:multiLevelType w:val="hybridMultilevel"/>
    <w:tmpl w:val="09242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5E0399"/>
    <w:multiLevelType w:val="hybridMultilevel"/>
    <w:tmpl w:val="7BBC7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3" w15:restartNumberingAfterBreak="0">
    <w:nsid w:val="34F30C27"/>
    <w:multiLevelType w:val="hybridMultilevel"/>
    <w:tmpl w:val="C79A0C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C99679A"/>
    <w:multiLevelType w:val="hybridMultilevel"/>
    <w:tmpl w:val="96442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932A4F"/>
    <w:multiLevelType w:val="hybridMultilevel"/>
    <w:tmpl w:val="91C82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9A1A92"/>
    <w:multiLevelType w:val="hybridMultilevel"/>
    <w:tmpl w:val="FF4EE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E82B25"/>
    <w:multiLevelType w:val="hybridMultilevel"/>
    <w:tmpl w:val="A84CF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2867D2"/>
    <w:multiLevelType w:val="hybridMultilevel"/>
    <w:tmpl w:val="7BD41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7F1FF4"/>
    <w:multiLevelType w:val="hybridMultilevel"/>
    <w:tmpl w:val="39A49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626491"/>
    <w:multiLevelType w:val="hybridMultilevel"/>
    <w:tmpl w:val="812CE9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D042D7"/>
    <w:multiLevelType w:val="multilevel"/>
    <w:tmpl w:val="18F4A5AC"/>
    <w:numStyleLink w:val="FoFCoLOP"/>
  </w:abstractNum>
  <w:abstractNum w:abstractNumId="22" w15:restartNumberingAfterBreak="0">
    <w:nsid w:val="5A9E2171"/>
    <w:multiLevelType w:val="multilevel"/>
    <w:tmpl w:val="3C526EDE"/>
    <w:numStyleLink w:val="Headings"/>
  </w:abstractNum>
  <w:abstractNum w:abstractNumId="23" w15:restartNumberingAfterBreak="0">
    <w:nsid w:val="61A25780"/>
    <w:multiLevelType w:val="multilevel"/>
    <w:tmpl w:val="3C526EDE"/>
    <w:numStyleLink w:val="Headings"/>
  </w:abstractNum>
  <w:abstractNum w:abstractNumId="24" w15:restartNumberingAfterBreak="0">
    <w:nsid w:val="69DF5E44"/>
    <w:multiLevelType w:val="hybridMultilevel"/>
    <w:tmpl w:val="37B44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840A9A"/>
    <w:multiLevelType w:val="hybridMultilevel"/>
    <w:tmpl w:val="A93E4E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1232098"/>
    <w:multiLevelType w:val="hybridMultilevel"/>
    <w:tmpl w:val="A426D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B6066A"/>
    <w:multiLevelType w:val="hybridMultilevel"/>
    <w:tmpl w:val="A7028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9A0AFE"/>
    <w:multiLevelType w:val="multilevel"/>
    <w:tmpl w:val="18F4A5AC"/>
    <w:numStyleLink w:val="FoFCoLOP"/>
  </w:abstractNum>
  <w:abstractNum w:abstractNumId="29" w15:restartNumberingAfterBreak="0">
    <w:nsid w:val="797417B7"/>
    <w:multiLevelType w:val="hybridMultilevel"/>
    <w:tmpl w:val="6D6A0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9340236">
    <w:abstractNumId w:val="22"/>
  </w:num>
  <w:num w:numId="2" w16cid:durableId="1059862337">
    <w:abstractNumId w:val="3"/>
  </w:num>
  <w:num w:numId="3" w16cid:durableId="546796380">
    <w:abstractNumId w:val="21"/>
  </w:num>
  <w:num w:numId="4" w16cid:durableId="217056091">
    <w:abstractNumId w:val="4"/>
  </w:num>
  <w:num w:numId="5" w16cid:durableId="542710768">
    <w:abstractNumId w:val="28"/>
  </w:num>
  <w:num w:numId="6" w16cid:durableId="1567257365">
    <w:abstractNumId w:val="12"/>
  </w:num>
  <w:num w:numId="7" w16cid:durableId="1661499793">
    <w:abstractNumId w:val="0"/>
  </w:num>
  <w:num w:numId="8" w16cid:durableId="1406951360">
    <w:abstractNumId w:val="23"/>
  </w:num>
  <w:num w:numId="9" w16cid:durableId="203560582">
    <w:abstractNumId w:val="5"/>
  </w:num>
  <w:num w:numId="10" w16cid:durableId="1565215490">
    <w:abstractNumId w:val="8"/>
  </w:num>
  <w:num w:numId="11" w16cid:durableId="1749034866">
    <w:abstractNumId w:val="6"/>
  </w:num>
  <w:num w:numId="12" w16cid:durableId="1519467736">
    <w:abstractNumId w:val="25"/>
  </w:num>
  <w:num w:numId="13" w16cid:durableId="1353604150">
    <w:abstractNumId w:val="20"/>
  </w:num>
  <w:num w:numId="14" w16cid:durableId="246772510">
    <w:abstractNumId w:val="18"/>
  </w:num>
  <w:num w:numId="15" w16cid:durableId="1237860462">
    <w:abstractNumId w:val="19"/>
  </w:num>
  <w:num w:numId="16" w16cid:durableId="1231620138">
    <w:abstractNumId w:val="14"/>
  </w:num>
  <w:num w:numId="17" w16cid:durableId="3750405">
    <w:abstractNumId w:val="24"/>
  </w:num>
  <w:num w:numId="18" w16cid:durableId="2026247509">
    <w:abstractNumId w:val="16"/>
  </w:num>
  <w:num w:numId="19" w16cid:durableId="1326593151">
    <w:abstractNumId w:val="11"/>
  </w:num>
  <w:num w:numId="20" w16cid:durableId="1595168567">
    <w:abstractNumId w:val="17"/>
  </w:num>
  <w:num w:numId="21" w16cid:durableId="623970627">
    <w:abstractNumId w:val="2"/>
  </w:num>
  <w:num w:numId="22" w16cid:durableId="1782607954">
    <w:abstractNumId w:val="9"/>
  </w:num>
  <w:num w:numId="23" w16cid:durableId="76707448">
    <w:abstractNumId w:val="13"/>
  </w:num>
  <w:num w:numId="24" w16cid:durableId="1873810277">
    <w:abstractNumId w:val="26"/>
  </w:num>
  <w:num w:numId="25" w16cid:durableId="741831528">
    <w:abstractNumId w:val="29"/>
  </w:num>
  <w:num w:numId="26" w16cid:durableId="1355114188">
    <w:abstractNumId w:val="27"/>
  </w:num>
  <w:num w:numId="27" w16cid:durableId="623654248">
    <w:abstractNumId w:val="10"/>
  </w:num>
  <w:num w:numId="28" w16cid:durableId="1493177209">
    <w:abstractNumId w:val="15"/>
  </w:num>
  <w:num w:numId="29" w16cid:durableId="105976906">
    <w:abstractNumId w:val="1"/>
  </w:num>
  <w:num w:numId="30" w16cid:durableId="1142848514">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495"/>
    <w:rsid w:val="00000F6A"/>
    <w:rsid w:val="00033D3A"/>
    <w:rsid w:val="00034CFB"/>
    <w:rsid w:val="00051A06"/>
    <w:rsid w:val="00057B05"/>
    <w:rsid w:val="0007115A"/>
    <w:rsid w:val="000745FD"/>
    <w:rsid w:val="00082777"/>
    <w:rsid w:val="000973C8"/>
    <w:rsid w:val="000975E3"/>
    <w:rsid w:val="000A2AA9"/>
    <w:rsid w:val="000A56F2"/>
    <w:rsid w:val="000A5FED"/>
    <w:rsid w:val="000A605A"/>
    <w:rsid w:val="000A6E05"/>
    <w:rsid w:val="000A6EBE"/>
    <w:rsid w:val="000B079D"/>
    <w:rsid w:val="000B12FA"/>
    <w:rsid w:val="000B1815"/>
    <w:rsid w:val="000B7201"/>
    <w:rsid w:val="000C08BF"/>
    <w:rsid w:val="000C0AC0"/>
    <w:rsid w:val="000C3B9A"/>
    <w:rsid w:val="000C7396"/>
    <w:rsid w:val="000D25A8"/>
    <w:rsid w:val="000E00BD"/>
    <w:rsid w:val="000E270A"/>
    <w:rsid w:val="000E4C53"/>
    <w:rsid w:val="0010774A"/>
    <w:rsid w:val="001109A5"/>
    <w:rsid w:val="00121089"/>
    <w:rsid w:val="00127821"/>
    <w:rsid w:val="001302DB"/>
    <w:rsid w:val="00137248"/>
    <w:rsid w:val="00142367"/>
    <w:rsid w:val="001607DB"/>
    <w:rsid w:val="0018135D"/>
    <w:rsid w:val="00185FA8"/>
    <w:rsid w:val="001C363F"/>
    <w:rsid w:val="001C5A48"/>
    <w:rsid w:val="001E2A62"/>
    <w:rsid w:val="001F11A1"/>
    <w:rsid w:val="001F2819"/>
    <w:rsid w:val="001F5672"/>
    <w:rsid w:val="002043EC"/>
    <w:rsid w:val="002051E2"/>
    <w:rsid w:val="002077A7"/>
    <w:rsid w:val="00210250"/>
    <w:rsid w:val="00212373"/>
    <w:rsid w:val="002305C3"/>
    <w:rsid w:val="002314A7"/>
    <w:rsid w:val="00235D15"/>
    <w:rsid w:val="00242B64"/>
    <w:rsid w:val="0024376A"/>
    <w:rsid w:val="00243DC0"/>
    <w:rsid w:val="00244062"/>
    <w:rsid w:val="00247477"/>
    <w:rsid w:val="002617F1"/>
    <w:rsid w:val="00263F6C"/>
    <w:rsid w:val="00267EC6"/>
    <w:rsid w:val="00270440"/>
    <w:rsid w:val="00276C4F"/>
    <w:rsid w:val="0028407E"/>
    <w:rsid w:val="00287BC5"/>
    <w:rsid w:val="00293DEE"/>
    <w:rsid w:val="002962E6"/>
    <w:rsid w:val="002A0B5D"/>
    <w:rsid w:val="002C7FE9"/>
    <w:rsid w:val="002D0DC5"/>
    <w:rsid w:val="002D1AB7"/>
    <w:rsid w:val="002D25F3"/>
    <w:rsid w:val="002D4EFD"/>
    <w:rsid w:val="002D6E88"/>
    <w:rsid w:val="002F33AB"/>
    <w:rsid w:val="00302232"/>
    <w:rsid w:val="00315A97"/>
    <w:rsid w:val="00316071"/>
    <w:rsid w:val="003268BC"/>
    <w:rsid w:val="00343E5C"/>
    <w:rsid w:val="00344FB8"/>
    <w:rsid w:val="003578DC"/>
    <w:rsid w:val="0036017B"/>
    <w:rsid w:val="00362755"/>
    <w:rsid w:val="00373B93"/>
    <w:rsid w:val="00377BC1"/>
    <w:rsid w:val="00380CD1"/>
    <w:rsid w:val="00387DE0"/>
    <w:rsid w:val="003916BD"/>
    <w:rsid w:val="00395F3F"/>
    <w:rsid w:val="00397B3F"/>
    <w:rsid w:val="003A38F0"/>
    <w:rsid w:val="003D5325"/>
    <w:rsid w:val="003F069A"/>
    <w:rsid w:val="003F4329"/>
    <w:rsid w:val="00412534"/>
    <w:rsid w:val="00412C83"/>
    <w:rsid w:val="00422E4F"/>
    <w:rsid w:val="00426014"/>
    <w:rsid w:val="004431FB"/>
    <w:rsid w:val="0044617E"/>
    <w:rsid w:val="00460B7D"/>
    <w:rsid w:val="00466B7E"/>
    <w:rsid w:val="00472908"/>
    <w:rsid w:val="00480CB0"/>
    <w:rsid w:val="004A047E"/>
    <w:rsid w:val="004B34EA"/>
    <w:rsid w:val="004B5494"/>
    <w:rsid w:val="004C07F4"/>
    <w:rsid w:val="004C1558"/>
    <w:rsid w:val="004C7A2B"/>
    <w:rsid w:val="004C7D3A"/>
    <w:rsid w:val="004D3A4B"/>
    <w:rsid w:val="004E7DE9"/>
    <w:rsid w:val="004F0C67"/>
    <w:rsid w:val="004F2CA8"/>
    <w:rsid w:val="004F3084"/>
    <w:rsid w:val="004F4499"/>
    <w:rsid w:val="005018A8"/>
    <w:rsid w:val="005053F5"/>
    <w:rsid w:val="00505A39"/>
    <w:rsid w:val="005100BD"/>
    <w:rsid w:val="00515638"/>
    <w:rsid w:val="00523541"/>
    <w:rsid w:val="005240BF"/>
    <w:rsid w:val="005255B3"/>
    <w:rsid w:val="005310E1"/>
    <w:rsid w:val="00535ABF"/>
    <w:rsid w:val="005565B6"/>
    <w:rsid w:val="005667F1"/>
    <w:rsid w:val="00567E99"/>
    <w:rsid w:val="00585390"/>
    <w:rsid w:val="0058609A"/>
    <w:rsid w:val="00591B0C"/>
    <w:rsid w:val="005939A5"/>
    <w:rsid w:val="00594743"/>
    <w:rsid w:val="005A148C"/>
    <w:rsid w:val="005A7AA6"/>
    <w:rsid w:val="005B3D43"/>
    <w:rsid w:val="005C58FA"/>
    <w:rsid w:val="005C7896"/>
    <w:rsid w:val="005D158F"/>
    <w:rsid w:val="005D4F9B"/>
    <w:rsid w:val="005E09AD"/>
    <w:rsid w:val="00600E1A"/>
    <w:rsid w:val="00605970"/>
    <w:rsid w:val="006171A4"/>
    <w:rsid w:val="00632207"/>
    <w:rsid w:val="0063491C"/>
    <w:rsid w:val="00636580"/>
    <w:rsid w:val="00641A5E"/>
    <w:rsid w:val="0065616C"/>
    <w:rsid w:val="00661AFE"/>
    <w:rsid w:val="00667E0E"/>
    <w:rsid w:val="00673BE5"/>
    <w:rsid w:val="00680F19"/>
    <w:rsid w:val="00682FB0"/>
    <w:rsid w:val="00683656"/>
    <w:rsid w:val="006C1F10"/>
    <w:rsid w:val="006C6B6B"/>
    <w:rsid w:val="006E00E8"/>
    <w:rsid w:val="006E5D6D"/>
    <w:rsid w:val="006E5E28"/>
    <w:rsid w:val="006E6574"/>
    <w:rsid w:val="006F699E"/>
    <w:rsid w:val="007051F2"/>
    <w:rsid w:val="00714CF2"/>
    <w:rsid w:val="007156B9"/>
    <w:rsid w:val="007206CF"/>
    <w:rsid w:val="00720817"/>
    <w:rsid w:val="00722850"/>
    <w:rsid w:val="00725C5F"/>
    <w:rsid w:val="007311F8"/>
    <w:rsid w:val="0073353F"/>
    <w:rsid w:val="0073538C"/>
    <w:rsid w:val="00735A91"/>
    <w:rsid w:val="00742E45"/>
    <w:rsid w:val="007447AF"/>
    <w:rsid w:val="00747336"/>
    <w:rsid w:val="00750816"/>
    <w:rsid w:val="007536D5"/>
    <w:rsid w:val="007657C1"/>
    <w:rsid w:val="007672EC"/>
    <w:rsid w:val="0077462D"/>
    <w:rsid w:val="0077755F"/>
    <w:rsid w:val="00786849"/>
    <w:rsid w:val="0079767C"/>
    <w:rsid w:val="007A406D"/>
    <w:rsid w:val="007A62B0"/>
    <w:rsid w:val="007B0F6E"/>
    <w:rsid w:val="007C5A0C"/>
    <w:rsid w:val="007D073E"/>
    <w:rsid w:val="007D0F9A"/>
    <w:rsid w:val="007E0FEE"/>
    <w:rsid w:val="007E526C"/>
    <w:rsid w:val="007F2017"/>
    <w:rsid w:val="007F6296"/>
    <w:rsid w:val="008058A6"/>
    <w:rsid w:val="00812717"/>
    <w:rsid w:val="008159CF"/>
    <w:rsid w:val="00816E05"/>
    <w:rsid w:val="0082743C"/>
    <w:rsid w:val="008339BB"/>
    <w:rsid w:val="00854487"/>
    <w:rsid w:val="008606BD"/>
    <w:rsid w:val="00862001"/>
    <w:rsid w:val="0086419A"/>
    <w:rsid w:val="00864A70"/>
    <w:rsid w:val="0087023B"/>
    <w:rsid w:val="00872CF5"/>
    <w:rsid w:val="008745C4"/>
    <w:rsid w:val="00874927"/>
    <w:rsid w:val="00887C1D"/>
    <w:rsid w:val="008A07AE"/>
    <w:rsid w:val="008A179F"/>
    <w:rsid w:val="008B0864"/>
    <w:rsid w:val="008C11F8"/>
    <w:rsid w:val="008C2A53"/>
    <w:rsid w:val="008C5C7A"/>
    <w:rsid w:val="008C6C83"/>
    <w:rsid w:val="008C7413"/>
    <w:rsid w:val="008D16B7"/>
    <w:rsid w:val="008E05B5"/>
    <w:rsid w:val="008E648D"/>
    <w:rsid w:val="008E6AE6"/>
    <w:rsid w:val="008E76DC"/>
    <w:rsid w:val="008E7E3E"/>
    <w:rsid w:val="008F0116"/>
    <w:rsid w:val="008F143D"/>
    <w:rsid w:val="008F25EC"/>
    <w:rsid w:val="00932865"/>
    <w:rsid w:val="00957E36"/>
    <w:rsid w:val="00974482"/>
    <w:rsid w:val="00975963"/>
    <w:rsid w:val="0098138E"/>
    <w:rsid w:val="0098655A"/>
    <w:rsid w:val="00987089"/>
    <w:rsid w:val="00995C98"/>
    <w:rsid w:val="009B393A"/>
    <w:rsid w:val="009E6052"/>
    <w:rsid w:val="009E7C7F"/>
    <w:rsid w:val="009F11AB"/>
    <w:rsid w:val="00A13D1F"/>
    <w:rsid w:val="00A17CE0"/>
    <w:rsid w:val="00A23D48"/>
    <w:rsid w:val="00A25552"/>
    <w:rsid w:val="00A31187"/>
    <w:rsid w:val="00A37CC4"/>
    <w:rsid w:val="00A40584"/>
    <w:rsid w:val="00A40959"/>
    <w:rsid w:val="00A42306"/>
    <w:rsid w:val="00A44E8D"/>
    <w:rsid w:val="00A46EA8"/>
    <w:rsid w:val="00A46EFD"/>
    <w:rsid w:val="00A55ACD"/>
    <w:rsid w:val="00A75DA7"/>
    <w:rsid w:val="00A82F3E"/>
    <w:rsid w:val="00A85D27"/>
    <w:rsid w:val="00AA2908"/>
    <w:rsid w:val="00AB0A36"/>
    <w:rsid w:val="00AB7186"/>
    <w:rsid w:val="00AB7875"/>
    <w:rsid w:val="00AC68EE"/>
    <w:rsid w:val="00AD3AEF"/>
    <w:rsid w:val="00AD3F7D"/>
    <w:rsid w:val="00B0161F"/>
    <w:rsid w:val="00B01F7E"/>
    <w:rsid w:val="00B0258C"/>
    <w:rsid w:val="00B025FA"/>
    <w:rsid w:val="00B16C2A"/>
    <w:rsid w:val="00B3087D"/>
    <w:rsid w:val="00B30F94"/>
    <w:rsid w:val="00B34794"/>
    <w:rsid w:val="00B424E4"/>
    <w:rsid w:val="00B473ED"/>
    <w:rsid w:val="00B60421"/>
    <w:rsid w:val="00B617C8"/>
    <w:rsid w:val="00B62749"/>
    <w:rsid w:val="00B70AE5"/>
    <w:rsid w:val="00B81EB6"/>
    <w:rsid w:val="00B85240"/>
    <w:rsid w:val="00BA7495"/>
    <w:rsid w:val="00BB0243"/>
    <w:rsid w:val="00BB4FCB"/>
    <w:rsid w:val="00BC12B6"/>
    <w:rsid w:val="00BD0243"/>
    <w:rsid w:val="00BF085E"/>
    <w:rsid w:val="00BF12BB"/>
    <w:rsid w:val="00C10B5F"/>
    <w:rsid w:val="00C22089"/>
    <w:rsid w:val="00C327DC"/>
    <w:rsid w:val="00C3285C"/>
    <w:rsid w:val="00C40F64"/>
    <w:rsid w:val="00C418A0"/>
    <w:rsid w:val="00C52969"/>
    <w:rsid w:val="00C529E3"/>
    <w:rsid w:val="00C5392E"/>
    <w:rsid w:val="00C72AE2"/>
    <w:rsid w:val="00C73E4D"/>
    <w:rsid w:val="00C74EC9"/>
    <w:rsid w:val="00C878D5"/>
    <w:rsid w:val="00C90204"/>
    <w:rsid w:val="00C9033B"/>
    <w:rsid w:val="00C913A1"/>
    <w:rsid w:val="00CB6FEB"/>
    <w:rsid w:val="00CC11CA"/>
    <w:rsid w:val="00CC6A99"/>
    <w:rsid w:val="00CF65DB"/>
    <w:rsid w:val="00CF692B"/>
    <w:rsid w:val="00D00AA3"/>
    <w:rsid w:val="00D04A41"/>
    <w:rsid w:val="00D0504E"/>
    <w:rsid w:val="00D07F73"/>
    <w:rsid w:val="00D14844"/>
    <w:rsid w:val="00D2041C"/>
    <w:rsid w:val="00D244CF"/>
    <w:rsid w:val="00D25ADE"/>
    <w:rsid w:val="00D3146A"/>
    <w:rsid w:val="00D34546"/>
    <w:rsid w:val="00D35305"/>
    <w:rsid w:val="00D37A7D"/>
    <w:rsid w:val="00D4002D"/>
    <w:rsid w:val="00D43297"/>
    <w:rsid w:val="00D44DB6"/>
    <w:rsid w:val="00D50119"/>
    <w:rsid w:val="00D513C3"/>
    <w:rsid w:val="00D55BE5"/>
    <w:rsid w:val="00D61487"/>
    <w:rsid w:val="00D62B72"/>
    <w:rsid w:val="00D642B3"/>
    <w:rsid w:val="00D74D88"/>
    <w:rsid w:val="00D75EDE"/>
    <w:rsid w:val="00D82A43"/>
    <w:rsid w:val="00D92F6B"/>
    <w:rsid w:val="00D931CA"/>
    <w:rsid w:val="00DA7B5D"/>
    <w:rsid w:val="00DB43A5"/>
    <w:rsid w:val="00DB6E33"/>
    <w:rsid w:val="00DD1673"/>
    <w:rsid w:val="00DD68C5"/>
    <w:rsid w:val="00DF58E7"/>
    <w:rsid w:val="00E11876"/>
    <w:rsid w:val="00E14C8B"/>
    <w:rsid w:val="00E2217E"/>
    <w:rsid w:val="00E23CBB"/>
    <w:rsid w:val="00E242B8"/>
    <w:rsid w:val="00E34154"/>
    <w:rsid w:val="00E35B8B"/>
    <w:rsid w:val="00E37B59"/>
    <w:rsid w:val="00E41BD4"/>
    <w:rsid w:val="00E43F86"/>
    <w:rsid w:val="00E47FF5"/>
    <w:rsid w:val="00E53438"/>
    <w:rsid w:val="00E56963"/>
    <w:rsid w:val="00E62A4B"/>
    <w:rsid w:val="00E62B86"/>
    <w:rsid w:val="00E64428"/>
    <w:rsid w:val="00E723F8"/>
    <w:rsid w:val="00E725FC"/>
    <w:rsid w:val="00E75E28"/>
    <w:rsid w:val="00E7713E"/>
    <w:rsid w:val="00E863C8"/>
    <w:rsid w:val="00E902F9"/>
    <w:rsid w:val="00EA1FFE"/>
    <w:rsid w:val="00EA36C6"/>
    <w:rsid w:val="00EA3D5B"/>
    <w:rsid w:val="00EB62A0"/>
    <w:rsid w:val="00EC2B6A"/>
    <w:rsid w:val="00EC30F9"/>
    <w:rsid w:val="00EC3CA9"/>
    <w:rsid w:val="00ED5725"/>
    <w:rsid w:val="00ED7031"/>
    <w:rsid w:val="00EE3060"/>
    <w:rsid w:val="00EE4315"/>
    <w:rsid w:val="00EF287F"/>
    <w:rsid w:val="00EF6925"/>
    <w:rsid w:val="00F01565"/>
    <w:rsid w:val="00F12339"/>
    <w:rsid w:val="00F14441"/>
    <w:rsid w:val="00F26ED3"/>
    <w:rsid w:val="00F34F2D"/>
    <w:rsid w:val="00F45286"/>
    <w:rsid w:val="00F55EE1"/>
    <w:rsid w:val="00F6170A"/>
    <w:rsid w:val="00F62B7A"/>
    <w:rsid w:val="00F6397D"/>
    <w:rsid w:val="00F67984"/>
    <w:rsid w:val="00F7293E"/>
    <w:rsid w:val="00F72D40"/>
    <w:rsid w:val="00F74D0D"/>
    <w:rsid w:val="00F76650"/>
    <w:rsid w:val="00F86B95"/>
    <w:rsid w:val="00F9187B"/>
    <w:rsid w:val="00F92385"/>
    <w:rsid w:val="00FA1B4F"/>
    <w:rsid w:val="00FA2DBE"/>
    <w:rsid w:val="00FA6FB1"/>
    <w:rsid w:val="00FB18D2"/>
    <w:rsid w:val="00FC47F9"/>
    <w:rsid w:val="00FD0D5A"/>
    <w:rsid w:val="00FE2351"/>
    <w:rsid w:val="00FE337D"/>
    <w:rsid w:val="00FE5580"/>
    <w:rsid w:val="00FF110C"/>
    <w:rsid w:val="00FF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551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numPr>
        <w:numId w:val="8"/>
      </w:numPr>
      <w:ind w:right="2160"/>
    </w:pPr>
    <w:rPr>
      <w:rFonts w:eastAsiaTheme="majorEastAsia" w:cstheme="majorBidi"/>
      <w:szCs w:val="32"/>
    </w:rPr>
  </w:style>
  <w:style w:type="paragraph" w:styleId="Heading2">
    <w:name w:val="heading 2"/>
    <w:basedOn w:val="Dummy"/>
    <w:next w:val="Standard"/>
    <w:link w:val="Heading2Char"/>
    <w:uiPriority w:val="4"/>
    <w:qFormat/>
    <w:rsid w:val="000E270A"/>
    <w:pPr>
      <w:numPr>
        <w:ilvl w:val="1"/>
        <w:numId w:val="8"/>
      </w:numPr>
      <w:ind w:right="2160"/>
      <w:outlineLvl w:val="1"/>
    </w:pPr>
  </w:style>
  <w:style w:type="paragraph" w:styleId="Heading3">
    <w:name w:val="heading 3"/>
    <w:basedOn w:val="Dummy"/>
    <w:next w:val="Standard"/>
    <w:link w:val="Heading3Char"/>
    <w:uiPriority w:val="4"/>
    <w:qFormat/>
    <w:rsid w:val="000E270A"/>
    <w:pPr>
      <w:numPr>
        <w:ilvl w:val="2"/>
        <w:numId w:val="8"/>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8"/>
      </w:num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8"/>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8"/>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semiHidden/>
    <w:rsid w:val="00EE306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uiPriority w:val="99"/>
    <w:rsid w:val="00B01F7E"/>
    <w:pPr>
      <w:spacing w:after="120" w:line="240" w:lineRule="auto"/>
      <w:ind w:firstLine="0"/>
    </w:pPr>
    <w:rPr>
      <w:sz w:val="22"/>
      <w:szCs w:val="20"/>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
    <w:basedOn w:val="DefaultParagraphFont"/>
    <w:link w:val="FootnoteText"/>
    <w:uiPriority w:val="99"/>
    <w:rsid w:val="007657C1"/>
    <w:rPr>
      <w:rFonts w:ascii="Book Antiqua" w:hAnsi="Book Antiqua"/>
      <w:szCs w:val="20"/>
    </w:rPr>
  </w:style>
  <w:style w:type="character" w:styleId="FootnoteReference">
    <w:name w:val="footnote reference"/>
    <w:aliases w:val="o,fr,o1,o2,o3,o4,o5,o6,o11,o21,o7,Style 3,Appel note de bas de p,Style 12,(NECG) Footnote Reference,Style 124,Style 13,FR,Style 17,Style 6,Footnote Reference/,Style 7,Style 4,Style 34,Style 9,Footnote Reference1,o + Times New Roman"/>
    <w:basedOn w:val="DefaultParagraphFont"/>
    <w:uiPriority w:val="99"/>
    <w:unhideWhenUsed/>
    <w:qFormat/>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8"/>
      </w:numPr>
      <w:spacing w:after="120" w:line="240" w:lineRule="auto"/>
    </w:pPr>
  </w:style>
  <w:style w:type="paragraph" w:styleId="ListBullet">
    <w:name w:val="List Bullet"/>
    <w:basedOn w:val="Standard"/>
    <w:uiPriority w:val="4"/>
    <w:qFormat/>
    <w:rsid w:val="001F2819"/>
    <w:pPr>
      <w:numPr>
        <w:numId w:val="7"/>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8"/>
      </w:numPr>
      <w:spacing w:after="120" w:line="240" w:lineRule="auto"/>
    </w:pPr>
  </w:style>
  <w:style w:type="character" w:styleId="CommentReference">
    <w:name w:val="annotation reference"/>
    <w:basedOn w:val="DefaultParagraphFont"/>
    <w:uiPriority w:val="99"/>
    <w:semiHidden/>
    <w:unhideWhenUsed/>
    <w:rsid w:val="00A13D1F"/>
    <w:rPr>
      <w:sz w:val="16"/>
      <w:szCs w:val="16"/>
    </w:rPr>
  </w:style>
  <w:style w:type="paragraph" w:styleId="CommentText">
    <w:name w:val="annotation text"/>
    <w:basedOn w:val="Normal"/>
    <w:link w:val="CommentTextChar"/>
    <w:uiPriority w:val="99"/>
    <w:unhideWhenUsed/>
    <w:rsid w:val="00A13D1F"/>
    <w:pPr>
      <w:spacing w:line="240" w:lineRule="auto"/>
    </w:pPr>
    <w:rPr>
      <w:sz w:val="20"/>
      <w:szCs w:val="20"/>
    </w:rPr>
  </w:style>
  <w:style w:type="character" w:customStyle="1" w:styleId="CommentTextChar">
    <w:name w:val="Comment Text Char"/>
    <w:basedOn w:val="DefaultParagraphFont"/>
    <w:link w:val="CommentText"/>
    <w:uiPriority w:val="99"/>
    <w:rsid w:val="00A13D1F"/>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A13D1F"/>
    <w:rPr>
      <w:b/>
      <w:bCs/>
    </w:rPr>
  </w:style>
  <w:style w:type="character" w:customStyle="1" w:styleId="CommentSubjectChar">
    <w:name w:val="Comment Subject Char"/>
    <w:basedOn w:val="CommentTextChar"/>
    <w:link w:val="CommentSubject"/>
    <w:uiPriority w:val="99"/>
    <w:semiHidden/>
    <w:rsid w:val="00A13D1F"/>
    <w:rPr>
      <w:rFonts w:ascii="Book Antiqua" w:hAnsi="Book Antiqua"/>
      <w:b/>
      <w:bCs/>
      <w:sz w:val="20"/>
      <w:szCs w:val="20"/>
    </w:rPr>
  </w:style>
  <w:style w:type="character" w:customStyle="1" w:styleId="normaltextrun">
    <w:name w:val="normaltextrun"/>
    <w:basedOn w:val="DefaultParagraphFont"/>
    <w:rsid w:val="00A13D1F"/>
  </w:style>
  <w:style w:type="character" w:styleId="UnresolvedMention">
    <w:name w:val="Unresolved Mention"/>
    <w:basedOn w:val="DefaultParagraphFont"/>
    <w:uiPriority w:val="99"/>
    <w:unhideWhenUsed/>
    <w:rsid w:val="00A13D1F"/>
    <w:rPr>
      <w:color w:val="605E5C"/>
      <w:shd w:val="clear" w:color="auto" w:fill="E1DFDD"/>
    </w:rPr>
  </w:style>
  <w:style w:type="paragraph" w:styleId="ListParagraph">
    <w:name w:val="List Paragraph"/>
    <w:basedOn w:val="Normal"/>
    <w:uiPriority w:val="34"/>
    <w:qFormat/>
    <w:rsid w:val="00A13D1F"/>
    <w:pPr>
      <w:ind w:left="720"/>
      <w:contextualSpacing/>
    </w:pPr>
  </w:style>
  <w:style w:type="paragraph" w:styleId="TOC7">
    <w:name w:val="toc 7"/>
    <w:basedOn w:val="Normal"/>
    <w:next w:val="Normal"/>
    <w:autoRedefine/>
    <w:uiPriority w:val="39"/>
    <w:unhideWhenUsed/>
    <w:rsid w:val="00A13D1F"/>
    <w:pPr>
      <w:spacing w:after="100" w:line="259" w:lineRule="auto"/>
      <w:ind w:left="1320" w:firstLine="0"/>
    </w:pPr>
    <w:rPr>
      <w:rFonts w:asciiTheme="minorHAnsi" w:eastAsiaTheme="minorEastAsia" w:hAnsiTheme="minorHAnsi"/>
      <w:sz w:val="22"/>
    </w:rPr>
  </w:style>
  <w:style w:type="paragraph" w:styleId="TOC8">
    <w:name w:val="toc 8"/>
    <w:basedOn w:val="Normal"/>
    <w:next w:val="Normal"/>
    <w:autoRedefine/>
    <w:uiPriority w:val="39"/>
    <w:unhideWhenUsed/>
    <w:rsid w:val="00A13D1F"/>
    <w:pPr>
      <w:spacing w:after="100" w:line="259" w:lineRule="auto"/>
      <w:ind w:left="1540" w:firstLine="0"/>
    </w:pPr>
    <w:rPr>
      <w:rFonts w:asciiTheme="minorHAnsi" w:eastAsiaTheme="minorEastAsia" w:hAnsiTheme="minorHAnsi"/>
      <w:sz w:val="22"/>
    </w:rPr>
  </w:style>
  <w:style w:type="paragraph" w:customStyle="1" w:styleId="sub2">
    <w:name w:val="sub2"/>
    <w:basedOn w:val="Normal"/>
    <w:rsid w:val="00A13D1F"/>
    <w:rPr>
      <w:rFonts w:ascii="Palatino" w:eastAsia="Times New Roman" w:hAnsi="Palatino" w:cs="Times New Roman"/>
      <w:szCs w:val="20"/>
    </w:rPr>
  </w:style>
  <w:style w:type="paragraph" w:customStyle="1" w:styleId="xl27">
    <w:name w:val="xl27"/>
    <w:basedOn w:val="Normal"/>
    <w:rsid w:val="00A13D1F"/>
    <w:pPr>
      <w:spacing w:before="100" w:beforeAutospacing="1" w:after="100" w:afterAutospacing="1" w:line="240" w:lineRule="auto"/>
      <w:ind w:firstLine="0"/>
      <w:jc w:val="center"/>
    </w:pPr>
    <w:rPr>
      <w:rFonts w:ascii="Arial" w:eastAsia="Arial Unicode MS" w:hAnsi="Arial" w:cs="Arial"/>
      <w:b/>
      <w:bCs/>
      <w:sz w:val="24"/>
      <w:szCs w:val="24"/>
    </w:rPr>
  </w:style>
  <w:style w:type="paragraph" w:styleId="Revision">
    <w:name w:val="Revision"/>
    <w:hidden/>
    <w:uiPriority w:val="99"/>
    <w:semiHidden/>
    <w:rsid w:val="00A13D1F"/>
    <w:pPr>
      <w:spacing w:after="0" w:line="240" w:lineRule="auto"/>
    </w:pPr>
    <w:rPr>
      <w:rFonts w:ascii="Book Antiqua" w:hAnsi="Book Antiqua"/>
      <w:sz w:val="26"/>
    </w:rPr>
  </w:style>
  <w:style w:type="character" w:styleId="Mention">
    <w:name w:val="Mention"/>
    <w:basedOn w:val="DefaultParagraphFont"/>
    <w:uiPriority w:val="99"/>
    <w:unhideWhenUsed/>
    <w:rsid w:val="00A13D1F"/>
    <w:rPr>
      <w:color w:val="2B579A"/>
      <w:shd w:val="clear" w:color="auto" w:fill="E1DFDD"/>
    </w:rPr>
  </w:style>
  <w:style w:type="paragraph" w:customStyle="1" w:styleId="paragraph">
    <w:name w:val="paragraph"/>
    <w:basedOn w:val="Normal"/>
    <w:rsid w:val="00A13D1F"/>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eop">
    <w:name w:val="eop"/>
    <w:basedOn w:val="DefaultParagraphFont"/>
    <w:rsid w:val="00A13D1F"/>
  </w:style>
  <w:style w:type="paragraph" w:styleId="BodyText">
    <w:name w:val="Body Text"/>
    <w:basedOn w:val="Normal"/>
    <w:link w:val="BodyTextChar"/>
    <w:uiPriority w:val="1"/>
    <w:qFormat/>
    <w:rsid w:val="00A13D1F"/>
    <w:pPr>
      <w:widowControl w:val="0"/>
      <w:autoSpaceDE w:val="0"/>
      <w:autoSpaceDN w:val="0"/>
      <w:spacing w:line="240" w:lineRule="auto"/>
      <w:ind w:firstLine="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13D1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13D1F"/>
    <w:pPr>
      <w:widowControl w:val="0"/>
      <w:autoSpaceDE w:val="0"/>
      <w:autoSpaceDN w:val="0"/>
      <w:spacing w:line="256" w:lineRule="exact"/>
      <w:ind w:firstLine="0"/>
      <w:jc w:val="right"/>
    </w:pPr>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15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cpuc.ca.gov/puc/" TargetMode="External" Id="rId11" /><Relationship Type="http://schemas.openxmlformats.org/officeDocument/2006/relationships/webSettings" Target="webSettings.xml" Id="rId5" /><Relationship Type="http://schemas.openxmlformats.org/officeDocument/2006/relationships/footer" Target="footer4.xml" Id="rId1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header" Target="header3.xml" Id="rId14" /><Relationship Type="http://schemas.openxmlformats.org/officeDocument/2006/relationships/hyperlink" Target="http://docs.cpuc.ca.gov/PublishedDocs/Published/G000/M470/K481/470481278.docx" TargetMode="External" Id="Rc61ed278eb114569" /></Relationships>
</file>

<file path=word/_rels/footnotes.xml.rels><?xml version="1.0" encoding="UTF-8" standalone="yes"?>
<Relationships xmlns="http://schemas.openxmlformats.org/package/2006/relationships"><Relationship Id="rId3" Type="http://schemas.openxmlformats.org/officeDocument/2006/relationships/hyperlink" Target="https://home.treasury.gov/system/files/136/SLFRPFAQ.pdf" TargetMode="External"/><Relationship Id="rId2" Type="http://schemas.openxmlformats.org/officeDocument/2006/relationships/hyperlink" Target="https://www.govinfo.gov/content/pkg/FR-2021-05-17/pdf/2021-10283.pdf" TargetMode="External"/><Relationship Id="rId1" Type="http://schemas.openxmlformats.org/officeDocument/2006/relationships/hyperlink" Target="http://ebudget.ca.gov/2021-22/pdf/Enacted/BudgetSummary/FullBudgetSummary.pdf" TargetMode="External"/><Relationship Id="rId6" Type="http://schemas.openxmlformats.org/officeDocument/2006/relationships/hyperlink" Target="https://docs.fcc.gov/public/attachments/FCC-22-7A1.pdf" TargetMode="External"/><Relationship Id="rId5" Type="http://schemas.openxmlformats.org/officeDocument/2006/relationships/hyperlink" Target="https://www.govinfo.gov/content/pkg/FR-2021-05-17/pdf/2021-10283.pdf" TargetMode="External"/><Relationship Id="rId4" Type="http://schemas.openxmlformats.org/officeDocument/2006/relationships/hyperlink" Target="https://home.treasury.gov/system/files/136/SLFRF-Compliance-and-Reporting-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109</ap:Pages>
  <ap:Words>26438</ap:Words>
  <ap:Characters>150701</ap:Characters>
  <ap:Application>Microsoft Office Word</ap:Application>
  <ap:DocSecurity>0</ap:DocSecurity>
  <ap:Lines>1255</ap:Lines>
  <ap:Paragraphs>353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176786</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2022-03-02T17:56:00Z</cp:lastPrinted>
  <dcterms:created xsi:type="dcterms:W3CDTF">2022-04-22T11:36:03Z</dcterms:created>
  <dcterms:modified xsi:type="dcterms:W3CDTF">2022-04-22T11:36:03Z</dcterms:modified>
</cp:coreProperties>
</file>