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14C3" w:rsidR="006C1701" w:rsidRDefault="00121CBB" w14:paraId="6DEF412D" w14:textId="77777777">
      <w:pPr>
        <w:spacing w:after="125" w:line="259" w:lineRule="auto"/>
        <w:ind w:left="5" w:right="5"/>
      </w:pPr>
      <w:r w:rsidRPr="00DC14C3">
        <w:t>BEFORE</w:t>
      </w:r>
      <w:r w:rsidRPr="00DC14C3">
        <w:rPr>
          <w:sz w:val="21"/>
        </w:rPr>
        <w:t xml:space="preserve"> </w:t>
      </w:r>
      <w:r w:rsidRPr="00DC14C3">
        <w:t>THE</w:t>
      </w:r>
      <w:r w:rsidRPr="00DC14C3">
        <w:rPr>
          <w:sz w:val="21"/>
        </w:rPr>
        <w:t xml:space="preserve"> </w:t>
      </w:r>
      <w:r w:rsidRPr="00DC14C3">
        <w:t>PUBLIC</w:t>
      </w:r>
      <w:r w:rsidRPr="00DC14C3">
        <w:rPr>
          <w:sz w:val="21"/>
        </w:rPr>
        <w:t xml:space="preserve"> </w:t>
      </w:r>
      <w:r w:rsidRPr="00DC14C3">
        <w:t>UTILITIES</w:t>
      </w:r>
      <w:r w:rsidRPr="00DC14C3">
        <w:rPr>
          <w:sz w:val="21"/>
        </w:rPr>
        <w:t xml:space="preserve"> </w:t>
      </w:r>
      <w:r w:rsidRPr="00DC14C3">
        <w:t>COMMISSION</w:t>
      </w:r>
      <w:r w:rsidRPr="00DC14C3">
        <w:rPr>
          <w:sz w:val="21"/>
        </w:rPr>
        <w:t xml:space="preserve"> </w:t>
      </w:r>
      <w:r w:rsidRPr="00DC14C3">
        <w:t>OF</w:t>
      </w:r>
      <w:r w:rsidRPr="00DC14C3">
        <w:rPr>
          <w:sz w:val="21"/>
        </w:rPr>
        <w:t xml:space="preserve"> </w:t>
      </w:r>
      <w:r w:rsidRPr="00DC14C3">
        <w:t>THE</w:t>
      </w:r>
      <w:r w:rsidRPr="00DC14C3">
        <w:rPr>
          <w:sz w:val="21"/>
        </w:rPr>
        <w:t xml:space="preserve"> </w:t>
      </w:r>
      <w:r w:rsidRPr="00DC14C3">
        <w:t>STATE</w:t>
      </w:r>
      <w:r w:rsidRPr="00DC14C3">
        <w:rPr>
          <w:sz w:val="21"/>
        </w:rPr>
        <w:t xml:space="preserve"> </w:t>
      </w:r>
      <w:r w:rsidRPr="00DC14C3">
        <w:t>OF</w:t>
      </w:r>
      <w:r w:rsidRPr="00DC14C3">
        <w:rPr>
          <w:sz w:val="21"/>
        </w:rPr>
        <w:t xml:space="preserve"> </w:t>
      </w:r>
      <w:r w:rsidRPr="00DC14C3">
        <w:t xml:space="preserve">CALIFORNIA </w:t>
      </w:r>
    </w:p>
    <w:p w:rsidR="00D4245A" w:rsidP="00310DA5" w:rsidRDefault="00D4245A" w14:paraId="0F647B31" w14:textId="77777777">
      <w:pPr>
        <w:spacing w:after="0" w:line="259" w:lineRule="auto"/>
        <w:ind w:left="2" w:firstLine="0"/>
      </w:pPr>
    </w:p>
    <w:p w:rsidRPr="00873B0A" w:rsidR="00D4245A" w:rsidP="00310DA5" w:rsidRDefault="00121CBB" w14:paraId="49585B58" w14:textId="77777777">
      <w:pPr>
        <w:spacing w:after="0" w:line="259" w:lineRule="auto"/>
        <w:ind w:left="2" w:firstLine="0"/>
        <w:rPr>
          <w:rFonts w:eastAsia="Calibri"/>
          <w:noProof/>
          <w:sz w:val="22"/>
        </w:rPr>
      </w:pPr>
      <w:r w:rsidRPr="00DC14C3">
        <w:t xml:space="preserve"> </w:t>
      </w:r>
    </w:p>
    <w:tbl>
      <w:tblPr>
        <w:tblStyle w:val="TableGrid0"/>
        <w:tblW w:w="9350" w:type="dxa"/>
        <w:tblInd w:w="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0D03877" w:rsidTr="00D03877" w14:paraId="19C1EDE0" w14:textId="77777777">
        <w:tc>
          <w:tcPr>
            <w:tcW w:w="4675" w:type="dxa"/>
            <w:tcBorders>
              <w:bottom w:val="single" w:color="auto" w:sz="4" w:space="0"/>
              <w:right w:val="single" w:color="auto" w:sz="4" w:space="0"/>
            </w:tcBorders>
          </w:tcPr>
          <w:p w:rsidR="00D03877" w:rsidP="00D03877" w:rsidRDefault="00D03877" w14:paraId="6E49DA58" w14:textId="741BBE70">
            <w:pPr>
              <w:tabs>
                <w:tab w:val="center" w:pos="6974"/>
              </w:tabs>
              <w:spacing w:after="4" w:line="259" w:lineRule="auto"/>
              <w:ind w:left="2" w:firstLine="0"/>
            </w:pPr>
            <w:r w:rsidRPr="00DC14C3">
              <w:t>Order Instituting Investigation on the</w:t>
            </w:r>
            <w:r>
              <w:t xml:space="preserve"> </w:t>
            </w:r>
            <w:r w:rsidRPr="00DC14C3">
              <w:t>Commission’s Own Motion into MetroPCS California LLC (U3079C) Failure to Remit</w:t>
            </w:r>
            <w:r>
              <w:t xml:space="preserve"> </w:t>
            </w:r>
            <w:r w:rsidRPr="00DC14C3">
              <w:t xml:space="preserve">Prepaid </w:t>
            </w:r>
            <w:r>
              <w:t xml:space="preserve">Mobile </w:t>
            </w:r>
            <w:r w:rsidRPr="00DC14C3">
              <w:t>Telephony Service Surcharges and User Fees</w:t>
            </w:r>
            <w:r>
              <w:t xml:space="preserve">. </w:t>
            </w:r>
          </w:p>
        </w:tc>
        <w:tc>
          <w:tcPr>
            <w:tcW w:w="4675" w:type="dxa"/>
          </w:tcPr>
          <w:p w:rsidRPr="00D03877" w:rsidR="00D03877" w:rsidP="00D03877" w:rsidRDefault="00D03877" w14:paraId="61F9EAFD" w14:textId="77777777">
            <w:pPr>
              <w:pStyle w:val="Caption"/>
              <w:tabs>
                <w:tab w:val="left" w:pos="839"/>
              </w:tabs>
              <w:jc w:val="center"/>
              <w:rPr>
                <w:b/>
                <w:bCs/>
                <w:szCs w:val="26"/>
              </w:rPr>
            </w:pPr>
            <w:r w:rsidRPr="00D03877">
              <w:rPr>
                <w:b/>
                <w:bCs/>
                <w:szCs w:val="26"/>
              </w:rPr>
              <w:t>FILED</w:t>
            </w:r>
          </w:p>
          <w:p w:rsidRPr="00D03877" w:rsidR="00D03877" w:rsidP="00D03877" w:rsidRDefault="00D03877" w14:paraId="4BB8CCF1" w14:textId="77777777">
            <w:pPr>
              <w:pStyle w:val="Caption"/>
              <w:tabs>
                <w:tab w:val="left" w:pos="839"/>
              </w:tabs>
              <w:jc w:val="center"/>
              <w:rPr>
                <w:b/>
                <w:bCs/>
                <w:szCs w:val="26"/>
              </w:rPr>
            </w:pPr>
            <w:r w:rsidRPr="00D03877">
              <w:rPr>
                <w:b/>
                <w:bCs/>
                <w:szCs w:val="26"/>
              </w:rPr>
              <w:t>PUBLIC UTILITIES COMMISSION</w:t>
            </w:r>
          </w:p>
          <w:p w:rsidRPr="00D03877" w:rsidR="00D03877" w:rsidP="00D03877" w:rsidRDefault="00D03877" w14:paraId="0B9B1C03" w14:textId="2E8796F8">
            <w:pPr>
              <w:pStyle w:val="Caption"/>
              <w:tabs>
                <w:tab w:val="left" w:pos="839"/>
              </w:tabs>
              <w:jc w:val="center"/>
              <w:rPr>
                <w:b/>
                <w:bCs/>
                <w:szCs w:val="26"/>
              </w:rPr>
            </w:pPr>
            <w:r w:rsidRPr="00D03877">
              <w:rPr>
                <w:b/>
                <w:bCs/>
                <w:szCs w:val="26"/>
              </w:rPr>
              <w:t xml:space="preserve">April </w:t>
            </w:r>
            <w:r w:rsidR="00ED6D85">
              <w:rPr>
                <w:b/>
                <w:bCs/>
                <w:szCs w:val="26"/>
              </w:rPr>
              <w:t>21</w:t>
            </w:r>
            <w:r w:rsidRPr="00D03877">
              <w:rPr>
                <w:b/>
                <w:bCs/>
                <w:szCs w:val="26"/>
              </w:rPr>
              <w:t>, 2022</w:t>
            </w:r>
          </w:p>
          <w:p w:rsidRPr="00D03877" w:rsidR="00D03877" w:rsidP="00D03877" w:rsidRDefault="00D03877" w14:paraId="588E4620" w14:textId="77777777">
            <w:pPr>
              <w:pStyle w:val="Caption"/>
              <w:tabs>
                <w:tab w:val="left" w:pos="839"/>
              </w:tabs>
              <w:jc w:val="center"/>
              <w:rPr>
                <w:b/>
                <w:bCs/>
                <w:szCs w:val="26"/>
              </w:rPr>
            </w:pPr>
            <w:r w:rsidRPr="00D03877">
              <w:rPr>
                <w:b/>
                <w:bCs/>
                <w:szCs w:val="26"/>
              </w:rPr>
              <w:t>SAN FRANCISCO OFFICE</w:t>
            </w:r>
          </w:p>
          <w:p w:rsidRPr="00ED6D85" w:rsidR="00ED6D85" w:rsidP="00ED6D85" w:rsidRDefault="00ED6D85" w14:paraId="22ED2C37" w14:textId="43A2FAB6">
            <w:pPr>
              <w:jc w:val="center"/>
              <w:rPr>
                <w:b/>
                <w:bCs/>
                <w:color w:val="auto"/>
                <w:szCs w:val="26"/>
              </w:rPr>
            </w:pPr>
            <w:r w:rsidRPr="00ED6D85">
              <w:rPr>
                <w:b/>
                <w:bCs/>
                <w:color w:val="auto"/>
                <w:szCs w:val="26"/>
              </w:rPr>
              <w:t>I.22-04-005</w:t>
            </w:r>
          </w:p>
          <w:p w:rsidR="00D03877" w:rsidP="00D03877" w:rsidRDefault="00D03877" w14:paraId="0D55A760" w14:textId="1DF38976">
            <w:pPr>
              <w:spacing w:after="0" w:line="259" w:lineRule="auto"/>
              <w:ind w:left="2" w:firstLine="0"/>
              <w:jc w:val="center"/>
            </w:pPr>
          </w:p>
        </w:tc>
      </w:tr>
    </w:tbl>
    <w:p w:rsidRPr="00D4245A" w:rsidR="00D4245A" w:rsidP="00D4245A" w:rsidRDefault="00D4245A" w14:paraId="32354C3B" w14:textId="77777777">
      <w:pPr>
        <w:ind w:left="0" w:firstLine="0"/>
      </w:pPr>
    </w:p>
    <w:p w:rsidR="00D4245A" w:rsidRDefault="00D4245A" w14:paraId="1F0E97D3" w14:textId="77777777">
      <w:pPr>
        <w:spacing w:after="0" w:line="259" w:lineRule="auto"/>
        <w:ind w:left="15"/>
        <w:jc w:val="center"/>
        <w:rPr>
          <w:b/>
          <w:u w:val="single" w:color="000000"/>
        </w:rPr>
      </w:pPr>
    </w:p>
    <w:p w:rsidRPr="00DC14C3" w:rsidR="006C1701" w:rsidRDefault="00121CBB" w14:paraId="496CF0FA" w14:textId="0DE3452F">
      <w:pPr>
        <w:spacing w:after="0" w:line="259" w:lineRule="auto"/>
        <w:ind w:left="15"/>
        <w:jc w:val="center"/>
      </w:pPr>
      <w:r w:rsidRPr="00DC14C3">
        <w:rPr>
          <w:b/>
          <w:u w:val="single" w:color="000000"/>
        </w:rPr>
        <w:t>ORDER</w:t>
      </w:r>
      <w:r w:rsidRPr="00DC14C3">
        <w:rPr>
          <w:b/>
          <w:sz w:val="21"/>
          <w:u w:val="single" w:color="000000"/>
        </w:rPr>
        <w:t xml:space="preserve"> </w:t>
      </w:r>
      <w:r w:rsidRPr="00DC14C3">
        <w:rPr>
          <w:b/>
          <w:u w:val="single" w:color="000000"/>
        </w:rPr>
        <w:t>INSTITUTING</w:t>
      </w:r>
      <w:r w:rsidRPr="00DC14C3">
        <w:rPr>
          <w:b/>
          <w:sz w:val="21"/>
          <w:u w:val="single" w:color="000000"/>
        </w:rPr>
        <w:t xml:space="preserve"> </w:t>
      </w:r>
      <w:r w:rsidRPr="00DC14C3">
        <w:rPr>
          <w:b/>
          <w:u w:val="single" w:color="000000"/>
        </w:rPr>
        <w:t>INVESTIGATION</w:t>
      </w:r>
      <w:r w:rsidRPr="00DC14C3">
        <w:rPr>
          <w:b/>
          <w:sz w:val="21"/>
          <w:u w:val="single" w:color="000000"/>
        </w:rPr>
        <w:t xml:space="preserve"> </w:t>
      </w:r>
      <w:r w:rsidRPr="00DC14C3">
        <w:rPr>
          <w:b/>
          <w:u w:val="single" w:color="000000"/>
        </w:rPr>
        <w:t>AND</w:t>
      </w:r>
      <w:r w:rsidRPr="00DC14C3">
        <w:rPr>
          <w:b/>
          <w:sz w:val="21"/>
          <w:u w:val="single" w:color="000000"/>
        </w:rPr>
        <w:t xml:space="preserve"> </w:t>
      </w:r>
      <w:r w:rsidRPr="00DC14C3">
        <w:rPr>
          <w:b/>
        </w:rPr>
        <w:t xml:space="preserve"> </w:t>
      </w:r>
    </w:p>
    <w:p w:rsidR="006C1701" w:rsidRDefault="00121CBB" w14:paraId="736583BB" w14:textId="6765D183">
      <w:pPr>
        <w:spacing w:after="0" w:line="259" w:lineRule="auto"/>
        <w:ind w:left="15" w:right="3"/>
        <w:jc w:val="center"/>
        <w:rPr>
          <w:b/>
        </w:rPr>
      </w:pPr>
      <w:r w:rsidRPr="00DC14C3">
        <w:rPr>
          <w:b/>
          <w:u w:val="single" w:color="000000"/>
        </w:rPr>
        <w:t>ORDER</w:t>
      </w:r>
      <w:r w:rsidRPr="00DC14C3">
        <w:rPr>
          <w:b/>
          <w:sz w:val="21"/>
          <w:u w:val="single" w:color="000000"/>
        </w:rPr>
        <w:t xml:space="preserve"> </w:t>
      </w:r>
      <w:r w:rsidRPr="00DC14C3">
        <w:rPr>
          <w:b/>
          <w:u w:val="single" w:color="000000"/>
        </w:rPr>
        <w:t>TO</w:t>
      </w:r>
      <w:r w:rsidRPr="00DC14C3">
        <w:rPr>
          <w:b/>
          <w:sz w:val="21"/>
          <w:u w:val="single" w:color="000000"/>
        </w:rPr>
        <w:t xml:space="preserve"> </w:t>
      </w:r>
      <w:r w:rsidRPr="00DC14C3">
        <w:rPr>
          <w:b/>
          <w:u w:val="single" w:color="000000"/>
        </w:rPr>
        <w:t>SHOW</w:t>
      </w:r>
      <w:r w:rsidRPr="00DC14C3">
        <w:rPr>
          <w:b/>
          <w:sz w:val="21"/>
          <w:u w:val="single" w:color="000000"/>
        </w:rPr>
        <w:t xml:space="preserve"> </w:t>
      </w:r>
      <w:r w:rsidRPr="00DC14C3">
        <w:rPr>
          <w:b/>
          <w:u w:val="single" w:color="000000"/>
        </w:rPr>
        <w:t>CAUSE</w:t>
      </w:r>
      <w:r w:rsidRPr="00DC14C3">
        <w:rPr>
          <w:b/>
        </w:rPr>
        <w:t xml:space="preserve"> </w:t>
      </w:r>
    </w:p>
    <w:p w:rsidRPr="00DC14C3" w:rsidR="00D4245A" w:rsidP="00D4245A" w:rsidRDefault="00D4245A" w14:paraId="48236E20" w14:textId="77777777">
      <w:pPr>
        <w:spacing w:after="0" w:line="259" w:lineRule="auto"/>
        <w:ind w:left="15" w:right="3"/>
      </w:pPr>
    </w:p>
    <w:p w:rsidRPr="00DC14C3" w:rsidR="006C1701" w:rsidRDefault="00121CBB" w14:paraId="187B7FC4" w14:textId="77777777">
      <w:pPr>
        <w:spacing w:after="0" w:line="259" w:lineRule="auto"/>
        <w:ind w:left="2" w:firstLine="0"/>
      </w:pPr>
      <w:r w:rsidRPr="00DC14C3">
        <w:rPr>
          <w:b/>
        </w:rPr>
        <w:t xml:space="preserve"> </w:t>
      </w:r>
    </w:p>
    <w:p w:rsidRPr="00DC14C3" w:rsidR="006C1701" w:rsidP="00D4245A" w:rsidRDefault="00121CBB" w14:paraId="62337F15" w14:textId="083E7A3E">
      <w:pPr>
        <w:pStyle w:val="Heading1"/>
      </w:pPr>
      <w:r w:rsidRPr="00DC14C3">
        <w:t xml:space="preserve">INTRODUCTION AND STATEMENT OF PURPOSE </w:t>
      </w:r>
    </w:p>
    <w:p w:rsidR="009E19CA" w:rsidP="00D4245A" w:rsidRDefault="00121CBB" w14:paraId="10C4162E" w14:textId="77777777">
      <w:pPr>
        <w:spacing w:after="0" w:line="360" w:lineRule="auto"/>
        <w:ind w:right="242" w:firstLine="705"/>
        <w:rPr>
          <w:szCs w:val="26"/>
        </w:rPr>
      </w:pPr>
      <w:r w:rsidRPr="00DC14C3">
        <w:rPr>
          <w:szCs w:val="26"/>
        </w:rPr>
        <w:t>By this order, the California Public Utilities Commission (Commission)</w:t>
      </w:r>
      <w:r w:rsidRPr="00DC14C3" w:rsidR="00D4457D">
        <w:rPr>
          <w:szCs w:val="26"/>
        </w:rPr>
        <w:t xml:space="preserve"> </w:t>
      </w:r>
      <w:r w:rsidRPr="00DC14C3">
        <w:rPr>
          <w:szCs w:val="26"/>
        </w:rPr>
        <w:t xml:space="preserve">institutes a formal investigation to determine whether named Respondent, </w:t>
      </w:r>
      <w:r w:rsidRPr="00DC14C3" w:rsidR="00255335">
        <w:rPr>
          <w:szCs w:val="26"/>
        </w:rPr>
        <w:t>MetroPCS California</w:t>
      </w:r>
      <w:r w:rsidRPr="00DC14C3" w:rsidR="00454A52">
        <w:rPr>
          <w:szCs w:val="26"/>
        </w:rPr>
        <w:t>,</w:t>
      </w:r>
      <w:r w:rsidRPr="00DC14C3" w:rsidR="00255335">
        <w:rPr>
          <w:szCs w:val="26"/>
        </w:rPr>
        <w:t xml:space="preserve"> LLC</w:t>
      </w:r>
      <w:r w:rsidR="0034599F">
        <w:rPr>
          <w:szCs w:val="26"/>
        </w:rPr>
        <w:t xml:space="preserve"> - </w:t>
      </w:r>
      <w:r w:rsidRPr="00DC14C3" w:rsidR="0034599F">
        <w:rPr>
          <w:bCs/>
          <w:szCs w:val="26"/>
        </w:rPr>
        <w:t>U-3079-C</w:t>
      </w:r>
      <w:r w:rsidRPr="00DC14C3">
        <w:rPr>
          <w:szCs w:val="26"/>
        </w:rPr>
        <w:t xml:space="preserve"> (</w:t>
      </w:r>
      <w:r w:rsidRPr="00DC14C3" w:rsidR="00255335">
        <w:rPr>
          <w:szCs w:val="26"/>
        </w:rPr>
        <w:t>MetroPCS</w:t>
      </w:r>
      <w:r w:rsidRPr="00DC14C3">
        <w:rPr>
          <w:szCs w:val="26"/>
        </w:rPr>
        <w:t xml:space="preserve">), violated any provision(s) </w:t>
      </w:r>
      <w:bookmarkStart w:name="_Hlk96949533" w:id="0"/>
      <w:r w:rsidRPr="00DC14C3" w:rsidR="009A1C00">
        <w:rPr>
          <w:szCs w:val="26"/>
        </w:rPr>
        <w:t xml:space="preserve">of </w:t>
      </w:r>
      <w:r w:rsidR="009A1C00">
        <w:rPr>
          <w:szCs w:val="26"/>
        </w:rPr>
        <w:t xml:space="preserve">the </w:t>
      </w:r>
      <w:r w:rsidRPr="00DC14C3" w:rsidR="009A1C00">
        <w:rPr>
          <w:szCs w:val="26"/>
        </w:rPr>
        <w:t xml:space="preserve">Prepaid Telephony Service Charges and User Fees and revenue reporting requirements pursuant to the </w:t>
      </w:r>
      <w:r w:rsidRPr="00DC14C3" w:rsidR="009A1C00">
        <w:rPr>
          <w:i/>
          <w:iCs/>
          <w:szCs w:val="26"/>
        </w:rPr>
        <w:t>Prepaid Mobile Telephony Services (MTS) Surcharge Collection Act</w:t>
      </w:r>
      <w:r w:rsidRPr="00DC14C3" w:rsidR="009A1C00">
        <w:rPr>
          <w:szCs w:val="26"/>
        </w:rPr>
        <w:t xml:space="preserve"> (Prepaid Act) for the 2017 and 2018 calendar years</w:t>
      </w:r>
      <w:r w:rsidR="009A1C00">
        <w:rPr>
          <w:szCs w:val="26"/>
        </w:rPr>
        <w:t xml:space="preserve"> and any other </w:t>
      </w:r>
      <w:r w:rsidR="000D34BB">
        <w:rPr>
          <w:szCs w:val="26"/>
        </w:rPr>
        <w:t>statutes</w:t>
      </w:r>
      <w:r w:rsidR="009A1C00">
        <w:rPr>
          <w:szCs w:val="26"/>
        </w:rPr>
        <w:t xml:space="preserve"> and Commission decisions and resolutions</w:t>
      </w:r>
      <w:r w:rsidRPr="00DC14C3" w:rsidR="009A1C00">
        <w:rPr>
          <w:szCs w:val="26"/>
        </w:rPr>
        <w:t>.</w:t>
      </w:r>
      <w:r w:rsidR="00823405">
        <w:rPr>
          <w:szCs w:val="26"/>
        </w:rPr>
        <w:t xml:space="preserve"> </w:t>
      </w:r>
      <w:r w:rsidR="009A1C00">
        <w:rPr>
          <w:szCs w:val="26"/>
        </w:rPr>
        <w:t xml:space="preserve"> </w:t>
      </w:r>
      <w:bookmarkStart w:name="_Hlk99908817" w:id="1"/>
      <w:bookmarkEnd w:id="0"/>
    </w:p>
    <w:p w:rsidRPr="009E19CA" w:rsidR="00BC2D57" w:rsidP="00D4245A" w:rsidRDefault="00BC2D57" w14:paraId="2F3A0078" w14:textId="6083EDBD">
      <w:pPr>
        <w:spacing w:after="0" w:line="360" w:lineRule="auto"/>
        <w:ind w:right="242" w:firstLine="705"/>
        <w:rPr>
          <w:szCs w:val="26"/>
        </w:rPr>
      </w:pPr>
      <w:r>
        <w:rPr>
          <w:szCs w:val="26"/>
        </w:rPr>
        <w:t xml:space="preserve">The Prepaid Act was enacted by </w:t>
      </w:r>
      <w:r w:rsidR="002420F7">
        <w:rPr>
          <w:kern w:val="36"/>
          <w:szCs w:val="26"/>
        </w:rPr>
        <w:t xml:space="preserve">Assembly Bill </w:t>
      </w:r>
      <w:r w:rsidRPr="00B63FFB">
        <w:rPr>
          <w:kern w:val="36"/>
          <w:szCs w:val="26"/>
        </w:rPr>
        <w:t>1717</w:t>
      </w:r>
      <w:r>
        <w:rPr>
          <w:szCs w:val="26"/>
        </w:rPr>
        <w:t xml:space="preserve"> </w:t>
      </w:r>
      <w:bookmarkStart w:name="_Hlk99910113" w:id="2"/>
      <w:r w:rsidRPr="0003455A">
        <w:rPr>
          <w:szCs w:val="26"/>
        </w:rPr>
        <w:t xml:space="preserve">with effective dates beginning in </w:t>
      </w:r>
      <w:r>
        <w:rPr>
          <w:szCs w:val="26"/>
        </w:rPr>
        <w:t xml:space="preserve">the </w:t>
      </w:r>
      <w:r w:rsidRPr="0003455A">
        <w:rPr>
          <w:szCs w:val="26"/>
        </w:rPr>
        <w:t xml:space="preserve">2016–17 fiscal year and ending with the 2018–19 fiscal year.  As of September 30, 2014, the law added </w:t>
      </w:r>
      <w:r w:rsidRPr="0003455A">
        <w:rPr>
          <w:kern w:val="36"/>
          <w:szCs w:val="26"/>
        </w:rPr>
        <w:t>P</w:t>
      </w:r>
      <w:r>
        <w:rPr>
          <w:kern w:val="36"/>
          <w:szCs w:val="26"/>
        </w:rPr>
        <w:t xml:space="preserve">ublic Utilities Code (Pub. Util. Code) Section </w:t>
      </w:r>
      <w:r w:rsidR="00CB7D26">
        <w:rPr>
          <w:kern w:val="36"/>
          <w:szCs w:val="26"/>
        </w:rPr>
        <w:br/>
      </w:r>
      <w:r w:rsidR="0060382F">
        <w:rPr>
          <w:kern w:val="36"/>
          <w:szCs w:val="26"/>
        </w:rPr>
        <w:t>(</w:t>
      </w:r>
      <w:r w:rsidR="0060382F">
        <w:rPr>
          <w:color w:val="auto"/>
          <w:szCs w:val="26"/>
        </w:rPr>
        <w:t xml:space="preserve">§) </w:t>
      </w:r>
      <w:r w:rsidRPr="0003455A">
        <w:rPr>
          <w:kern w:val="36"/>
          <w:szCs w:val="26"/>
        </w:rPr>
        <w:t xml:space="preserve">319, amended and added to </w:t>
      </w:r>
      <w:r>
        <w:rPr>
          <w:kern w:val="36"/>
          <w:szCs w:val="26"/>
        </w:rPr>
        <w:t xml:space="preserve">Pub. Util. Code </w:t>
      </w:r>
      <w:r w:rsidR="0060382F">
        <w:rPr>
          <w:color w:val="auto"/>
          <w:szCs w:val="26"/>
        </w:rPr>
        <w:t>§</w:t>
      </w:r>
      <w:r w:rsidRPr="0003455A">
        <w:rPr>
          <w:kern w:val="36"/>
          <w:szCs w:val="26"/>
        </w:rPr>
        <w:t xml:space="preserve"> 431, </w:t>
      </w:r>
      <w:r>
        <w:rPr>
          <w:kern w:val="36"/>
          <w:szCs w:val="26"/>
        </w:rPr>
        <w:t>as well as</w:t>
      </w:r>
      <w:r w:rsidRPr="0003455A">
        <w:rPr>
          <w:kern w:val="36"/>
          <w:szCs w:val="26"/>
        </w:rPr>
        <w:t xml:space="preserve"> </w:t>
      </w:r>
      <w:r>
        <w:rPr>
          <w:kern w:val="36"/>
          <w:szCs w:val="26"/>
        </w:rPr>
        <w:t>numerous</w:t>
      </w:r>
      <w:r w:rsidRPr="0003455A">
        <w:rPr>
          <w:kern w:val="36"/>
          <w:szCs w:val="26"/>
        </w:rPr>
        <w:t xml:space="preserve"> </w:t>
      </w:r>
      <w:r w:rsidRPr="0003455A">
        <w:rPr>
          <w:szCs w:val="26"/>
        </w:rPr>
        <w:t>Revenue and Taxation Code</w:t>
      </w:r>
      <w:r w:rsidR="00536D3A">
        <w:rPr>
          <w:szCs w:val="26"/>
        </w:rPr>
        <w:t xml:space="preserve"> Sections</w:t>
      </w:r>
      <w:r w:rsidRPr="0003455A">
        <w:rPr>
          <w:szCs w:val="26"/>
        </w:rPr>
        <w:t>.</w:t>
      </w:r>
      <w:r w:rsidRPr="0003455A">
        <w:rPr>
          <w:kern w:val="36"/>
          <w:szCs w:val="26"/>
        </w:rPr>
        <w:t xml:space="preserve"> </w:t>
      </w:r>
    </w:p>
    <w:bookmarkEnd w:id="1"/>
    <w:bookmarkEnd w:id="2"/>
    <w:p w:rsidR="009A1C00" w:rsidP="00D4245A" w:rsidRDefault="009A1C00" w14:paraId="5A7D1419" w14:textId="074C1C42">
      <w:pPr>
        <w:spacing w:after="0" w:line="360" w:lineRule="auto"/>
        <w:ind w:left="-5" w:right="5" w:firstLine="720"/>
        <w:rPr>
          <w:szCs w:val="26"/>
        </w:rPr>
      </w:pPr>
      <w:r w:rsidRPr="00DC14C3">
        <w:t>This Order provides notice that the Commission will determine whether MetroPCS has violated the Prepaid Act, including Pub.</w:t>
      </w:r>
      <w:r w:rsidR="00686543">
        <w:t xml:space="preserve"> </w:t>
      </w:r>
      <w:r w:rsidRPr="00DC14C3">
        <w:t>Util.</w:t>
      </w:r>
      <w:r w:rsidR="00686543">
        <w:t xml:space="preserve"> </w:t>
      </w:r>
      <w:r w:rsidRPr="00DC14C3">
        <w:t xml:space="preserve">Code </w:t>
      </w:r>
      <w:r w:rsidR="007A2CCA">
        <w:t xml:space="preserve"> </w:t>
      </w:r>
      <w:r w:rsidR="008C5446">
        <w:br/>
      </w:r>
      <w:r w:rsidRPr="00873B0A" w:rsidR="00C508D8">
        <w:rPr>
          <w:sz w:val="22"/>
        </w:rPr>
        <w:lastRenderedPageBreak/>
        <w:t>§</w:t>
      </w:r>
      <w:r w:rsidR="002603E6">
        <w:rPr>
          <w:sz w:val="22"/>
        </w:rPr>
        <w:t xml:space="preserve"> </w:t>
      </w:r>
      <w:r w:rsidRPr="00DC14C3">
        <w:t>319,</w:t>
      </w:r>
      <w:r w:rsidRPr="00D4245A">
        <w:rPr>
          <w:rStyle w:val="FootnoteReference"/>
        </w:rPr>
        <w:footnoteReference w:id="1"/>
      </w:r>
      <w:r w:rsidRPr="00DC14C3">
        <w:t xml:space="preserve"> as well as the Commission’s related decisions and resolutions.  This Order also directs MetroPCS to show cause as to why the Commission should not impose penalties and/or other remedies for its failure to </w:t>
      </w:r>
      <w:r w:rsidRPr="00DC14C3">
        <w:rPr>
          <w:szCs w:val="26"/>
        </w:rPr>
        <w:t xml:space="preserve">remit Prepaid Telephony Service Charges and User Fees, comply with revenue reporting requirements, and for imposing ongoing harm to the regulatory process. </w:t>
      </w:r>
    </w:p>
    <w:p w:rsidR="00F83813" w:rsidP="00873B0A" w:rsidRDefault="00F83813" w14:paraId="2ABB7ECA" w14:textId="3B2C2394">
      <w:pPr>
        <w:spacing w:line="360" w:lineRule="auto"/>
        <w:ind w:firstLine="705"/>
      </w:pPr>
      <w:r w:rsidRPr="00DC14C3">
        <w:rPr>
          <w:szCs w:val="26"/>
        </w:rPr>
        <w:t xml:space="preserve">This Order is in response to </w:t>
      </w:r>
      <w:r w:rsidR="00C634C5">
        <w:rPr>
          <w:szCs w:val="26"/>
        </w:rPr>
        <w:t xml:space="preserve">an </w:t>
      </w:r>
      <w:r w:rsidRPr="00DC14C3">
        <w:rPr>
          <w:szCs w:val="26"/>
        </w:rPr>
        <w:t xml:space="preserve">investigation conducted by the </w:t>
      </w:r>
      <w:r w:rsidR="00C508D8">
        <w:rPr>
          <w:szCs w:val="26"/>
        </w:rPr>
        <w:t xml:space="preserve">Commission’s </w:t>
      </w:r>
      <w:r w:rsidRPr="00DC14C3">
        <w:rPr>
          <w:szCs w:val="26"/>
        </w:rPr>
        <w:t xml:space="preserve">Consumer Protection and Enforcement Division’s (CPED) </w:t>
      </w:r>
      <w:r w:rsidR="0068571C">
        <w:rPr>
          <w:szCs w:val="26"/>
        </w:rPr>
        <w:t>Utilities</w:t>
      </w:r>
      <w:r w:rsidRPr="00DC14C3" w:rsidR="0068571C">
        <w:rPr>
          <w:szCs w:val="26"/>
        </w:rPr>
        <w:t xml:space="preserve"> </w:t>
      </w:r>
      <w:r w:rsidRPr="00DC14C3">
        <w:rPr>
          <w:szCs w:val="26"/>
        </w:rPr>
        <w:t>Enforcement Branch (UEB).  After conducting its investigation, CPED staff developed a report: “</w:t>
      </w:r>
      <w:bookmarkStart w:name="_Hlk99908776" w:id="4"/>
      <w:r w:rsidRPr="00DC14C3">
        <w:rPr>
          <w:bCs/>
          <w:szCs w:val="26"/>
        </w:rPr>
        <w:t>Investigation of MetroPCS California LLC (U-3079-C)</w:t>
      </w:r>
      <w:r>
        <w:rPr>
          <w:bCs/>
          <w:szCs w:val="26"/>
        </w:rPr>
        <w:t xml:space="preserve"> for Failure to Remit Prepaid Mobile Telephony Services Surcharge and User Fees</w:t>
      </w:r>
      <w:bookmarkEnd w:id="4"/>
      <w:r>
        <w:rPr>
          <w:bCs/>
          <w:szCs w:val="26"/>
        </w:rPr>
        <w:t>”</w:t>
      </w:r>
      <w:r w:rsidR="00626378">
        <w:rPr>
          <w:bCs/>
          <w:szCs w:val="26"/>
        </w:rPr>
        <w:t xml:space="preserve"> (Staff Report)</w:t>
      </w:r>
      <w:r w:rsidR="00121498">
        <w:rPr>
          <w:bCs/>
          <w:szCs w:val="26"/>
        </w:rPr>
        <w:t xml:space="preserve">.  </w:t>
      </w:r>
      <w:r>
        <w:rPr>
          <w:bCs/>
          <w:szCs w:val="26"/>
        </w:rPr>
        <w:t xml:space="preserve">The Staff Report </w:t>
      </w:r>
      <w:r w:rsidRPr="00DC14C3">
        <w:rPr>
          <w:bCs/>
          <w:szCs w:val="26"/>
        </w:rPr>
        <w:t>detail</w:t>
      </w:r>
      <w:r>
        <w:rPr>
          <w:bCs/>
          <w:szCs w:val="26"/>
        </w:rPr>
        <w:t>s</w:t>
      </w:r>
      <w:r w:rsidRPr="00DC14C3">
        <w:rPr>
          <w:bCs/>
          <w:szCs w:val="26"/>
        </w:rPr>
        <w:t xml:space="preserve"> MetroPCS’s failure to </w:t>
      </w:r>
      <w:r w:rsidRPr="00DC14C3">
        <w:rPr>
          <w:szCs w:val="26"/>
        </w:rPr>
        <w:t>comply with the revenue reporting and surcharge and user fee remittances subject to the Prepaid Act for the 2017 and 2018 calendar years.</w:t>
      </w:r>
      <w:r w:rsidRPr="00DC14C3">
        <w:rPr>
          <w:b/>
          <w:szCs w:val="26"/>
          <w:u w:val="single" w:color="000000"/>
          <w:vertAlign w:val="superscript"/>
        </w:rPr>
        <w:footnoteReference w:id="2"/>
      </w:r>
      <w:r w:rsidRPr="00DC14C3">
        <w:rPr>
          <w:szCs w:val="26"/>
        </w:rPr>
        <w:t xml:space="preserve">  Based on the Staff Report, the Commission find</w:t>
      </w:r>
      <w:r w:rsidR="00C508D8">
        <w:rPr>
          <w:szCs w:val="26"/>
        </w:rPr>
        <w:t>s</w:t>
      </w:r>
      <w:r w:rsidRPr="00DC14C3">
        <w:rPr>
          <w:szCs w:val="26"/>
        </w:rPr>
        <w:t xml:space="preserve"> good cause to commence a formal investigation to determine whether MetroPCS violated the provisions of the Prepaid Act and </w:t>
      </w:r>
      <w:r w:rsidR="00BF6518">
        <w:rPr>
          <w:szCs w:val="26"/>
        </w:rPr>
        <w:t xml:space="preserve">the </w:t>
      </w:r>
      <w:r w:rsidRPr="00DC14C3">
        <w:rPr>
          <w:szCs w:val="26"/>
        </w:rPr>
        <w:t>associated Pub. Util. Code</w:t>
      </w:r>
      <w:r w:rsidR="00BF6518">
        <w:rPr>
          <w:szCs w:val="26"/>
        </w:rPr>
        <w:t>s</w:t>
      </w:r>
      <w:r w:rsidRPr="00DC14C3">
        <w:rPr>
          <w:szCs w:val="26"/>
        </w:rPr>
        <w:t>, Commission</w:t>
      </w:r>
      <w:r w:rsidR="003855D1">
        <w:rPr>
          <w:szCs w:val="26"/>
        </w:rPr>
        <w:t xml:space="preserve"> </w:t>
      </w:r>
      <w:r w:rsidRPr="00DC14C3">
        <w:rPr>
          <w:szCs w:val="26"/>
        </w:rPr>
        <w:t>decisions, resolutions, or other applicable rules or requirements.</w:t>
      </w:r>
      <w:r w:rsidRPr="00DC14C3">
        <w:t xml:space="preserve">     </w:t>
      </w:r>
    </w:p>
    <w:p w:rsidRPr="009A1C00" w:rsidR="00542A87" w:rsidP="00873B0A" w:rsidRDefault="00542A87" w14:paraId="03327FEA" w14:textId="507D9683">
      <w:pPr>
        <w:spacing w:line="360" w:lineRule="auto"/>
        <w:ind w:firstLine="705"/>
      </w:pPr>
      <w:r>
        <w:t xml:space="preserve">The respondent, MetroPCS, </w:t>
      </w:r>
      <w:r w:rsidRPr="00DC14C3">
        <w:rPr>
          <w:color w:val="auto"/>
          <w:szCs w:val="26"/>
        </w:rPr>
        <w:t xml:space="preserve">is a </w:t>
      </w:r>
      <w:r>
        <w:rPr>
          <w:color w:val="auto"/>
          <w:szCs w:val="26"/>
        </w:rPr>
        <w:t xml:space="preserve">brand of </w:t>
      </w:r>
      <w:hyperlink w:tooltip="Prepaid mobile phone" w:history="1" r:id="rId8">
        <w:r w:rsidRPr="00DC14C3">
          <w:rPr>
            <w:rStyle w:val="Hyperlink"/>
            <w:color w:val="auto"/>
            <w:szCs w:val="26"/>
            <w:u w:val="none"/>
          </w:rPr>
          <w:t>prepaid</w:t>
        </w:r>
      </w:hyperlink>
      <w:r w:rsidRPr="00DC14C3">
        <w:rPr>
          <w:color w:val="auto"/>
          <w:szCs w:val="26"/>
        </w:rPr>
        <w:t xml:space="preserve"> wireless service provider owned by </w:t>
      </w:r>
      <w:hyperlink w:tooltip="T-Mobile US" w:history="1" r:id="rId9">
        <w:r w:rsidRPr="00DC14C3">
          <w:rPr>
            <w:rStyle w:val="Hyperlink"/>
            <w:color w:val="auto"/>
            <w:szCs w:val="26"/>
            <w:u w:val="none"/>
          </w:rPr>
          <w:t>T-Mobile US</w:t>
        </w:r>
      </w:hyperlink>
      <w:r>
        <w:rPr>
          <w:rStyle w:val="Hyperlink"/>
          <w:color w:val="auto"/>
          <w:szCs w:val="26"/>
          <w:u w:val="none"/>
        </w:rPr>
        <w:t>, Inc</w:t>
      </w:r>
      <w:r w:rsidRPr="00DC14C3">
        <w:rPr>
          <w:color w:val="auto"/>
          <w:szCs w:val="26"/>
        </w:rPr>
        <w:t>.  MetroPCS operates and provides services and products in California</w:t>
      </w:r>
      <w:r>
        <w:rPr>
          <w:color w:val="auto"/>
          <w:szCs w:val="26"/>
        </w:rPr>
        <w:t>,</w:t>
      </w:r>
      <w:r w:rsidRPr="00DC14C3">
        <w:rPr>
          <w:color w:val="auto"/>
          <w:szCs w:val="26"/>
        </w:rPr>
        <w:t xml:space="preserve"> offering a selection of smartphones and data plans.</w:t>
      </w:r>
      <w:r w:rsidRPr="00DC14C3">
        <w:rPr>
          <w:szCs w:val="26"/>
        </w:rPr>
        <w:t xml:space="preserve"> </w:t>
      </w:r>
      <w:r w:rsidRPr="00DC14C3">
        <w:rPr>
          <w:color w:val="auto"/>
          <w:szCs w:val="26"/>
        </w:rPr>
        <w:t xml:space="preserve"> </w:t>
      </w:r>
      <w:r>
        <w:rPr>
          <w:color w:val="auto"/>
          <w:szCs w:val="26"/>
        </w:rPr>
        <w:t xml:space="preserve">Pursuant to Pub. Util. Code § 319 and </w:t>
      </w:r>
      <w:r w:rsidRPr="00DC14C3">
        <w:rPr>
          <w:color w:val="000000" w:themeColor="text1"/>
          <w:szCs w:val="26"/>
        </w:rPr>
        <w:t xml:space="preserve">Resolutions </w:t>
      </w:r>
      <w:r w:rsidRPr="00DC14C3">
        <w:rPr>
          <w:szCs w:val="26"/>
        </w:rPr>
        <w:t>T-17542 and T-17579</w:t>
      </w:r>
      <w:r>
        <w:rPr>
          <w:szCs w:val="26"/>
        </w:rPr>
        <w:t xml:space="preserve">, </w:t>
      </w:r>
      <w:r w:rsidR="00486733">
        <w:rPr>
          <w:szCs w:val="26"/>
        </w:rPr>
        <w:t xml:space="preserve">wireless service providers, including MetroPCS, are to calculate and reimburse </w:t>
      </w:r>
      <w:r w:rsidR="00486733">
        <w:t>communications taxes, fees, and surcharges from end-use consumers of prepaid mobile telephony services</w:t>
      </w:r>
      <w:r w:rsidR="00B4741F">
        <w:t>.  This investigation will assess MetroPCS’ compliance with these Commission mandates.</w:t>
      </w:r>
    </w:p>
    <w:p w:rsidRPr="00873B0A" w:rsidR="006528A1" w:rsidP="00873B0A" w:rsidRDefault="00C634C5" w14:paraId="5AAAC746" w14:textId="65F156E7">
      <w:pPr>
        <w:spacing w:after="123" w:line="360" w:lineRule="auto"/>
        <w:ind w:right="242" w:firstLine="705"/>
        <w:rPr>
          <w:b/>
        </w:rPr>
      </w:pPr>
      <w:r>
        <w:rPr>
          <w:szCs w:val="26"/>
        </w:rPr>
        <w:lastRenderedPageBreak/>
        <w:t>T</w:t>
      </w:r>
      <w:r w:rsidRPr="00DC14C3" w:rsidR="00121CBB">
        <w:rPr>
          <w:szCs w:val="26"/>
        </w:rPr>
        <w:t>he Commission opens this Order Instituting Investigation (“OII” or “Order”) on its own motion</w:t>
      </w:r>
      <w:r w:rsidRPr="00DC14C3" w:rsidR="001235D2">
        <w:rPr>
          <w:szCs w:val="26"/>
        </w:rPr>
        <w:t xml:space="preserve"> pursuant to Commission Rules of Practice and Procedure</w:t>
      </w:r>
      <w:r w:rsidRPr="00DC14C3" w:rsidR="002323B5">
        <w:rPr>
          <w:szCs w:val="26"/>
        </w:rPr>
        <w:t xml:space="preserve"> (Ru</w:t>
      </w:r>
      <w:r w:rsidR="00077D50">
        <w:rPr>
          <w:szCs w:val="26"/>
        </w:rPr>
        <w:t>le</w:t>
      </w:r>
      <w:r w:rsidRPr="00DC14C3" w:rsidR="00AD44F6">
        <w:rPr>
          <w:szCs w:val="26"/>
        </w:rPr>
        <w:t>)</w:t>
      </w:r>
      <w:r>
        <w:rPr>
          <w:szCs w:val="26"/>
        </w:rPr>
        <w:t xml:space="preserve"> 5.1</w:t>
      </w:r>
      <w:r w:rsidRPr="00DC14C3" w:rsidR="00121CBB">
        <w:rPr>
          <w:szCs w:val="26"/>
        </w:rPr>
        <w:t>.</w:t>
      </w:r>
    </w:p>
    <w:p w:rsidRPr="00DC14C3" w:rsidR="00B14C48" w:rsidP="00D4245A" w:rsidRDefault="006528A1" w14:paraId="51626384" w14:textId="5C97CCDC">
      <w:pPr>
        <w:pStyle w:val="Heading1"/>
        <w:ind w:left="720" w:hanging="720"/>
      </w:pPr>
      <w:r w:rsidRPr="00DC14C3">
        <w:t xml:space="preserve">THE PREPAID ACT AND </w:t>
      </w:r>
      <w:r w:rsidRPr="00DC14C3" w:rsidR="00A30CBC">
        <w:t>THE COMMISSION’S SUBSEQUENT IMPLEMENTING RESOLUTIONS</w:t>
      </w:r>
    </w:p>
    <w:p w:rsidRPr="00DC14C3" w:rsidR="007C020A" w:rsidP="00A244A5" w:rsidRDefault="000741C7" w14:paraId="322E764D" w14:textId="465E7757">
      <w:pPr>
        <w:spacing w:line="360" w:lineRule="auto"/>
        <w:ind w:left="0" w:firstLine="720"/>
        <w:rPr>
          <w:color w:val="000000" w:themeColor="text1"/>
          <w:szCs w:val="26"/>
        </w:rPr>
      </w:pPr>
      <w:r>
        <w:rPr>
          <w:color w:val="000000" w:themeColor="text1"/>
          <w:szCs w:val="26"/>
        </w:rPr>
        <w:t xml:space="preserve">Pursuant to </w:t>
      </w:r>
      <w:r w:rsidRPr="00DC14C3">
        <w:t xml:space="preserve">Pub. Util. Code </w:t>
      </w:r>
      <w:r w:rsidRPr="00873B0A">
        <w:rPr>
          <w:sz w:val="22"/>
        </w:rPr>
        <w:t>§</w:t>
      </w:r>
      <w:r>
        <w:rPr>
          <w:sz w:val="22"/>
        </w:rPr>
        <w:t xml:space="preserve"> </w:t>
      </w:r>
      <w:r w:rsidRPr="00DC14C3">
        <w:t>319</w:t>
      </w:r>
      <w:r>
        <w:rPr>
          <w:color w:val="000000" w:themeColor="text1"/>
          <w:szCs w:val="26"/>
        </w:rPr>
        <w:t xml:space="preserve"> and its implementing Commission Resolutions</w:t>
      </w:r>
      <w:r w:rsidR="008E535E">
        <w:rPr>
          <w:color w:val="000000" w:themeColor="text1"/>
          <w:szCs w:val="26"/>
        </w:rPr>
        <w:t>, t</w:t>
      </w:r>
      <w:r w:rsidRPr="00DC14C3" w:rsidR="00A244A5">
        <w:rPr>
          <w:color w:val="000000" w:themeColor="text1"/>
          <w:szCs w:val="26"/>
        </w:rPr>
        <w:t xml:space="preserve">he Prepaid Act requires a </w:t>
      </w:r>
      <w:r w:rsidRPr="00DC14C3" w:rsidR="0008406A">
        <w:rPr>
          <w:color w:val="000000" w:themeColor="text1"/>
          <w:szCs w:val="26"/>
        </w:rPr>
        <w:t xml:space="preserve">new </w:t>
      </w:r>
      <w:r w:rsidRPr="00DC14C3" w:rsidR="00A244A5">
        <w:rPr>
          <w:color w:val="000000" w:themeColor="text1"/>
          <w:szCs w:val="26"/>
        </w:rPr>
        <w:t>mechanism for the collection and remittance of the taxes and fees assessed on prepaid wireless telephone service</w:t>
      </w:r>
      <w:r w:rsidRPr="00DC14C3" w:rsidR="0008406A">
        <w:rPr>
          <w:color w:val="000000" w:themeColor="text1"/>
          <w:szCs w:val="26"/>
        </w:rPr>
        <w:t>, and it is referred to as “prepaid mobile telephony services</w:t>
      </w:r>
      <w:r w:rsidRPr="00DC14C3" w:rsidR="00AD44F6">
        <w:rPr>
          <w:color w:val="000000" w:themeColor="text1"/>
          <w:szCs w:val="26"/>
        </w:rPr>
        <w:t>”</w:t>
      </w:r>
      <w:r w:rsidRPr="00DC14C3" w:rsidR="0008406A">
        <w:rPr>
          <w:color w:val="000000" w:themeColor="text1"/>
          <w:szCs w:val="26"/>
        </w:rPr>
        <w:t xml:space="preserve"> (MTS)</w:t>
      </w:r>
      <w:r w:rsidRPr="00DC14C3" w:rsidR="00A244A5">
        <w:rPr>
          <w:color w:val="000000" w:themeColor="text1"/>
          <w:szCs w:val="26"/>
        </w:rPr>
        <w:t>.</w:t>
      </w:r>
      <w:r w:rsidRPr="00DC14C3" w:rsidR="00A244A5">
        <w:rPr>
          <w:rStyle w:val="FootnoteReference"/>
          <w:color w:val="000000" w:themeColor="text1"/>
          <w:szCs w:val="26"/>
        </w:rPr>
        <w:footnoteReference w:id="3"/>
      </w:r>
      <w:r w:rsidRPr="00DC14C3" w:rsidR="00A244A5">
        <w:rPr>
          <w:color w:val="000000" w:themeColor="text1"/>
          <w:szCs w:val="26"/>
        </w:rPr>
        <w:t xml:space="preserve">  </w:t>
      </w:r>
      <w:r w:rsidRPr="00DC14C3" w:rsidR="002514C6">
        <w:rPr>
          <w:color w:val="000000" w:themeColor="text1"/>
          <w:szCs w:val="26"/>
        </w:rPr>
        <w:t>Assembly Bill 1717 grants the Commission the authority to ensure proper remittance of the MTS surcharge.</w:t>
      </w:r>
      <w:r w:rsidRPr="00DC14C3" w:rsidR="002514C6">
        <w:rPr>
          <w:rStyle w:val="FootnoteReference"/>
          <w:color w:val="000000" w:themeColor="text1"/>
          <w:szCs w:val="26"/>
        </w:rPr>
        <w:footnoteReference w:id="4"/>
      </w:r>
      <w:r w:rsidRPr="00DC14C3" w:rsidR="001235D2">
        <w:rPr>
          <w:color w:val="000000" w:themeColor="text1"/>
          <w:szCs w:val="26"/>
        </w:rPr>
        <w:t xml:space="preserve">  </w:t>
      </w:r>
      <w:r w:rsidRPr="00DC14C3" w:rsidR="00EE4F70">
        <w:rPr>
          <w:color w:val="000000" w:themeColor="text1"/>
          <w:szCs w:val="26"/>
        </w:rPr>
        <w:t>MTS includes</w:t>
      </w:r>
      <w:r w:rsidRPr="00DC14C3" w:rsidR="00A244A5">
        <w:rPr>
          <w:color w:val="000000" w:themeColor="text1"/>
          <w:szCs w:val="26"/>
        </w:rPr>
        <w:t xml:space="preserve"> the following charges: Commission Public Purpose Program</w:t>
      </w:r>
      <w:r w:rsidR="00536D3A">
        <w:rPr>
          <w:color w:val="000000" w:themeColor="text1"/>
          <w:szCs w:val="26"/>
        </w:rPr>
        <w:t xml:space="preserve"> (PPP)</w:t>
      </w:r>
      <w:r w:rsidRPr="00DC14C3" w:rsidR="00A244A5">
        <w:rPr>
          <w:color w:val="000000" w:themeColor="text1"/>
          <w:szCs w:val="26"/>
        </w:rPr>
        <w:t xml:space="preserve"> Surcharges, Commission User Fee, Emergency Telephone Users (911) Surcharge, and Local Charges (Local Utility User Taxes or UUT).</w:t>
      </w:r>
      <w:r w:rsidRPr="00DC14C3" w:rsidR="00891230">
        <w:rPr>
          <w:rStyle w:val="FootnoteReference"/>
          <w:color w:val="000000" w:themeColor="text1"/>
          <w:szCs w:val="26"/>
        </w:rPr>
        <w:footnoteReference w:id="5"/>
      </w:r>
      <w:r w:rsidRPr="00DC14C3" w:rsidR="00A244A5">
        <w:rPr>
          <w:color w:val="000000" w:themeColor="text1"/>
          <w:szCs w:val="26"/>
        </w:rPr>
        <w:t xml:space="preserve"> </w:t>
      </w:r>
    </w:p>
    <w:p w:rsidR="0034599F" w:rsidP="0034599F" w:rsidRDefault="007C020A" w14:paraId="475A63A2" w14:textId="39A6D831">
      <w:pPr>
        <w:spacing w:line="360" w:lineRule="auto"/>
        <w:ind w:firstLine="710"/>
        <w:rPr>
          <w:szCs w:val="26"/>
        </w:rPr>
      </w:pPr>
      <w:r w:rsidRPr="00DC14C3">
        <w:rPr>
          <w:color w:val="000000" w:themeColor="text1"/>
          <w:szCs w:val="26"/>
        </w:rPr>
        <w:t>The Prepaid Act aggregates the surcharges, taxes and fee</w:t>
      </w:r>
      <w:r w:rsidR="001B7958">
        <w:rPr>
          <w:color w:val="000000" w:themeColor="text1"/>
          <w:szCs w:val="26"/>
        </w:rPr>
        <w:t>s</w:t>
      </w:r>
      <w:r w:rsidRPr="00DC14C3">
        <w:rPr>
          <w:color w:val="000000" w:themeColor="text1"/>
          <w:szCs w:val="26"/>
        </w:rPr>
        <w:t xml:space="preserve"> listed above and creates the prepaid MTS surcharge</w:t>
      </w:r>
      <w:r w:rsidRPr="00DC14C3">
        <w:rPr>
          <w:rStyle w:val="FootnoteReference"/>
          <w:color w:val="000000" w:themeColor="text1"/>
          <w:szCs w:val="26"/>
        </w:rPr>
        <w:footnoteReference w:id="6"/>
      </w:r>
      <w:r w:rsidRPr="00DC14C3">
        <w:rPr>
          <w:color w:val="000000" w:themeColor="text1"/>
          <w:szCs w:val="26"/>
        </w:rPr>
        <w:t xml:space="preserve"> that is required to be imposed on prepaid wireless telephone services in lieu of the individual fees.  The</w:t>
      </w:r>
      <w:r w:rsidR="00686543">
        <w:rPr>
          <w:color w:val="000000" w:themeColor="text1"/>
          <w:szCs w:val="26"/>
        </w:rPr>
        <w:t xml:space="preserve"> Prepaid</w:t>
      </w:r>
      <w:r w:rsidRPr="00DC14C3">
        <w:rPr>
          <w:color w:val="000000" w:themeColor="text1"/>
          <w:szCs w:val="26"/>
        </w:rPr>
        <w:t xml:space="preserve"> Act became effective </w:t>
      </w:r>
      <w:r w:rsidR="00B5427A">
        <w:rPr>
          <w:color w:val="000000" w:themeColor="text1"/>
          <w:szCs w:val="26"/>
        </w:rPr>
        <w:t>September 30, 2014</w:t>
      </w:r>
      <w:r w:rsidRPr="00DC14C3" w:rsidR="00B5427A">
        <w:rPr>
          <w:color w:val="000000" w:themeColor="text1"/>
          <w:szCs w:val="26"/>
        </w:rPr>
        <w:t xml:space="preserve"> and</w:t>
      </w:r>
      <w:r w:rsidRPr="00DC14C3">
        <w:rPr>
          <w:color w:val="000000" w:themeColor="text1"/>
          <w:szCs w:val="26"/>
        </w:rPr>
        <w:t xml:space="preserve"> remained in effect until January 1, 2020.</w:t>
      </w:r>
      <w:r w:rsidRPr="00DC14C3">
        <w:rPr>
          <w:rStyle w:val="FootnoteReference"/>
          <w:color w:val="000000" w:themeColor="text1"/>
          <w:szCs w:val="26"/>
        </w:rPr>
        <w:footnoteReference w:id="7"/>
      </w:r>
      <w:r w:rsidRPr="00DC14C3" w:rsidR="00A244A5">
        <w:rPr>
          <w:szCs w:val="26"/>
        </w:rPr>
        <w:t xml:space="preserve"> </w:t>
      </w:r>
      <w:r w:rsidR="00FD337C">
        <w:rPr>
          <w:szCs w:val="26"/>
        </w:rPr>
        <w:t xml:space="preserve"> </w:t>
      </w:r>
    </w:p>
    <w:p w:rsidRPr="00DC14C3" w:rsidR="009F6B98" w:rsidP="00464A1D" w:rsidRDefault="00A244A5" w14:paraId="021CD2DD" w14:textId="115DD7EC">
      <w:pPr>
        <w:spacing w:line="360" w:lineRule="auto"/>
        <w:ind w:firstLine="710"/>
        <w:rPr>
          <w:szCs w:val="26"/>
        </w:rPr>
      </w:pPr>
      <w:r w:rsidRPr="00DC14C3">
        <w:rPr>
          <w:szCs w:val="26"/>
        </w:rPr>
        <w:t>On November 16, 2016, the Commission issued Resolution T-17542, approving the MTS surcharge rates to be assessed on prepaid wireless telephone service effective January 1, 2017.</w:t>
      </w:r>
      <w:r w:rsidRPr="00DC14C3" w:rsidR="00087A56">
        <w:rPr>
          <w:rStyle w:val="FootnoteReference"/>
          <w:szCs w:val="26"/>
        </w:rPr>
        <w:footnoteReference w:id="8"/>
      </w:r>
      <w:r w:rsidRPr="00DC14C3">
        <w:rPr>
          <w:szCs w:val="26"/>
        </w:rPr>
        <w:t xml:space="preserve">  Resolution T-17542 also modified the MTS rates for 2017 to ensure that </w:t>
      </w:r>
      <w:r w:rsidRPr="00DC14C3">
        <w:rPr>
          <w:color w:val="000000" w:themeColor="text1"/>
          <w:szCs w:val="26"/>
          <w:lang w:val="en"/>
        </w:rPr>
        <w:t>all customers purchasing prepaid wireless telephone services are assessed the MTS surcharge in an equitable manner</w:t>
      </w:r>
      <w:r w:rsidR="00AF723D">
        <w:rPr>
          <w:color w:val="000000" w:themeColor="text1"/>
          <w:szCs w:val="26"/>
          <w:lang w:val="en"/>
        </w:rPr>
        <w:t>.</w:t>
      </w:r>
      <w:r w:rsidRPr="00DC14C3" w:rsidR="00F4180F">
        <w:rPr>
          <w:rStyle w:val="FootnoteReference"/>
          <w:szCs w:val="26"/>
        </w:rPr>
        <w:footnoteReference w:id="9"/>
      </w:r>
      <w:r w:rsidR="00AF723D">
        <w:rPr>
          <w:color w:val="000000" w:themeColor="text1"/>
          <w:szCs w:val="26"/>
          <w:lang w:val="en"/>
        </w:rPr>
        <w:t xml:space="preserve"> </w:t>
      </w:r>
      <w:r w:rsidRPr="00DC14C3" w:rsidR="00F4180F">
        <w:rPr>
          <w:szCs w:val="26"/>
        </w:rPr>
        <w:t xml:space="preserve"> </w:t>
      </w:r>
      <w:r w:rsidRPr="00DC14C3" w:rsidR="00480404">
        <w:rPr>
          <w:szCs w:val="26"/>
        </w:rPr>
        <w:t xml:space="preserve">On October 13, 2017, the Commission issued </w:t>
      </w:r>
      <w:r w:rsidRPr="00DC14C3" w:rsidR="00480404">
        <w:rPr>
          <w:szCs w:val="26"/>
        </w:rPr>
        <w:lastRenderedPageBreak/>
        <w:t>Resolution T-17568</w:t>
      </w:r>
      <w:r w:rsidRPr="00DC14C3" w:rsidR="00480404">
        <w:rPr>
          <w:rStyle w:val="FootnoteReference"/>
          <w:szCs w:val="26"/>
        </w:rPr>
        <w:footnoteReference w:id="10"/>
      </w:r>
      <w:r w:rsidRPr="00DC14C3" w:rsidR="00480404">
        <w:rPr>
          <w:szCs w:val="26"/>
        </w:rPr>
        <w:t xml:space="preserve"> </w:t>
      </w:r>
      <w:r w:rsidR="00480404">
        <w:rPr>
          <w:szCs w:val="26"/>
        </w:rPr>
        <w:t xml:space="preserve">which denied MetroPCS’s </w:t>
      </w:r>
      <w:r w:rsidRPr="00DC14C3" w:rsidR="00480404">
        <w:rPr>
          <w:szCs w:val="26"/>
        </w:rPr>
        <w:t>Amended Application for Modification of Resolution T-17542</w:t>
      </w:r>
      <w:r w:rsidR="00480404">
        <w:rPr>
          <w:szCs w:val="26"/>
        </w:rPr>
        <w:t>.</w:t>
      </w:r>
      <w:r w:rsidR="00464A1D">
        <w:rPr>
          <w:szCs w:val="26"/>
        </w:rPr>
        <w:t xml:space="preserve">  </w:t>
      </w:r>
      <w:r w:rsidRPr="00DC14C3" w:rsidR="00F4180F">
        <w:rPr>
          <w:szCs w:val="26"/>
        </w:rPr>
        <w:t>On November 16, 2017, the Commission issued Resolution T-17579, adopting the 2018 MTS surcharge rate which is calculated by the 2018 MTS base rate and adjust</w:t>
      </w:r>
      <w:r w:rsidR="00BF6518">
        <w:rPr>
          <w:szCs w:val="26"/>
        </w:rPr>
        <w:t>ed</w:t>
      </w:r>
      <w:r w:rsidRPr="00DC14C3" w:rsidR="00F4180F">
        <w:rPr>
          <w:szCs w:val="26"/>
        </w:rPr>
        <w:t xml:space="preserve"> for intrastate revenue</w:t>
      </w:r>
      <w:r w:rsidR="00AF723D">
        <w:rPr>
          <w:szCs w:val="26"/>
        </w:rPr>
        <w:t>.</w:t>
      </w:r>
      <w:r w:rsidRPr="00DC14C3" w:rsidR="00406942">
        <w:rPr>
          <w:rStyle w:val="FootnoteReference"/>
          <w:szCs w:val="26"/>
        </w:rPr>
        <w:footnoteReference w:id="11"/>
      </w:r>
      <w:bookmarkStart w:name="_Hlk98342690" w:id="5"/>
      <w:r w:rsidR="00AF723D">
        <w:rPr>
          <w:szCs w:val="26"/>
        </w:rPr>
        <w:t xml:space="preserve"> </w:t>
      </w:r>
      <w:r w:rsidRPr="00DC14C3" w:rsidR="002E25CB">
        <w:rPr>
          <w:rStyle w:val="FootnoteReference"/>
          <w:szCs w:val="26"/>
        </w:rPr>
        <w:footnoteReference w:id="12"/>
      </w:r>
      <w:r w:rsidRPr="00DC14C3" w:rsidR="002E25CB">
        <w:rPr>
          <w:szCs w:val="26"/>
        </w:rPr>
        <w:t xml:space="preserve"> </w:t>
      </w:r>
      <w:r w:rsidRPr="00DC14C3" w:rsidR="008D6FC1">
        <w:rPr>
          <w:rStyle w:val="FootnoteReference"/>
          <w:szCs w:val="26"/>
        </w:rPr>
        <w:footnoteReference w:id="13"/>
      </w:r>
      <w:r w:rsidRPr="00DC14C3" w:rsidR="008D6FC1">
        <w:rPr>
          <w:szCs w:val="26"/>
        </w:rPr>
        <w:t xml:space="preserve"> </w:t>
      </w:r>
    </w:p>
    <w:bookmarkEnd w:id="5"/>
    <w:p w:rsidRPr="00DC14C3" w:rsidR="007C020A" w:rsidP="001235D2" w:rsidRDefault="007C020A" w14:paraId="102C65A6" w14:textId="5F88AF5A">
      <w:pPr>
        <w:spacing w:line="360" w:lineRule="auto"/>
        <w:ind w:firstLine="698"/>
        <w:rPr>
          <w:szCs w:val="26"/>
        </w:rPr>
      </w:pPr>
      <w:r w:rsidRPr="00DC14C3">
        <w:rPr>
          <w:color w:val="000000" w:themeColor="text1"/>
          <w:szCs w:val="26"/>
        </w:rPr>
        <w:t>In the 2017 and 2018 calendar years, all telephone corporations offering prepaid wireless telephone service</w:t>
      </w:r>
      <w:r w:rsidR="00DA431E">
        <w:rPr>
          <w:color w:val="000000" w:themeColor="text1"/>
          <w:szCs w:val="26"/>
        </w:rPr>
        <w:t>, including MetroPCS,</w:t>
      </w:r>
      <w:r w:rsidRPr="00DC14C3">
        <w:rPr>
          <w:color w:val="000000" w:themeColor="text1"/>
          <w:szCs w:val="26"/>
        </w:rPr>
        <w:t xml:space="preserve"> were required to report and remit MTS surcharges and fee</w:t>
      </w:r>
      <w:r w:rsidR="00E353D4">
        <w:rPr>
          <w:color w:val="000000" w:themeColor="text1"/>
          <w:szCs w:val="26"/>
        </w:rPr>
        <w:t>s</w:t>
      </w:r>
      <w:r w:rsidRPr="00DC14C3">
        <w:rPr>
          <w:color w:val="000000" w:themeColor="text1"/>
          <w:szCs w:val="26"/>
        </w:rPr>
        <w:t xml:space="preserve"> in accordance with the rules set forth in Resolutions </w:t>
      </w:r>
      <w:r w:rsidRPr="00DC14C3">
        <w:rPr>
          <w:szCs w:val="26"/>
        </w:rPr>
        <w:t xml:space="preserve">T-17542 and </w:t>
      </w:r>
      <w:r w:rsidR="0079610A">
        <w:rPr>
          <w:szCs w:val="26"/>
        </w:rPr>
        <w:br/>
      </w:r>
      <w:r w:rsidRPr="00DC14C3">
        <w:rPr>
          <w:szCs w:val="26"/>
        </w:rPr>
        <w:t>T-17579</w:t>
      </w:r>
      <w:r w:rsidRPr="00DC14C3">
        <w:rPr>
          <w:color w:val="000000" w:themeColor="text1"/>
          <w:szCs w:val="26"/>
        </w:rPr>
        <w:t>.</w:t>
      </w:r>
      <w:r w:rsidRPr="00DC14C3">
        <w:rPr>
          <w:rStyle w:val="FootnoteReference"/>
          <w:color w:val="000000" w:themeColor="text1"/>
          <w:szCs w:val="26"/>
        </w:rPr>
        <w:footnoteReference w:id="14"/>
      </w:r>
      <w:r w:rsidRPr="00DC14C3">
        <w:rPr>
          <w:color w:val="000000" w:themeColor="text1"/>
          <w:szCs w:val="26"/>
        </w:rPr>
        <w:t xml:space="preserve">   </w:t>
      </w:r>
    </w:p>
    <w:p w:rsidRPr="00DC14C3" w:rsidR="00B86CB6" w:rsidP="00D4245A" w:rsidRDefault="00121CBB" w14:paraId="757712BF" w14:textId="50BABD85">
      <w:pPr>
        <w:pStyle w:val="Heading1"/>
      </w:pPr>
      <w:bookmarkStart w:name="_Hlk99467670" w:id="6"/>
      <w:r w:rsidRPr="00DC14C3">
        <w:t xml:space="preserve">CPED’S INVESTIGATION </w:t>
      </w:r>
      <w:r w:rsidRPr="00DC14C3" w:rsidR="00A84E31">
        <w:t>OF METROPCS</w:t>
      </w:r>
      <w:r w:rsidRPr="00DC14C3">
        <w:t xml:space="preserve"> </w:t>
      </w:r>
    </w:p>
    <w:p w:rsidRPr="00DC14C3" w:rsidR="008C1AE9" w:rsidP="008C1AE9" w:rsidRDefault="00E87C94" w14:paraId="0363200E" w14:textId="71A23074">
      <w:pPr>
        <w:spacing w:line="360" w:lineRule="auto"/>
        <w:ind w:firstLine="698"/>
        <w:rPr>
          <w:color w:val="000000" w:themeColor="text1"/>
          <w:szCs w:val="26"/>
        </w:rPr>
      </w:pPr>
      <w:bookmarkStart w:name="_Hlk99459168" w:id="7"/>
      <w:r>
        <w:t>On March 6</w:t>
      </w:r>
      <w:r w:rsidR="00F27BA2">
        <w:t>, 2018</w:t>
      </w:r>
      <w:r>
        <w:t>,</w:t>
      </w:r>
      <w:r w:rsidR="00E34380">
        <w:t xml:space="preserve"> the Commission’s </w:t>
      </w:r>
      <w:r>
        <w:t>Utility, Audit, Finance and Compliance Branch (Utility Audits Branch)</w:t>
      </w:r>
      <w:r w:rsidR="00E34380">
        <w:t xml:space="preserve"> </w:t>
      </w:r>
      <w:r>
        <w:t>issued a data request seeking, among other things, information on</w:t>
      </w:r>
      <w:r w:rsidR="00E34380">
        <w:t xml:space="preserve"> MetroPCS’</w:t>
      </w:r>
      <w:r>
        <w:t xml:space="preserve"> assessment, </w:t>
      </w:r>
      <w:r w:rsidR="00DE361B">
        <w:t>calculation,</w:t>
      </w:r>
      <w:r>
        <w:t xml:space="preserve"> and remittance of its 2017</w:t>
      </w:r>
      <w:r w:rsidR="00E34380">
        <w:t xml:space="preserve"> MTS surcharge remittances.</w:t>
      </w:r>
      <w:r>
        <w:rPr>
          <w:rStyle w:val="FootnoteReference"/>
        </w:rPr>
        <w:footnoteReference w:id="15"/>
      </w:r>
      <w:r w:rsidR="00E34380">
        <w:t xml:space="preserve">  </w:t>
      </w:r>
      <w:bookmarkEnd w:id="7"/>
      <w:r w:rsidR="004C6D0C">
        <w:t xml:space="preserve">Based on </w:t>
      </w:r>
      <w:r w:rsidR="00821D0F">
        <w:t>this</w:t>
      </w:r>
      <w:r w:rsidR="004C6D0C">
        <w:t xml:space="preserve"> </w:t>
      </w:r>
      <w:r w:rsidR="00F27BA2">
        <w:t>information,</w:t>
      </w:r>
      <w:r w:rsidR="004C6D0C">
        <w:t xml:space="preserve"> the Commission’s Communication Division (</w:t>
      </w:r>
      <w:r w:rsidRPr="00DC14C3" w:rsidR="008C1AE9">
        <w:rPr>
          <w:color w:val="000000" w:themeColor="text1"/>
          <w:szCs w:val="26"/>
        </w:rPr>
        <w:t>CD</w:t>
      </w:r>
      <w:r w:rsidR="004C6D0C">
        <w:rPr>
          <w:color w:val="000000" w:themeColor="text1"/>
          <w:szCs w:val="26"/>
        </w:rPr>
        <w:t>)</w:t>
      </w:r>
      <w:r w:rsidRPr="00DC14C3" w:rsidR="008C1AE9">
        <w:rPr>
          <w:color w:val="000000" w:themeColor="text1"/>
          <w:szCs w:val="26"/>
        </w:rPr>
        <w:t xml:space="preserve"> </w:t>
      </w:r>
      <w:r w:rsidR="003C4747">
        <w:rPr>
          <w:color w:val="000000" w:themeColor="text1"/>
          <w:szCs w:val="26"/>
        </w:rPr>
        <w:t>found that MetroPCS did not use a bundle</w:t>
      </w:r>
      <w:r w:rsidR="00536D3A">
        <w:rPr>
          <w:color w:val="000000" w:themeColor="text1"/>
          <w:szCs w:val="26"/>
        </w:rPr>
        <w:t>d</w:t>
      </w:r>
      <w:r w:rsidR="003C4747">
        <w:rPr>
          <w:color w:val="000000" w:themeColor="text1"/>
          <w:szCs w:val="26"/>
        </w:rPr>
        <w:t xml:space="preserve"> allocation methodology that the Federal Communication Commission determined to be reasonable.  CD </w:t>
      </w:r>
      <w:r w:rsidRPr="00DC14C3" w:rsidR="008C1AE9">
        <w:rPr>
          <w:color w:val="000000" w:themeColor="text1"/>
          <w:szCs w:val="26"/>
        </w:rPr>
        <w:t xml:space="preserve">determined that for </w:t>
      </w:r>
      <w:r w:rsidR="00086AF6">
        <w:rPr>
          <w:color w:val="000000" w:themeColor="text1"/>
          <w:szCs w:val="26"/>
        </w:rPr>
        <w:t xml:space="preserve">the </w:t>
      </w:r>
      <w:r w:rsidRPr="00DC14C3" w:rsidR="008C1AE9">
        <w:rPr>
          <w:color w:val="000000" w:themeColor="text1"/>
          <w:szCs w:val="26"/>
        </w:rPr>
        <w:t xml:space="preserve">years 2017 and 2018, MetroPCS did not remit the MTS surcharge on its total California </w:t>
      </w:r>
      <w:r w:rsidRPr="00DC14C3" w:rsidR="00402EBF">
        <w:rPr>
          <w:color w:val="000000" w:themeColor="text1"/>
          <w:szCs w:val="26"/>
        </w:rPr>
        <w:t xml:space="preserve">mobile telephony service </w:t>
      </w:r>
      <w:r w:rsidRPr="00DC14C3" w:rsidR="008C1AE9">
        <w:rPr>
          <w:color w:val="000000" w:themeColor="text1"/>
          <w:szCs w:val="26"/>
        </w:rPr>
        <w:t xml:space="preserve">revenue </w:t>
      </w:r>
      <w:bookmarkEnd w:id="6"/>
      <w:r w:rsidRPr="00DC14C3" w:rsidR="008C1AE9">
        <w:rPr>
          <w:color w:val="000000" w:themeColor="text1"/>
          <w:szCs w:val="26"/>
        </w:rPr>
        <w:t>amount, but on a significantly lower amount.  MetroPCS</w:t>
      </w:r>
      <w:r w:rsidR="00F971F9">
        <w:rPr>
          <w:color w:val="000000" w:themeColor="text1"/>
          <w:szCs w:val="26"/>
        </w:rPr>
        <w:t>’</w:t>
      </w:r>
      <w:r w:rsidR="00E34380">
        <w:rPr>
          <w:color w:val="000000" w:themeColor="text1"/>
          <w:szCs w:val="26"/>
        </w:rPr>
        <w:t xml:space="preserve"> </w:t>
      </w:r>
      <w:r w:rsidR="00F971F9">
        <w:rPr>
          <w:color w:val="000000" w:themeColor="text1"/>
          <w:szCs w:val="26"/>
        </w:rPr>
        <w:t xml:space="preserve">calculation of </w:t>
      </w:r>
      <w:r w:rsidRPr="00DC14C3" w:rsidR="008C1AE9">
        <w:rPr>
          <w:color w:val="000000" w:themeColor="text1"/>
          <w:szCs w:val="26"/>
        </w:rPr>
        <w:t xml:space="preserve">intrastate revenue base subject to PPP surcharges and the Commission User Fee </w:t>
      </w:r>
      <w:r w:rsidR="00F971F9">
        <w:rPr>
          <w:color w:val="000000" w:themeColor="text1"/>
          <w:szCs w:val="26"/>
        </w:rPr>
        <w:t>excluded</w:t>
      </w:r>
      <w:r w:rsidRPr="00DC14C3" w:rsidR="00F971F9">
        <w:rPr>
          <w:color w:val="000000" w:themeColor="text1"/>
          <w:szCs w:val="26"/>
        </w:rPr>
        <w:t xml:space="preserve"> </w:t>
      </w:r>
      <w:r w:rsidRPr="00DC14C3" w:rsidR="008C1AE9">
        <w:rPr>
          <w:color w:val="000000" w:themeColor="text1"/>
          <w:szCs w:val="26"/>
        </w:rPr>
        <w:t xml:space="preserve">revenue from services </w:t>
      </w:r>
      <w:r w:rsidR="00F971F9">
        <w:rPr>
          <w:color w:val="000000" w:themeColor="text1"/>
          <w:szCs w:val="26"/>
        </w:rPr>
        <w:t>that MetroPCS</w:t>
      </w:r>
      <w:r w:rsidRPr="00DC14C3" w:rsidR="008C1AE9">
        <w:rPr>
          <w:color w:val="000000" w:themeColor="text1"/>
          <w:szCs w:val="26"/>
        </w:rPr>
        <w:t xml:space="preserve"> deemed to be interstate</w:t>
      </w:r>
      <w:r w:rsidR="00F971F9">
        <w:rPr>
          <w:color w:val="000000" w:themeColor="text1"/>
          <w:szCs w:val="26"/>
        </w:rPr>
        <w:t>,</w:t>
      </w:r>
      <w:r w:rsidRPr="00DC14C3" w:rsidR="008C1AE9">
        <w:rPr>
          <w:color w:val="000000" w:themeColor="text1"/>
          <w:szCs w:val="26"/>
        </w:rPr>
        <w:t xml:space="preserve"> and thus not subject to California surcharges and fees.  </w:t>
      </w:r>
      <w:r w:rsidR="00F971F9">
        <w:rPr>
          <w:color w:val="000000" w:themeColor="text1"/>
          <w:szCs w:val="26"/>
        </w:rPr>
        <w:t xml:space="preserve">By using this </w:t>
      </w:r>
      <w:r w:rsidRPr="00DC14C3" w:rsidR="008C1AE9">
        <w:rPr>
          <w:color w:val="000000" w:themeColor="text1"/>
          <w:szCs w:val="26"/>
        </w:rPr>
        <w:lastRenderedPageBreak/>
        <w:t>methodology</w:t>
      </w:r>
      <w:r w:rsidR="00F971F9">
        <w:rPr>
          <w:color w:val="000000" w:themeColor="text1"/>
          <w:szCs w:val="26"/>
        </w:rPr>
        <w:t xml:space="preserve"> rather than the one </w:t>
      </w:r>
      <w:r w:rsidR="004C6D0C">
        <w:rPr>
          <w:color w:val="000000" w:themeColor="text1"/>
          <w:szCs w:val="26"/>
        </w:rPr>
        <w:t>adopted in</w:t>
      </w:r>
      <w:r w:rsidR="00641F84">
        <w:rPr>
          <w:color w:val="000000" w:themeColor="text1"/>
          <w:szCs w:val="26"/>
        </w:rPr>
        <w:t xml:space="preserve"> Resolutions T-17542 and T-17579</w:t>
      </w:r>
      <w:r w:rsidRPr="00DC14C3" w:rsidR="008C1AE9">
        <w:rPr>
          <w:color w:val="000000" w:themeColor="text1"/>
          <w:szCs w:val="26"/>
        </w:rPr>
        <w:t>,</w:t>
      </w:r>
      <w:r w:rsidRPr="00DC14C3" w:rsidR="008C1AE9">
        <w:rPr>
          <w:rStyle w:val="FootnoteReference"/>
          <w:color w:val="000000" w:themeColor="text1"/>
          <w:szCs w:val="26"/>
        </w:rPr>
        <w:footnoteReference w:id="16"/>
      </w:r>
      <w:r w:rsidRPr="00DC14C3" w:rsidR="008C1AE9">
        <w:rPr>
          <w:color w:val="000000" w:themeColor="text1"/>
          <w:szCs w:val="26"/>
        </w:rPr>
        <w:t xml:space="preserve"> </w:t>
      </w:r>
      <w:r w:rsidR="00F971F9">
        <w:rPr>
          <w:color w:val="000000" w:themeColor="text1"/>
          <w:szCs w:val="26"/>
        </w:rPr>
        <w:t>MetroPCS improperly remitted</w:t>
      </w:r>
      <w:r w:rsidRPr="00DC14C3" w:rsidR="008C1AE9">
        <w:rPr>
          <w:color w:val="000000" w:themeColor="text1"/>
          <w:szCs w:val="26"/>
        </w:rPr>
        <w:t xml:space="preserve"> a lower </w:t>
      </w:r>
      <w:r w:rsidR="00641F84">
        <w:rPr>
          <w:color w:val="000000" w:themeColor="text1"/>
          <w:szCs w:val="26"/>
        </w:rPr>
        <w:t xml:space="preserve">MTS </w:t>
      </w:r>
      <w:r w:rsidRPr="00DC14C3" w:rsidR="008C1AE9">
        <w:rPr>
          <w:color w:val="000000" w:themeColor="text1"/>
          <w:szCs w:val="26"/>
        </w:rPr>
        <w:t xml:space="preserve">surcharge and user fee for </w:t>
      </w:r>
      <w:r w:rsidR="00F971F9">
        <w:rPr>
          <w:color w:val="000000" w:themeColor="text1"/>
          <w:szCs w:val="26"/>
        </w:rPr>
        <w:t>2017 and 2018</w:t>
      </w:r>
      <w:r w:rsidRPr="00DC14C3" w:rsidR="008C1AE9">
        <w:rPr>
          <w:color w:val="000000" w:themeColor="text1"/>
          <w:szCs w:val="26"/>
        </w:rPr>
        <w:t xml:space="preserve">.  </w:t>
      </w:r>
    </w:p>
    <w:p w:rsidRPr="0034599F" w:rsidR="00B86CB6" w:rsidP="0034599F" w:rsidRDefault="00E34380" w14:paraId="61E1F150" w14:textId="0CD1BEA5">
      <w:pPr>
        <w:spacing w:line="360" w:lineRule="auto"/>
        <w:ind w:firstLine="698"/>
        <w:rPr>
          <w:color w:val="000000" w:themeColor="text1"/>
          <w:szCs w:val="26"/>
        </w:rPr>
      </w:pPr>
      <w:r w:rsidRPr="00DC14C3">
        <w:rPr>
          <w:color w:val="000000" w:themeColor="text1"/>
          <w:szCs w:val="26"/>
        </w:rPr>
        <w:t xml:space="preserve">On October 16, 2020, </w:t>
      </w:r>
      <w:r>
        <w:rPr>
          <w:color w:val="000000" w:themeColor="text1"/>
          <w:szCs w:val="26"/>
        </w:rPr>
        <w:t xml:space="preserve">CD </w:t>
      </w:r>
      <w:r w:rsidRPr="00DC14C3">
        <w:rPr>
          <w:color w:val="000000" w:themeColor="text1"/>
          <w:szCs w:val="26"/>
        </w:rPr>
        <w:t>issued a demand letter to MetroPCS seeking compliance with Commission Resolutions T-17542 and T-17579 by paying outstanding “California Telecommunications Public Purpose Program” (PPP) surcharges and user fees for years 2017 and 2018 (Demand Letter).</w:t>
      </w:r>
      <w:r w:rsidRPr="00DC14C3">
        <w:rPr>
          <w:rStyle w:val="FootnoteReference"/>
          <w:color w:val="000000" w:themeColor="text1"/>
          <w:szCs w:val="26"/>
        </w:rPr>
        <w:footnoteReference w:id="17"/>
      </w:r>
      <w:r w:rsidRPr="00DC14C3">
        <w:rPr>
          <w:color w:val="000000" w:themeColor="text1"/>
          <w:szCs w:val="26"/>
        </w:rPr>
        <w:t xml:space="preserve"> </w:t>
      </w:r>
      <w:r w:rsidRPr="00DC14C3">
        <w:t xml:space="preserve"> </w:t>
      </w:r>
      <w:r w:rsidRPr="00DC14C3" w:rsidR="001F0232">
        <w:rPr>
          <w:color w:val="000000" w:themeColor="text1"/>
          <w:szCs w:val="26"/>
        </w:rPr>
        <w:t xml:space="preserve">In response, MetroPCS requested </w:t>
      </w:r>
      <w:r w:rsidR="00BC5CAB">
        <w:rPr>
          <w:color w:val="000000" w:themeColor="text1"/>
          <w:szCs w:val="26"/>
        </w:rPr>
        <w:t xml:space="preserve">that </w:t>
      </w:r>
      <w:r w:rsidRPr="00DC14C3" w:rsidR="001F0232">
        <w:rPr>
          <w:color w:val="000000" w:themeColor="text1"/>
          <w:szCs w:val="26"/>
        </w:rPr>
        <w:t>CD withdraw its demand for payment due to the pending litigation in the</w:t>
      </w:r>
      <w:r w:rsidR="00BC5CAB">
        <w:rPr>
          <w:color w:val="000000" w:themeColor="text1"/>
          <w:szCs w:val="26"/>
        </w:rPr>
        <w:t xml:space="preserve"> </w:t>
      </w:r>
      <w:r w:rsidRPr="00DC14C3" w:rsidR="00BC5CAB">
        <w:rPr>
          <w:szCs w:val="26"/>
        </w:rPr>
        <w:t>Federal District Court for the Northern District of California (District Court)</w:t>
      </w:r>
      <w:r w:rsidR="00BC5CAB">
        <w:rPr>
          <w:color w:val="000000" w:themeColor="text1"/>
          <w:szCs w:val="26"/>
        </w:rPr>
        <w:t>.</w:t>
      </w:r>
      <w:r w:rsidR="00114040">
        <w:rPr>
          <w:rStyle w:val="FootnoteReference"/>
          <w:color w:val="000000" w:themeColor="text1"/>
          <w:szCs w:val="26"/>
        </w:rPr>
        <w:footnoteReference w:id="18"/>
      </w:r>
      <w:r w:rsidRPr="00DC14C3" w:rsidR="001F0232">
        <w:rPr>
          <w:color w:val="000000" w:themeColor="text1"/>
          <w:szCs w:val="26"/>
        </w:rPr>
        <w:t xml:space="preserve">  MetroPCS </w:t>
      </w:r>
      <w:r w:rsidR="00F12F9C">
        <w:rPr>
          <w:color w:val="000000" w:themeColor="text1"/>
          <w:szCs w:val="26"/>
        </w:rPr>
        <w:t>further challenged</w:t>
      </w:r>
      <w:r w:rsidRPr="00DC14C3" w:rsidR="001F0232">
        <w:rPr>
          <w:color w:val="000000" w:themeColor="text1"/>
          <w:szCs w:val="26"/>
        </w:rPr>
        <w:t xml:space="preserve"> </w:t>
      </w:r>
      <w:r w:rsidR="00E0728F">
        <w:rPr>
          <w:color w:val="000000" w:themeColor="text1"/>
          <w:szCs w:val="26"/>
        </w:rPr>
        <w:t xml:space="preserve">the </w:t>
      </w:r>
      <w:r w:rsidRPr="00DC14C3" w:rsidR="001F0232">
        <w:rPr>
          <w:color w:val="000000" w:themeColor="text1"/>
          <w:szCs w:val="26"/>
        </w:rPr>
        <w:t xml:space="preserve">alleged underpayment </w:t>
      </w:r>
      <w:r w:rsidR="00F12F9C">
        <w:rPr>
          <w:color w:val="000000" w:themeColor="text1"/>
          <w:szCs w:val="26"/>
        </w:rPr>
        <w:t xml:space="preserve">amount </w:t>
      </w:r>
      <w:r w:rsidRPr="00DC14C3" w:rsidR="001F0232">
        <w:rPr>
          <w:color w:val="000000" w:themeColor="text1"/>
          <w:szCs w:val="26"/>
        </w:rPr>
        <w:t xml:space="preserve">and the claim for interest . </w:t>
      </w:r>
      <w:r w:rsidR="005200BE">
        <w:rPr>
          <w:color w:val="000000" w:themeColor="text1"/>
          <w:szCs w:val="26"/>
        </w:rPr>
        <w:t xml:space="preserve"> </w:t>
      </w:r>
      <w:r w:rsidRPr="00DC14C3" w:rsidR="001F0232">
        <w:rPr>
          <w:color w:val="000000" w:themeColor="text1"/>
          <w:szCs w:val="26"/>
        </w:rPr>
        <w:t>CD did not withdraw its Demand Letter and referred the matter to CPED for investigation on August 31, 2021.</w:t>
      </w:r>
      <w:r w:rsidRPr="00DC14C3" w:rsidR="001F0232">
        <w:rPr>
          <w:rStyle w:val="FootnoteReference"/>
          <w:color w:val="000000" w:themeColor="text1"/>
          <w:szCs w:val="26"/>
        </w:rPr>
        <w:footnoteReference w:id="19"/>
      </w:r>
      <w:r w:rsidR="0034599F">
        <w:rPr>
          <w:color w:val="000000" w:themeColor="text1"/>
          <w:szCs w:val="26"/>
        </w:rPr>
        <w:t xml:space="preserve">  </w:t>
      </w:r>
      <w:r w:rsidRPr="00DC14C3" w:rsidR="00B86CB6">
        <w:rPr>
          <w:szCs w:val="26"/>
        </w:rPr>
        <w:t xml:space="preserve">CPED issued a data request to MetroPCS on September </w:t>
      </w:r>
      <w:r w:rsidRPr="00DC14C3" w:rsidR="00402EBF">
        <w:rPr>
          <w:szCs w:val="26"/>
        </w:rPr>
        <w:t>27</w:t>
      </w:r>
      <w:r w:rsidRPr="00DC14C3" w:rsidR="00B86CB6">
        <w:rPr>
          <w:szCs w:val="26"/>
        </w:rPr>
        <w:t>, 2021, re</w:t>
      </w:r>
      <w:r w:rsidR="00273EE4">
        <w:rPr>
          <w:szCs w:val="26"/>
        </w:rPr>
        <w:t xml:space="preserve">levant to </w:t>
      </w:r>
      <w:r w:rsidRPr="00DC14C3" w:rsidR="00B86CB6">
        <w:rPr>
          <w:szCs w:val="26"/>
        </w:rPr>
        <w:t>these issues</w:t>
      </w:r>
      <w:r w:rsidR="00273EE4">
        <w:rPr>
          <w:szCs w:val="26"/>
        </w:rPr>
        <w:t xml:space="preserve">. </w:t>
      </w:r>
      <w:r w:rsidRPr="00DC14C3" w:rsidR="00B86CB6">
        <w:rPr>
          <w:szCs w:val="26"/>
        </w:rPr>
        <w:t xml:space="preserve"> MetroPCS fail</w:t>
      </w:r>
      <w:r w:rsidR="00273EE4">
        <w:rPr>
          <w:szCs w:val="26"/>
        </w:rPr>
        <w:t>ed</w:t>
      </w:r>
      <w:r w:rsidRPr="00DC14C3" w:rsidR="00B86CB6">
        <w:rPr>
          <w:szCs w:val="26"/>
        </w:rPr>
        <w:t xml:space="preserve"> to respond to thes</w:t>
      </w:r>
      <w:r w:rsidR="00273EE4">
        <w:rPr>
          <w:szCs w:val="26"/>
        </w:rPr>
        <w:t>e requests even with an</w:t>
      </w:r>
      <w:r w:rsidRPr="00DC14C3" w:rsidR="00B86CB6">
        <w:rPr>
          <w:szCs w:val="26"/>
        </w:rPr>
        <w:t xml:space="preserve"> extended due date of November 4, 2021.   As a result of MetroPCS’s failure to cooperate with CPED’s investigation, CPED </w:t>
      </w:r>
      <w:r w:rsidR="007369D7">
        <w:rPr>
          <w:szCs w:val="26"/>
        </w:rPr>
        <w:t>prepared</w:t>
      </w:r>
      <w:r w:rsidRPr="00DC14C3" w:rsidR="007369D7">
        <w:rPr>
          <w:szCs w:val="26"/>
        </w:rPr>
        <w:t xml:space="preserve"> </w:t>
      </w:r>
      <w:r w:rsidRPr="00DC14C3" w:rsidR="00B86CB6">
        <w:rPr>
          <w:szCs w:val="26"/>
        </w:rPr>
        <w:t xml:space="preserve">the </w:t>
      </w:r>
      <w:r w:rsidRPr="00DC14C3" w:rsidR="002D151D">
        <w:rPr>
          <w:szCs w:val="26"/>
        </w:rPr>
        <w:t xml:space="preserve">attached </w:t>
      </w:r>
      <w:r w:rsidRPr="00DC14C3" w:rsidR="00B86CB6">
        <w:rPr>
          <w:szCs w:val="26"/>
        </w:rPr>
        <w:t xml:space="preserve">Staff </w:t>
      </w:r>
      <w:r w:rsidRPr="00DC14C3" w:rsidR="00140F91">
        <w:rPr>
          <w:szCs w:val="26"/>
        </w:rPr>
        <w:t>Report</w:t>
      </w:r>
      <w:r w:rsidR="00273EE4">
        <w:rPr>
          <w:szCs w:val="26"/>
        </w:rPr>
        <w:t xml:space="preserve"> based on information provided by CD</w:t>
      </w:r>
      <w:r w:rsidR="00E0728F">
        <w:rPr>
          <w:szCs w:val="26"/>
        </w:rPr>
        <w:t xml:space="preserve">, </w:t>
      </w:r>
      <w:r w:rsidR="00273EE4">
        <w:rPr>
          <w:szCs w:val="26"/>
        </w:rPr>
        <w:t xml:space="preserve">the </w:t>
      </w:r>
      <w:r w:rsidR="007369D7">
        <w:rPr>
          <w:szCs w:val="26"/>
        </w:rPr>
        <w:t>Utility Audits</w:t>
      </w:r>
      <w:r w:rsidR="00273EE4">
        <w:rPr>
          <w:szCs w:val="26"/>
        </w:rPr>
        <w:t xml:space="preserve"> Branch, as well as publicly available information</w:t>
      </w:r>
      <w:r w:rsidRPr="00DC14C3" w:rsidR="00B86CB6">
        <w:rPr>
          <w:szCs w:val="26"/>
        </w:rPr>
        <w:t xml:space="preserve">.  </w:t>
      </w:r>
    </w:p>
    <w:p w:rsidRPr="00DC14C3" w:rsidR="005C1EF8" w:rsidP="00D4245A" w:rsidRDefault="005C1EF8" w14:paraId="7A03ED7A" w14:textId="2DCA7899">
      <w:pPr>
        <w:pStyle w:val="Heading1"/>
      </w:pPr>
      <w:r>
        <w:t xml:space="preserve">SUMMARY OF ALLEGED VIOLATIONS </w:t>
      </w:r>
    </w:p>
    <w:p w:rsidRPr="00DC14C3" w:rsidR="006C1701" w:rsidP="002F5DD2" w:rsidRDefault="004D37EF" w14:paraId="577E6FCC" w14:textId="7D1EB20E">
      <w:pPr>
        <w:pStyle w:val="Heading2"/>
      </w:pPr>
      <w:r w:rsidRPr="00D4245A">
        <w:t>MetroPCS</w:t>
      </w:r>
      <w:r w:rsidRPr="00DC14C3">
        <w:t xml:space="preserve"> Excluded Text and Data Revenues from The Calculation of its Intrastate Revenue Base.</w:t>
      </w:r>
    </w:p>
    <w:p w:rsidRPr="00DC14C3" w:rsidR="00DB571E" w:rsidP="00C7283C" w:rsidRDefault="00DB571E" w14:paraId="576EE855" w14:textId="30427A95">
      <w:pPr>
        <w:spacing w:line="360" w:lineRule="auto"/>
        <w:ind w:firstLine="540"/>
        <w:rPr>
          <w:szCs w:val="26"/>
        </w:rPr>
      </w:pPr>
      <w:r w:rsidRPr="00DC14C3">
        <w:rPr>
          <w:szCs w:val="26"/>
        </w:rPr>
        <w:t>Resolutions T-17542 and T-17579 require that the MTS surcharge apply to the entire price</w:t>
      </w:r>
      <w:r w:rsidRPr="00DC14C3">
        <w:rPr>
          <w:color w:val="000000" w:themeColor="text1"/>
          <w:szCs w:val="26"/>
        </w:rPr>
        <w:t xml:space="preserve"> if a prepaid wireless service is sold in combination with mobile data service </w:t>
      </w:r>
      <w:r w:rsidRPr="00DC14C3">
        <w:rPr>
          <w:color w:val="000000" w:themeColor="text1"/>
          <w:szCs w:val="26"/>
        </w:rPr>
        <w:lastRenderedPageBreak/>
        <w:t>or other services for a single price</w:t>
      </w:r>
      <w:r w:rsidRPr="00DC14C3">
        <w:rPr>
          <w:szCs w:val="26"/>
        </w:rPr>
        <w:t>.</w:t>
      </w:r>
      <w:r w:rsidRPr="00DC14C3">
        <w:rPr>
          <w:rStyle w:val="FootnoteReference"/>
          <w:szCs w:val="26"/>
        </w:rPr>
        <w:footnoteReference w:id="20"/>
      </w:r>
      <w:r w:rsidRPr="00DC14C3" w:rsidR="00C7283C">
        <w:rPr>
          <w:szCs w:val="26"/>
        </w:rPr>
        <w:t xml:space="preserve">  However, MetroPCS failed to comply with the Commission MTS surcharge calculation directions and excluded text and data revenue from the calculation of its intrastate revenue base.</w:t>
      </w:r>
      <w:r w:rsidRPr="00DC14C3" w:rsidR="004E66E8">
        <w:rPr>
          <w:rStyle w:val="FootnoteReference"/>
          <w:szCs w:val="26"/>
        </w:rPr>
        <w:footnoteReference w:id="21"/>
      </w:r>
      <w:r w:rsidRPr="00DC14C3" w:rsidR="00C7283C">
        <w:rPr>
          <w:szCs w:val="26"/>
        </w:rPr>
        <w:t xml:space="preserve">  As a result, MetroPCS’ calculated MTS surcharge for the 2017 and 2018 calendar years are substantially lower than the MTS surcharge required by the Commission.</w:t>
      </w:r>
      <w:r w:rsidRPr="00DC14C3" w:rsidR="00011634">
        <w:rPr>
          <w:rStyle w:val="FootnoteReference"/>
          <w:szCs w:val="26"/>
        </w:rPr>
        <w:footnoteReference w:id="22"/>
      </w:r>
    </w:p>
    <w:p w:rsidRPr="00DC14C3" w:rsidR="006C1701" w:rsidP="002F5DD2" w:rsidRDefault="004D37EF" w14:paraId="022A56D6" w14:textId="258690D1">
      <w:pPr>
        <w:pStyle w:val="Heading2"/>
      </w:pPr>
      <w:r w:rsidRPr="00DC14C3">
        <w:t xml:space="preserve">MetroPCS Failed to Apply Both the Commission Approved Intrastate Allocation Factors </w:t>
      </w:r>
      <w:r w:rsidRPr="00DC14C3" w:rsidR="0039784D">
        <w:t xml:space="preserve">and </w:t>
      </w:r>
      <w:r w:rsidRPr="00DC14C3">
        <w:t>MTS Surcharge Rates</w:t>
      </w:r>
      <w:r w:rsidRPr="00DC14C3" w:rsidR="0028110B">
        <w:t>.</w:t>
      </w:r>
      <w:r w:rsidRPr="00DC14C3">
        <w:t xml:space="preserve"> </w:t>
      </w:r>
    </w:p>
    <w:p w:rsidRPr="00BF6518" w:rsidR="00343CC9" w:rsidP="00D4245A" w:rsidRDefault="00AF27D4" w14:paraId="1832E071" w14:textId="0E1365A1">
      <w:pPr>
        <w:pStyle w:val="pf0"/>
        <w:spacing w:before="0" w:beforeAutospacing="0" w:after="0" w:afterAutospacing="0" w:line="360" w:lineRule="auto"/>
        <w:ind w:firstLine="720"/>
        <w:rPr>
          <w:rFonts w:ascii="Arial" w:hAnsi="Arial" w:cs="Arial"/>
          <w:sz w:val="26"/>
          <w:szCs w:val="26"/>
        </w:rPr>
      </w:pPr>
      <w:r w:rsidRPr="00503971">
        <w:rPr>
          <w:bCs/>
          <w:sz w:val="26"/>
          <w:szCs w:val="26"/>
        </w:rPr>
        <w:t xml:space="preserve">In calculating its MTS surcharge obligations, </w:t>
      </w:r>
      <w:bookmarkStart w:name="_Hlk99456530" w:id="8"/>
      <w:r w:rsidRPr="00503971" w:rsidR="0061545D">
        <w:rPr>
          <w:bCs/>
          <w:sz w:val="26"/>
          <w:szCs w:val="26"/>
        </w:rPr>
        <w:t>MetroPCS failed</w:t>
      </w:r>
      <w:r w:rsidRPr="00503971" w:rsidR="0061545D">
        <w:rPr>
          <w:sz w:val="26"/>
          <w:szCs w:val="26"/>
        </w:rPr>
        <w:t xml:space="preserve"> to apply both </w:t>
      </w:r>
      <w:r w:rsidRPr="00503971">
        <w:rPr>
          <w:sz w:val="26"/>
          <w:szCs w:val="26"/>
        </w:rPr>
        <w:t xml:space="preserve">of </w:t>
      </w:r>
      <w:r w:rsidRPr="00503971" w:rsidR="0061545D">
        <w:rPr>
          <w:sz w:val="26"/>
          <w:szCs w:val="26"/>
        </w:rPr>
        <w:t>the Commission</w:t>
      </w:r>
      <w:r w:rsidRPr="00503971">
        <w:rPr>
          <w:sz w:val="26"/>
          <w:szCs w:val="26"/>
        </w:rPr>
        <w:t>’s</w:t>
      </w:r>
      <w:r w:rsidRPr="00503971" w:rsidR="0061545D">
        <w:rPr>
          <w:sz w:val="26"/>
          <w:szCs w:val="26"/>
        </w:rPr>
        <w:t xml:space="preserve"> approved intrastate allocation factors in calculating its intrastate revenue and the Commission approved MTS surcharge rates (5.15% in 2017 and 5.55% in 2018</w:t>
      </w:r>
      <w:r w:rsidRPr="00503971" w:rsidR="00506E4B">
        <w:rPr>
          <w:sz w:val="26"/>
          <w:szCs w:val="26"/>
        </w:rPr>
        <w:t>).</w:t>
      </w:r>
      <w:r w:rsidRPr="00503971" w:rsidR="0061545D">
        <w:rPr>
          <w:sz w:val="26"/>
          <w:szCs w:val="26"/>
        </w:rPr>
        <w:t xml:space="preserve">  </w:t>
      </w:r>
      <w:bookmarkEnd w:id="8"/>
      <w:r w:rsidRPr="00503971" w:rsidR="00343CC9">
        <w:rPr>
          <w:sz w:val="26"/>
          <w:szCs w:val="26"/>
        </w:rPr>
        <w:t xml:space="preserve">Instead, MetroPCS </w:t>
      </w:r>
      <w:r w:rsidRPr="009E19CA" w:rsidR="00343CC9">
        <w:rPr>
          <w:sz w:val="26"/>
          <w:szCs w:val="26"/>
        </w:rPr>
        <w:t>use</w:t>
      </w:r>
      <w:r w:rsidRPr="009E19CA" w:rsidR="00D700D4">
        <w:rPr>
          <w:sz w:val="26"/>
          <w:szCs w:val="26"/>
        </w:rPr>
        <w:t>d</w:t>
      </w:r>
      <w:r w:rsidRPr="009E19CA" w:rsidR="00343CC9">
        <w:rPr>
          <w:sz w:val="26"/>
          <w:szCs w:val="26"/>
        </w:rPr>
        <w:t xml:space="preserve"> an internally developed traffic factor as opposed to the Commission’s “intrastate allocation factor”.</w:t>
      </w:r>
      <w:r w:rsidRPr="009E19CA" w:rsidR="00D700D4">
        <w:rPr>
          <w:rStyle w:val="FootnoteReference"/>
          <w:sz w:val="26"/>
          <w:szCs w:val="26"/>
        </w:rPr>
        <w:footnoteReference w:id="23"/>
      </w:r>
      <w:r w:rsidRPr="009E19CA" w:rsidR="00343CC9">
        <w:rPr>
          <w:rFonts w:ascii="Segoe UI" w:hAnsi="Segoe UI" w:cs="Segoe UI"/>
          <w:sz w:val="26"/>
          <w:szCs w:val="26"/>
        </w:rPr>
        <w:t xml:space="preserve"> </w:t>
      </w:r>
      <w:r w:rsidRPr="00BF6518" w:rsidR="005F3DB6">
        <w:rPr>
          <w:sz w:val="26"/>
          <w:szCs w:val="26"/>
        </w:rPr>
        <w:t>MetroPCS failed to apply</w:t>
      </w:r>
      <w:r w:rsidRPr="00BF6518" w:rsidR="00EB0484">
        <w:rPr>
          <w:sz w:val="26"/>
          <w:szCs w:val="26"/>
        </w:rPr>
        <w:t xml:space="preserve"> the MTS surcharge rate prescribed in Resolutions T-17542 [5.15% for 2017] and T-17579 [5.55% for 2018] to Total Sales to determine </w:t>
      </w:r>
      <w:r w:rsidRPr="00BF6518" w:rsidR="005F3DB6">
        <w:rPr>
          <w:sz w:val="26"/>
          <w:szCs w:val="26"/>
        </w:rPr>
        <w:t xml:space="preserve">the </w:t>
      </w:r>
      <w:r w:rsidRPr="00BF6518" w:rsidR="00EB0484">
        <w:rPr>
          <w:sz w:val="26"/>
          <w:szCs w:val="26"/>
        </w:rPr>
        <w:t>applicable MTS surcharge</w:t>
      </w:r>
      <w:r w:rsidRPr="00BF6518" w:rsidR="00080C2F">
        <w:rPr>
          <w:sz w:val="26"/>
          <w:szCs w:val="26"/>
        </w:rPr>
        <w:t>.</w:t>
      </w:r>
    </w:p>
    <w:p w:rsidRPr="00DC14C3" w:rsidR="0061545D" w:rsidP="00594F6B" w:rsidRDefault="0061545D" w14:paraId="6D5C3BB7" w14:textId="72D91DB9">
      <w:pPr>
        <w:spacing w:line="360" w:lineRule="auto"/>
        <w:ind w:left="0" w:firstLine="720"/>
        <w:rPr>
          <w:szCs w:val="26"/>
        </w:rPr>
      </w:pPr>
      <w:r w:rsidRPr="00DC14C3">
        <w:rPr>
          <w:szCs w:val="26"/>
        </w:rPr>
        <w:t>Resolutions T-17542 and T-17579 require carriers to use Commission adopted MTS surcharge rates provided in Appendix A of the respective resolutions.</w:t>
      </w:r>
      <w:r w:rsidRPr="00DC14C3">
        <w:rPr>
          <w:rStyle w:val="FootnoteReference"/>
          <w:szCs w:val="26"/>
        </w:rPr>
        <w:footnoteReference w:id="24"/>
      </w:r>
      <w:r w:rsidRPr="00DC14C3">
        <w:rPr>
          <w:szCs w:val="26"/>
        </w:rPr>
        <w:t xml:space="preserve"> </w:t>
      </w:r>
    </w:p>
    <w:p w:rsidRPr="00DC14C3" w:rsidR="006C1701" w:rsidP="002F5DD2" w:rsidRDefault="00127A85" w14:paraId="2D52058B" w14:textId="353726AA">
      <w:pPr>
        <w:pStyle w:val="Heading2"/>
        <w:rPr>
          <w:sz w:val="24"/>
          <w:szCs w:val="24"/>
        </w:rPr>
      </w:pPr>
      <w:r w:rsidRPr="00DC14C3">
        <w:rPr>
          <w:rFonts w:eastAsia="Arial"/>
        </w:rPr>
        <w:t xml:space="preserve">MetroPCS </w:t>
      </w:r>
      <w:r w:rsidRPr="00DC14C3" w:rsidR="004D37EF">
        <w:t xml:space="preserve">Mispresented </w:t>
      </w:r>
      <w:r w:rsidRPr="00DC14C3">
        <w:t xml:space="preserve">its </w:t>
      </w:r>
      <w:r w:rsidRPr="00DC14C3" w:rsidR="004D37EF">
        <w:t xml:space="preserve">Total </w:t>
      </w:r>
      <w:r w:rsidRPr="00DC14C3">
        <w:t xml:space="preserve">Direct Intrastate Prepaid Wireless Revenue Subject to </w:t>
      </w:r>
      <w:r w:rsidRPr="00DC14C3" w:rsidR="004D37EF">
        <w:t>MTS</w:t>
      </w:r>
      <w:r w:rsidRPr="00DC14C3">
        <w:t>.</w:t>
      </w:r>
      <w:r w:rsidRPr="00DC14C3">
        <w:rPr>
          <w:sz w:val="24"/>
          <w:szCs w:val="24"/>
        </w:rPr>
        <w:t xml:space="preserve"> </w:t>
      </w:r>
    </w:p>
    <w:p w:rsidRPr="00DC14C3" w:rsidR="0061545D" w:rsidP="00D4245A" w:rsidRDefault="0061545D" w14:paraId="1D4198BD" w14:textId="3607FEFB">
      <w:pPr>
        <w:spacing w:after="0" w:line="360" w:lineRule="auto"/>
        <w:ind w:left="14" w:firstLine="720"/>
        <w:rPr>
          <w:szCs w:val="26"/>
        </w:rPr>
      </w:pPr>
      <w:r w:rsidRPr="00DC14C3">
        <w:rPr>
          <w:szCs w:val="26"/>
        </w:rPr>
        <w:t>MetroPCS misrepresented its revenue to the Commission by dividing its internally calculated MTS surcharge obligation by the Commission a</w:t>
      </w:r>
      <w:r w:rsidR="0018292C">
        <w:rPr>
          <w:szCs w:val="26"/>
        </w:rPr>
        <w:t>dopted</w:t>
      </w:r>
      <w:r w:rsidRPr="00DC14C3">
        <w:rPr>
          <w:szCs w:val="26"/>
        </w:rPr>
        <w:t xml:space="preserve"> MTS surcharge rates (5.15% for 2017 and 5.55% for 2018).</w:t>
      </w:r>
      <w:r w:rsidRPr="00DC14C3">
        <w:rPr>
          <w:rStyle w:val="FootnoteReference"/>
          <w:szCs w:val="26"/>
        </w:rPr>
        <w:footnoteReference w:id="25"/>
      </w:r>
      <w:r w:rsidRPr="00DC14C3">
        <w:rPr>
          <w:szCs w:val="26"/>
        </w:rPr>
        <w:t xml:space="preserve">  Because MetroPCS misrepresented its total prepaid wireless service and intrastate prepaid wireless revenues subject to MTS, CD had to estimate MetroPCS’</w:t>
      </w:r>
      <w:r w:rsidR="006A2A0F">
        <w:rPr>
          <w:szCs w:val="26"/>
        </w:rPr>
        <w:t>s</w:t>
      </w:r>
      <w:r w:rsidRPr="00DC14C3">
        <w:rPr>
          <w:szCs w:val="26"/>
        </w:rPr>
        <w:t xml:space="preserve"> 2017 and 2018 MTS surcharge based on data in </w:t>
      </w:r>
      <w:r w:rsidR="00DD7F04">
        <w:rPr>
          <w:szCs w:val="26"/>
        </w:rPr>
        <w:t xml:space="preserve">the </w:t>
      </w:r>
      <w:r w:rsidR="00DD7F04">
        <w:rPr>
          <w:szCs w:val="26"/>
        </w:rPr>
        <w:lastRenderedPageBreak/>
        <w:t>Commission’s Telecommunications User Fee Filing System (</w:t>
      </w:r>
      <w:r w:rsidRPr="00DC14C3">
        <w:rPr>
          <w:szCs w:val="26"/>
        </w:rPr>
        <w:t>TUFFS</w:t>
      </w:r>
      <w:r w:rsidR="00DD7F04">
        <w:rPr>
          <w:szCs w:val="26"/>
        </w:rPr>
        <w:t>)</w:t>
      </w:r>
      <w:r w:rsidRPr="00DC14C3">
        <w:rPr>
          <w:szCs w:val="26"/>
        </w:rPr>
        <w:t xml:space="preserve"> and MetroPCS’</w:t>
      </w:r>
      <w:r w:rsidR="009E4369">
        <w:rPr>
          <w:szCs w:val="26"/>
        </w:rPr>
        <w:t>s</w:t>
      </w:r>
      <w:r w:rsidRPr="00DC14C3">
        <w:rPr>
          <w:szCs w:val="26"/>
        </w:rPr>
        <w:t xml:space="preserve"> data request responses to assess MetroPCS’</w:t>
      </w:r>
      <w:r w:rsidR="006A2A0F">
        <w:rPr>
          <w:szCs w:val="26"/>
        </w:rPr>
        <w:t>s</w:t>
      </w:r>
      <w:r w:rsidRPr="00DC14C3">
        <w:rPr>
          <w:szCs w:val="26"/>
        </w:rPr>
        <w:t xml:space="preserve"> 2017 and 2018 MTS surcharge obligations.</w:t>
      </w:r>
      <w:r w:rsidRPr="00DC14C3" w:rsidR="00873B9F">
        <w:rPr>
          <w:rStyle w:val="FootnoteReference"/>
          <w:szCs w:val="26"/>
        </w:rPr>
        <w:footnoteReference w:id="26"/>
      </w:r>
      <w:r w:rsidRPr="00DC14C3">
        <w:rPr>
          <w:szCs w:val="26"/>
        </w:rPr>
        <w:t xml:space="preserve">  MetroPCS’ reporting violates Commission directi</w:t>
      </w:r>
      <w:r w:rsidR="00BF6518">
        <w:rPr>
          <w:szCs w:val="26"/>
        </w:rPr>
        <w:t>ves</w:t>
      </w:r>
      <w:r w:rsidRPr="00DC14C3">
        <w:rPr>
          <w:szCs w:val="26"/>
        </w:rPr>
        <w:t xml:space="preserve"> on MTS surcharge remittance.</w:t>
      </w:r>
      <w:r w:rsidR="00A779F3">
        <w:rPr>
          <w:szCs w:val="26"/>
        </w:rPr>
        <w:t xml:space="preserve">  Additionally, such misrepresentation violates </w:t>
      </w:r>
      <w:r w:rsidRPr="00AD5369" w:rsidR="00A779F3">
        <w:rPr>
          <w:szCs w:val="26"/>
        </w:rPr>
        <w:t>Rule 1.1</w:t>
      </w:r>
      <w:r w:rsidR="005F3DB6">
        <w:rPr>
          <w:szCs w:val="26"/>
        </w:rPr>
        <w:t xml:space="preserve"> (Ethics)</w:t>
      </w:r>
      <w:r w:rsidRPr="00AD5369" w:rsidR="00A779F3">
        <w:rPr>
          <w:szCs w:val="26"/>
        </w:rPr>
        <w:t xml:space="preserve"> </w:t>
      </w:r>
      <w:r w:rsidR="00A779F3">
        <w:rPr>
          <w:szCs w:val="26"/>
        </w:rPr>
        <w:t xml:space="preserve">and warrants the imposition of additional penalties pursuant to Pub. Util. Code </w:t>
      </w:r>
      <w:r w:rsidR="00DD7F04">
        <w:rPr>
          <w:szCs w:val="26"/>
        </w:rPr>
        <w:t xml:space="preserve">§§ </w:t>
      </w:r>
      <w:r w:rsidR="00A779F3">
        <w:rPr>
          <w:szCs w:val="26"/>
        </w:rPr>
        <w:t>2107 and 2108.</w:t>
      </w:r>
      <w:r w:rsidRPr="00DC14C3">
        <w:rPr>
          <w:szCs w:val="26"/>
        </w:rPr>
        <w:tab/>
      </w:r>
    </w:p>
    <w:p w:rsidRPr="00DC14C3" w:rsidR="00A11465" w:rsidP="002F5DD2" w:rsidRDefault="00A11465" w14:paraId="2259F65B" w14:textId="705A8B46">
      <w:pPr>
        <w:pStyle w:val="Heading2"/>
      </w:pPr>
      <w:r w:rsidRPr="00DC14C3">
        <w:t xml:space="preserve">MetroPCS </w:t>
      </w:r>
      <w:r w:rsidRPr="00DC14C3" w:rsidR="00D3543D">
        <w:t>should pay a Late Payment Penalty on Commission User Fees.</w:t>
      </w:r>
    </w:p>
    <w:p w:rsidRPr="006340AF" w:rsidR="00A11465" w:rsidP="006340AF" w:rsidRDefault="00D3543D" w14:paraId="284D57A9" w14:textId="7CD3668E">
      <w:pPr>
        <w:spacing w:after="112" w:line="360" w:lineRule="auto"/>
        <w:ind w:left="-134"/>
        <w:rPr>
          <w:bCs/>
        </w:rPr>
      </w:pPr>
      <w:r w:rsidRPr="00DC14C3">
        <w:rPr>
          <w:b/>
        </w:rPr>
        <w:tab/>
      </w:r>
      <w:r w:rsidRPr="00DC14C3">
        <w:rPr>
          <w:b/>
        </w:rPr>
        <w:tab/>
      </w:r>
      <w:r w:rsidRPr="00DC14C3" w:rsidR="00035DC2">
        <w:rPr>
          <w:b/>
        </w:rPr>
        <w:tab/>
      </w:r>
      <w:r w:rsidRPr="00DC14C3">
        <w:rPr>
          <w:bCs/>
        </w:rPr>
        <w:t xml:space="preserve">Pursuant to Pub. Util. Code </w:t>
      </w:r>
      <w:r w:rsidR="00DD7F04">
        <w:rPr>
          <w:bCs/>
        </w:rPr>
        <w:t xml:space="preserve">§ </w:t>
      </w:r>
      <w:r w:rsidRPr="00DC14C3">
        <w:rPr>
          <w:bCs/>
        </w:rPr>
        <w:t>405</w:t>
      </w:r>
      <w:r w:rsidR="004F1A3A">
        <w:rPr>
          <w:bCs/>
        </w:rPr>
        <w:t>,</w:t>
      </w:r>
      <w:r w:rsidRPr="00DC14C3" w:rsidR="00B74EAB">
        <w:rPr>
          <w:rStyle w:val="FootnoteReference"/>
          <w:bCs/>
        </w:rPr>
        <w:footnoteReference w:id="27"/>
      </w:r>
      <w:r w:rsidRPr="00DC14C3">
        <w:rPr>
          <w:bCs/>
        </w:rPr>
        <w:t xml:space="preserve"> MetroPCS is subject to</w:t>
      </w:r>
      <w:r w:rsidR="009E4369">
        <w:rPr>
          <w:bCs/>
        </w:rPr>
        <w:t xml:space="preserve"> </w:t>
      </w:r>
      <w:r w:rsidRPr="00DC14C3">
        <w:rPr>
          <w:bCs/>
        </w:rPr>
        <w:t xml:space="preserve">late payment penalties for its failure to pay the fees under the Prepaid Act </w:t>
      </w:r>
      <w:r w:rsidRPr="00DC14C3" w:rsidR="00B74EAB">
        <w:rPr>
          <w:bCs/>
        </w:rPr>
        <w:t>for 2017 and 2018.</w:t>
      </w:r>
      <w:r w:rsidRPr="00DC14C3" w:rsidR="00B74EAB">
        <w:rPr>
          <w:rStyle w:val="FootnoteReference"/>
          <w:bCs/>
        </w:rPr>
        <w:footnoteReference w:id="28"/>
      </w:r>
    </w:p>
    <w:p w:rsidRPr="00DC14C3" w:rsidR="009C64CE" w:rsidP="002F5DD2" w:rsidRDefault="009C64CE" w14:paraId="669669FA" w14:textId="7DF81064">
      <w:pPr>
        <w:pStyle w:val="Heading2"/>
      </w:pPr>
      <w:r w:rsidRPr="00DC14C3">
        <w:t xml:space="preserve">MetroPCS </w:t>
      </w:r>
      <w:r w:rsidR="00D12A10">
        <w:t>F</w:t>
      </w:r>
      <w:r w:rsidRPr="00DC14C3">
        <w:t xml:space="preserve">ailed to </w:t>
      </w:r>
      <w:r w:rsidR="00D12A10">
        <w:t>R</w:t>
      </w:r>
      <w:r w:rsidRPr="00DC14C3">
        <w:t>espond to its</w:t>
      </w:r>
      <w:r w:rsidRPr="00DC14C3" w:rsidR="00A36FA2">
        <w:t xml:space="preserve"> </w:t>
      </w:r>
      <w:r w:rsidRPr="00DC14C3">
        <w:t>Discovery/Data Requests during CPED’s Investigation.</w:t>
      </w:r>
    </w:p>
    <w:p w:rsidRPr="00DC14C3" w:rsidR="00F2709C" w:rsidP="002F5DD2" w:rsidRDefault="00311379" w14:paraId="38C61728" w14:textId="3D41B741">
      <w:pPr>
        <w:spacing w:after="0" w:line="360" w:lineRule="auto"/>
        <w:ind w:left="0" w:right="432" w:firstLine="706"/>
        <w:rPr>
          <w:b/>
          <w:szCs w:val="26"/>
        </w:rPr>
      </w:pPr>
      <w:r w:rsidRPr="00DC14C3">
        <w:rPr>
          <w:szCs w:val="26"/>
        </w:rPr>
        <w:t>MetroPCS failed to comply with CPED’s discovery request for information related to its revenue allocation, MTS surcharge calculation method, audit reports, financial statements, and service plan details.</w:t>
      </w:r>
      <w:r w:rsidRPr="00DC14C3">
        <w:rPr>
          <w:rStyle w:val="FootnoteReference"/>
          <w:szCs w:val="26"/>
        </w:rPr>
        <w:footnoteReference w:id="29"/>
      </w:r>
      <w:r w:rsidRPr="00DC14C3">
        <w:rPr>
          <w:szCs w:val="26"/>
        </w:rPr>
        <w:t xml:space="preserve">  Specifically, MetroPCS objected to all the data request questions and its response</w:t>
      </w:r>
      <w:r w:rsidRPr="00DC14C3" w:rsidR="00805A68">
        <w:rPr>
          <w:szCs w:val="26"/>
        </w:rPr>
        <w:t>s</w:t>
      </w:r>
      <w:r w:rsidRPr="00DC14C3">
        <w:rPr>
          <w:szCs w:val="26"/>
        </w:rPr>
        <w:t xml:space="preserve"> either failed to address the data request question, </w:t>
      </w:r>
      <w:r w:rsidR="00D12A10">
        <w:rPr>
          <w:szCs w:val="26"/>
        </w:rPr>
        <w:t xml:space="preserve">failed to </w:t>
      </w:r>
      <w:r w:rsidRPr="00DC14C3">
        <w:rPr>
          <w:szCs w:val="26"/>
        </w:rPr>
        <w:t xml:space="preserve">provided documents </w:t>
      </w:r>
      <w:r w:rsidRPr="00DC14C3" w:rsidR="00805A68">
        <w:rPr>
          <w:szCs w:val="26"/>
        </w:rPr>
        <w:t>as requested</w:t>
      </w:r>
      <w:r w:rsidRPr="00DC14C3">
        <w:rPr>
          <w:szCs w:val="26"/>
        </w:rPr>
        <w:t>, or referred to source documents not available to CPED.</w:t>
      </w:r>
      <w:r w:rsidRPr="00DC14C3">
        <w:rPr>
          <w:rStyle w:val="FootnoteReference"/>
          <w:szCs w:val="26"/>
        </w:rPr>
        <w:footnoteReference w:id="30"/>
      </w:r>
      <w:r w:rsidRPr="00DC14C3">
        <w:rPr>
          <w:sz w:val="24"/>
          <w:szCs w:val="24"/>
        </w:rPr>
        <w:t xml:space="preserve">  </w:t>
      </w:r>
      <w:r w:rsidRPr="00DC14C3" w:rsidR="00F2709C">
        <w:rPr>
          <w:szCs w:val="26"/>
        </w:rPr>
        <w:t xml:space="preserve">Pub. Util. Code </w:t>
      </w:r>
      <w:r w:rsidR="00570D63">
        <w:rPr>
          <w:szCs w:val="26"/>
        </w:rPr>
        <w:t xml:space="preserve">§ </w:t>
      </w:r>
      <w:r w:rsidRPr="00DC14C3" w:rsidR="00F2709C">
        <w:rPr>
          <w:szCs w:val="26"/>
        </w:rPr>
        <w:t>314 grants Commission staff the right to inspect the accounts, books, papers, a</w:t>
      </w:r>
      <w:r w:rsidR="00D12A10">
        <w:rPr>
          <w:szCs w:val="26"/>
        </w:rPr>
        <w:t>n</w:t>
      </w:r>
      <w:r w:rsidRPr="00DC14C3" w:rsidR="00F2709C">
        <w:rPr>
          <w:szCs w:val="26"/>
        </w:rPr>
        <w:t>d documents of any public utilit</w:t>
      </w:r>
      <w:r w:rsidR="00BF6518">
        <w:rPr>
          <w:szCs w:val="26"/>
        </w:rPr>
        <w:t>y</w:t>
      </w:r>
      <w:r w:rsidRPr="00DC14C3" w:rsidR="00F2709C">
        <w:rPr>
          <w:szCs w:val="26"/>
        </w:rPr>
        <w:t>.</w:t>
      </w:r>
      <w:r w:rsidRPr="00DC14C3" w:rsidR="00F2709C">
        <w:rPr>
          <w:rStyle w:val="FootnoteReference"/>
          <w:szCs w:val="26"/>
        </w:rPr>
        <w:footnoteReference w:id="31"/>
      </w:r>
      <w:r w:rsidRPr="00DC14C3" w:rsidR="00F2709C">
        <w:rPr>
          <w:szCs w:val="26"/>
        </w:rPr>
        <w:t xml:space="preserve">  </w:t>
      </w:r>
      <w:r w:rsidRPr="00DC14C3">
        <w:rPr>
          <w:szCs w:val="26"/>
        </w:rPr>
        <w:t xml:space="preserve">MetroPCS’s objection to these discovery requests and its challenge to </w:t>
      </w:r>
      <w:r w:rsidRPr="00DC14C3" w:rsidR="00F2709C">
        <w:rPr>
          <w:szCs w:val="26"/>
        </w:rPr>
        <w:t xml:space="preserve">CPED’s right to discovery </w:t>
      </w:r>
      <w:r w:rsidRPr="00DC14C3">
        <w:rPr>
          <w:szCs w:val="26"/>
        </w:rPr>
        <w:t>while conducting an</w:t>
      </w:r>
      <w:r w:rsidRPr="00DC14C3" w:rsidR="00F2709C">
        <w:rPr>
          <w:szCs w:val="26"/>
        </w:rPr>
        <w:t xml:space="preserve"> investigation is a violation of Pub. Util. Code </w:t>
      </w:r>
      <w:r w:rsidR="00570D63">
        <w:rPr>
          <w:szCs w:val="26"/>
        </w:rPr>
        <w:t xml:space="preserve">§ </w:t>
      </w:r>
      <w:r w:rsidRPr="00DC14C3" w:rsidR="00F2709C">
        <w:rPr>
          <w:szCs w:val="26"/>
        </w:rPr>
        <w:t>314</w:t>
      </w:r>
      <w:r w:rsidR="00D12A10">
        <w:rPr>
          <w:szCs w:val="26"/>
        </w:rPr>
        <w:t xml:space="preserve"> </w:t>
      </w:r>
      <w:r w:rsidR="00D12A10">
        <w:rPr>
          <w:szCs w:val="26"/>
        </w:rPr>
        <w:lastRenderedPageBreak/>
        <w:t>and</w:t>
      </w:r>
      <w:r w:rsidRPr="00F2709C" w:rsidR="00D12A10">
        <w:rPr>
          <w:szCs w:val="26"/>
        </w:rPr>
        <w:t xml:space="preserve"> </w:t>
      </w:r>
      <w:r w:rsidR="00D12A10">
        <w:rPr>
          <w:szCs w:val="26"/>
        </w:rPr>
        <w:t xml:space="preserve">calls for the imposition of additional penalties pursuant to Pub. Util. Code </w:t>
      </w:r>
      <w:r w:rsidR="00570D63">
        <w:rPr>
          <w:szCs w:val="26"/>
        </w:rPr>
        <w:t xml:space="preserve">§§ </w:t>
      </w:r>
      <w:r w:rsidR="00D12A10">
        <w:rPr>
          <w:szCs w:val="26"/>
        </w:rPr>
        <w:t>2107 and 2108.</w:t>
      </w:r>
      <w:r w:rsidRPr="00DC14C3" w:rsidR="00F2709C">
        <w:rPr>
          <w:szCs w:val="26"/>
        </w:rPr>
        <w:t xml:space="preserve">  </w:t>
      </w:r>
    </w:p>
    <w:p w:rsidRPr="00DC14C3" w:rsidR="006C1701" w:rsidP="002F5DD2" w:rsidRDefault="00121CBB" w14:paraId="79F11E05" w14:textId="46F8DB05">
      <w:pPr>
        <w:pStyle w:val="Heading1"/>
      </w:pPr>
      <w:r w:rsidRPr="00DC14C3">
        <w:t xml:space="preserve">INITIATION OF INVESTIGATION </w:t>
      </w:r>
      <w:r w:rsidR="001618BC">
        <w:t>AND ORDER TO SHOW CAUSE</w:t>
      </w:r>
    </w:p>
    <w:p w:rsidRPr="00DC14C3" w:rsidR="006C1701" w:rsidP="002F5DD2" w:rsidRDefault="00121CBB" w14:paraId="4EFCC889" w14:textId="02F26B98">
      <w:pPr>
        <w:spacing w:after="0" w:line="360" w:lineRule="auto"/>
        <w:ind w:right="5" w:firstLine="710"/>
      </w:pPr>
      <w:r w:rsidRPr="00DC14C3">
        <w:t>The Commission institutes this formal proceeding pursuant to Rule 5.1</w:t>
      </w:r>
      <w:r w:rsidR="00982BD1">
        <w:t>.</w:t>
      </w:r>
      <w:r w:rsidR="00570D63">
        <w:t xml:space="preserve">  </w:t>
      </w:r>
      <w:r w:rsidRPr="00DC14C3" w:rsidR="00570D63">
        <w:t xml:space="preserve">We will consider the allegations in CPED’s Staff Report to determine whether MetroPCS violated any provision(s) of the Pub. Util. Code, Commission </w:t>
      </w:r>
      <w:r w:rsidR="00BF6518">
        <w:t xml:space="preserve">decisions, </w:t>
      </w:r>
      <w:r w:rsidRPr="00DC14C3" w:rsidR="00570D63">
        <w:t>resolutions, or other applicable rules or requirements pertaining</w:t>
      </w:r>
      <w:r w:rsidR="00570D63">
        <w:t xml:space="preserve"> to its obligations under the Prepaid Act. </w:t>
      </w:r>
      <w:r w:rsidRPr="00DC14C3" w:rsidR="00B84760">
        <w:t>CPED</w:t>
      </w:r>
      <w:r w:rsidRPr="00DC14C3" w:rsidR="00DA071C">
        <w:t>’s</w:t>
      </w:r>
      <w:r w:rsidRPr="00DC14C3" w:rsidR="00B84760">
        <w:t xml:space="preserve"> </w:t>
      </w:r>
      <w:r w:rsidRPr="00DC14C3">
        <w:t xml:space="preserve">Staff Report provides us with sufficient evidence and good cause to commence a formal investigation to determine </w:t>
      </w:r>
      <w:r w:rsidRPr="00DC14C3" w:rsidR="00723063">
        <w:t>whether</w:t>
      </w:r>
      <w:r w:rsidRPr="00DC14C3">
        <w:t xml:space="preserve"> such violations have occurred and, if so, to consider the proper</w:t>
      </w:r>
      <w:r w:rsidRPr="00DC14C3" w:rsidR="00FA27C7">
        <w:t xml:space="preserve"> penalties and</w:t>
      </w:r>
      <w:r w:rsidRPr="00DC14C3">
        <w:t xml:space="preserve"> remed</w:t>
      </w:r>
      <w:r w:rsidRPr="00DC14C3" w:rsidR="00722CD6">
        <w:t>ies</w:t>
      </w:r>
      <w:r w:rsidRPr="00DC14C3">
        <w:t xml:space="preserve"> for such violations.  We will specifically consider whether monetary fines are warranted and, if so, the appropriate amount of monetary fines</w:t>
      </w:r>
      <w:r w:rsidRPr="00DC14C3" w:rsidR="0059175C">
        <w:t>.</w:t>
      </w:r>
      <w:r w:rsidRPr="00DC14C3">
        <w:t xml:space="preserve"> </w:t>
      </w:r>
    </w:p>
    <w:p w:rsidRPr="00DC14C3" w:rsidR="006C1701" w:rsidP="002F5DD2" w:rsidRDefault="00121CBB" w14:paraId="52A613DF" w14:textId="4976E772">
      <w:pPr>
        <w:spacing w:after="0" w:line="360" w:lineRule="auto"/>
        <w:ind w:left="-5" w:right="5" w:firstLine="725"/>
      </w:pPr>
      <w:r w:rsidRPr="00DC14C3">
        <w:t xml:space="preserve">This OII places </w:t>
      </w:r>
      <w:r w:rsidRPr="00DC14C3" w:rsidR="00162C37">
        <w:t>MetroPCS</w:t>
      </w:r>
      <w:r w:rsidRPr="00DC14C3">
        <w:t xml:space="preserve"> on notice and provides an opportunity for </w:t>
      </w:r>
      <w:r w:rsidRPr="00DC14C3" w:rsidR="00162C37">
        <w:t>MetroPCS</w:t>
      </w:r>
      <w:r w:rsidRPr="00DC14C3">
        <w:t xml:space="preserve"> to be heard.  </w:t>
      </w:r>
      <w:r w:rsidRPr="00DC14C3" w:rsidR="00162C37">
        <w:t>MetroPCS</w:t>
      </w:r>
      <w:r w:rsidRPr="00DC14C3">
        <w:t xml:space="preserve"> may submit evidence, information</w:t>
      </w:r>
      <w:r w:rsidRPr="00DC14C3" w:rsidR="00AA1946">
        <w:t>,</w:t>
      </w:r>
      <w:r w:rsidRPr="00DC14C3">
        <w:t xml:space="preserve"> or documents on its behalf in this proceeding.   </w:t>
      </w:r>
    </w:p>
    <w:p w:rsidR="00765501" w:rsidP="002F5DD2" w:rsidRDefault="00765501" w14:paraId="399A463B" w14:textId="4E43A9FD">
      <w:pPr>
        <w:spacing w:after="0" w:line="360" w:lineRule="auto"/>
        <w:ind w:left="5" w:right="242" w:firstLine="715"/>
        <w:rPr>
          <w:szCs w:val="26"/>
        </w:rPr>
      </w:pPr>
      <w:r>
        <w:rPr>
          <w:szCs w:val="26"/>
        </w:rPr>
        <w:t>The Commission finds that good cause exists to order MetroPCS to appear and show cause why it should not be fined or have any other sanctions</w:t>
      </w:r>
      <w:r w:rsidR="00EA731E">
        <w:rPr>
          <w:szCs w:val="26"/>
        </w:rPr>
        <w:t>, remedies or corrective action</w:t>
      </w:r>
      <w:r>
        <w:rPr>
          <w:szCs w:val="26"/>
        </w:rPr>
        <w:t xml:space="preserve"> imposed as a result of the alleged violations detailed in CPED’s Staff Report.</w:t>
      </w:r>
      <w:r w:rsidR="00EA731E">
        <w:rPr>
          <w:szCs w:val="26"/>
        </w:rPr>
        <w:t xml:space="preserve"> </w:t>
      </w:r>
      <w:r>
        <w:rPr>
          <w:szCs w:val="26"/>
        </w:rPr>
        <w:t xml:space="preserve"> CPED staff satisfied its initial burden to show, by a preponderance of the evidence,</w:t>
      </w:r>
      <w:r>
        <w:rPr>
          <w:b/>
          <w:bCs/>
          <w:sz w:val="17"/>
          <w:szCs w:val="17"/>
        </w:rPr>
        <w:t xml:space="preserve"> </w:t>
      </w:r>
      <w:r>
        <w:rPr>
          <w:szCs w:val="26"/>
        </w:rPr>
        <w:t xml:space="preserve">that MetroPCS violated the Prepaid Act, and </w:t>
      </w:r>
      <w:r w:rsidR="00C51FBA">
        <w:rPr>
          <w:szCs w:val="26"/>
        </w:rPr>
        <w:t>the other statutes</w:t>
      </w:r>
      <w:r w:rsidR="00EA731E">
        <w:rPr>
          <w:szCs w:val="26"/>
        </w:rPr>
        <w:t xml:space="preserve">, </w:t>
      </w:r>
      <w:r w:rsidR="00C51FBA">
        <w:rPr>
          <w:szCs w:val="26"/>
        </w:rPr>
        <w:t>decisions</w:t>
      </w:r>
      <w:r w:rsidR="00EA731E">
        <w:rPr>
          <w:szCs w:val="26"/>
        </w:rPr>
        <w:t xml:space="preserve"> and resolutions</w:t>
      </w:r>
      <w:r w:rsidR="00C51FBA">
        <w:rPr>
          <w:szCs w:val="26"/>
        </w:rPr>
        <w:t xml:space="preserve"> described herein and in the Staff Report</w:t>
      </w:r>
      <w:r>
        <w:rPr>
          <w:szCs w:val="26"/>
        </w:rPr>
        <w:t>.</w:t>
      </w:r>
      <w:r w:rsidR="00C51FBA">
        <w:rPr>
          <w:rStyle w:val="FootnoteReference"/>
          <w:szCs w:val="26"/>
        </w:rPr>
        <w:footnoteReference w:id="32"/>
      </w:r>
      <w:r>
        <w:rPr>
          <w:szCs w:val="26"/>
        </w:rPr>
        <w:t xml:space="preserve">  MetroPCS will maintain the burden in this proceeding to demonstrate that it has not committed the violations described above, and why it should not be fined as a result.</w:t>
      </w:r>
    </w:p>
    <w:p w:rsidRPr="00873B0A" w:rsidR="006C1701" w:rsidP="002F5DD2" w:rsidRDefault="00121CBB" w14:paraId="32E3389C" w14:textId="398E265C">
      <w:pPr>
        <w:pStyle w:val="Heading1"/>
      </w:pPr>
      <w:r w:rsidRPr="00DC14C3">
        <w:lastRenderedPageBreak/>
        <w:t xml:space="preserve">PRELIMINARY SCOPING MEMO </w:t>
      </w:r>
    </w:p>
    <w:p w:rsidRPr="00DC14C3" w:rsidR="006C1701" w:rsidP="002F5DD2" w:rsidRDefault="00121CBB" w14:paraId="53E9A5AB" w14:textId="0176BEDC">
      <w:pPr>
        <w:spacing w:after="0" w:line="360" w:lineRule="auto"/>
        <w:ind w:left="0" w:firstLine="706"/>
      </w:pPr>
      <w:r w:rsidRPr="00DC14C3">
        <w:t xml:space="preserve">Rule 7.1(c) provides that an OII shall attach a preliminary scoping memo.  The following discussion meets this requirement.  </w:t>
      </w:r>
    </w:p>
    <w:p w:rsidRPr="00DC14C3" w:rsidR="006C1701" w:rsidP="002F5DD2" w:rsidRDefault="00121CBB" w14:paraId="458569D6" w14:textId="77777777">
      <w:pPr>
        <w:pStyle w:val="Heading2"/>
      </w:pPr>
      <w:r w:rsidRPr="00DC14C3">
        <w:t xml:space="preserve">Issues </w:t>
      </w:r>
    </w:p>
    <w:p w:rsidR="001618BC" w:rsidP="002F5DD2" w:rsidRDefault="00121CBB" w14:paraId="586514BC" w14:textId="77777777">
      <w:pPr>
        <w:spacing w:after="0" w:line="360" w:lineRule="auto"/>
        <w:ind w:left="0" w:right="245" w:firstLine="720"/>
      </w:pPr>
      <w:r w:rsidRPr="00DC14C3">
        <w:t xml:space="preserve">The scope of the issues in this proceeding </w:t>
      </w:r>
      <w:r w:rsidR="00401933">
        <w:t>are preliminarily determined to be</w:t>
      </w:r>
      <w:r w:rsidRPr="00DC14C3" w:rsidR="000E0278">
        <w:t>:</w:t>
      </w:r>
      <w:r w:rsidRPr="00DC14C3">
        <w:t xml:space="preserve"> </w:t>
      </w:r>
    </w:p>
    <w:p w:rsidR="001618BC" w:rsidP="002F5DD2" w:rsidRDefault="00876357" w14:paraId="2AC72DC9" w14:textId="2C135878">
      <w:pPr>
        <w:spacing w:after="120" w:line="240" w:lineRule="auto"/>
        <w:ind w:left="1080" w:right="1440" w:hanging="360"/>
        <w:rPr>
          <w:szCs w:val="26"/>
        </w:rPr>
      </w:pPr>
      <w:r w:rsidRPr="00DC14C3">
        <w:rPr>
          <w:szCs w:val="26"/>
        </w:rPr>
        <w:t xml:space="preserve">(1) </w:t>
      </w:r>
      <w:r w:rsidR="001C02E7">
        <w:rPr>
          <w:szCs w:val="26"/>
        </w:rPr>
        <w:t xml:space="preserve">Did </w:t>
      </w:r>
      <w:r w:rsidRPr="00DC14C3">
        <w:rPr>
          <w:szCs w:val="26"/>
        </w:rPr>
        <w:t>MetroPCS’ 2017 and 2018 remittances for PPP Surcharges and Commission User Fee</w:t>
      </w:r>
      <w:r w:rsidR="001B7958">
        <w:rPr>
          <w:szCs w:val="26"/>
        </w:rPr>
        <w:t>(s)</w:t>
      </w:r>
      <w:r w:rsidRPr="00DC14C3">
        <w:rPr>
          <w:szCs w:val="26"/>
        </w:rPr>
        <w:t xml:space="preserve"> violate the Prepaid Act, Pub. Util. Code </w:t>
      </w:r>
      <w:r w:rsidR="00F42F1F">
        <w:rPr>
          <w:szCs w:val="26"/>
        </w:rPr>
        <w:t>§</w:t>
      </w:r>
      <w:r w:rsidR="00F94CA8">
        <w:rPr>
          <w:szCs w:val="26"/>
        </w:rPr>
        <w:t xml:space="preserve"> </w:t>
      </w:r>
      <w:r w:rsidRPr="00DC14C3">
        <w:rPr>
          <w:szCs w:val="26"/>
        </w:rPr>
        <w:t>319, Commission Resolutions T-17542 and T-17579, and any other applicable laws and regulations</w:t>
      </w:r>
      <w:r w:rsidR="001C02E7">
        <w:rPr>
          <w:szCs w:val="26"/>
        </w:rPr>
        <w:t>?</w:t>
      </w:r>
      <w:r w:rsidRPr="00DC14C3">
        <w:rPr>
          <w:szCs w:val="26"/>
        </w:rPr>
        <w:t xml:space="preserve"> </w:t>
      </w:r>
    </w:p>
    <w:p w:rsidR="001618BC" w:rsidP="002F5DD2" w:rsidRDefault="00876357" w14:paraId="11EA4837" w14:textId="31E727E6">
      <w:pPr>
        <w:spacing w:after="120" w:line="240" w:lineRule="auto"/>
        <w:ind w:left="1080" w:right="1440" w:hanging="360"/>
        <w:rPr>
          <w:szCs w:val="26"/>
        </w:rPr>
      </w:pPr>
      <w:r w:rsidRPr="00DC14C3">
        <w:rPr>
          <w:szCs w:val="26"/>
        </w:rPr>
        <w:t xml:space="preserve">(2) </w:t>
      </w:r>
      <w:r w:rsidR="00E10B2B">
        <w:rPr>
          <w:szCs w:val="26"/>
        </w:rPr>
        <w:t>If violations are found, what additional amounts in surcharges, user fees, interest and penalties should be paid by MetroPCS?</w:t>
      </w:r>
      <w:r w:rsidRPr="00DC14C3" w:rsidR="009234DC">
        <w:rPr>
          <w:szCs w:val="26"/>
        </w:rPr>
        <w:t xml:space="preserve">  </w:t>
      </w:r>
    </w:p>
    <w:p w:rsidR="001618BC" w:rsidP="002F5DD2" w:rsidRDefault="00846DCF" w14:paraId="514944C2" w14:textId="31774B66">
      <w:pPr>
        <w:spacing w:after="120" w:line="240" w:lineRule="auto"/>
        <w:ind w:left="1080" w:right="1440" w:hanging="360"/>
        <w:rPr>
          <w:szCs w:val="26"/>
        </w:rPr>
      </w:pPr>
      <w:r w:rsidRPr="00DC14C3">
        <w:rPr>
          <w:szCs w:val="26"/>
        </w:rPr>
        <w:t>(</w:t>
      </w:r>
      <w:r w:rsidR="00E10B2B">
        <w:rPr>
          <w:szCs w:val="26"/>
        </w:rPr>
        <w:t>3</w:t>
      </w:r>
      <w:r w:rsidRPr="00DC14C3" w:rsidR="00876357">
        <w:rPr>
          <w:szCs w:val="26"/>
        </w:rPr>
        <w:t>)</w:t>
      </w:r>
      <w:r w:rsidRPr="00DC14C3">
        <w:rPr>
          <w:szCs w:val="26"/>
        </w:rPr>
        <w:t xml:space="preserve"> </w:t>
      </w:r>
      <w:r w:rsidR="001C02E7">
        <w:rPr>
          <w:szCs w:val="26"/>
        </w:rPr>
        <w:t xml:space="preserve">Should the Commission impose </w:t>
      </w:r>
      <w:r w:rsidR="008D4FEF">
        <w:rPr>
          <w:szCs w:val="26"/>
        </w:rPr>
        <w:t xml:space="preserve">an </w:t>
      </w:r>
      <w:r w:rsidRPr="00DC14C3" w:rsidR="008D4FEF">
        <w:rPr>
          <w:szCs w:val="26"/>
        </w:rPr>
        <w:t>additional</w:t>
      </w:r>
      <w:r w:rsidRPr="00DC14C3" w:rsidR="00876357">
        <w:rPr>
          <w:szCs w:val="26"/>
        </w:rPr>
        <w:t xml:space="preserve"> penalty for</w:t>
      </w:r>
      <w:r w:rsidR="001C02E7">
        <w:rPr>
          <w:szCs w:val="26"/>
        </w:rPr>
        <w:t xml:space="preserve"> MetroPCS’</w:t>
      </w:r>
      <w:r w:rsidRPr="00DC14C3" w:rsidR="00876357">
        <w:rPr>
          <w:szCs w:val="26"/>
        </w:rPr>
        <w:t xml:space="preserve"> failure to comply with the Pub. Util. Code </w:t>
      </w:r>
      <w:r w:rsidR="001C02E7">
        <w:rPr>
          <w:szCs w:val="26"/>
        </w:rPr>
        <w:t xml:space="preserve">§ </w:t>
      </w:r>
      <w:r w:rsidRPr="00DC14C3" w:rsidR="00876357">
        <w:rPr>
          <w:szCs w:val="26"/>
        </w:rPr>
        <w:t>31</w:t>
      </w:r>
      <w:r w:rsidRPr="00DC14C3" w:rsidR="00AD5369">
        <w:rPr>
          <w:szCs w:val="26"/>
        </w:rPr>
        <w:t>4</w:t>
      </w:r>
      <w:r w:rsidRPr="00DC14C3" w:rsidR="00876357">
        <w:rPr>
          <w:szCs w:val="26"/>
        </w:rPr>
        <w:t xml:space="preserve">, </w:t>
      </w:r>
      <w:r w:rsidRPr="00DC14C3" w:rsidR="00AD5369">
        <w:rPr>
          <w:szCs w:val="26"/>
        </w:rPr>
        <w:t>and Rule 1.1</w:t>
      </w:r>
      <w:r w:rsidRPr="00DC14C3" w:rsidDel="00AD5369" w:rsidR="008D4FEF">
        <w:rPr>
          <w:szCs w:val="26"/>
        </w:rPr>
        <w:t>?</w:t>
      </w:r>
    </w:p>
    <w:p w:rsidRPr="00DC14C3" w:rsidR="0039784D" w:rsidP="002F5DD2" w:rsidRDefault="00876357" w14:paraId="6C306603" w14:textId="73533DF5">
      <w:pPr>
        <w:spacing w:after="120" w:line="240" w:lineRule="auto"/>
        <w:ind w:left="1080" w:right="1440" w:hanging="360"/>
        <w:rPr>
          <w:szCs w:val="26"/>
        </w:rPr>
      </w:pPr>
      <w:r w:rsidRPr="00DC14C3">
        <w:rPr>
          <w:szCs w:val="26"/>
        </w:rPr>
        <w:t>(</w:t>
      </w:r>
      <w:r w:rsidR="00E10B2B">
        <w:rPr>
          <w:szCs w:val="26"/>
        </w:rPr>
        <w:t>4</w:t>
      </w:r>
      <w:r w:rsidRPr="00DC14C3">
        <w:rPr>
          <w:szCs w:val="26"/>
        </w:rPr>
        <w:t>)</w:t>
      </w:r>
      <w:r w:rsidRPr="00DC14C3" w:rsidR="00846DCF">
        <w:rPr>
          <w:szCs w:val="26"/>
        </w:rPr>
        <w:t xml:space="preserve"> </w:t>
      </w:r>
      <w:r w:rsidR="00973804">
        <w:rPr>
          <w:szCs w:val="26"/>
        </w:rPr>
        <w:t>In addition to monetary penalties, s</w:t>
      </w:r>
      <w:r w:rsidR="001C02E7">
        <w:rPr>
          <w:szCs w:val="26"/>
        </w:rPr>
        <w:t>hould the Commission impose</w:t>
      </w:r>
      <w:r w:rsidR="00973804">
        <w:rPr>
          <w:szCs w:val="26"/>
        </w:rPr>
        <w:t xml:space="preserve"> other corrective measures and</w:t>
      </w:r>
      <w:r w:rsidRPr="00DC14C3" w:rsidR="001C02E7">
        <w:rPr>
          <w:szCs w:val="26"/>
        </w:rPr>
        <w:t xml:space="preserve"> </w:t>
      </w:r>
      <w:r w:rsidR="001C02E7">
        <w:rPr>
          <w:szCs w:val="26"/>
        </w:rPr>
        <w:t xml:space="preserve">remedies </w:t>
      </w:r>
      <w:r w:rsidRPr="00DC14C3">
        <w:rPr>
          <w:szCs w:val="26"/>
        </w:rPr>
        <w:t>on MetroPCS for its conduct during the Commission’s investigation</w:t>
      </w:r>
      <w:r w:rsidR="001C02E7">
        <w:rPr>
          <w:szCs w:val="26"/>
        </w:rPr>
        <w:t>?</w:t>
      </w:r>
    </w:p>
    <w:p w:rsidRPr="00DC14C3" w:rsidR="006C1701" w:rsidP="002F5DD2" w:rsidRDefault="00121CBB" w14:paraId="6CA1CF5C" w14:textId="16059818">
      <w:pPr>
        <w:pStyle w:val="Heading2"/>
        <w:rPr>
          <w:szCs w:val="26"/>
        </w:rPr>
      </w:pPr>
      <w:r w:rsidRPr="00DC14C3">
        <w:t xml:space="preserve">Category of Proceeding and Need for Hearing </w:t>
      </w:r>
    </w:p>
    <w:p w:rsidRPr="00DC14C3" w:rsidR="006C1701" w:rsidP="002F5DD2" w:rsidRDefault="00121CBB" w14:paraId="1FA2B727" w14:textId="4FCCC0A6">
      <w:pPr>
        <w:spacing w:after="0" w:line="360" w:lineRule="auto"/>
        <w:ind w:left="-87" w:firstLine="807"/>
      </w:pPr>
      <w:r w:rsidRPr="00DC14C3">
        <w:t xml:space="preserve">Rule 7.1 (c) specifies that an “order instituting investigation shall determine the category of the proceeding [and] preliminarily determine the need for hearing.”  This investigation is categorized as adjudicatory as defined in Rule 1.3(a).  We expect disputed issues of material fact and therefore preliminarily determine </w:t>
      </w:r>
      <w:r w:rsidRPr="00DC14C3" w:rsidR="008D4FEF">
        <w:t>those evidentiary hearings</w:t>
      </w:r>
      <w:r w:rsidRPr="00DC14C3">
        <w:t xml:space="preserve"> will be necessary.   </w:t>
      </w:r>
    </w:p>
    <w:p w:rsidRPr="00DC14C3" w:rsidR="006C1701" w:rsidP="002F5DD2" w:rsidRDefault="00121CBB" w14:paraId="405917F4" w14:textId="13A1C819">
      <w:pPr>
        <w:pStyle w:val="Heading2"/>
      </w:pPr>
      <w:r w:rsidRPr="00DC14C3">
        <w:t xml:space="preserve">Schedule </w:t>
      </w:r>
    </w:p>
    <w:p w:rsidRPr="00DC14C3" w:rsidR="006C1701" w:rsidP="002F5DD2" w:rsidRDefault="00121CBB" w14:paraId="14F174A5" w14:textId="515A5664">
      <w:pPr>
        <w:spacing w:after="0" w:line="360" w:lineRule="auto"/>
        <w:ind w:left="14" w:firstLine="706"/>
      </w:pPr>
      <w:r w:rsidRPr="00DC14C3">
        <w:t>Pursuant to Rule 7.6</w:t>
      </w:r>
      <w:r w:rsidRPr="00DC14C3" w:rsidR="00CA7E7D">
        <w:t>(a)(3)</w:t>
      </w:r>
      <w:r w:rsidRPr="00DC14C3">
        <w:t>, appeals of the categorization of this investigation, if any, are to be filed within 10 days of the date this OII is issued.  Within 30 days of the mailing date of this O</w:t>
      </w:r>
      <w:r w:rsidR="00401933">
        <w:t>II,</w:t>
      </w:r>
      <w:r w:rsidRPr="00DC14C3">
        <w:t xml:space="preserve"> Respondent shall file and</w:t>
      </w:r>
      <w:r w:rsidR="00973804">
        <w:t xml:space="preserve"> </w:t>
      </w:r>
      <w:r w:rsidRPr="00DC14C3">
        <w:t xml:space="preserve">serve a response to </w:t>
      </w:r>
      <w:r w:rsidRPr="00DC14C3" w:rsidR="004613D1">
        <w:t xml:space="preserve">the </w:t>
      </w:r>
      <w:r w:rsidR="00401933">
        <w:t>p</w:t>
      </w:r>
      <w:r w:rsidRPr="00DC14C3" w:rsidR="004613D1">
        <w:t xml:space="preserve">reliminary </w:t>
      </w:r>
      <w:r w:rsidR="00401933">
        <w:t>s</w:t>
      </w:r>
      <w:r w:rsidRPr="00DC14C3" w:rsidR="004613D1">
        <w:t xml:space="preserve">coping </w:t>
      </w:r>
      <w:r w:rsidR="00401933">
        <w:t>m</w:t>
      </w:r>
      <w:r w:rsidRPr="00DC14C3" w:rsidR="004613D1">
        <w:t xml:space="preserve">emo. </w:t>
      </w:r>
    </w:p>
    <w:p w:rsidRPr="00DC14C3" w:rsidR="006C1701" w:rsidP="002F5DD2" w:rsidRDefault="00121CBB" w14:paraId="0E14A726" w14:textId="08864524">
      <w:pPr>
        <w:spacing w:after="0" w:line="360" w:lineRule="auto"/>
        <w:ind w:left="0" w:firstLine="720"/>
      </w:pPr>
      <w:r w:rsidRPr="00DC14C3">
        <w:t xml:space="preserve">Responses </w:t>
      </w:r>
      <w:r w:rsidR="00F94CA8">
        <w:t>to</w:t>
      </w:r>
      <w:r w:rsidRPr="00DC14C3">
        <w:t xml:space="preserve"> this preliminary scoping memo may also be filed and served </w:t>
      </w:r>
    </w:p>
    <w:p w:rsidRPr="00DC14C3" w:rsidR="006C1701" w:rsidP="00EA731E" w:rsidRDefault="00121CBB" w14:paraId="495D220A" w14:textId="141E02FA">
      <w:pPr>
        <w:spacing w:after="0" w:line="360" w:lineRule="auto"/>
        <w:ind w:left="0" w:firstLine="0"/>
      </w:pPr>
      <w:r w:rsidRPr="00DC14C3">
        <w:t xml:space="preserve">within 30 days of the date this OII is issued.  Pursuant to Rule 5.2, responses shall state “any objections to the preliminary scoping memo regarding the need for hearing, issues </w:t>
      </w:r>
      <w:r w:rsidRPr="00DC14C3">
        <w:lastRenderedPageBreak/>
        <w:t xml:space="preserve">to be considered, or schedule.”  Replies to responses may be filed and served within 10 days of the due date for responses.  </w:t>
      </w:r>
    </w:p>
    <w:p w:rsidRPr="00DC14C3" w:rsidR="006C1701" w:rsidP="002F5DD2" w:rsidRDefault="00121CBB" w14:paraId="14EFAD2E" w14:textId="702637B7">
      <w:pPr>
        <w:spacing w:after="0" w:line="360" w:lineRule="auto"/>
        <w:ind w:left="0" w:firstLine="720"/>
      </w:pPr>
      <w:r w:rsidRPr="00DC14C3">
        <w:t>Pursuant to Rule 7.2</w:t>
      </w:r>
      <w:r w:rsidRPr="00DC14C3" w:rsidR="00A47A3F">
        <w:t>(a)</w:t>
      </w:r>
      <w:r w:rsidRPr="00DC14C3">
        <w:t xml:space="preserve">, the Assigned Commissioner shall set a </w:t>
      </w:r>
    </w:p>
    <w:p w:rsidRPr="00DC14C3" w:rsidR="006C1701" w:rsidP="00EA731E" w:rsidRDefault="00121CBB" w14:paraId="49D3857E" w14:textId="2A01BD40">
      <w:pPr>
        <w:spacing w:after="0" w:line="360" w:lineRule="auto"/>
        <w:ind w:left="0" w:firstLine="0"/>
      </w:pPr>
      <w:r w:rsidRPr="00DC14C3">
        <w:t xml:space="preserve">prehearing conference for 45 to 60 days after the initiation of this proceeding or as soon as practicable after the Commission makes the assignment.  The Assigned Commissioner </w:t>
      </w:r>
      <w:r w:rsidRPr="00DC14C3" w:rsidR="00554EEE">
        <w:t>shall</w:t>
      </w:r>
      <w:r w:rsidRPr="00DC14C3">
        <w:t xml:space="preserve"> also issue a scoping memo setting forth the scope of the proceeding and establishing a procedural schedule.   </w:t>
      </w:r>
    </w:p>
    <w:p w:rsidRPr="00DC14C3" w:rsidR="006C1701" w:rsidRDefault="00121CBB" w14:paraId="52B50D10" w14:textId="77777777">
      <w:pPr>
        <w:spacing w:after="0" w:line="259" w:lineRule="auto"/>
        <w:ind w:left="1443" w:firstLine="0"/>
      </w:pPr>
      <w:r w:rsidRPr="00DC14C3">
        <w:t xml:space="preserve"> </w:t>
      </w:r>
    </w:p>
    <w:tbl>
      <w:tblPr>
        <w:tblStyle w:val="TableGrid"/>
        <w:tblW w:w="9578" w:type="dxa"/>
        <w:tblInd w:w="102" w:type="dxa"/>
        <w:tblCellMar>
          <w:left w:w="109" w:type="dxa"/>
        </w:tblCellMar>
        <w:tblLook w:val="04A0" w:firstRow="1" w:lastRow="0" w:firstColumn="1" w:lastColumn="0" w:noHBand="0" w:noVBand="1"/>
      </w:tblPr>
      <w:tblGrid>
        <w:gridCol w:w="4788"/>
        <w:gridCol w:w="4790"/>
      </w:tblGrid>
      <w:tr w:rsidRPr="00310DA5" w:rsidR="00310DA5" w:rsidTr="00310DA5" w14:paraId="0F35F664" w14:textId="77777777">
        <w:trPr>
          <w:trHeight w:val="430"/>
        </w:trPr>
        <w:tc>
          <w:tcPr>
            <w:tcW w:w="4788" w:type="dxa"/>
            <w:tcBorders>
              <w:top w:val="single" w:color="000000" w:sz="5" w:space="0"/>
              <w:left w:val="single" w:color="000000" w:sz="5" w:space="0"/>
              <w:bottom w:val="single" w:color="000000" w:sz="5" w:space="0"/>
              <w:right w:val="single" w:color="000000" w:sz="5" w:space="0"/>
            </w:tcBorders>
            <w:shd w:val="clear" w:color="auto" w:fill="B4C6E7" w:themeFill="accent1" w:themeFillTint="66"/>
          </w:tcPr>
          <w:p w:rsidRPr="00310DA5" w:rsidR="00310DA5" w:rsidRDefault="00310DA5" w14:paraId="298F588B" w14:textId="1518692C">
            <w:pPr>
              <w:spacing w:after="0" w:line="259" w:lineRule="auto"/>
              <w:ind w:left="0" w:firstLine="0"/>
              <w:rPr>
                <w:b/>
                <w:bCs/>
              </w:rPr>
            </w:pPr>
            <w:r w:rsidRPr="00310DA5">
              <w:rPr>
                <w:b/>
                <w:bCs/>
              </w:rPr>
              <w:t>EVENT</w:t>
            </w:r>
          </w:p>
        </w:tc>
        <w:tc>
          <w:tcPr>
            <w:tcW w:w="4790" w:type="dxa"/>
            <w:tcBorders>
              <w:top w:val="single" w:color="000000" w:sz="5" w:space="0"/>
              <w:left w:val="single" w:color="000000" w:sz="5" w:space="0"/>
              <w:bottom w:val="single" w:color="000000" w:sz="5" w:space="0"/>
              <w:right w:val="single" w:color="000000" w:sz="5" w:space="0"/>
            </w:tcBorders>
            <w:shd w:val="clear" w:color="auto" w:fill="B4C6E7" w:themeFill="accent1" w:themeFillTint="66"/>
          </w:tcPr>
          <w:p w:rsidRPr="00310DA5" w:rsidR="00310DA5" w:rsidRDefault="00310DA5" w14:paraId="7B448883" w14:textId="60EAC5AA">
            <w:pPr>
              <w:spacing w:after="0" w:line="259" w:lineRule="auto"/>
              <w:ind w:left="2" w:firstLine="0"/>
              <w:rPr>
                <w:b/>
                <w:bCs/>
              </w:rPr>
            </w:pPr>
            <w:r w:rsidRPr="00310DA5">
              <w:rPr>
                <w:b/>
                <w:bCs/>
              </w:rPr>
              <w:t>DATE</w:t>
            </w:r>
          </w:p>
        </w:tc>
      </w:tr>
      <w:tr w:rsidRPr="00DC14C3" w:rsidR="006C1701" w14:paraId="3AC203E2" w14:textId="77777777">
        <w:trPr>
          <w:trHeight w:val="430"/>
        </w:trPr>
        <w:tc>
          <w:tcPr>
            <w:tcW w:w="4788" w:type="dxa"/>
            <w:tcBorders>
              <w:top w:val="single" w:color="000000" w:sz="5" w:space="0"/>
              <w:left w:val="single" w:color="000000" w:sz="5" w:space="0"/>
              <w:bottom w:val="single" w:color="000000" w:sz="5" w:space="0"/>
              <w:right w:val="single" w:color="000000" w:sz="5" w:space="0"/>
            </w:tcBorders>
          </w:tcPr>
          <w:p w:rsidRPr="00DC14C3" w:rsidR="006C1701" w:rsidRDefault="00121CBB" w14:paraId="06C2F3EF" w14:textId="77777777">
            <w:pPr>
              <w:spacing w:after="0" w:line="259" w:lineRule="auto"/>
              <w:ind w:left="0" w:firstLine="0"/>
            </w:pPr>
            <w:r w:rsidRPr="00DC14C3">
              <w:t xml:space="preserve">Appeal of Categorization </w:t>
            </w:r>
          </w:p>
        </w:tc>
        <w:tc>
          <w:tcPr>
            <w:tcW w:w="4790" w:type="dxa"/>
            <w:tcBorders>
              <w:top w:val="single" w:color="000000" w:sz="5" w:space="0"/>
              <w:left w:val="single" w:color="000000" w:sz="5" w:space="0"/>
              <w:bottom w:val="single" w:color="000000" w:sz="5" w:space="0"/>
              <w:right w:val="single" w:color="000000" w:sz="5" w:space="0"/>
            </w:tcBorders>
          </w:tcPr>
          <w:p w:rsidRPr="00DC14C3" w:rsidR="006C1701" w:rsidRDefault="00121CBB" w14:paraId="0014D87E" w14:textId="77777777">
            <w:pPr>
              <w:spacing w:after="0" w:line="259" w:lineRule="auto"/>
              <w:ind w:left="2" w:firstLine="0"/>
            </w:pPr>
            <w:r w:rsidRPr="00DC14C3">
              <w:t xml:space="preserve">10 days after issuance of this OII </w:t>
            </w:r>
          </w:p>
        </w:tc>
      </w:tr>
      <w:tr w:rsidRPr="00DC14C3" w:rsidR="006C1701" w14:paraId="67D97CF7" w14:textId="77777777">
        <w:trPr>
          <w:trHeight w:val="430"/>
        </w:trPr>
        <w:tc>
          <w:tcPr>
            <w:tcW w:w="4788" w:type="dxa"/>
            <w:tcBorders>
              <w:top w:val="single" w:color="000000" w:sz="5" w:space="0"/>
              <w:left w:val="single" w:color="000000" w:sz="5" w:space="0"/>
              <w:bottom w:val="single" w:color="000000" w:sz="5" w:space="0"/>
              <w:right w:val="single" w:color="000000" w:sz="5" w:space="0"/>
            </w:tcBorders>
          </w:tcPr>
          <w:p w:rsidRPr="00DC14C3" w:rsidR="006C1701" w:rsidRDefault="00311379" w14:paraId="401BD217" w14:textId="14902398">
            <w:pPr>
              <w:spacing w:after="0" w:line="259" w:lineRule="auto"/>
              <w:ind w:left="0" w:firstLine="0"/>
            </w:pPr>
            <w:r w:rsidRPr="00DC14C3">
              <w:t>MetroPCS</w:t>
            </w:r>
            <w:r w:rsidRPr="00DC14C3" w:rsidR="00121CBB">
              <w:t xml:space="preserve"> response to </w:t>
            </w:r>
            <w:r w:rsidRPr="00DC14C3" w:rsidR="004613D1">
              <w:t>Preliminary Scoping Memo</w:t>
            </w:r>
            <w:r w:rsidRPr="00DC14C3" w:rsidR="00121CBB">
              <w:t xml:space="preserve"> </w:t>
            </w:r>
          </w:p>
        </w:tc>
        <w:tc>
          <w:tcPr>
            <w:tcW w:w="4790" w:type="dxa"/>
            <w:tcBorders>
              <w:top w:val="single" w:color="000000" w:sz="5" w:space="0"/>
              <w:left w:val="single" w:color="000000" w:sz="5" w:space="0"/>
              <w:bottom w:val="single" w:color="000000" w:sz="5" w:space="0"/>
              <w:right w:val="single" w:color="000000" w:sz="5" w:space="0"/>
            </w:tcBorders>
          </w:tcPr>
          <w:p w:rsidRPr="00DC14C3" w:rsidR="006C1701" w:rsidRDefault="00121CBB" w14:paraId="06578D6F" w14:textId="77777777">
            <w:pPr>
              <w:spacing w:after="0" w:line="259" w:lineRule="auto"/>
              <w:ind w:left="2" w:firstLine="0"/>
            </w:pPr>
            <w:r w:rsidRPr="00DC14C3">
              <w:t xml:space="preserve">30 days after issuance of this OII </w:t>
            </w:r>
          </w:p>
        </w:tc>
      </w:tr>
      <w:tr w:rsidRPr="00DC14C3" w:rsidR="006C1701" w14:paraId="334EE581" w14:textId="77777777">
        <w:trPr>
          <w:trHeight w:val="727"/>
        </w:trPr>
        <w:tc>
          <w:tcPr>
            <w:tcW w:w="4788" w:type="dxa"/>
            <w:tcBorders>
              <w:top w:val="single" w:color="000000" w:sz="5" w:space="0"/>
              <w:left w:val="single" w:color="000000" w:sz="5" w:space="0"/>
              <w:bottom w:val="single" w:color="000000" w:sz="5" w:space="0"/>
              <w:right w:val="single" w:color="000000" w:sz="5" w:space="0"/>
            </w:tcBorders>
          </w:tcPr>
          <w:p w:rsidRPr="00DC14C3" w:rsidR="006C1701" w:rsidRDefault="00121CBB" w14:paraId="3FFE253E" w14:textId="533AA292">
            <w:pPr>
              <w:spacing w:after="0" w:line="259" w:lineRule="auto"/>
              <w:ind w:left="0" w:firstLine="0"/>
              <w:jc w:val="both"/>
            </w:pPr>
            <w:r w:rsidRPr="00DC14C3">
              <w:t xml:space="preserve">Replies to Comments </w:t>
            </w:r>
            <w:r w:rsidRPr="00DC14C3" w:rsidR="00AC66CF">
              <w:t>on Preliminary</w:t>
            </w:r>
            <w:r w:rsidRPr="00DC14C3">
              <w:t xml:space="preserve"> Scoping Memo due </w:t>
            </w:r>
          </w:p>
        </w:tc>
        <w:tc>
          <w:tcPr>
            <w:tcW w:w="4790" w:type="dxa"/>
            <w:tcBorders>
              <w:top w:val="single" w:color="000000" w:sz="5" w:space="0"/>
              <w:left w:val="single" w:color="000000" w:sz="5" w:space="0"/>
              <w:bottom w:val="single" w:color="000000" w:sz="5" w:space="0"/>
              <w:right w:val="single" w:color="000000" w:sz="5" w:space="0"/>
            </w:tcBorders>
          </w:tcPr>
          <w:p w:rsidRPr="00DC14C3" w:rsidR="006C1701" w:rsidRDefault="00121CBB" w14:paraId="13E7810F" w14:textId="77777777">
            <w:pPr>
              <w:spacing w:after="0" w:line="259" w:lineRule="auto"/>
              <w:ind w:left="2" w:firstLine="0"/>
              <w:jc w:val="both"/>
            </w:pPr>
            <w:r w:rsidRPr="00DC14C3">
              <w:t xml:space="preserve">10 days after Responses on scope and issues in the Preliminary Scoping Memo are due </w:t>
            </w:r>
          </w:p>
        </w:tc>
      </w:tr>
      <w:tr w:rsidRPr="00DC14C3" w:rsidR="006C1701" w14:paraId="1B59ADB4" w14:textId="77777777">
        <w:trPr>
          <w:trHeight w:val="730"/>
        </w:trPr>
        <w:tc>
          <w:tcPr>
            <w:tcW w:w="4788" w:type="dxa"/>
            <w:tcBorders>
              <w:top w:val="single" w:color="000000" w:sz="5" w:space="0"/>
              <w:left w:val="single" w:color="000000" w:sz="5" w:space="0"/>
              <w:bottom w:val="single" w:color="000000" w:sz="5" w:space="0"/>
              <w:right w:val="single" w:color="000000" w:sz="5" w:space="0"/>
            </w:tcBorders>
          </w:tcPr>
          <w:p w:rsidRPr="00DC14C3" w:rsidR="006C1701" w:rsidRDefault="00121CBB" w14:paraId="74C76385" w14:textId="77777777">
            <w:pPr>
              <w:spacing w:after="0" w:line="259" w:lineRule="auto"/>
              <w:ind w:left="0" w:firstLine="0"/>
            </w:pPr>
            <w:r w:rsidRPr="00DC14C3">
              <w:t xml:space="preserve">Prehearing Conference </w:t>
            </w:r>
          </w:p>
        </w:tc>
        <w:tc>
          <w:tcPr>
            <w:tcW w:w="4790" w:type="dxa"/>
            <w:tcBorders>
              <w:top w:val="single" w:color="000000" w:sz="5" w:space="0"/>
              <w:left w:val="single" w:color="000000" w:sz="5" w:space="0"/>
              <w:bottom w:val="single" w:color="000000" w:sz="5" w:space="0"/>
              <w:right w:val="single" w:color="000000" w:sz="5" w:space="0"/>
            </w:tcBorders>
          </w:tcPr>
          <w:p w:rsidRPr="00DC14C3" w:rsidR="006C1701" w:rsidP="008D4FEF" w:rsidRDefault="00121CBB" w14:paraId="2041E778" w14:textId="77777777">
            <w:pPr>
              <w:spacing w:after="0" w:line="259" w:lineRule="auto"/>
              <w:ind w:left="2" w:firstLine="0"/>
            </w:pPr>
            <w:r w:rsidRPr="00DC14C3">
              <w:t xml:space="preserve">To be scheduled by the assigned Administrative Law Judge </w:t>
            </w:r>
          </w:p>
        </w:tc>
      </w:tr>
      <w:tr w:rsidRPr="00DC14C3" w:rsidR="006C1701" w14:paraId="4554C012" w14:textId="77777777">
        <w:trPr>
          <w:trHeight w:val="730"/>
        </w:trPr>
        <w:tc>
          <w:tcPr>
            <w:tcW w:w="4788" w:type="dxa"/>
            <w:tcBorders>
              <w:top w:val="single" w:color="000000" w:sz="5" w:space="0"/>
              <w:left w:val="single" w:color="000000" w:sz="5" w:space="0"/>
              <w:bottom w:val="single" w:color="000000" w:sz="5" w:space="0"/>
              <w:right w:val="single" w:color="000000" w:sz="5" w:space="0"/>
            </w:tcBorders>
          </w:tcPr>
          <w:p w:rsidRPr="00DC14C3" w:rsidR="006C1701" w:rsidRDefault="00121CBB" w14:paraId="5A699454" w14:textId="77777777">
            <w:pPr>
              <w:spacing w:after="0" w:line="259" w:lineRule="auto"/>
              <w:ind w:left="0" w:firstLine="0"/>
            </w:pPr>
            <w:r w:rsidRPr="00DC14C3">
              <w:t xml:space="preserve">Commission Decision issued </w:t>
            </w:r>
          </w:p>
        </w:tc>
        <w:tc>
          <w:tcPr>
            <w:tcW w:w="4790" w:type="dxa"/>
            <w:tcBorders>
              <w:top w:val="single" w:color="000000" w:sz="5" w:space="0"/>
              <w:left w:val="single" w:color="000000" w:sz="5" w:space="0"/>
              <w:bottom w:val="single" w:color="000000" w:sz="5" w:space="0"/>
              <w:right w:val="single" w:color="000000" w:sz="5" w:space="0"/>
            </w:tcBorders>
          </w:tcPr>
          <w:p w:rsidRPr="00DC14C3" w:rsidR="006C1701" w:rsidRDefault="00121CBB" w14:paraId="1F6C2E5D" w14:textId="77777777">
            <w:pPr>
              <w:spacing w:after="0" w:line="259" w:lineRule="auto"/>
              <w:ind w:left="2" w:firstLine="0"/>
            </w:pPr>
            <w:r w:rsidRPr="00DC14C3">
              <w:t xml:space="preserve">To be determined in the final scoping </w:t>
            </w:r>
          </w:p>
          <w:p w:rsidRPr="00DC14C3" w:rsidR="006C1701" w:rsidRDefault="00121CBB" w14:paraId="143B6314" w14:textId="77777777">
            <w:pPr>
              <w:spacing w:after="0" w:line="259" w:lineRule="auto"/>
              <w:ind w:left="2" w:firstLine="0"/>
            </w:pPr>
            <w:r w:rsidRPr="00DC14C3">
              <w:t xml:space="preserve">Memo </w:t>
            </w:r>
          </w:p>
        </w:tc>
      </w:tr>
    </w:tbl>
    <w:p w:rsidRPr="00DC14C3" w:rsidR="006C1701" w:rsidRDefault="00121CBB" w14:paraId="5F594928" w14:textId="77777777">
      <w:pPr>
        <w:spacing w:after="129" w:line="259" w:lineRule="auto"/>
        <w:ind w:left="2" w:firstLine="0"/>
      </w:pPr>
      <w:r w:rsidRPr="00DC14C3">
        <w:t xml:space="preserve"> </w:t>
      </w:r>
    </w:p>
    <w:p w:rsidRPr="00DC14C3" w:rsidR="006C1701" w:rsidP="002F5DD2" w:rsidRDefault="00121CBB" w14:paraId="7F585C78" w14:textId="7921F494">
      <w:pPr>
        <w:pStyle w:val="Heading1"/>
      </w:pPr>
      <w:r w:rsidRPr="00DC14C3">
        <w:t xml:space="preserve">PARTIES AND SERVICE LIST </w:t>
      </w:r>
    </w:p>
    <w:p w:rsidR="002F5DD2" w:rsidP="002F5DD2" w:rsidRDefault="00311379" w14:paraId="68B908EC" w14:textId="0959942A">
      <w:pPr>
        <w:spacing w:after="0" w:line="360" w:lineRule="auto"/>
        <w:ind w:left="14" w:firstLine="706"/>
      </w:pPr>
      <w:r w:rsidRPr="00DC14C3">
        <w:t>MetroPCS</w:t>
      </w:r>
      <w:r w:rsidRPr="00DC14C3" w:rsidR="00121CBB">
        <w:t xml:space="preserve"> is named as a </w:t>
      </w:r>
      <w:r w:rsidR="00FD33F5">
        <w:t>R</w:t>
      </w:r>
      <w:r w:rsidRPr="00DC14C3" w:rsidR="00121CBB">
        <w:t xml:space="preserve">espondent to this investigation.  CPED is named as a party to this proceeding.  The initial service list for this proceeding is set forth in an Ordering Paragraph and includes </w:t>
      </w:r>
      <w:r w:rsidRPr="00DC14C3">
        <w:t>MetroPCS</w:t>
      </w:r>
      <w:r w:rsidRPr="00DC14C3" w:rsidR="00121CBB">
        <w:t xml:space="preserve"> and CPED.  The official </w:t>
      </w:r>
      <w:r w:rsidRPr="00DC14C3" w:rsidR="001575B0">
        <w:t xml:space="preserve">service </w:t>
      </w:r>
      <w:r w:rsidRPr="00DC14C3" w:rsidR="00121CBB">
        <w:t xml:space="preserve">list may be updated with additional parties. </w:t>
      </w:r>
    </w:p>
    <w:p w:rsidR="002F5DD2" w:rsidRDefault="002F5DD2" w14:paraId="4C95D0BF" w14:textId="7C810E06">
      <w:pPr>
        <w:spacing w:after="160" w:line="259" w:lineRule="auto"/>
        <w:ind w:left="0" w:firstLine="0"/>
      </w:pPr>
    </w:p>
    <w:p w:rsidRPr="00DC14C3" w:rsidR="006C1701" w:rsidP="002F5DD2" w:rsidRDefault="00121CBB" w14:paraId="1D9843D7" w14:textId="53277776">
      <w:pPr>
        <w:pStyle w:val="Heading1"/>
      </w:pPr>
      <w:r w:rsidRPr="00DC14C3">
        <w:t xml:space="preserve">PUBLIC ADVISOR </w:t>
      </w:r>
    </w:p>
    <w:p w:rsidRPr="00DC14C3" w:rsidR="006C1701" w:rsidP="002F5DD2" w:rsidRDefault="00121CBB" w14:paraId="4C62115F" w14:textId="2A75FFC9">
      <w:pPr>
        <w:spacing w:after="0" w:line="360" w:lineRule="auto"/>
        <w:ind w:left="14" w:right="432" w:firstLine="706"/>
      </w:pPr>
      <w:r w:rsidRPr="00DC14C3">
        <w:t>Any person or entity interested in participating in this investigation who is unfamiliar with the Commission’s procedures should contact the Commission’s Public Advisor’s Office in San Francisco at (866) 849-8390, or emai</w:t>
      </w:r>
      <w:r w:rsidRPr="00DC14C3" w:rsidR="0031778B">
        <w:t>l</w:t>
      </w:r>
      <w:r w:rsidRPr="00DC14C3" w:rsidR="00594F6B">
        <w:t xml:space="preserve"> </w:t>
      </w:r>
      <w:r w:rsidRPr="00DC14C3">
        <w:t xml:space="preserve">public.advisor@cpuc.ca.gov.  The TTY number is (866) 836-7825.  Written </w:t>
      </w:r>
      <w:r w:rsidRPr="00DC14C3">
        <w:lastRenderedPageBreak/>
        <w:t xml:space="preserve">communication may be sent to the Public Advisor, California Public Utilities Commission, 505 Van Ness Avenue, San Francisco, CA 94102. </w:t>
      </w:r>
    </w:p>
    <w:p w:rsidRPr="00DC14C3" w:rsidR="006C1701" w:rsidP="002F5DD2" w:rsidRDefault="00121CBB" w14:paraId="694153AF" w14:textId="7C20F9E0">
      <w:pPr>
        <w:pStyle w:val="Heading1"/>
      </w:pPr>
      <w:r w:rsidRPr="00DC14C3">
        <w:t xml:space="preserve">INTERVENOR COMPENSATION </w:t>
      </w:r>
    </w:p>
    <w:p w:rsidRPr="00DC14C3" w:rsidR="006C1701" w:rsidP="00310DA5" w:rsidRDefault="00121CBB" w14:paraId="12E80CB5" w14:textId="5D16B5C2">
      <w:pPr>
        <w:spacing w:after="0" w:line="360" w:lineRule="auto"/>
        <w:ind w:left="0" w:right="86" w:firstLine="720"/>
      </w:pPr>
      <w:r w:rsidRPr="00DC14C3">
        <w:t xml:space="preserve">A party that expects to request intervenor compensation for its participation in this </w:t>
      </w:r>
      <w:r w:rsidR="0097124D">
        <w:t>investigation</w:t>
      </w:r>
      <w:r w:rsidRPr="00DC14C3" w:rsidR="0097124D">
        <w:t xml:space="preserve"> </w:t>
      </w:r>
      <w:r w:rsidRPr="00DC14C3">
        <w:t xml:space="preserve">shall file its notice of intent to claim intervenor compensation in accordance with Rule 17.1.   </w:t>
      </w:r>
    </w:p>
    <w:p w:rsidRPr="00DC14C3" w:rsidR="006C1701" w:rsidP="002F5DD2" w:rsidRDefault="00121CBB" w14:paraId="6B3C288F" w14:textId="4CAD1FDC">
      <w:pPr>
        <w:pStyle w:val="Heading1"/>
      </w:pPr>
      <w:r w:rsidRPr="00DC14C3">
        <w:t xml:space="preserve">EX PARTE COMMUNICATIONS PROHIBITED  </w:t>
      </w:r>
    </w:p>
    <w:p w:rsidRPr="00DC14C3" w:rsidR="006C1701" w:rsidP="002F5DD2" w:rsidRDefault="002F5DD2" w14:paraId="7DECE79D" w14:textId="5BFE6B00">
      <w:pPr>
        <w:spacing w:after="0" w:line="360" w:lineRule="auto"/>
        <w:ind w:left="14" w:hanging="14"/>
      </w:pPr>
      <w:r>
        <w:tab/>
      </w:r>
      <w:r w:rsidRPr="00DC14C3" w:rsidR="00121CBB">
        <w:tab/>
      </w:r>
      <w:r w:rsidR="00401933">
        <w:t>Rule</w:t>
      </w:r>
      <w:r w:rsidRPr="00DC14C3" w:rsidR="00121CBB">
        <w:t xml:space="preserve"> 8 applies to all communications with decision makers and advisors regarding the issues in this proceeding.  This proceeding is categorized as adjudicatory</w:t>
      </w:r>
      <w:r w:rsidRPr="00DC14C3" w:rsidR="009462F3">
        <w:t>,</w:t>
      </w:r>
      <w:r w:rsidRPr="00DC14C3" w:rsidR="00121CBB">
        <w:t xml:space="preserve"> and Rule 8.3(b) prohibits all </w:t>
      </w:r>
      <w:r w:rsidRPr="00DC14C3" w:rsidR="00121CBB">
        <w:rPr>
          <w:i/>
        </w:rPr>
        <w:t>ex parte</w:t>
      </w:r>
      <w:r w:rsidRPr="00DC14C3" w:rsidR="00121CBB">
        <w:t xml:space="preserve"> communications.   </w:t>
      </w:r>
    </w:p>
    <w:p w:rsidRPr="00DC14C3" w:rsidR="006C1701" w:rsidP="002F5DD2" w:rsidRDefault="00121CBB" w14:paraId="047E6102" w14:textId="5EADB2CA">
      <w:pPr>
        <w:spacing w:after="0" w:line="360" w:lineRule="auto"/>
        <w:ind w:left="0" w:firstLine="0"/>
      </w:pPr>
      <w:r w:rsidRPr="00873B0A">
        <w:rPr>
          <w:rFonts w:eastAsia="Calibri"/>
          <w:sz w:val="22"/>
        </w:rPr>
        <w:tab/>
      </w:r>
      <w:r w:rsidRPr="00DC14C3">
        <w:t xml:space="preserve">Therefore, </w:t>
      </w:r>
      <w:r w:rsidRPr="00DC14C3">
        <w:rPr>
          <w:b/>
        </w:rPr>
        <w:t>IT IS ORDERED</w:t>
      </w:r>
      <w:r w:rsidRPr="00DC14C3">
        <w:t xml:space="preserve"> that: </w:t>
      </w:r>
    </w:p>
    <w:p w:rsidR="00FD33F5" w:rsidP="00F87E04" w:rsidRDefault="00121CBB" w14:paraId="1EFB1EA0" w14:textId="46042D0B">
      <w:pPr>
        <w:numPr>
          <w:ilvl w:val="1"/>
          <w:numId w:val="2"/>
        </w:numPr>
        <w:spacing w:after="0" w:line="360" w:lineRule="auto"/>
        <w:ind w:left="0" w:firstLine="720"/>
      </w:pPr>
      <w:r w:rsidRPr="00DC14C3">
        <w:t xml:space="preserve">In accordance with Rule 5.1, the Commission institutes this Order Instituting Investigation and Order to Show Cause on its own motion to determine whether </w:t>
      </w:r>
      <w:r w:rsidRPr="00DC14C3" w:rsidR="003A0041">
        <w:rPr>
          <w:szCs w:val="26"/>
        </w:rPr>
        <w:t>MetroPCS California, LLC</w:t>
      </w:r>
      <w:r w:rsidRPr="00DC14C3">
        <w:t xml:space="preserve"> violated any provision of the</w:t>
      </w:r>
      <w:r w:rsidRPr="00DC14C3" w:rsidR="00BC53B2">
        <w:t xml:space="preserve"> Prepaid Act, </w:t>
      </w:r>
      <w:r w:rsidRPr="00DC14C3">
        <w:t>Pub</w:t>
      </w:r>
      <w:r w:rsidRPr="00DC14C3" w:rsidR="00FF01CD">
        <w:t>.</w:t>
      </w:r>
      <w:r w:rsidRPr="00DC14C3">
        <w:t xml:space="preserve"> Util</w:t>
      </w:r>
      <w:r w:rsidRPr="00DC14C3" w:rsidR="00FF01CD">
        <w:t>.</w:t>
      </w:r>
      <w:r w:rsidRPr="00DC14C3">
        <w:t xml:space="preserve"> Code</w:t>
      </w:r>
      <w:r w:rsidRPr="00DC14C3" w:rsidR="00BC53B2">
        <w:t xml:space="preserve"> </w:t>
      </w:r>
      <w:r w:rsidR="00FD33F5">
        <w:t xml:space="preserve">§ </w:t>
      </w:r>
      <w:r w:rsidRPr="00DC14C3" w:rsidR="00BC53B2">
        <w:t>319</w:t>
      </w:r>
      <w:r w:rsidRPr="00DC14C3">
        <w:t xml:space="preserve">, Commission </w:t>
      </w:r>
      <w:r w:rsidR="00EA731E">
        <w:t xml:space="preserve">decisions, </w:t>
      </w:r>
      <w:r w:rsidRPr="00DC14C3" w:rsidR="00FF01CD">
        <w:t xml:space="preserve">resolutions, </w:t>
      </w:r>
      <w:r w:rsidRPr="00DC14C3">
        <w:t xml:space="preserve">or other applicable standards, laws, </w:t>
      </w:r>
      <w:r w:rsidRPr="00DC14C3" w:rsidR="00DE361B">
        <w:t>rules,</w:t>
      </w:r>
      <w:r w:rsidRPr="00DC14C3">
        <w:t xml:space="preserve"> or regulations in connection with </w:t>
      </w:r>
      <w:r w:rsidR="00FD33F5">
        <w:t>assessment and remittance of its Mobile Telephony Services surcharge and user fees</w:t>
      </w:r>
      <w:r w:rsidRPr="00DC14C3">
        <w:t xml:space="preserve">. </w:t>
      </w:r>
      <w:r w:rsidRPr="00DC14C3" w:rsidR="002E51F4">
        <w:t xml:space="preserve"> </w:t>
      </w:r>
    </w:p>
    <w:p w:rsidRPr="00DC14C3" w:rsidR="00FC0B77" w:rsidP="00F87E04" w:rsidRDefault="00FD33F5" w14:paraId="1B994B6E" w14:textId="662C9A4F">
      <w:pPr>
        <w:numPr>
          <w:ilvl w:val="1"/>
          <w:numId w:val="2"/>
        </w:numPr>
        <w:spacing w:after="0" w:line="360" w:lineRule="auto"/>
        <w:ind w:left="0" w:firstLine="720"/>
      </w:pPr>
      <w:r w:rsidRPr="00DC14C3">
        <w:rPr>
          <w:szCs w:val="26"/>
        </w:rPr>
        <w:t>MetroPCS California, LLC</w:t>
      </w:r>
      <w:r w:rsidRPr="00DC14C3">
        <w:t xml:space="preserve"> </w:t>
      </w:r>
      <w:r w:rsidRPr="00DC14C3" w:rsidR="00121CBB">
        <w:t xml:space="preserve">is ordered to </w:t>
      </w:r>
      <w:r>
        <w:t xml:space="preserve">appear and </w:t>
      </w:r>
      <w:r w:rsidRPr="00DC14C3" w:rsidR="00121CBB">
        <w:t xml:space="preserve">show cause why the Commission should not order </w:t>
      </w:r>
      <w:r>
        <w:t>it</w:t>
      </w:r>
      <w:r w:rsidRPr="00DC14C3">
        <w:t xml:space="preserve"> </w:t>
      </w:r>
      <w:r w:rsidRPr="00DC14C3" w:rsidR="00121CBB">
        <w:t xml:space="preserve">to: </w:t>
      </w:r>
    </w:p>
    <w:p w:rsidRPr="00DC14C3" w:rsidR="002F1EFD" w:rsidP="00F87E04" w:rsidRDefault="00FC0B77" w14:paraId="1770E76F" w14:textId="1DF296EF">
      <w:pPr>
        <w:spacing w:after="120" w:line="240" w:lineRule="auto"/>
        <w:ind w:left="1440" w:right="1440" w:hanging="360"/>
        <w:rPr>
          <w:szCs w:val="26"/>
        </w:rPr>
      </w:pPr>
      <w:r w:rsidRPr="00DC14C3">
        <w:rPr>
          <w:szCs w:val="26"/>
        </w:rPr>
        <w:t>A.</w:t>
      </w:r>
      <w:r w:rsidR="00310DA5">
        <w:rPr>
          <w:szCs w:val="26"/>
        </w:rPr>
        <w:tab/>
      </w:r>
      <w:r w:rsidRPr="00DC14C3" w:rsidR="002F1EFD">
        <w:rPr>
          <w:szCs w:val="26"/>
        </w:rPr>
        <w:t>M</w:t>
      </w:r>
      <w:r w:rsidRPr="00DC14C3" w:rsidR="00397256">
        <w:rPr>
          <w:szCs w:val="26"/>
        </w:rPr>
        <w:t>ake</w:t>
      </w:r>
      <w:r w:rsidRPr="00DC14C3" w:rsidR="003A0041">
        <w:rPr>
          <w:szCs w:val="26"/>
        </w:rPr>
        <w:t xml:space="preserve"> remittances for </w:t>
      </w:r>
      <w:r w:rsidR="00171317">
        <w:rPr>
          <w:szCs w:val="26"/>
        </w:rPr>
        <w:t>underpayment of Public Purpose Program</w:t>
      </w:r>
      <w:r w:rsidRPr="00DC14C3" w:rsidR="00171317">
        <w:rPr>
          <w:szCs w:val="26"/>
        </w:rPr>
        <w:t xml:space="preserve"> </w:t>
      </w:r>
      <w:r w:rsidRPr="00DC14C3" w:rsidR="003A0041">
        <w:rPr>
          <w:szCs w:val="26"/>
        </w:rPr>
        <w:t>Surcharges and Commission User Fee</w:t>
      </w:r>
      <w:r w:rsidR="00F120DB">
        <w:rPr>
          <w:szCs w:val="26"/>
        </w:rPr>
        <w:t>(s)</w:t>
      </w:r>
      <w:r w:rsidRPr="00DC14C3" w:rsidR="003A0041">
        <w:rPr>
          <w:szCs w:val="26"/>
        </w:rPr>
        <w:t xml:space="preserve"> </w:t>
      </w:r>
      <w:r w:rsidRPr="00DC14C3" w:rsidR="00397256">
        <w:rPr>
          <w:szCs w:val="26"/>
        </w:rPr>
        <w:t>pursuant to</w:t>
      </w:r>
      <w:r w:rsidR="00F120DB">
        <w:rPr>
          <w:szCs w:val="26"/>
        </w:rPr>
        <w:t xml:space="preserve"> the Prepaid Act,</w:t>
      </w:r>
      <w:r w:rsidRPr="00DC14C3" w:rsidR="003A0041">
        <w:rPr>
          <w:szCs w:val="26"/>
        </w:rPr>
        <w:t xml:space="preserve"> </w:t>
      </w:r>
      <w:r w:rsidR="00171317">
        <w:rPr>
          <w:szCs w:val="26"/>
        </w:rPr>
        <w:t>Public Utilities</w:t>
      </w:r>
      <w:r w:rsidRPr="00DC14C3" w:rsidR="003A0041">
        <w:rPr>
          <w:szCs w:val="26"/>
        </w:rPr>
        <w:t xml:space="preserve"> Code </w:t>
      </w:r>
      <w:r w:rsidR="00171317">
        <w:rPr>
          <w:szCs w:val="26"/>
        </w:rPr>
        <w:t xml:space="preserve">§ </w:t>
      </w:r>
      <w:r w:rsidRPr="00DC14C3" w:rsidR="003A0041">
        <w:rPr>
          <w:szCs w:val="26"/>
        </w:rPr>
        <w:t>319</w:t>
      </w:r>
      <w:r w:rsidR="00C63661">
        <w:rPr>
          <w:szCs w:val="26"/>
        </w:rPr>
        <w:t xml:space="preserve">, </w:t>
      </w:r>
      <w:r w:rsidRPr="00DC14C3" w:rsidR="003A0041">
        <w:rPr>
          <w:szCs w:val="26"/>
        </w:rPr>
        <w:t>Commission Resolutions T-17542 and T-17579, and any other applicable laws and regulations</w:t>
      </w:r>
      <w:r w:rsidR="00C63661">
        <w:rPr>
          <w:szCs w:val="26"/>
        </w:rPr>
        <w:t>.</w:t>
      </w:r>
      <w:r w:rsidRPr="00DC14C3" w:rsidR="003A0041">
        <w:rPr>
          <w:szCs w:val="26"/>
        </w:rPr>
        <w:t xml:space="preserve"> </w:t>
      </w:r>
    </w:p>
    <w:p w:rsidRPr="00DC14C3" w:rsidR="00FC0B77" w:rsidP="00F87E04" w:rsidRDefault="008D4FEF" w14:paraId="6695A0E3" w14:textId="441CD372">
      <w:pPr>
        <w:spacing w:after="120" w:line="240" w:lineRule="auto"/>
        <w:ind w:left="1440" w:right="1440" w:hanging="360"/>
        <w:rPr>
          <w:szCs w:val="26"/>
        </w:rPr>
      </w:pPr>
      <w:r>
        <w:rPr>
          <w:szCs w:val="26"/>
        </w:rPr>
        <w:t>B</w:t>
      </w:r>
      <w:r w:rsidRPr="00DC14C3" w:rsidR="002F1EFD">
        <w:rPr>
          <w:szCs w:val="26"/>
        </w:rPr>
        <w:t>.</w:t>
      </w:r>
      <w:r w:rsidR="00310DA5">
        <w:rPr>
          <w:szCs w:val="26"/>
        </w:rPr>
        <w:tab/>
      </w:r>
      <w:r w:rsidR="00171317">
        <w:rPr>
          <w:szCs w:val="26"/>
        </w:rPr>
        <w:t>P</w:t>
      </w:r>
      <w:r w:rsidRPr="00DC14C3" w:rsidR="002F1EFD">
        <w:rPr>
          <w:szCs w:val="26"/>
        </w:rPr>
        <w:t xml:space="preserve">ay </w:t>
      </w:r>
      <w:r w:rsidRPr="00DC14C3" w:rsidR="003A0041">
        <w:rPr>
          <w:szCs w:val="26"/>
        </w:rPr>
        <w:t>interest and additional interest accrued since October 16, 2020, the date of CD’s Demand Letter</w:t>
      </w:r>
      <w:r w:rsidR="00C63661">
        <w:rPr>
          <w:szCs w:val="26"/>
        </w:rPr>
        <w:t>.</w:t>
      </w:r>
      <w:r w:rsidRPr="00DC14C3" w:rsidR="003A0041">
        <w:rPr>
          <w:szCs w:val="26"/>
        </w:rPr>
        <w:t xml:space="preserve"> </w:t>
      </w:r>
    </w:p>
    <w:p w:rsidRPr="00DC14C3" w:rsidR="005C1507" w:rsidP="00F87E04" w:rsidRDefault="008D4FEF" w14:paraId="012A3B0D" w14:textId="1681F94B">
      <w:pPr>
        <w:spacing w:after="120" w:line="240" w:lineRule="auto"/>
        <w:ind w:left="1440" w:right="1440" w:hanging="360"/>
        <w:rPr>
          <w:szCs w:val="26"/>
        </w:rPr>
      </w:pPr>
      <w:r>
        <w:rPr>
          <w:szCs w:val="26"/>
        </w:rPr>
        <w:t>C</w:t>
      </w:r>
      <w:r w:rsidRPr="00DC14C3" w:rsidR="00016B16">
        <w:rPr>
          <w:szCs w:val="26"/>
        </w:rPr>
        <w:t>.</w:t>
      </w:r>
      <w:r w:rsidR="00310DA5">
        <w:rPr>
          <w:szCs w:val="26"/>
        </w:rPr>
        <w:tab/>
      </w:r>
      <w:r w:rsidR="00171317">
        <w:rPr>
          <w:szCs w:val="26"/>
        </w:rPr>
        <w:t>Pay penalties associated with</w:t>
      </w:r>
      <w:r w:rsidRPr="00DC14C3" w:rsidR="005C1507">
        <w:rPr>
          <w:szCs w:val="26"/>
        </w:rPr>
        <w:t xml:space="preserve"> </w:t>
      </w:r>
      <w:r w:rsidR="00516869">
        <w:rPr>
          <w:szCs w:val="26"/>
        </w:rPr>
        <w:t xml:space="preserve">late </w:t>
      </w:r>
      <w:r w:rsidRPr="00DC14C3" w:rsidR="005C1507">
        <w:rPr>
          <w:szCs w:val="26"/>
        </w:rPr>
        <w:t xml:space="preserve">Commission User Fee </w:t>
      </w:r>
      <w:r w:rsidR="00171317">
        <w:rPr>
          <w:szCs w:val="26"/>
        </w:rPr>
        <w:t>payments</w:t>
      </w:r>
      <w:r>
        <w:rPr>
          <w:szCs w:val="26"/>
        </w:rPr>
        <w:t>.</w:t>
      </w:r>
    </w:p>
    <w:p w:rsidRPr="00DC14C3" w:rsidR="00AD5369" w:rsidP="00F87E04" w:rsidRDefault="008D4FEF" w14:paraId="05813731" w14:textId="50C30215">
      <w:pPr>
        <w:spacing w:after="120" w:line="240" w:lineRule="auto"/>
        <w:ind w:left="1440" w:right="1440" w:hanging="360"/>
        <w:rPr>
          <w:szCs w:val="26"/>
        </w:rPr>
      </w:pPr>
      <w:r>
        <w:rPr>
          <w:szCs w:val="26"/>
        </w:rPr>
        <w:t>D</w:t>
      </w:r>
      <w:r w:rsidRPr="00DC14C3" w:rsidR="00FC0B77">
        <w:rPr>
          <w:szCs w:val="26"/>
        </w:rPr>
        <w:t>.</w:t>
      </w:r>
      <w:r w:rsidR="00310DA5">
        <w:rPr>
          <w:szCs w:val="26"/>
        </w:rPr>
        <w:tab/>
      </w:r>
      <w:r w:rsidR="00171317">
        <w:rPr>
          <w:szCs w:val="26"/>
        </w:rPr>
        <w:t>Pay</w:t>
      </w:r>
      <w:r w:rsidRPr="00DC14C3" w:rsidR="003A0041">
        <w:rPr>
          <w:szCs w:val="26"/>
        </w:rPr>
        <w:t xml:space="preserve"> </w:t>
      </w:r>
      <w:r w:rsidR="00171317">
        <w:rPr>
          <w:szCs w:val="26"/>
        </w:rPr>
        <w:t>a</w:t>
      </w:r>
      <w:r w:rsidRPr="00DC14C3" w:rsidR="00171317">
        <w:rPr>
          <w:szCs w:val="26"/>
        </w:rPr>
        <w:t xml:space="preserve"> </w:t>
      </w:r>
      <w:r w:rsidRPr="00DC14C3" w:rsidR="003A0041">
        <w:rPr>
          <w:szCs w:val="26"/>
        </w:rPr>
        <w:t xml:space="preserve">penalty for </w:t>
      </w:r>
      <w:r w:rsidR="00171317">
        <w:rPr>
          <w:szCs w:val="26"/>
        </w:rPr>
        <w:t>failing</w:t>
      </w:r>
      <w:r w:rsidRPr="00DC14C3" w:rsidR="00171317">
        <w:rPr>
          <w:szCs w:val="26"/>
        </w:rPr>
        <w:t xml:space="preserve"> </w:t>
      </w:r>
      <w:r w:rsidRPr="00DC14C3" w:rsidR="003A0041">
        <w:rPr>
          <w:szCs w:val="26"/>
        </w:rPr>
        <w:t xml:space="preserve">to comply with Pub. Util. Code </w:t>
      </w:r>
      <w:r w:rsidR="00171317">
        <w:rPr>
          <w:szCs w:val="26"/>
        </w:rPr>
        <w:t xml:space="preserve">§ </w:t>
      </w:r>
      <w:r w:rsidRPr="00DC14C3" w:rsidR="003A0041">
        <w:rPr>
          <w:szCs w:val="26"/>
        </w:rPr>
        <w:t>31</w:t>
      </w:r>
      <w:r w:rsidRPr="00DC14C3" w:rsidR="0072545C">
        <w:rPr>
          <w:szCs w:val="26"/>
        </w:rPr>
        <w:t>4</w:t>
      </w:r>
      <w:r w:rsidRPr="00DC14C3" w:rsidR="003A0041">
        <w:rPr>
          <w:szCs w:val="26"/>
        </w:rPr>
        <w:t xml:space="preserve">, </w:t>
      </w:r>
      <w:r w:rsidRPr="00DC14C3" w:rsidR="0072545C">
        <w:rPr>
          <w:szCs w:val="26"/>
        </w:rPr>
        <w:t>and</w:t>
      </w:r>
      <w:r w:rsidR="009B52A4">
        <w:rPr>
          <w:szCs w:val="26"/>
        </w:rPr>
        <w:t xml:space="preserve"> </w:t>
      </w:r>
      <w:r w:rsidRPr="00DC14C3" w:rsidR="0072545C">
        <w:rPr>
          <w:szCs w:val="26"/>
        </w:rPr>
        <w:t>Rule 1.1</w:t>
      </w:r>
      <w:r w:rsidR="009B52A4">
        <w:rPr>
          <w:szCs w:val="26"/>
        </w:rPr>
        <w:t>.</w:t>
      </w:r>
      <w:r w:rsidRPr="00DC14C3" w:rsidDel="0072545C" w:rsidR="0072545C">
        <w:rPr>
          <w:szCs w:val="26"/>
        </w:rPr>
        <w:t xml:space="preserve"> </w:t>
      </w:r>
    </w:p>
    <w:p w:rsidRPr="00DC14C3" w:rsidR="005C1507" w:rsidP="00F87E04" w:rsidRDefault="008D4FEF" w14:paraId="352F8A53" w14:textId="3F5314C6">
      <w:pPr>
        <w:spacing w:after="120" w:line="240" w:lineRule="auto"/>
        <w:ind w:left="1440" w:right="1440" w:hanging="360"/>
        <w:rPr>
          <w:szCs w:val="26"/>
        </w:rPr>
      </w:pPr>
      <w:r>
        <w:rPr>
          <w:szCs w:val="26"/>
        </w:rPr>
        <w:t>E</w:t>
      </w:r>
      <w:r w:rsidRPr="00DC14C3" w:rsidR="00016B16">
        <w:rPr>
          <w:szCs w:val="26"/>
        </w:rPr>
        <w:t>.</w:t>
      </w:r>
      <w:r w:rsidR="00310DA5">
        <w:rPr>
          <w:szCs w:val="26"/>
        </w:rPr>
        <w:tab/>
      </w:r>
      <w:r w:rsidR="00D83DBB">
        <w:rPr>
          <w:szCs w:val="26"/>
        </w:rPr>
        <w:t xml:space="preserve">Be </w:t>
      </w:r>
      <w:bookmarkStart w:name="_Hlk99908462" w:id="9"/>
      <w:r w:rsidR="00D83DBB">
        <w:rPr>
          <w:szCs w:val="26"/>
        </w:rPr>
        <w:t>subject to additional remedies</w:t>
      </w:r>
      <w:r w:rsidRPr="00DC14C3" w:rsidR="003A0041">
        <w:rPr>
          <w:szCs w:val="26"/>
        </w:rPr>
        <w:t xml:space="preserve"> </w:t>
      </w:r>
      <w:r w:rsidR="00442962">
        <w:rPr>
          <w:szCs w:val="26"/>
        </w:rPr>
        <w:t xml:space="preserve">and corrective action </w:t>
      </w:r>
      <w:bookmarkEnd w:id="9"/>
      <w:r w:rsidRPr="00DC14C3" w:rsidR="003A0041">
        <w:rPr>
          <w:szCs w:val="26"/>
        </w:rPr>
        <w:t>for its conduct during the Commission’s investigation</w:t>
      </w:r>
      <w:r w:rsidRPr="00DC14C3" w:rsidR="0072545C">
        <w:rPr>
          <w:szCs w:val="26"/>
        </w:rPr>
        <w:t>.</w:t>
      </w:r>
    </w:p>
    <w:p w:rsidRPr="00DC14C3" w:rsidR="006C1701" w:rsidP="00F87E04" w:rsidRDefault="00D83DBB" w14:paraId="31E27A0C" w14:textId="7C15243B">
      <w:pPr>
        <w:numPr>
          <w:ilvl w:val="1"/>
          <w:numId w:val="2"/>
        </w:numPr>
        <w:spacing w:after="4" w:line="357" w:lineRule="auto"/>
        <w:ind w:left="0" w:right="5" w:firstLine="720"/>
      </w:pPr>
      <w:r w:rsidRPr="00DC14C3">
        <w:rPr>
          <w:szCs w:val="26"/>
        </w:rPr>
        <w:lastRenderedPageBreak/>
        <w:t>MetroPCS California, LLC</w:t>
      </w:r>
      <w:r w:rsidRPr="00DC14C3">
        <w:t xml:space="preserve"> </w:t>
      </w:r>
      <w:r w:rsidRPr="00DC14C3" w:rsidR="00121CBB">
        <w:t xml:space="preserve">is a respondent to this Investigation and shall be subject to Commission orders in this matter. </w:t>
      </w:r>
    </w:p>
    <w:p w:rsidR="006C1701" w:rsidP="00F87E04" w:rsidRDefault="00D83DBB" w14:paraId="5870EED5" w14:textId="126B3224">
      <w:pPr>
        <w:numPr>
          <w:ilvl w:val="1"/>
          <w:numId w:val="2"/>
        </w:numPr>
        <w:spacing w:after="4" w:line="357" w:lineRule="auto"/>
        <w:ind w:left="0" w:right="5" w:firstLine="720"/>
      </w:pPr>
      <w:r w:rsidRPr="00DC14C3">
        <w:rPr>
          <w:szCs w:val="26"/>
        </w:rPr>
        <w:t>MetroPCS California, LLC</w:t>
      </w:r>
      <w:r w:rsidRPr="00DC14C3">
        <w:t xml:space="preserve"> </w:t>
      </w:r>
      <w:r w:rsidRPr="00DC14C3" w:rsidR="00121CBB">
        <w:t xml:space="preserve">shall file and serve a response to </w:t>
      </w:r>
      <w:r w:rsidRPr="00DC14C3" w:rsidR="002E51F4">
        <w:t>the Preliminary Scoping memo</w:t>
      </w:r>
      <w:r w:rsidRPr="00DC14C3" w:rsidR="00121CBB">
        <w:t xml:space="preserve"> within 30 days of the mailing date of this Order. </w:t>
      </w:r>
    </w:p>
    <w:p w:rsidRPr="00DC14C3" w:rsidR="00D83DBB" w:rsidP="00F87E04" w:rsidRDefault="00D83DBB" w14:paraId="0161BAB5" w14:textId="0793A417">
      <w:pPr>
        <w:numPr>
          <w:ilvl w:val="1"/>
          <w:numId w:val="2"/>
        </w:numPr>
        <w:spacing w:after="4" w:line="357" w:lineRule="auto"/>
        <w:ind w:left="0" w:right="5" w:firstLine="720"/>
      </w:pPr>
      <w:r>
        <w:rPr>
          <w:szCs w:val="26"/>
        </w:rPr>
        <w:t>The Consumer Protection and Enforcement</w:t>
      </w:r>
      <w:r w:rsidRPr="00DC14C3">
        <w:t xml:space="preserve"> </w:t>
      </w:r>
      <w:r>
        <w:rPr>
          <w:szCs w:val="26"/>
        </w:rPr>
        <w:t>Division is a party to this Investigation.</w:t>
      </w:r>
    </w:p>
    <w:p w:rsidR="006C1701" w:rsidP="00F87E04" w:rsidRDefault="00121CBB" w14:paraId="02705F97" w14:textId="2252F95B">
      <w:pPr>
        <w:numPr>
          <w:ilvl w:val="1"/>
          <w:numId w:val="2"/>
        </w:numPr>
        <w:spacing w:after="124" w:line="360" w:lineRule="auto"/>
        <w:ind w:left="0" w:right="5" w:firstLine="720"/>
      </w:pPr>
      <w:r w:rsidRPr="00DC14C3">
        <w:t xml:space="preserve">A copy of </w:t>
      </w:r>
      <w:r w:rsidR="00D83DBB">
        <w:t xml:space="preserve">the </w:t>
      </w:r>
      <w:r w:rsidR="00D83DBB">
        <w:rPr>
          <w:szCs w:val="26"/>
        </w:rPr>
        <w:t>Consumer Protection and Enforcement</w:t>
      </w:r>
      <w:r w:rsidRPr="00DC14C3" w:rsidR="00D83DBB">
        <w:t xml:space="preserve"> </w:t>
      </w:r>
      <w:r w:rsidR="00D83DBB">
        <w:rPr>
          <w:szCs w:val="26"/>
        </w:rPr>
        <w:t>Division’s</w:t>
      </w:r>
      <w:r w:rsidRPr="00DC14C3" w:rsidR="00D83DBB">
        <w:t xml:space="preserve"> </w:t>
      </w:r>
      <w:r w:rsidRPr="00DC14C3" w:rsidR="001575B0">
        <w:t>Staff R</w:t>
      </w:r>
      <w:r w:rsidRPr="00DC14C3">
        <w:t>eport entitled: “</w:t>
      </w:r>
      <w:r w:rsidRPr="00DC14C3" w:rsidR="00BD03E4">
        <w:rPr>
          <w:bCs/>
          <w:szCs w:val="26"/>
        </w:rPr>
        <w:t>Investigation of MetroPCS California LLC (U-3079-C) For Failure to Remit Prepaid Mobile Telephon</w:t>
      </w:r>
      <w:r w:rsidRPr="00DC14C3" w:rsidR="005675E2">
        <w:rPr>
          <w:bCs/>
          <w:szCs w:val="26"/>
        </w:rPr>
        <w:t>y</w:t>
      </w:r>
      <w:r w:rsidRPr="00DC14C3" w:rsidR="00BD03E4">
        <w:rPr>
          <w:bCs/>
          <w:szCs w:val="26"/>
        </w:rPr>
        <w:t xml:space="preserve"> Service Surcharges and User Fees</w:t>
      </w:r>
      <w:r w:rsidRPr="00DC14C3">
        <w:t xml:space="preserve">” is included as Attachment A of this OII.   </w:t>
      </w:r>
    </w:p>
    <w:p w:rsidRPr="00DC14C3" w:rsidR="00F95B59" w:rsidP="00F87E04" w:rsidRDefault="00F95B59" w14:paraId="6434DC04" w14:textId="2A7E91C2">
      <w:pPr>
        <w:numPr>
          <w:ilvl w:val="1"/>
          <w:numId w:val="2"/>
        </w:numPr>
        <w:spacing w:after="124" w:line="360" w:lineRule="auto"/>
        <w:ind w:left="0" w:right="5" w:firstLine="720"/>
      </w:pPr>
      <w:r>
        <w:t xml:space="preserve">MetroPCS maintains that certain information relating to the "revenue allocation, MTS surcharge calculation methodology, reported revenue and surcharges, and potential surcharge underpayment and fines in Attachments C, D, F, G, H, K, L, M, N, O, Q, R" are confidential and proprietary and requests confidential treatment in accordance with General Order 66-C.  In addition, </w:t>
      </w:r>
      <w:r w:rsidR="00857CCB">
        <w:t>CPED/</w:t>
      </w:r>
      <w:r>
        <w:t xml:space="preserve">UEB Staff may submit under seal confidential information obtained from MetroPCS, or seek an order authorizing disclosure of confidential information from the assigned Administrative Law Judge pursuant to Public Utilities Code </w:t>
      </w:r>
      <m:oMath>
        <m:r>
          <w:rPr>
            <w:rFonts w:ascii="Cambria Math" w:hAnsi="Cambria Math"/>
          </w:rPr>
          <m:t>§</m:t>
        </m:r>
      </m:oMath>
      <w:r>
        <w:t xml:space="preserve"> 583 and/or General Order 66-D in the course of this proceeding</w:t>
      </w:r>
    </w:p>
    <w:p w:rsidRPr="00DC14C3" w:rsidR="006C1701" w:rsidP="00F87E04" w:rsidRDefault="00121CBB" w14:paraId="2C0FC341" w14:textId="77777777">
      <w:pPr>
        <w:numPr>
          <w:ilvl w:val="1"/>
          <w:numId w:val="2"/>
        </w:numPr>
        <w:spacing w:after="4" w:line="357" w:lineRule="auto"/>
        <w:ind w:left="0" w:right="5" w:firstLine="720"/>
      </w:pPr>
      <w:r w:rsidRPr="00DC14C3">
        <w:t xml:space="preserve">The preliminary scope of issues for this Investigation is as stated in the body of this Order. </w:t>
      </w:r>
    </w:p>
    <w:p w:rsidRPr="00DC14C3" w:rsidR="006C1701" w:rsidP="00F87E04" w:rsidRDefault="00D83DBB" w14:paraId="73C24C36" w14:textId="6C175669">
      <w:pPr>
        <w:numPr>
          <w:ilvl w:val="1"/>
          <w:numId w:val="2"/>
        </w:numPr>
        <w:spacing w:after="4" w:line="357" w:lineRule="auto"/>
        <w:ind w:left="0" w:right="5" w:firstLine="720"/>
      </w:pPr>
      <w:r w:rsidRPr="00DC14C3">
        <w:rPr>
          <w:szCs w:val="26"/>
        </w:rPr>
        <w:t>MetroPCS California, LLC</w:t>
      </w:r>
      <w:r w:rsidRPr="00DC14C3">
        <w:t xml:space="preserve"> </w:t>
      </w:r>
      <w:r w:rsidRPr="00DC14C3" w:rsidR="00121CBB">
        <w:t xml:space="preserve">is hereby given notice that fines or other remedies may be imposed in this matter. </w:t>
      </w:r>
    </w:p>
    <w:p w:rsidRPr="00DC14C3" w:rsidR="006C1701" w:rsidP="00F87E04" w:rsidRDefault="00D83DBB" w14:paraId="7FF29BEA" w14:textId="6883A42E">
      <w:pPr>
        <w:numPr>
          <w:ilvl w:val="1"/>
          <w:numId w:val="2"/>
        </w:numPr>
        <w:spacing w:after="1" w:line="358" w:lineRule="auto"/>
        <w:ind w:left="0" w:right="5" w:firstLine="720"/>
      </w:pPr>
      <w:r w:rsidRPr="00DC14C3">
        <w:rPr>
          <w:szCs w:val="26"/>
        </w:rPr>
        <w:t>MetroPCS California, LLC</w:t>
      </w:r>
      <w:r w:rsidRPr="00DC14C3">
        <w:t xml:space="preserve"> </w:t>
      </w:r>
      <w:r w:rsidRPr="00DC14C3" w:rsidR="00121CBB">
        <w:t>is hereby given notice that the Commission may order the implementation of operational and policy measures designed to prevent futu</w:t>
      </w:r>
      <w:r w:rsidR="00EA731E">
        <w:t xml:space="preserve">re surcharge remittance and reporting practice </w:t>
      </w:r>
      <w:r w:rsidRPr="00DC14C3" w:rsidR="00121CBB">
        <w:t xml:space="preserve">violations. </w:t>
      </w:r>
    </w:p>
    <w:p w:rsidRPr="00DC14C3" w:rsidR="006C1701" w:rsidP="00F87E04" w:rsidRDefault="00121CBB" w14:paraId="19545A38" w14:textId="3603C3DF">
      <w:pPr>
        <w:numPr>
          <w:ilvl w:val="1"/>
          <w:numId w:val="2"/>
        </w:numPr>
        <w:spacing w:after="4" w:line="357" w:lineRule="auto"/>
        <w:ind w:left="0" w:right="5" w:firstLine="720"/>
      </w:pPr>
      <w:r w:rsidRPr="00DC14C3">
        <w:lastRenderedPageBreak/>
        <w:t xml:space="preserve">This proceeding is classified as adjudicatory, as that term is defined in Rule 1.3(a).  Under Rule 7.6, this Order is appealable only as to category no later than 10 days after the date of this Order. </w:t>
      </w:r>
    </w:p>
    <w:p w:rsidRPr="00DC14C3" w:rsidR="006C1701" w:rsidP="00F87E04" w:rsidRDefault="00121CBB" w14:paraId="5415D3B6" w14:textId="77777777">
      <w:pPr>
        <w:numPr>
          <w:ilvl w:val="1"/>
          <w:numId w:val="2"/>
        </w:numPr>
        <w:spacing w:after="4" w:line="357" w:lineRule="auto"/>
        <w:ind w:left="0" w:right="5" w:firstLine="720"/>
      </w:pPr>
      <w:r w:rsidRPr="00DC14C3">
        <w:t xml:space="preserve">Parties shall file responses on the scope and issues identified in the preliminary scoping memo within 30 days of the date this Order is issued. </w:t>
      </w:r>
    </w:p>
    <w:p w:rsidRPr="00DC14C3" w:rsidR="006C1701" w:rsidP="00F87E04" w:rsidRDefault="00121CBB" w14:paraId="6467BDE3" w14:textId="39AE66DA">
      <w:pPr>
        <w:numPr>
          <w:ilvl w:val="1"/>
          <w:numId w:val="2"/>
        </w:numPr>
        <w:spacing w:after="4" w:line="357" w:lineRule="auto"/>
        <w:ind w:left="0" w:right="5" w:firstLine="720"/>
      </w:pPr>
      <w:r w:rsidRPr="00DC14C3">
        <w:t xml:space="preserve">Parties may file replies to responses on the scope and issues identified in the </w:t>
      </w:r>
      <w:r w:rsidRPr="00DC14C3" w:rsidR="002E51F4">
        <w:t>P</w:t>
      </w:r>
      <w:r w:rsidRPr="00DC14C3">
        <w:t xml:space="preserve">reliminary </w:t>
      </w:r>
      <w:r w:rsidRPr="00DC14C3" w:rsidR="002E51F4">
        <w:t>S</w:t>
      </w:r>
      <w:r w:rsidRPr="00DC14C3">
        <w:t xml:space="preserve">coping </w:t>
      </w:r>
      <w:r w:rsidRPr="00DC14C3" w:rsidR="002E51F4">
        <w:t>M</w:t>
      </w:r>
      <w:r w:rsidRPr="00DC14C3">
        <w:t xml:space="preserve">emo within 10 days of the date the responses are due. </w:t>
      </w:r>
    </w:p>
    <w:p w:rsidRPr="00DC14C3" w:rsidR="006C1701" w:rsidP="00F87E04" w:rsidRDefault="00121CBB" w14:paraId="7AECA652" w14:textId="5DFC0ECC">
      <w:pPr>
        <w:numPr>
          <w:ilvl w:val="1"/>
          <w:numId w:val="2"/>
        </w:numPr>
        <w:spacing w:after="4" w:line="357" w:lineRule="auto"/>
        <w:ind w:left="0" w:right="5" w:firstLine="720"/>
      </w:pPr>
      <w:r w:rsidRPr="00DC14C3">
        <w:t xml:space="preserve">The assigned Commissioner or Administrative Law Judge may adjust the schedule identified herein.  </w:t>
      </w:r>
    </w:p>
    <w:p w:rsidRPr="00DC14C3" w:rsidR="006C1701" w:rsidP="00F87E04" w:rsidRDefault="00121CBB" w14:paraId="63B59777" w14:textId="0A02A6F9">
      <w:pPr>
        <w:numPr>
          <w:ilvl w:val="1"/>
          <w:numId w:val="2"/>
        </w:numPr>
        <w:spacing w:after="4" w:line="357" w:lineRule="auto"/>
        <w:ind w:left="0" w:right="5" w:firstLine="720"/>
      </w:pPr>
      <w:r w:rsidRPr="00DC14C3">
        <w:t xml:space="preserve">A party that expects to request intervenor compensation for its participation in this investigation shall file its notice of intent to claim intervenor compensation in accordance with Rule 17.1. </w:t>
      </w:r>
    </w:p>
    <w:p w:rsidRPr="00DC14C3" w:rsidR="006C1701" w:rsidP="00F87E04" w:rsidRDefault="00121CBB" w14:paraId="48809DDA" w14:textId="6D5C7157">
      <w:pPr>
        <w:numPr>
          <w:ilvl w:val="1"/>
          <w:numId w:val="2"/>
        </w:numPr>
        <w:spacing w:after="4" w:line="357" w:lineRule="auto"/>
        <w:ind w:left="0" w:right="5" w:firstLine="720"/>
      </w:pPr>
      <w:r w:rsidRPr="00DC14C3">
        <w:rPr>
          <w:i/>
        </w:rPr>
        <w:t>Ex parte</w:t>
      </w:r>
      <w:r w:rsidRPr="00DC14C3">
        <w:t xml:space="preserve"> communications are prohibited as set forth in Rule 8.2(b). </w:t>
      </w:r>
    </w:p>
    <w:p w:rsidRPr="00DC14C3" w:rsidR="006C1701" w:rsidP="00F87E04" w:rsidRDefault="00121CBB" w14:paraId="09348413" w14:textId="23C6BE23">
      <w:pPr>
        <w:numPr>
          <w:ilvl w:val="1"/>
          <w:numId w:val="2"/>
        </w:numPr>
        <w:spacing w:after="4" w:line="357" w:lineRule="auto"/>
        <w:ind w:left="0" w:right="5" w:firstLine="720"/>
      </w:pPr>
      <w:r w:rsidRPr="00DC14C3">
        <w:t xml:space="preserve">The service list for this proceeding is set forth below.  This list includes the respondent </w:t>
      </w:r>
      <w:r w:rsidRPr="00DC14C3" w:rsidR="00D83DBB">
        <w:rPr>
          <w:szCs w:val="26"/>
        </w:rPr>
        <w:t>MetroPCS California, LLC</w:t>
      </w:r>
      <w:r w:rsidRPr="00DC14C3" w:rsidR="00D83DBB">
        <w:t xml:space="preserve"> </w:t>
      </w:r>
      <w:r w:rsidRPr="00DC14C3">
        <w:t xml:space="preserve">and </w:t>
      </w:r>
      <w:r w:rsidR="00D83DBB">
        <w:t>the Consumer Protection and Enforcement Division</w:t>
      </w:r>
      <w:r w:rsidRPr="00DC14C3">
        <w:t xml:space="preserve">.  Persons may seek party status </w:t>
      </w:r>
      <w:r w:rsidR="00D83DBB">
        <w:t>pursuant to Rule 1.4</w:t>
      </w:r>
      <w:r w:rsidR="009B52A4">
        <w:t>.</w:t>
      </w:r>
    </w:p>
    <w:p w:rsidRPr="00D03877" w:rsidR="006C1701" w:rsidP="00F87E04" w:rsidRDefault="00121CBB" w14:paraId="3EBB7224" w14:textId="7C269D2F">
      <w:pPr>
        <w:numPr>
          <w:ilvl w:val="1"/>
          <w:numId w:val="2"/>
        </w:numPr>
        <w:spacing w:after="4" w:line="357" w:lineRule="auto"/>
        <w:ind w:left="0" w:right="5" w:firstLine="720"/>
      </w:pPr>
      <w:r w:rsidRPr="00DC14C3">
        <w:t xml:space="preserve">The Executive Director shall cause a copy of this Order </w:t>
      </w:r>
      <w:r w:rsidR="00D03877">
        <w:t xml:space="preserve">and the Confidential Consumer Protection and Enforcement Division’s </w:t>
      </w:r>
      <w:r w:rsidR="0084600B">
        <w:t>Investigation</w:t>
      </w:r>
      <w:r w:rsidR="00D03877">
        <w:t xml:space="preserve"> Report (Attachment A) to be </w:t>
      </w:r>
      <w:r w:rsidRPr="00DC14C3">
        <w:t xml:space="preserve">served </w:t>
      </w:r>
      <w:r w:rsidR="00D03877">
        <w:t xml:space="preserve">upon the Respondent </w:t>
      </w:r>
      <w:r w:rsidRPr="00DC14C3" w:rsidR="00207E23">
        <w:rPr>
          <w:szCs w:val="26"/>
        </w:rPr>
        <w:t>MetroPCS California, LLC</w:t>
      </w:r>
      <w:r w:rsidRPr="00DC14C3" w:rsidR="00207E23">
        <w:t xml:space="preserve"> </w:t>
      </w:r>
      <w:r w:rsidRPr="00DC14C3" w:rsidR="0084600B">
        <w:t xml:space="preserve">by certified mail </w:t>
      </w:r>
      <w:r w:rsidR="0084600B">
        <w:t xml:space="preserve">and a hard </w:t>
      </w:r>
      <w:r w:rsidR="00EA731E">
        <w:t xml:space="preserve">copy </w:t>
      </w:r>
      <w:r w:rsidRPr="00DC14C3">
        <w:t>to each person listed below:</w:t>
      </w:r>
      <w:r w:rsidRPr="00DC14C3">
        <w:rPr>
          <w:i/>
        </w:rPr>
        <w:t xml:space="preserve"> </w:t>
      </w:r>
    </w:p>
    <w:p w:rsidR="006C1701" w:rsidP="00311379" w:rsidRDefault="006C1701" w14:paraId="7620275C" w14:textId="77777777">
      <w:pPr>
        <w:ind w:left="0" w:firstLine="0"/>
      </w:pPr>
    </w:p>
    <w:tbl>
      <w:tblPr>
        <w:tblW w:w="10986" w:type="dxa"/>
        <w:tblInd w:w="-168" w:type="dxa"/>
        <w:tblBorders>
          <w:top w:val="none" w:color="auto" w:sz="6" w:space="0"/>
          <w:left w:val="none" w:color="auto" w:sz="6" w:space="0"/>
          <w:bottom w:val="none" w:color="auto" w:sz="6" w:space="0"/>
          <w:right w:val="none" w:color="auto" w:sz="6" w:space="0"/>
        </w:tblBorders>
        <w:tblLayout w:type="fixed"/>
        <w:tblLook w:val="0000" w:firstRow="0" w:lastRow="0" w:firstColumn="0" w:lastColumn="0" w:noHBand="0" w:noVBand="0"/>
      </w:tblPr>
      <w:tblGrid>
        <w:gridCol w:w="5493"/>
        <w:gridCol w:w="5493"/>
      </w:tblGrid>
      <w:tr w:rsidRPr="00556C5C" w:rsidR="00556C5C" w:rsidTr="003A7E8A" w14:paraId="3489CAF1" w14:textId="77777777">
        <w:trPr>
          <w:trHeight w:val="1058"/>
        </w:trPr>
        <w:tc>
          <w:tcPr>
            <w:tcW w:w="5493" w:type="dxa"/>
            <w:tcBorders>
              <w:top w:val="none" w:color="auto" w:sz="6" w:space="0"/>
              <w:bottom w:val="none" w:color="auto" w:sz="6" w:space="0"/>
              <w:right w:val="none" w:color="auto" w:sz="6" w:space="0"/>
            </w:tcBorders>
          </w:tcPr>
          <w:p w:rsidRPr="00C33E20" w:rsidR="00C33E20" w:rsidP="00556C5C" w:rsidRDefault="00C33E20" w14:paraId="35A69733" w14:textId="54AA7F04">
            <w:pPr>
              <w:autoSpaceDE w:val="0"/>
              <w:autoSpaceDN w:val="0"/>
              <w:adjustRightInd w:val="0"/>
              <w:spacing w:after="0" w:line="240" w:lineRule="auto"/>
              <w:ind w:left="0" w:firstLine="0"/>
              <w:rPr>
                <w:rFonts w:eastAsiaTheme="minorEastAsia"/>
                <w:color w:val="auto"/>
                <w:szCs w:val="26"/>
              </w:rPr>
            </w:pPr>
            <w:r w:rsidRPr="00C33E20">
              <w:rPr>
                <w:color w:val="auto"/>
                <w:szCs w:val="26"/>
              </w:rPr>
              <w:t>MetroPCS California</w:t>
            </w:r>
            <w:r w:rsidR="00857CCB">
              <w:rPr>
                <w:color w:val="auto"/>
                <w:szCs w:val="26"/>
              </w:rPr>
              <w:t>,</w:t>
            </w:r>
            <w:r w:rsidRPr="00C33E20">
              <w:rPr>
                <w:color w:val="auto"/>
                <w:szCs w:val="26"/>
              </w:rPr>
              <w:t xml:space="preserve"> LLC </w:t>
            </w:r>
          </w:p>
          <w:p w:rsidRPr="00C33E20" w:rsidR="00556C5C" w:rsidP="00556C5C" w:rsidRDefault="002B0ABB" w14:paraId="729EEA71" w14:textId="428C9936">
            <w:pPr>
              <w:autoSpaceDE w:val="0"/>
              <w:autoSpaceDN w:val="0"/>
              <w:adjustRightInd w:val="0"/>
              <w:spacing w:after="0" w:line="240" w:lineRule="auto"/>
              <w:ind w:left="0" w:firstLine="0"/>
              <w:rPr>
                <w:rFonts w:eastAsiaTheme="minorEastAsia"/>
                <w:color w:val="auto"/>
                <w:szCs w:val="26"/>
              </w:rPr>
            </w:pPr>
            <w:r w:rsidRPr="00C33E20">
              <w:rPr>
                <w:rFonts w:eastAsiaTheme="minorEastAsia"/>
                <w:color w:val="auto"/>
                <w:szCs w:val="26"/>
              </w:rPr>
              <w:t>David A. Miller</w:t>
            </w:r>
            <w:r w:rsidRPr="00C33E20" w:rsidR="00C33E20">
              <w:rPr>
                <w:rFonts w:eastAsiaTheme="minorEastAsia"/>
                <w:color w:val="auto"/>
                <w:szCs w:val="26"/>
              </w:rPr>
              <w:t xml:space="preserve"> -Manager</w:t>
            </w:r>
          </w:p>
          <w:p w:rsidRPr="00C33E20" w:rsidR="002B0ABB" w:rsidP="00556C5C" w:rsidRDefault="002B0ABB" w14:paraId="61BB5F60" w14:textId="77777777">
            <w:pPr>
              <w:autoSpaceDE w:val="0"/>
              <w:autoSpaceDN w:val="0"/>
              <w:adjustRightInd w:val="0"/>
              <w:spacing w:after="0" w:line="240" w:lineRule="auto"/>
              <w:ind w:left="0" w:firstLine="0"/>
              <w:rPr>
                <w:color w:val="auto"/>
                <w:szCs w:val="26"/>
              </w:rPr>
            </w:pPr>
            <w:r w:rsidRPr="00C33E20">
              <w:rPr>
                <w:color w:val="auto"/>
                <w:szCs w:val="26"/>
              </w:rPr>
              <w:t>12920 SE 38</w:t>
            </w:r>
            <w:r w:rsidRPr="00C33E20">
              <w:rPr>
                <w:color w:val="auto"/>
                <w:szCs w:val="26"/>
                <w:vertAlign w:val="superscript"/>
              </w:rPr>
              <w:t>th</w:t>
            </w:r>
            <w:r w:rsidRPr="00C33E20">
              <w:rPr>
                <w:color w:val="auto"/>
                <w:szCs w:val="26"/>
              </w:rPr>
              <w:t xml:space="preserve"> Street</w:t>
            </w:r>
          </w:p>
          <w:p w:rsidR="002B0ABB" w:rsidP="00556C5C" w:rsidRDefault="002B0ABB" w14:paraId="1509FE93" w14:textId="77777777">
            <w:pPr>
              <w:autoSpaceDE w:val="0"/>
              <w:autoSpaceDN w:val="0"/>
              <w:adjustRightInd w:val="0"/>
              <w:spacing w:after="0" w:line="240" w:lineRule="auto"/>
              <w:ind w:left="0" w:firstLine="0"/>
              <w:rPr>
                <w:color w:val="auto"/>
                <w:szCs w:val="26"/>
              </w:rPr>
            </w:pPr>
            <w:r w:rsidRPr="00C33E20">
              <w:rPr>
                <w:color w:val="auto"/>
                <w:szCs w:val="26"/>
              </w:rPr>
              <w:t>Bell</w:t>
            </w:r>
            <w:r w:rsidRPr="00C33E20" w:rsidR="00C33E20">
              <w:rPr>
                <w:color w:val="auto"/>
                <w:szCs w:val="26"/>
              </w:rPr>
              <w:t>e</w:t>
            </w:r>
            <w:r w:rsidRPr="00C33E20">
              <w:rPr>
                <w:color w:val="auto"/>
                <w:szCs w:val="26"/>
              </w:rPr>
              <w:t xml:space="preserve">vue, WA </w:t>
            </w:r>
            <w:r w:rsidRPr="00C33E20" w:rsidR="00C33E20">
              <w:rPr>
                <w:color w:val="auto"/>
                <w:szCs w:val="26"/>
              </w:rPr>
              <w:t>98006</w:t>
            </w:r>
          </w:p>
          <w:p w:rsidR="00D24E76" w:rsidP="00556C5C" w:rsidRDefault="00D24E76" w14:paraId="06228547" w14:textId="72B70D5E">
            <w:pPr>
              <w:autoSpaceDE w:val="0"/>
              <w:autoSpaceDN w:val="0"/>
              <w:adjustRightInd w:val="0"/>
              <w:spacing w:after="0" w:line="240" w:lineRule="auto"/>
              <w:ind w:left="0" w:firstLine="0"/>
              <w:rPr>
                <w:color w:val="auto"/>
                <w:szCs w:val="26"/>
              </w:rPr>
            </w:pPr>
          </w:p>
          <w:p w:rsidR="00F87E04" w:rsidP="00556C5C" w:rsidRDefault="00F87E04" w14:paraId="7388CADA" w14:textId="77777777">
            <w:pPr>
              <w:autoSpaceDE w:val="0"/>
              <w:autoSpaceDN w:val="0"/>
              <w:adjustRightInd w:val="0"/>
              <w:spacing w:after="0" w:line="240" w:lineRule="auto"/>
              <w:ind w:left="0" w:firstLine="0"/>
              <w:rPr>
                <w:color w:val="auto"/>
                <w:szCs w:val="26"/>
              </w:rPr>
            </w:pPr>
          </w:p>
          <w:p w:rsidRPr="00D24E76" w:rsidR="00D24E76" w:rsidP="00556C5C" w:rsidRDefault="00D24E76" w14:paraId="6C1CA2EF" w14:textId="2BD7977E">
            <w:pPr>
              <w:autoSpaceDE w:val="0"/>
              <w:autoSpaceDN w:val="0"/>
              <w:adjustRightInd w:val="0"/>
              <w:spacing w:after="0" w:line="240" w:lineRule="auto"/>
              <w:ind w:left="0" w:firstLine="0"/>
              <w:rPr>
                <w:rFonts w:eastAsiaTheme="minorEastAsia"/>
                <w:color w:val="auto"/>
                <w:szCs w:val="26"/>
              </w:rPr>
            </w:pPr>
            <w:r w:rsidRPr="00D24E76">
              <w:rPr>
                <w:color w:val="auto"/>
                <w:szCs w:val="26"/>
              </w:rPr>
              <w:t>MetroPCS California</w:t>
            </w:r>
            <w:r w:rsidR="00857CCB">
              <w:rPr>
                <w:color w:val="auto"/>
                <w:szCs w:val="26"/>
              </w:rPr>
              <w:t>,</w:t>
            </w:r>
            <w:r w:rsidRPr="00D24E76">
              <w:rPr>
                <w:color w:val="auto"/>
                <w:szCs w:val="26"/>
              </w:rPr>
              <w:t xml:space="preserve"> LLC </w:t>
            </w:r>
          </w:p>
          <w:p w:rsidRPr="00D24E76" w:rsidR="00D24E76" w:rsidP="00D24E76" w:rsidRDefault="00D24E76" w14:paraId="6513B4B3" w14:textId="17DE777E">
            <w:pPr>
              <w:pStyle w:val="nostyle"/>
              <w:spacing w:before="0" w:beforeAutospacing="0" w:after="0" w:afterAutospacing="0"/>
              <w:rPr>
                <w:sz w:val="26"/>
                <w:szCs w:val="26"/>
              </w:rPr>
            </w:pPr>
            <w:r w:rsidRPr="00D24E76">
              <w:rPr>
                <w:sz w:val="26"/>
                <w:szCs w:val="26"/>
              </w:rPr>
              <w:t xml:space="preserve">Leon M. Bloomfield, Esq.  </w:t>
            </w:r>
          </w:p>
          <w:p w:rsidRPr="00D24E76" w:rsidR="00D24E76" w:rsidP="00D24E76" w:rsidRDefault="00D24E76" w14:paraId="7AD81A64" w14:textId="77777777">
            <w:pPr>
              <w:pStyle w:val="nostyle"/>
              <w:spacing w:before="0" w:beforeAutospacing="0" w:after="0" w:afterAutospacing="0"/>
              <w:rPr>
                <w:sz w:val="26"/>
                <w:szCs w:val="26"/>
              </w:rPr>
            </w:pPr>
            <w:r w:rsidRPr="00D24E76">
              <w:rPr>
                <w:sz w:val="26"/>
                <w:szCs w:val="26"/>
              </w:rPr>
              <w:t xml:space="preserve">1970 Broadway Ste 1200, </w:t>
            </w:r>
          </w:p>
          <w:p w:rsidRPr="00D24E76" w:rsidR="00D24E76" w:rsidP="00D24E76" w:rsidRDefault="00D24E76" w14:paraId="490E1153" w14:textId="28E1D5E9">
            <w:pPr>
              <w:pStyle w:val="nostyle"/>
              <w:spacing w:before="0" w:beforeAutospacing="0" w:after="0" w:afterAutospacing="0"/>
              <w:rPr>
                <w:sz w:val="26"/>
                <w:szCs w:val="26"/>
              </w:rPr>
            </w:pPr>
            <w:r w:rsidRPr="00D24E76">
              <w:rPr>
                <w:sz w:val="26"/>
                <w:szCs w:val="26"/>
              </w:rPr>
              <w:t xml:space="preserve">Oakland, CA 94612-2211 </w:t>
            </w:r>
          </w:p>
          <w:p w:rsidRPr="00D24E76" w:rsidR="00D24E76" w:rsidP="00D24E76" w:rsidRDefault="00466CEB" w14:paraId="3BBB7498" w14:textId="5CA98E27">
            <w:pPr>
              <w:pStyle w:val="NormalWeb"/>
              <w:spacing w:before="0" w:beforeAutospacing="0" w:after="0" w:afterAutospacing="0"/>
              <w:rPr>
                <w:sz w:val="26"/>
                <w:szCs w:val="26"/>
              </w:rPr>
            </w:pPr>
            <w:hyperlink w:history="1" r:id="rId10">
              <w:r w:rsidRPr="00D24E76" w:rsidR="00D24E76">
                <w:rPr>
                  <w:rStyle w:val="Hyperlink"/>
                  <w:sz w:val="26"/>
                  <w:szCs w:val="26"/>
                </w:rPr>
                <w:t>lmb@wblaw.net</w:t>
              </w:r>
            </w:hyperlink>
          </w:p>
          <w:p w:rsidRPr="00556C5C" w:rsidR="00D24E76" w:rsidP="00556C5C" w:rsidRDefault="00D24E76" w14:paraId="7D25F9D8" w14:textId="3B780347">
            <w:pPr>
              <w:autoSpaceDE w:val="0"/>
              <w:autoSpaceDN w:val="0"/>
              <w:adjustRightInd w:val="0"/>
              <w:spacing w:after="0" w:line="240" w:lineRule="auto"/>
              <w:ind w:left="0" w:firstLine="0"/>
              <w:rPr>
                <w:rFonts w:eastAsiaTheme="minorEastAsia"/>
                <w:color w:val="0000FF"/>
                <w:szCs w:val="26"/>
              </w:rPr>
            </w:pPr>
          </w:p>
        </w:tc>
        <w:tc>
          <w:tcPr>
            <w:tcW w:w="5493" w:type="dxa"/>
            <w:tcBorders>
              <w:top w:val="none" w:color="auto" w:sz="6" w:space="0"/>
              <w:left w:val="none" w:color="auto" w:sz="6" w:space="0"/>
              <w:bottom w:val="none" w:color="auto" w:sz="6" w:space="0"/>
            </w:tcBorders>
          </w:tcPr>
          <w:p w:rsidRPr="00556C5C" w:rsidR="00556C5C" w:rsidP="00556C5C" w:rsidRDefault="00C21F93" w14:paraId="34EEC031" w14:textId="23E9118D">
            <w:pPr>
              <w:autoSpaceDE w:val="0"/>
              <w:autoSpaceDN w:val="0"/>
              <w:adjustRightInd w:val="0"/>
              <w:spacing w:after="0" w:line="240" w:lineRule="auto"/>
              <w:ind w:left="0" w:firstLine="0"/>
              <w:rPr>
                <w:rFonts w:eastAsiaTheme="minorEastAsia"/>
                <w:szCs w:val="26"/>
              </w:rPr>
            </w:pPr>
            <w:r>
              <w:rPr>
                <w:rFonts w:eastAsiaTheme="minorEastAsia"/>
                <w:szCs w:val="26"/>
              </w:rPr>
              <w:t>Douglas Ito</w:t>
            </w:r>
            <w:r w:rsidRPr="00556C5C" w:rsidR="00556C5C">
              <w:rPr>
                <w:rFonts w:eastAsiaTheme="minorEastAsia"/>
                <w:szCs w:val="26"/>
              </w:rPr>
              <w:t xml:space="preserve">, Director </w:t>
            </w:r>
          </w:p>
          <w:p w:rsidRPr="00556C5C" w:rsidR="00556C5C" w:rsidP="00556C5C" w:rsidRDefault="00556C5C" w14:paraId="464FE0DB" w14:textId="77777777">
            <w:pPr>
              <w:autoSpaceDE w:val="0"/>
              <w:autoSpaceDN w:val="0"/>
              <w:adjustRightInd w:val="0"/>
              <w:spacing w:after="0" w:line="240" w:lineRule="auto"/>
              <w:ind w:left="0" w:firstLine="0"/>
              <w:rPr>
                <w:rFonts w:eastAsiaTheme="minorEastAsia"/>
                <w:szCs w:val="26"/>
              </w:rPr>
            </w:pPr>
            <w:r w:rsidRPr="00556C5C">
              <w:rPr>
                <w:rFonts w:eastAsiaTheme="minorEastAsia"/>
                <w:szCs w:val="26"/>
              </w:rPr>
              <w:t xml:space="preserve">Consumer Protection and Enforcement Division </w:t>
            </w:r>
          </w:p>
          <w:p w:rsidRPr="00556C5C" w:rsidR="00556C5C" w:rsidP="00556C5C" w:rsidRDefault="00556C5C" w14:paraId="01720F39" w14:textId="77777777">
            <w:pPr>
              <w:autoSpaceDE w:val="0"/>
              <w:autoSpaceDN w:val="0"/>
              <w:adjustRightInd w:val="0"/>
              <w:spacing w:after="0" w:line="240" w:lineRule="auto"/>
              <w:ind w:left="0" w:firstLine="0"/>
              <w:rPr>
                <w:rFonts w:eastAsiaTheme="minorEastAsia"/>
                <w:szCs w:val="26"/>
              </w:rPr>
            </w:pPr>
            <w:r w:rsidRPr="00556C5C">
              <w:rPr>
                <w:rFonts w:eastAsiaTheme="minorEastAsia"/>
                <w:szCs w:val="26"/>
              </w:rPr>
              <w:t xml:space="preserve">California Public Utilities Commission </w:t>
            </w:r>
          </w:p>
          <w:p w:rsidRPr="00556C5C" w:rsidR="00556C5C" w:rsidP="00556C5C" w:rsidRDefault="00556C5C" w14:paraId="0FBEB322" w14:textId="77777777">
            <w:pPr>
              <w:autoSpaceDE w:val="0"/>
              <w:autoSpaceDN w:val="0"/>
              <w:adjustRightInd w:val="0"/>
              <w:spacing w:after="0" w:line="240" w:lineRule="auto"/>
              <w:ind w:left="0" w:firstLine="0"/>
              <w:rPr>
                <w:rFonts w:eastAsiaTheme="minorEastAsia"/>
                <w:szCs w:val="26"/>
              </w:rPr>
            </w:pPr>
            <w:r w:rsidRPr="00556C5C">
              <w:rPr>
                <w:rFonts w:eastAsiaTheme="minorEastAsia"/>
                <w:szCs w:val="26"/>
              </w:rPr>
              <w:t xml:space="preserve">505 Van Ness Avenue </w:t>
            </w:r>
          </w:p>
          <w:p w:rsidRPr="00556C5C" w:rsidR="00556C5C" w:rsidP="00556C5C" w:rsidRDefault="00556C5C" w14:paraId="21EAE663" w14:textId="77777777">
            <w:pPr>
              <w:autoSpaceDE w:val="0"/>
              <w:autoSpaceDN w:val="0"/>
              <w:adjustRightInd w:val="0"/>
              <w:spacing w:after="0" w:line="240" w:lineRule="auto"/>
              <w:ind w:left="0" w:firstLine="0"/>
              <w:rPr>
                <w:rFonts w:eastAsiaTheme="minorEastAsia"/>
                <w:szCs w:val="26"/>
              </w:rPr>
            </w:pPr>
            <w:r w:rsidRPr="00556C5C">
              <w:rPr>
                <w:rFonts w:eastAsiaTheme="minorEastAsia"/>
                <w:szCs w:val="26"/>
              </w:rPr>
              <w:t xml:space="preserve">San Francisco, CA 94102 </w:t>
            </w:r>
          </w:p>
          <w:p w:rsidR="00556C5C" w:rsidP="00556C5C" w:rsidRDefault="00C21F93" w14:paraId="158A0FA9" w14:textId="77777777">
            <w:pPr>
              <w:autoSpaceDE w:val="0"/>
              <w:autoSpaceDN w:val="0"/>
              <w:adjustRightInd w:val="0"/>
              <w:spacing w:after="0" w:line="240" w:lineRule="auto"/>
              <w:ind w:left="0" w:firstLine="0"/>
              <w:rPr>
                <w:rFonts w:eastAsiaTheme="minorEastAsia"/>
                <w:color w:val="0000FF"/>
                <w:szCs w:val="26"/>
              </w:rPr>
            </w:pPr>
            <w:r>
              <w:rPr>
                <w:rFonts w:eastAsiaTheme="minorEastAsia"/>
                <w:color w:val="0000FF"/>
                <w:szCs w:val="26"/>
              </w:rPr>
              <w:t>Douglas.Ito</w:t>
            </w:r>
            <w:r w:rsidRPr="00556C5C" w:rsidR="00556C5C">
              <w:rPr>
                <w:rFonts w:eastAsiaTheme="minorEastAsia"/>
                <w:color w:val="0000FF"/>
                <w:szCs w:val="26"/>
              </w:rPr>
              <w:t xml:space="preserve">@cpuc.ca.gov </w:t>
            </w:r>
          </w:p>
          <w:p w:rsidRPr="00556C5C" w:rsidR="00C33E20" w:rsidP="00556C5C" w:rsidRDefault="00C33E20" w14:paraId="4B952A6F" w14:textId="6FFB44C4">
            <w:pPr>
              <w:autoSpaceDE w:val="0"/>
              <w:autoSpaceDN w:val="0"/>
              <w:adjustRightInd w:val="0"/>
              <w:spacing w:after="0" w:line="240" w:lineRule="auto"/>
              <w:ind w:left="0" w:firstLine="0"/>
              <w:rPr>
                <w:rFonts w:eastAsiaTheme="minorEastAsia"/>
                <w:color w:val="0000FF"/>
                <w:szCs w:val="26"/>
              </w:rPr>
            </w:pPr>
          </w:p>
        </w:tc>
      </w:tr>
    </w:tbl>
    <w:p w:rsidR="00F87E04" w:rsidRDefault="00F87E04" w14:paraId="2AFCDB0C" w14:textId="4A92FD9E"/>
    <w:tbl>
      <w:tblPr>
        <w:tblW w:w="10986" w:type="dxa"/>
        <w:tblInd w:w="-168" w:type="dxa"/>
        <w:tblBorders>
          <w:top w:val="none" w:color="auto" w:sz="6" w:space="0"/>
          <w:left w:val="none" w:color="auto" w:sz="6" w:space="0"/>
          <w:bottom w:val="none" w:color="auto" w:sz="6" w:space="0"/>
          <w:right w:val="none" w:color="auto" w:sz="6" w:space="0"/>
        </w:tblBorders>
        <w:tblLayout w:type="fixed"/>
        <w:tblLook w:val="0000" w:firstRow="0" w:lastRow="0" w:firstColumn="0" w:lastColumn="0" w:noHBand="0" w:noVBand="0"/>
      </w:tblPr>
      <w:tblGrid>
        <w:gridCol w:w="5493"/>
        <w:gridCol w:w="5493"/>
      </w:tblGrid>
      <w:tr w:rsidRPr="00556C5C" w:rsidR="00556C5C" w:rsidTr="003A7E8A" w14:paraId="602DF520" w14:textId="77777777">
        <w:trPr>
          <w:trHeight w:val="1054"/>
        </w:trPr>
        <w:tc>
          <w:tcPr>
            <w:tcW w:w="5493" w:type="dxa"/>
            <w:tcBorders>
              <w:top w:val="none" w:color="auto" w:sz="6" w:space="0"/>
              <w:bottom w:val="none" w:color="auto" w:sz="6" w:space="0"/>
              <w:right w:val="none" w:color="auto" w:sz="6" w:space="0"/>
            </w:tcBorders>
          </w:tcPr>
          <w:p w:rsidRPr="00556C5C" w:rsidR="00556C5C" w:rsidP="00556C5C" w:rsidRDefault="00556C5C" w14:paraId="253B3CD8" w14:textId="61DB0933">
            <w:pPr>
              <w:autoSpaceDE w:val="0"/>
              <w:autoSpaceDN w:val="0"/>
              <w:adjustRightInd w:val="0"/>
              <w:spacing w:after="0" w:line="240" w:lineRule="auto"/>
              <w:ind w:left="0" w:firstLine="0"/>
              <w:rPr>
                <w:rFonts w:eastAsiaTheme="minorEastAsia"/>
                <w:szCs w:val="26"/>
              </w:rPr>
            </w:pPr>
            <w:r>
              <w:rPr>
                <w:rFonts w:eastAsiaTheme="minorEastAsia"/>
                <w:szCs w:val="26"/>
              </w:rPr>
              <w:t>Roderick D. Hill</w:t>
            </w:r>
            <w:r w:rsidRPr="00556C5C">
              <w:rPr>
                <w:rFonts w:eastAsiaTheme="minorEastAsia"/>
                <w:szCs w:val="26"/>
              </w:rPr>
              <w:t xml:space="preserve">, Attorney </w:t>
            </w:r>
          </w:p>
          <w:p w:rsidRPr="00556C5C" w:rsidR="00556C5C" w:rsidP="00556C5C" w:rsidRDefault="00556C5C" w14:paraId="6C99F445" w14:textId="77777777">
            <w:pPr>
              <w:autoSpaceDE w:val="0"/>
              <w:autoSpaceDN w:val="0"/>
              <w:adjustRightInd w:val="0"/>
              <w:spacing w:after="0" w:line="240" w:lineRule="auto"/>
              <w:ind w:left="0" w:firstLine="0"/>
              <w:rPr>
                <w:rFonts w:eastAsiaTheme="minorEastAsia"/>
                <w:szCs w:val="26"/>
              </w:rPr>
            </w:pPr>
            <w:r w:rsidRPr="00556C5C">
              <w:rPr>
                <w:rFonts w:eastAsiaTheme="minorEastAsia"/>
                <w:szCs w:val="26"/>
              </w:rPr>
              <w:t xml:space="preserve">Consumer Protection and Enforcement Division </w:t>
            </w:r>
          </w:p>
          <w:p w:rsidRPr="00556C5C" w:rsidR="00556C5C" w:rsidP="00556C5C" w:rsidRDefault="00556C5C" w14:paraId="693CF80B" w14:textId="77777777">
            <w:pPr>
              <w:autoSpaceDE w:val="0"/>
              <w:autoSpaceDN w:val="0"/>
              <w:adjustRightInd w:val="0"/>
              <w:spacing w:after="0" w:line="240" w:lineRule="auto"/>
              <w:ind w:left="0" w:firstLine="0"/>
              <w:rPr>
                <w:rFonts w:eastAsiaTheme="minorEastAsia"/>
                <w:szCs w:val="26"/>
              </w:rPr>
            </w:pPr>
            <w:r w:rsidRPr="00556C5C">
              <w:rPr>
                <w:rFonts w:eastAsiaTheme="minorEastAsia"/>
                <w:szCs w:val="26"/>
              </w:rPr>
              <w:t xml:space="preserve">California Public Utilities Commission </w:t>
            </w:r>
          </w:p>
          <w:p w:rsidRPr="00556C5C" w:rsidR="00556C5C" w:rsidP="00556C5C" w:rsidRDefault="00556C5C" w14:paraId="6304BD4C" w14:textId="77777777">
            <w:pPr>
              <w:autoSpaceDE w:val="0"/>
              <w:autoSpaceDN w:val="0"/>
              <w:adjustRightInd w:val="0"/>
              <w:spacing w:after="0" w:line="240" w:lineRule="auto"/>
              <w:ind w:left="0" w:firstLine="0"/>
              <w:rPr>
                <w:rFonts w:eastAsiaTheme="minorEastAsia"/>
                <w:szCs w:val="26"/>
              </w:rPr>
            </w:pPr>
            <w:r w:rsidRPr="00556C5C">
              <w:rPr>
                <w:rFonts w:eastAsiaTheme="minorEastAsia"/>
                <w:szCs w:val="26"/>
              </w:rPr>
              <w:t xml:space="preserve">505 Van Ness Avenue </w:t>
            </w:r>
          </w:p>
          <w:p w:rsidRPr="00556C5C" w:rsidR="00556C5C" w:rsidP="00556C5C" w:rsidRDefault="00556C5C" w14:paraId="47DEFDC0" w14:textId="77777777">
            <w:pPr>
              <w:autoSpaceDE w:val="0"/>
              <w:autoSpaceDN w:val="0"/>
              <w:adjustRightInd w:val="0"/>
              <w:spacing w:after="0" w:line="240" w:lineRule="auto"/>
              <w:ind w:left="0" w:firstLine="0"/>
              <w:rPr>
                <w:rFonts w:eastAsiaTheme="minorEastAsia"/>
                <w:szCs w:val="26"/>
              </w:rPr>
            </w:pPr>
            <w:r w:rsidRPr="00556C5C">
              <w:rPr>
                <w:rFonts w:eastAsiaTheme="minorEastAsia"/>
                <w:szCs w:val="26"/>
              </w:rPr>
              <w:t xml:space="preserve">San Francisco, CA 94102 </w:t>
            </w:r>
          </w:p>
          <w:p w:rsidR="00C33E20" w:rsidP="00556C5C" w:rsidRDefault="00466CEB" w14:paraId="5CBF3E5B" w14:textId="14B0D3E0">
            <w:pPr>
              <w:autoSpaceDE w:val="0"/>
              <w:autoSpaceDN w:val="0"/>
              <w:adjustRightInd w:val="0"/>
              <w:spacing w:after="0" w:line="240" w:lineRule="auto"/>
              <w:ind w:left="0" w:firstLine="0"/>
              <w:rPr>
                <w:rFonts w:eastAsiaTheme="minorEastAsia"/>
                <w:color w:val="0000FF"/>
                <w:szCs w:val="26"/>
              </w:rPr>
            </w:pPr>
            <w:hyperlink w:history="1" r:id="rId11">
              <w:r w:rsidRPr="00C72973" w:rsidR="00C33E20">
                <w:rPr>
                  <w:rStyle w:val="Hyperlink"/>
                  <w:rFonts w:eastAsiaTheme="minorEastAsia"/>
                  <w:szCs w:val="26"/>
                </w:rPr>
                <w:t>Roderick.Hill@cpuc.ca.gov</w:t>
              </w:r>
            </w:hyperlink>
          </w:p>
          <w:p w:rsidRPr="00556C5C" w:rsidR="00556C5C" w:rsidP="00556C5C" w:rsidRDefault="00556C5C" w14:paraId="50B9933A" w14:textId="491F9C62">
            <w:pPr>
              <w:autoSpaceDE w:val="0"/>
              <w:autoSpaceDN w:val="0"/>
              <w:adjustRightInd w:val="0"/>
              <w:spacing w:after="0" w:line="240" w:lineRule="auto"/>
              <w:ind w:left="0" w:firstLine="0"/>
              <w:rPr>
                <w:rFonts w:eastAsiaTheme="minorEastAsia"/>
                <w:color w:val="0000FF"/>
                <w:szCs w:val="26"/>
              </w:rPr>
            </w:pPr>
            <w:r w:rsidRPr="00556C5C">
              <w:rPr>
                <w:rFonts w:eastAsiaTheme="minorEastAsia"/>
                <w:color w:val="0000FF"/>
                <w:szCs w:val="26"/>
              </w:rPr>
              <w:t xml:space="preserve"> </w:t>
            </w:r>
          </w:p>
        </w:tc>
        <w:tc>
          <w:tcPr>
            <w:tcW w:w="5493" w:type="dxa"/>
            <w:tcBorders>
              <w:top w:val="none" w:color="auto" w:sz="6" w:space="0"/>
              <w:left w:val="none" w:color="auto" w:sz="6" w:space="0"/>
              <w:bottom w:val="none" w:color="auto" w:sz="6" w:space="0"/>
            </w:tcBorders>
          </w:tcPr>
          <w:p w:rsidRPr="00556C5C" w:rsidR="00556C5C" w:rsidP="00556C5C" w:rsidRDefault="00556C5C" w14:paraId="7A520829" w14:textId="29F16FA8">
            <w:pPr>
              <w:autoSpaceDE w:val="0"/>
              <w:autoSpaceDN w:val="0"/>
              <w:adjustRightInd w:val="0"/>
              <w:spacing w:after="0" w:line="240" w:lineRule="auto"/>
              <w:ind w:left="0" w:firstLine="0"/>
              <w:rPr>
                <w:rFonts w:eastAsiaTheme="minorEastAsia"/>
                <w:szCs w:val="26"/>
              </w:rPr>
            </w:pPr>
            <w:r w:rsidRPr="00556C5C">
              <w:rPr>
                <w:rFonts w:eastAsiaTheme="minorEastAsia"/>
                <w:szCs w:val="26"/>
              </w:rPr>
              <w:t>Jeanette Lo</w:t>
            </w:r>
            <w:r w:rsidRPr="00556C5C">
              <w:rPr>
                <w:rFonts w:eastAsiaTheme="minorEastAsia"/>
                <w:b/>
                <w:bCs/>
                <w:szCs w:val="26"/>
              </w:rPr>
              <w:t xml:space="preserve">, </w:t>
            </w:r>
            <w:r w:rsidRPr="00556C5C">
              <w:rPr>
                <w:rFonts w:eastAsiaTheme="minorEastAsia"/>
                <w:szCs w:val="26"/>
              </w:rPr>
              <w:t xml:space="preserve">Branch Chief </w:t>
            </w:r>
            <w:r w:rsidR="008C5446">
              <w:rPr>
                <w:rFonts w:eastAsiaTheme="minorEastAsia"/>
                <w:szCs w:val="26"/>
              </w:rPr>
              <w:br/>
            </w:r>
            <w:r w:rsidRPr="00556C5C">
              <w:rPr>
                <w:rFonts w:eastAsiaTheme="minorEastAsia"/>
                <w:szCs w:val="26"/>
              </w:rPr>
              <w:t xml:space="preserve">Consumer Protection and Enforcement Division </w:t>
            </w:r>
          </w:p>
          <w:p w:rsidRPr="00556C5C" w:rsidR="00556C5C" w:rsidP="00556C5C" w:rsidRDefault="00556C5C" w14:paraId="381002E8" w14:textId="77777777">
            <w:pPr>
              <w:autoSpaceDE w:val="0"/>
              <w:autoSpaceDN w:val="0"/>
              <w:adjustRightInd w:val="0"/>
              <w:spacing w:after="0" w:line="240" w:lineRule="auto"/>
              <w:ind w:left="0" w:firstLine="0"/>
              <w:rPr>
                <w:rFonts w:eastAsiaTheme="minorEastAsia"/>
                <w:szCs w:val="26"/>
              </w:rPr>
            </w:pPr>
            <w:r w:rsidRPr="00556C5C">
              <w:rPr>
                <w:rFonts w:eastAsiaTheme="minorEastAsia"/>
                <w:szCs w:val="26"/>
              </w:rPr>
              <w:t xml:space="preserve">California Public Utilities Commission </w:t>
            </w:r>
          </w:p>
          <w:p w:rsidRPr="00556C5C" w:rsidR="00556C5C" w:rsidP="00556C5C" w:rsidRDefault="00556C5C" w14:paraId="594C5B6A" w14:textId="77777777">
            <w:pPr>
              <w:autoSpaceDE w:val="0"/>
              <w:autoSpaceDN w:val="0"/>
              <w:adjustRightInd w:val="0"/>
              <w:spacing w:after="0" w:line="240" w:lineRule="auto"/>
              <w:ind w:left="0" w:firstLine="0"/>
              <w:rPr>
                <w:rFonts w:eastAsiaTheme="minorEastAsia"/>
                <w:szCs w:val="26"/>
              </w:rPr>
            </w:pPr>
            <w:r w:rsidRPr="00556C5C">
              <w:rPr>
                <w:rFonts w:eastAsiaTheme="minorEastAsia"/>
                <w:szCs w:val="26"/>
              </w:rPr>
              <w:t xml:space="preserve">505 Van Ness Avenue </w:t>
            </w:r>
          </w:p>
          <w:p w:rsidRPr="00556C5C" w:rsidR="00556C5C" w:rsidP="00556C5C" w:rsidRDefault="00556C5C" w14:paraId="615BE93E" w14:textId="77777777">
            <w:pPr>
              <w:autoSpaceDE w:val="0"/>
              <w:autoSpaceDN w:val="0"/>
              <w:adjustRightInd w:val="0"/>
              <w:spacing w:after="0" w:line="240" w:lineRule="auto"/>
              <w:ind w:left="0" w:firstLine="0"/>
              <w:rPr>
                <w:rFonts w:eastAsiaTheme="minorEastAsia"/>
                <w:szCs w:val="26"/>
              </w:rPr>
            </w:pPr>
            <w:r w:rsidRPr="00556C5C">
              <w:rPr>
                <w:rFonts w:eastAsiaTheme="minorEastAsia"/>
                <w:szCs w:val="26"/>
              </w:rPr>
              <w:t xml:space="preserve">San Francisco, CA 94102 </w:t>
            </w:r>
          </w:p>
          <w:p w:rsidRPr="00556C5C" w:rsidR="00556C5C" w:rsidP="00556C5C" w:rsidRDefault="00466CEB" w14:paraId="1E0FD368" w14:textId="16E91ACD">
            <w:pPr>
              <w:autoSpaceDE w:val="0"/>
              <w:autoSpaceDN w:val="0"/>
              <w:adjustRightInd w:val="0"/>
              <w:spacing w:after="0" w:line="240" w:lineRule="auto"/>
              <w:ind w:left="0" w:firstLine="0"/>
              <w:rPr>
                <w:rFonts w:eastAsiaTheme="minorEastAsia"/>
                <w:color w:val="0000FF"/>
                <w:szCs w:val="26"/>
              </w:rPr>
            </w:pPr>
            <w:hyperlink w:history="1" r:id="rId12">
              <w:r w:rsidRPr="002B0512" w:rsidR="008C5446">
                <w:rPr>
                  <w:rStyle w:val="Hyperlink"/>
                  <w:rFonts w:eastAsiaTheme="minorEastAsia"/>
                  <w:szCs w:val="26"/>
                </w:rPr>
                <w:t>Jeanette.Lo@cpuc.ca.gov</w:t>
              </w:r>
            </w:hyperlink>
            <w:r w:rsidR="008C5446">
              <w:rPr>
                <w:rFonts w:eastAsiaTheme="minorEastAsia"/>
                <w:color w:val="0000FF"/>
                <w:szCs w:val="26"/>
              </w:rPr>
              <w:t xml:space="preserve"> </w:t>
            </w:r>
          </w:p>
        </w:tc>
      </w:tr>
    </w:tbl>
    <w:p w:rsidR="0079610A" w:rsidP="00F87E04" w:rsidRDefault="0079610A" w14:paraId="43914B8C" w14:textId="77777777">
      <w:pPr>
        <w:autoSpaceDE w:val="0"/>
        <w:autoSpaceDN w:val="0"/>
        <w:adjustRightInd w:val="0"/>
        <w:spacing w:after="0" w:line="360" w:lineRule="auto"/>
        <w:ind w:left="0" w:firstLine="720"/>
        <w:rPr>
          <w:rFonts w:eastAsiaTheme="minorEastAsia"/>
          <w:szCs w:val="26"/>
        </w:rPr>
      </w:pPr>
    </w:p>
    <w:p w:rsidR="003A7E8A" w:rsidP="00F87E04" w:rsidRDefault="003A7E8A" w14:paraId="36898DCA" w14:textId="2C5B3F1F">
      <w:pPr>
        <w:autoSpaceDE w:val="0"/>
        <w:autoSpaceDN w:val="0"/>
        <w:adjustRightInd w:val="0"/>
        <w:spacing w:after="0" w:line="360" w:lineRule="auto"/>
        <w:ind w:left="0" w:firstLine="720"/>
        <w:rPr>
          <w:rFonts w:eastAsiaTheme="minorEastAsia"/>
          <w:szCs w:val="26"/>
        </w:rPr>
      </w:pPr>
      <w:r w:rsidRPr="00DE2286">
        <w:rPr>
          <w:rFonts w:eastAsiaTheme="minorEastAsia"/>
          <w:szCs w:val="26"/>
        </w:rPr>
        <w:t xml:space="preserve">This </w:t>
      </w:r>
      <w:r w:rsidR="008C5446">
        <w:rPr>
          <w:rFonts w:eastAsiaTheme="minorEastAsia"/>
          <w:szCs w:val="26"/>
        </w:rPr>
        <w:t>o</w:t>
      </w:r>
      <w:r w:rsidRPr="00DE2286">
        <w:rPr>
          <w:rFonts w:eastAsiaTheme="minorEastAsia"/>
          <w:szCs w:val="26"/>
        </w:rPr>
        <w:t xml:space="preserve">rder is effective today </w:t>
      </w:r>
    </w:p>
    <w:p w:rsidRPr="00DE2286" w:rsidR="00DE2286" w:rsidP="00F87E04" w:rsidRDefault="00DE2286" w14:paraId="22B4D03D" w14:textId="77C2B7A2">
      <w:pPr>
        <w:autoSpaceDE w:val="0"/>
        <w:autoSpaceDN w:val="0"/>
        <w:adjustRightInd w:val="0"/>
        <w:spacing w:after="0" w:line="360" w:lineRule="auto"/>
        <w:ind w:left="0" w:firstLine="720"/>
        <w:rPr>
          <w:rFonts w:eastAsiaTheme="minorEastAsia"/>
          <w:szCs w:val="26"/>
        </w:rPr>
      </w:pPr>
      <w:r>
        <w:rPr>
          <w:rFonts w:eastAsiaTheme="minorEastAsia"/>
          <w:szCs w:val="26"/>
        </w:rPr>
        <w:t xml:space="preserve">Dated </w:t>
      </w:r>
      <w:r w:rsidR="00ED6D85">
        <w:rPr>
          <w:rFonts w:eastAsiaTheme="minorEastAsia"/>
          <w:szCs w:val="26"/>
        </w:rPr>
        <w:t>April 21, 2022</w:t>
      </w:r>
      <w:r>
        <w:rPr>
          <w:rFonts w:eastAsiaTheme="minorEastAsia"/>
          <w:szCs w:val="26"/>
        </w:rPr>
        <w:t xml:space="preserve"> at San Francisco, C</w:t>
      </w:r>
      <w:r w:rsidR="008C5446">
        <w:rPr>
          <w:rFonts w:eastAsiaTheme="minorEastAsia"/>
          <w:szCs w:val="26"/>
        </w:rPr>
        <w:t>alifornia</w:t>
      </w:r>
      <w:r w:rsidR="00C61BEC">
        <w:rPr>
          <w:rFonts w:eastAsiaTheme="minorEastAsia"/>
          <w:szCs w:val="26"/>
        </w:rPr>
        <w:t>.</w:t>
      </w:r>
    </w:p>
    <w:p w:rsidR="00037890" w:rsidP="00037890" w:rsidRDefault="00037890" w14:paraId="3CBE463F" w14:textId="77777777">
      <w:pPr>
        <w:pStyle w:val="standard"/>
        <w:spacing w:line="240" w:lineRule="auto"/>
        <w:ind w:left="4320"/>
        <w:rPr>
          <w:rFonts w:ascii="Times New Roman" w:hAnsi="Times New Roman"/>
        </w:rPr>
      </w:pPr>
      <w:bookmarkStart w:name="_Hlk61602525" w:id="10"/>
      <w:bookmarkStart w:name="_Hlk98492699" w:id="11"/>
    </w:p>
    <w:p w:rsidR="00037890" w:rsidP="00037890" w:rsidRDefault="00037890" w14:paraId="269E25C1" w14:textId="77777777">
      <w:pPr>
        <w:pStyle w:val="standard"/>
        <w:spacing w:line="240" w:lineRule="auto"/>
        <w:ind w:left="4320"/>
        <w:rPr>
          <w:rFonts w:ascii="Times New Roman" w:hAnsi="Times New Roman"/>
        </w:rPr>
      </w:pPr>
    </w:p>
    <w:p w:rsidRPr="00E50242" w:rsidR="00037890" w:rsidP="00037890" w:rsidRDefault="00037890" w14:paraId="24D72E05" w14:textId="6A99BABF">
      <w:pPr>
        <w:pStyle w:val="standard"/>
        <w:spacing w:line="240" w:lineRule="auto"/>
        <w:ind w:left="4320"/>
        <w:rPr>
          <w:rFonts w:ascii="Times New Roman" w:hAnsi="Times New Roman"/>
        </w:rPr>
      </w:pPr>
      <w:r>
        <w:rPr>
          <w:rFonts w:ascii="Times New Roman" w:hAnsi="Times New Roman"/>
        </w:rPr>
        <w:t>ALICE REYNOLDS</w:t>
      </w:r>
    </w:p>
    <w:p w:rsidRPr="00E50242" w:rsidR="00037890" w:rsidP="00037890" w:rsidRDefault="00037890" w14:paraId="6E0D2997" w14:textId="77777777">
      <w:pPr>
        <w:pStyle w:val="standard"/>
        <w:spacing w:line="240" w:lineRule="auto"/>
        <w:ind w:left="5040" w:firstLine="0"/>
        <w:rPr>
          <w:rFonts w:ascii="Times New Roman" w:hAnsi="Times New Roman"/>
        </w:rPr>
      </w:pPr>
      <w:r w:rsidRPr="00E50242">
        <w:rPr>
          <w:rFonts w:ascii="Times New Roman" w:hAnsi="Times New Roman"/>
        </w:rPr>
        <w:t xml:space="preserve">                       President</w:t>
      </w:r>
    </w:p>
    <w:p w:rsidRPr="00E50242" w:rsidR="00037890" w:rsidP="00037890" w:rsidRDefault="00037890" w14:paraId="0A017367" w14:textId="77777777">
      <w:pPr>
        <w:pStyle w:val="standard"/>
        <w:tabs>
          <w:tab w:val="left" w:pos="8220"/>
        </w:tabs>
        <w:spacing w:line="240" w:lineRule="auto"/>
        <w:ind w:left="5040" w:firstLine="0"/>
        <w:rPr>
          <w:rFonts w:ascii="Times New Roman" w:hAnsi="Times New Roman"/>
        </w:rPr>
      </w:pPr>
      <w:r w:rsidRPr="00E50242">
        <w:rPr>
          <w:rFonts w:ascii="Times New Roman" w:hAnsi="Times New Roman"/>
        </w:rPr>
        <w:t>CLIFFORD RECHTSCHAFFEN</w:t>
      </w:r>
    </w:p>
    <w:p w:rsidR="00037890" w:rsidP="00037890" w:rsidRDefault="00037890" w14:paraId="74B4FF78" w14:textId="77777777">
      <w:pPr>
        <w:pStyle w:val="standard"/>
        <w:tabs>
          <w:tab w:val="left" w:pos="8220"/>
        </w:tabs>
        <w:spacing w:line="240" w:lineRule="auto"/>
        <w:ind w:left="5040" w:firstLine="0"/>
        <w:rPr>
          <w:rFonts w:ascii="Times New Roman" w:hAnsi="Times New Roman"/>
        </w:rPr>
      </w:pPr>
      <w:r w:rsidRPr="00A264AD">
        <w:rPr>
          <w:rFonts w:ascii="Times New Roman" w:hAnsi="Times New Roman"/>
        </w:rPr>
        <w:t>GENEVIEVE SHIROMA</w:t>
      </w:r>
    </w:p>
    <w:p w:rsidR="00037890" w:rsidP="00037890" w:rsidRDefault="00037890" w14:paraId="5EB9A29E" w14:textId="77777777">
      <w:pPr>
        <w:pStyle w:val="standard"/>
        <w:tabs>
          <w:tab w:val="left" w:pos="8220"/>
        </w:tabs>
        <w:spacing w:line="240" w:lineRule="auto"/>
        <w:ind w:left="5040" w:firstLine="0"/>
        <w:rPr>
          <w:rFonts w:ascii="Times New Roman" w:hAnsi="Times New Roman"/>
        </w:rPr>
      </w:pPr>
      <w:r>
        <w:rPr>
          <w:rFonts w:ascii="Times New Roman" w:hAnsi="Times New Roman"/>
        </w:rPr>
        <w:t>DARCIE L. HOUCK</w:t>
      </w:r>
    </w:p>
    <w:p w:rsidRPr="00E57593" w:rsidR="00037890" w:rsidP="00037890" w:rsidRDefault="00037890" w14:paraId="12A06357" w14:textId="77777777">
      <w:pPr>
        <w:ind w:left="5040"/>
      </w:pPr>
      <w:r w:rsidRPr="00E57593">
        <w:t>JOHN R.D. REYNOLDS</w:t>
      </w:r>
    </w:p>
    <w:p w:rsidR="00037890" w:rsidP="00037890" w:rsidRDefault="00037890" w14:paraId="2E0FAF36" w14:textId="77777777">
      <w:pPr>
        <w:pStyle w:val="standard"/>
        <w:spacing w:line="240" w:lineRule="auto"/>
        <w:ind w:left="5040" w:firstLine="0"/>
        <w:rPr>
          <w:rFonts w:ascii="Times New Roman" w:hAnsi="Times New Roman"/>
        </w:rPr>
      </w:pPr>
      <w:r w:rsidRPr="00E50242">
        <w:rPr>
          <w:rFonts w:ascii="Times New Roman" w:hAnsi="Times New Roman"/>
        </w:rPr>
        <w:t xml:space="preserve">                       Commissioners</w:t>
      </w:r>
      <w:bookmarkEnd w:id="10"/>
    </w:p>
    <w:bookmarkEnd w:id="11"/>
    <w:p w:rsidR="00037890" w:rsidP="00037890" w:rsidRDefault="00037890" w14:paraId="2AC183B5" w14:textId="77777777">
      <w:pPr>
        <w:pStyle w:val="standard"/>
        <w:spacing w:line="240" w:lineRule="auto"/>
        <w:ind w:left="5040" w:firstLine="0"/>
        <w:rPr>
          <w:rFonts w:ascii="Times New Roman" w:hAnsi="Times New Roman"/>
        </w:rPr>
      </w:pPr>
    </w:p>
    <w:p w:rsidRPr="00DE2286" w:rsidR="003A7E8A" w:rsidP="003A7E8A" w:rsidRDefault="003A7E8A" w14:paraId="6F7B7685" w14:textId="77777777">
      <w:pPr>
        <w:autoSpaceDE w:val="0"/>
        <w:autoSpaceDN w:val="0"/>
        <w:adjustRightInd w:val="0"/>
        <w:spacing w:after="0" w:line="240" w:lineRule="auto"/>
        <w:ind w:left="0" w:firstLine="0"/>
        <w:rPr>
          <w:rFonts w:eastAsiaTheme="minorEastAsia"/>
          <w:szCs w:val="26"/>
        </w:rPr>
      </w:pPr>
    </w:p>
    <w:sectPr w:rsidRPr="00DE2286" w:rsidR="003A7E8A" w:rsidSect="00F87E04">
      <w:headerReference w:type="default" r:id="rId13"/>
      <w:footerReference w:type="default" r:id="rId14"/>
      <w:headerReference w:type="first" r:id="rId15"/>
      <w:footerReference w:type="first" r:id="rId16"/>
      <w:pgSz w:w="12240" w:h="15840" w:code="1"/>
      <w:pgMar w:top="1440" w:right="1440" w:bottom="1440" w:left="1440" w:header="720" w:footer="720" w:gutter="0"/>
      <w:cols w:space="720"/>
      <w:titlePg/>
      <w:docGrid w:linePitch="354"/>
    </w:sectPr>
    <w:p>
      <w:r>
        <w:t xml:space="preserve"/>
      </w:r>
    </w:p>
    <w:p>
      <w:r>
        <w:t xml:space="preserve">Attachment 1: </w:t>
      </w:r>
    </w:p>
    <w:p>
      <w:hyperlink w:history="true" r:id="R04ba657fe2424ea9">
        <w:r w:rsidRPr="00CB1292">
          <w:rPr>
            <w:rStyle w:val="Hyperlink"/>
            <w:color w:val="2E74B5" w:themeColor="accent1" w:themeShade="BF"/>
            <w:u w:val="single"/>
          </w:rPr>
          <w:t>ATTACHMENT A - CPED Staff Report on MetroPCS (PUBLIC).pdf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F42A" w14:textId="77777777" w:rsidR="00466CEB" w:rsidRDefault="00466CEB">
      <w:pPr>
        <w:spacing w:after="0" w:line="240" w:lineRule="auto"/>
      </w:pPr>
      <w:r>
        <w:separator/>
      </w:r>
    </w:p>
  </w:endnote>
  <w:endnote w:type="continuationSeparator" w:id="0">
    <w:p w14:paraId="6188BE1A" w14:textId="77777777" w:rsidR="00466CEB" w:rsidRDefault="0046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2883013"/>
      <w:docPartObj>
        <w:docPartGallery w:val="Page Numbers (Bottom of Page)"/>
        <w:docPartUnique/>
      </w:docPartObj>
    </w:sdtPr>
    <w:sdtEndPr>
      <w:rPr>
        <w:noProof/>
      </w:rPr>
    </w:sdtEndPr>
    <w:sdtContent>
      <w:p w14:paraId="78CA4D0A" w14:textId="74170F94" w:rsidR="00ED6D85" w:rsidRDefault="00ED6D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464273"/>
      <w:docPartObj>
        <w:docPartGallery w:val="Page Numbers (Bottom of Page)"/>
        <w:docPartUnique/>
      </w:docPartObj>
    </w:sdtPr>
    <w:sdtEndPr>
      <w:rPr>
        <w:noProof/>
      </w:rPr>
    </w:sdtEndPr>
    <w:sdtContent>
      <w:p w14:paraId="5A51CB1A" w14:textId="4525A85D" w:rsidR="00ED6D85" w:rsidRDefault="00034892" w:rsidP="00BD7ACF">
        <w:pPr>
          <w:pStyle w:val="Footer"/>
          <w:ind w:firstLine="0"/>
        </w:pPr>
        <w:r w:rsidRPr="00034892">
          <w:rPr>
            <w:sz w:val="18"/>
            <w:szCs w:val="18"/>
          </w:rPr>
          <w:t>470546239</w:t>
        </w:r>
        <w:r w:rsidR="00BD7ACF">
          <w:tab/>
        </w:r>
        <w:r w:rsidR="00ED6D85">
          <w:fldChar w:fldCharType="begin"/>
        </w:r>
        <w:r w:rsidR="00ED6D85">
          <w:instrText xml:space="preserve"> PAGE   \* MERGEFORMAT </w:instrText>
        </w:r>
        <w:r w:rsidR="00ED6D85">
          <w:fldChar w:fldCharType="separate"/>
        </w:r>
        <w:r w:rsidR="00ED6D85">
          <w:rPr>
            <w:noProof/>
          </w:rPr>
          <w:t>2</w:t>
        </w:r>
        <w:r w:rsidR="00ED6D8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60023" w14:textId="77777777" w:rsidR="00466CEB" w:rsidRDefault="00466CEB">
      <w:pPr>
        <w:spacing w:after="134" w:line="259" w:lineRule="auto"/>
        <w:ind w:left="2" w:firstLine="0"/>
      </w:pPr>
      <w:r>
        <w:separator/>
      </w:r>
    </w:p>
  </w:footnote>
  <w:footnote w:type="continuationSeparator" w:id="0">
    <w:p w14:paraId="09DE4878" w14:textId="77777777" w:rsidR="00466CEB" w:rsidRDefault="00466CEB">
      <w:pPr>
        <w:spacing w:after="134" w:line="259" w:lineRule="auto"/>
        <w:ind w:left="2" w:firstLine="0"/>
      </w:pPr>
      <w:r>
        <w:continuationSeparator/>
      </w:r>
    </w:p>
  </w:footnote>
  <w:footnote w:id="1">
    <w:p w14:paraId="1E819FEC" w14:textId="1947827D" w:rsidR="009A1C00" w:rsidRPr="00D03877" w:rsidRDefault="009A1C00" w:rsidP="00D4245A">
      <w:pPr>
        <w:pStyle w:val="FootnoteText"/>
        <w:spacing w:after="120" w:line="240" w:lineRule="exact"/>
        <w:rPr>
          <w:rFonts w:cs="Times New Roman"/>
          <w:sz w:val="24"/>
          <w:szCs w:val="24"/>
        </w:rPr>
      </w:pPr>
      <w:r w:rsidRPr="00D03877">
        <w:rPr>
          <w:rStyle w:val="FootnoteReference"/>
          <w:sz w:val="24"/>
          <w:szCs w:val="24"/>
        </w:rPr>
        <w:footnoteRef/>
      </w:r>
      <w:r w:rsidRPr="00D03877">
        <w:rPr>
          <w:sz w:val="24"/>
          <w:szCs w:val="24"/>
        </w:rPr>
        <w:t xml:space="preserve"> </w:t>
      </w:r>
      <w:r w:rsidRPr="00D03877">
        <w:rPr>
          <w:rFonts w:cs="Times New Roman"/>
          <w:sz w:val="24"/>
          <w:szCs w:val="24"/>
        </w:rPr>
        <w:t xml:space="preserve">Pub. Util. Code § 319 </w:t>
      </w:r>
      <w:r w:rsidR="001232FE" w:rsidRPr="00D03877">
        <w:rPr>
          <w:rFonts w:cs="Times New Roman"/>
          <w:sz w:val="24"/>
          <w:szCs w:val="24"/>
        </w:rPr>
        <w:t xml:space="preserve">was enacted pursuant to </w:t>
      </w:r>
      <w:bookmarkStart w:id="3" w:name="_Hlk99907326"/>
      <w:r w:rsidR="001232FE" w:rsidRPr="00D03877">
        <w:rPr>
          <w:rFonts w:cs="Times New Roman"/>
          <w:sz w:val="24"/>
          <w:szCs w:val="24"/>
        </w:rPr>
        <w:t xml:space="preserve">Assembly Bill 1717 </w:t>
      </w:r>
      <w:r w:rsidR="001232FE" w:rsidRPr="00D03877">
        <w:rPr>
          <w:color w:val="000000" w:themeColor="text1"/>
          <w:sz w:val="24"/>
          <w:szCs w:val="24"/>
        </w:rPr>
        <w:t xml:space="preserve">(Chapter 885, Statutes 2014, </w:t>
      </w:r>
      <w:bookmarkEnd w:id="3"/>
      <w:r w:rsidR="00F27BA2" w:rsidRPr="00D03877">
        <w:rPr>
          <w:color w:val="000000" w:themeColor="text1"/>
          <w:sz w:val="24"/>
          <w:szCs w:val="24"/>
        </w:rPr>
        <w:t>Perea</w:t>
      </w:r>
      <w:r w:rsidR="00F27BA2" w:rsidRPr="00D03877">
        <w:rPr>
          <w:rFonts w:cs="Times New Roman"/>
          <w:sz w:val="24"/>
          <w:szCs w:val="24"/>
        </w:rPr>
        <w:t>)</w:t>
      </w:r>
      <w:r w:rsidR="0086533A" w:rsidRPr="00D03877">
        <w:rPr>
          <w:rFonts w:cs="Times New Roman"/>
          <w:sz w:val="24"/>
          <w:szCs w:val="24"/>
        </w:rPr>
        <w:t>.</w:t>
      </w:r>
      <w:r w:rsidR="001232FE" w:rsidRPr="00D03877">
        <w:rPr>
          <w:rFonts w:cs="Times New Roman"/>
          <w:sz w:val="24"/>
          <w:szCs w:val="24"/>
        </w:rPr>
        <w:t xml:space="preserve"> In accordance with the provisions of Assembly Bill 1717, Pub. Util. Code § 319 expired on </w:t>
      </w:r>
      <w:r w:rsidR="003147A8" w:rsidRPr="00D03877">
        <w:rPr>
          <w:rFonts w:cs="Times New Roman"/>
          <w:sz w:val="24"/>
          <w:szCs w:val="24"/>
        </w:rPr>
        <w:t>January 1, 2020</w:t>
      </w:r>
      <w:r w:rsidR="001232FE" w:rsidRPr="00D03877">
        <w:rPr>
          <w:rFonts w:cs="Times New Roman"/>
          <w:sz w:val="24"/>
          <w:szCs w:val="24"/>
        </w:rPr>
        <w:t xml:space="preserve">. </w:t>
      </w:r>
    </w:p>
  </w:footnote>
  <w:footnote w:id="2">
    <w:p w14:paraId="5AC0D6F3" w14:textId="32812FA4" w:rsidR="00F83813" w:rsidRPr="00D03877" w:rsidRDefault="00F83813" w:rsidP="00D4245A">
      <w:pPr>
        <w:pStyle w:val="footnotedescription"/>
        <w:spacing w:after="120" w:line="240" w:lineRule="exact"/>
        <w:ind w:left="2"/>
        <w:rPr>
          <w:sz w:val="24"/>
          <w:szCs w:val="24"/>
        </w:rPr>
      </w:pPr>
      <w:r w:rsidRPr="00D03877">
        <w:rPr>
          <w:rStyle w:val="footnotemark"/>
          <w:sz w:val="24"/>
          <w:szCs w:val="24"/>
        </w:rPr>
        <w:footnoteRef/>
      </w:r>
      <w:r w:rsidRPr="00D03877">
        <w:rPr>
          <w:sz w:val="24"/>
          <w:szCs w:val="24"/>
        </w:rPr>
        <w:t xml:space="preserve"> </w:t>
      </w:r>
      <w:r w:rsidR="004B494B">
        <w:rPr>
          <w:sz w:val="24"/>
          <w:szCs w:val="24"/>
        </w:rPr>
        <w:t>A public version of the</w:t>
      </w:r>
      <w:r w:rsidR="004B494B" w:rsidRPr="00D03877">
        <w:rPr>
          <w:sz w:val="24"/>
          <w:szCs w:val="24"/>
        </w:rPr>
        <w:t xml:space="preserve"> </w:t>
      </w:r>
      <w:r w:rsidRPr="00D03877">
        <w:rPr>
          <w:sz w:val="24"/>
          <w:szCs w:val="24"/>
        </w:rPr>
        <w:t xml:space="preserve">Staff Report is Attachment A to this </w:t>
      </w:r>
      <w:r w:rsidR="008D4FEF" w:rsidRPr="00D03877">
        <w:rPr>
          <w:sz w:val="24"/>
          <w:szCs w:val="24"/>
        </w:rPr>
        <w:t>OII.</w:t>
      </w:r>
    </w:p>
  </w:footnote>
  <w:footnote w:id="3">
    <w:p w14:paraId="6D2EC698" w14:textId="1AABB89C" w:rsidR="00A244A5" w:rsidRPr="00D03877" w:rsidRDefault="00A244A5" w:rsidP="00D4245A">
      <w:pPr>
        <w:pStyle w:val="FootnoteText"/>
        <w:spacing w:after="120" w:line="240" w:lineRule="exact"/>
        <w:rPr>
          <w:rFonts w:cs="Times New Roman"/>
          <w:sz w:val="24"/>
          <w:szCs w:val="24"/>
        </w:rPr>
      </w:pPr>
      <w:r w:rsidRPr="00D03877">
        <w:rPr>
          <w:rStyle w:val="FootnoteReference"/>
          <w:sz w:val="24"/>
          <w:szCs w:val="24"/>
        </w:rPr>
        <w:footnoteRef/>
      </w:r>
      <w:r w:rsidRPr="00D03877">
        <w:rPr>
          <w:rFonts w:cs="Times New Roman"/>
          <w:sz w:val="24"/>
          <w:szCs w:val="24"/>
        </w:rPr>
        <w:t xml:space="preserve"> </w:t>
      </w:r>
      <w:r w:rsidR="00855D87" w:rsidRPr="00D03877">
        <w:rPr>
          <w:rFonts w:cs="Times New Roman"/>
          <w:sz w:val="24"/>
          <w:szCs w:val="24"/>
        </w:rPr>
        <w:t xml:space="preserve">Staff Report, p. </w:t>
      </w:r>
      <w:r w:rsidR="00973078" w:rsidRPr="00D03877">
        <w:rPr>
          <w:rFonts w:cs="Times New Roman"/>
          <w:sz w:val="24"/>
          <w:szCs w:val="24"/>
        </w:rPr>
        <w:t>3</w:t>
      </w:r>
      <w:r w:rsidR="00855D87" w:rsidRPr="00D03877">
        <w:rPr>
          <w:rFonts w:cs="Times New Roman"/>
          <w:sz w:val="24"/>
          <w:szCs w:val="24"/>
        </w:rPr>
        <w:t>.</w:t>
      </w:r>
      <w:r w:rsidR="00855D87" w:rsidRPr="00D03877" w:rsidDel="00855D87">
        <w:rPr>
          <w:rFonts w:cs="Times New Roman"/>
          <w:sz w:val="24"/>
          <w:szCs w:val="24"/>
        </w:rPr>
        <w:t xml:space="preserve"> </w:t>
      </w:r>
    </w:p>
  </w:footnote>
  <w:footnote w:id="4">
    <w:p w14:paraId="71DECE15" w14:textId="53BCC95C" w:rsidR="002514C6" w:rsidRPr="00D03877" w:rsidRDefault="002514C6" w:rsidP="00D4245A">
      <w:pPr>
        <w:pStyle w:val="FootnoteText"/>
        <w:spacing w:after="120" w:line="240" w:lineRule="exact"/>
        <w:rPr>
          <w:sz w:val="24"/>
          <w:szCs w:val="24"/>
        </w:rPr>
      </w:pPr>
      <w:r w:rsidRPr="00D03877">
        <w:rPr>
          <w:rStyle w:val="FootnoteReference"/>
          <w:sz w:val="24"/>
          <w:szCs w:val="24"/>
        </w:rPr>
        <w:footnoteRef/>
      </w:r>
      <w:r w:rsidRPr="00D03877">
        <w:rPr>
          <w:sz w:val="24"/>
          <w:szCs w:val="24"/>
        </w:rPr>
        <w:t xml:space="preserve"> Staff Report, p. </w:t>
      </w:r>
      <w:r w:rsidR="00973078" w:rsidRPr="00D03877">
        <w:rPr>
          <w:sz w:val="24"/>
          <w:szCs w:val="24"/>
        </w:rPr>
        <w:t>3</w:t>
      </w:r>
      <w:r w:rsidRPr="00D03877">
        <w:rPr>
          <w:sz w:val="24"/>
          <w:szCs w:val="24"/>
        </w:rPr>
        <w:t xml:space="preserve">. </w:t>
      </w:r>
    </w:p>
  </w:footnote>
  <w:footnote w:id="5">
    <w:p w14:paraId="28F3705B" w14:textId="02241B05" w:rsidR="00891230" w:rsidRPr="00D03877" w:rsidRDefault="00891230" w:rsidP="00D4245A">
      <w:pPr>
        <w:pStyle w:val="FootnoteText"/>
        <w:spacing w:after="120" w:line="240" w:lineRule="exact"/>
        <w:rPr>
          <w:sz w:val="24"/>
          <w:szCs w:val="24"/>
        </w:rPr>
      </w:pPr>
      <w:r w:rsidRPr="00D03877">
        <w:rPr>
          <w:rStyle w:val="FootnoteReference"/>
          <w:sz w:val="24"/>
          <w:szCs w:val="24"/>
        </w:rPr>
        <w:footnoteRef/>
      </w:r>
      <w:r w:rsidRPr="00D03877">
        <w:rPr>
          <w:sz w:val="24"/>
          <w:szCs w:val="24"/>
        </w:rPr>
        <w:t xml:space="preserve"> </w:t>
      </w:r>
      <w:r w:rsidR="00855D87" w:rsidRPr="00D03877">
        <w:rPr>
          <w:rFonts w:cs="Times New Roman"/>
          <w:sz w:val="24"/>
          <w:szCs w:val="24"/>
        </w:rPr>
        <w:t xml:space="preserve">Staff Report, p. </w:t>
      </w:r>
      <w:r w:rsidR="00973078" w:rsidRPr="00D03877">
        <w:rPr>
          <w:rFonts w:cs="Times New Roman"/>
          <w:sz w:val="24"/>
          <w:szCs w:val="24"/>
        </w:rPr>
        <w:t>3</w:t>
      </w:r>
      <w:r w:rsidR="00091229" w:rsidRPr="00D03877">
        <w:rPr>
          <w:sz w:val="24"/>
          <w:szCs w:val="24"/>
        </w:rPr>
        <w:t>.</w:t>
      </w:r>
    </w:p>
  </w:footnote>
  <w:footnote w:id="6">
    <w:p w14:paraId="687D2A6B" w14:textId="68F62D30" w:rsidR="007C020A" w:rsidRPr="00D03877" w:rsidRDefault="007C020A" w:rsidP="00D4245A">
      <w:pPr>
        <w:pStyle w:val="FootnoteText"/>
        <w:spacing w:after="120" w:line="240" w:lineRule="exact"/>
        <w:rPr>
          <w:rFonts w:cs="Times New Roman"/>
          <w:sz w:val="24"/>
          <w:szCs w:val="24"/>
        </w:rPr>
      </w:pPr>
      <w:r w:rsidRPr="00D03877">
        <w:rPr>
          <w:rStyle w:val="FootnoteReference"/>
          <w:sz w:val="24"/>
          <w:szCs w:val="24"/>
        </w:rPr>
        <w:footnoteRef/>
      </w:r>
      <w:r w:rsidRPr="00D03877">
        <w:rPr>
          <w:rFonts w:cs="Times New Roman"/>
          <w:sz w:val="24"/>
          <w:szCs w:val="24"/>
        </w:rPr>
        <w:t xml:space="preserve"> </w:t>
      </w:r>
      <w:r w:rsidR="00930743" w:rsidRPr="00D03877">
        <w:rPr>
          <w:rFonts w:cs="Times New Roman"/>
          <w:sz w:val="24"/>
          <w:szCs w:val="24"/>
        </w:rPr>
        <w:t xml:space="preserve">Staff Report, p. </w:t>
      </w:r>
      <w:r w:rsidR="00973078" w:rsidRPr="00D03877">
        <w:rPr>
          <w:rFonts w:cs="Times New Roman"/>
          <w:sz w:val="24"/>
          <w:szCs w:val="24"/>
        </w:rPr>
        <w:t>3</w:t>
      </w:r>
      <w:r w:rsidR="00930743" w:rsidRPr="00D03877">
        <w:rPr>
          <w:rFonts w:cs="Times New Roman"/>
          <w:sz w:val="24"/>
          <w:szCs w:val="24"/>
        </w:rPr>
        <w:t>.</w:t>
      </w:r>
    </w:p>
  </w:footnote>
  <w:footnote w:id="7">
    <w:p w14:paraId="3D8E3562" w14:textId="4E47F2C1" w:rsidR="007C020A" w:rsidRPr="00D03877" w:rsidRDefault="007C020A" w:rsidP="00D4245A">
      <w:pPr>
        <w:pStyle w:val="FootnoteText"/>
        <w:spacing w:after="120" w:line="240" w:lineRule="exact"/>
        <w:rPr>
          <w:sz w:val="24"/>
          <w:szCs w:val="24"/>
        </w:rPr>
      </w:pPr>
      <w:r w:rsidRPr="00D03877">
        <w:rPr>
          <w:rStyle w:val="FootnoteReference"/>
          <w:sz w:val="24"/>
          <w:szCs w:val="24"/>
        </w:rPr>
        <w:footnoteRef/>
      </w:r>
      <w:r w:rsidRPr="00D03877">
        <w:rPr>
          <w:sz w:val="24"/>
          <w:szCs w:val="24"/>
        </w:rPr>
        <w:t xml:space="preserve"> Staff Report, p</w:t>
      </w:r>
      <w:r w:rsidR="00973078" w:rsidRPr="00D03877">
        <w:rPr>
          <w:sz w:val="24"/>
          <w:szCs w:val="24"/>
        </w:rPr>
        <w:t>p</w:t>
      </w:r>
      <w:r w:rsidRPr="00D03877">
        <w:rPr>
          <w:sz w:val="24"/>
          <w:szCs w:val="24"/>
        </w:rPr>
        <w:t>.</w:t>
      </w:r>
      <w:r w:rsidR="00DE2286" w:rsidRPr="00D03877">
        <w:rPr>
          <w:sz w:val="24"/>
          <w:szCs w:val="24"/>
        </w:rPr>
        <w:t xml:space="preserve"> </w:t>
      </w:r>
      <w:r w:rsidR="00973078" w:rsidRPr="00D03877">
        <w:rPr>
          <w:sz w:val="24"/>
          <w:szCs w:val="24"/>
        </w:rPr>
        <w:t>3-4</w:t>
      </w:r>
      <w:r w:rsidRPr="00D03877">
        <w:rPr>
          <w:sz w:val="24"/>
          <w:szCs w:val="24"/>
        </w:rPr>
        <w:t>.</w:t>
      </w:r>
    </w:p>
  </w:footnote>
  <w:footnote w:id="8">
    <w:p w14:paraId="0A35A5C1" w14:textId="4F6C8DAE" w:rsidR="00087A56" w:rsidRPr="00D03877" w:rsidRDefault="00087A56" w:rsidP="00D4245A">
      <w:pPr>
        <w:pStyle w:val="FootnoteText"/>
        <w:spacing w:after="120" w:line="240" w:lineRule="exact"/>
        <w:rPr>
          <w:sz w:val="24"/>
          <w:szCs w:val="24"/>
        </w:rPr>
      </w:pPr>
      <w:r w:rsidRPr="00D03877">
        <w:rPr>
          <w:rStyle w:val="FootnoteReference"/>
          <w:sz w:val="24"/>
          <w:szCs w:val="24"/>
        </w:rPr>
        <w:footnoteRef/>
      </w:r>
      <w:r w:rsidRPr="00D03877">
        <w:rPr>
          <w:sz w:val="24"/>
          <w:szCs w:val="24"/>
        </w:rPr>
        <w:t xml:space="preserve"> </w:t>
      </w:r>
      <w:r w:rsidR="00855D87" w:rsidRPr="00D03877">
        <w:rPr>
          <w:rFonts w:cs="Times New Roman"/>
          <w:sz w:val="24"/>
          <w:szCs w:val="24"/>
        </w:rPr>
        <w:t xml:space="preserve">Staff Report, p. </w:t>
      </w:r>
      <w:r w:rsidR="00973078" w:rsidRPr="00D03877">
        <w:rPr>
          <w:rFonts w:cs="Times New Roman"/>
          <w:sz w:val="24"/>
          <w:szCs w:val="24"/>
        </w:rPr>
        <w:t>4</w:t>
      </w:r>
      <w:r w:rsidR="00855D87" w:rsidRPr="00D03877">
        <w:rPr>
          <w:rFonts w:cs="Times New Roman"/>
          <w:sz w:val="24"/>
          <w:szCs w:val="24"/>
        </w:rPr>
        <w:t>.</w:t>
      </w:r>
    </w:p>
  </w:footnote>
  <w:footnote w:id="9">
    <w:p w14:paraId="70204EB6" w14:textId="7671C753" w:rsidR="00F4180F" w:rsidRPr="00D03877" w:rsidRDefault="00F4180F" w:rsidP="00D4245A">
      <w:pPr>
        <w:pStyle w:val="FootnoteText"/>
        <w:spacing w:after="120" w:line="240" w:lineRule="exact"/>
        <w:rPr>
          <w:rFonts w:cs="Times New Roman"/>
          <w:sz w:val="24"/>
          <w:szCs w:val="24"/>
        </w:rPr>
      </w:pPr>
      <w:r w:rsidRPr="00D03877">
        <w:rPr>
          <w:rStyle w:val="FootnoteReference"/>
          <w:sz w:val="24"/>
          <w:szCs w:val="24"/>
        </w:rPr>
        <w:footnoteRef/>
      </w:r>
      <w:r w:rsidRPr="00D03877">
        <w:rPr>
          <w:rFonts w:cs="Times New Roman"/>
          <w:sz w:val="24"/>
          <w:szCs w:val="24"/>
        </w:rPr>
        <w:t xml:space="preserve"> </w:t>
      </w:r>
      <w:r w:rsidR="00855D87" w:rsidRPr="00D03877">
        <w:rPr>
          <w:rFonts w:cs="Times New Roman"/>
          <w:sz w:val="24"/>
          <w:szCs w:val="24"/>
        </w:rPr>
        <w:t xml:space="preserve">Staff Report, p. </w:t>
      </w:r>
      <w:r w:rsidR="00973078" w:rsidRPr="00D03877">
        <w:rPr>
          <w:rFonts w:cs="Times New Roman"/>
          <w:sz w:val="24"/>
          <w:szCs w:val="24"/>
        </w:rPr>
        <w:t>4</w:t>
      </w:r>
      <w:r w:rsidR="00855D87" w:rsidRPr="00D03877">
        <w:rPr>
          <w:rFonts w:cs="Times New Roman"/>
          <w:sz w:val="24"/>
          <w:szCs w:val="24"/>
        </w:rPr>
        <w:t>.</w:t>
      </w:r>
      <w:r w:rsidRPr="00D03877">
        <w:rPr>
          <w:rFonts w:cs="Times New Roman"/>
          <w:sz w:val="24"/>
          <w:szCs w:val="24"/>
        </w:rPr>
        <w:t xml:space="preserve"> </w:t>
      </w:r>
    </w:p>
  </w:footnote>
  <w:footnote w:id="10">
    <w:p w14:paraId="6F0CC016" w14:textId="33777587" w:rsidR="00480404" w:rsidRPr="00D03877" w:rsidRDefault="00480404" w:rsidP="00D4245A">
      <w:pPr>
        <w:pStyle w:val="FootnoteText"/>
        <w:spacing w:after="120" w:line="240" w:lineRule="exact"/>
        <w:rPr>
          <w:sz w:val="24"/>
          <w:szCs w:val="24"/>
        </w:rPr>
      </w:pPr>
      <w:r w:rsidRPr="00D03877">
        <w:rPr>
          <w:rStyle w:val="FootnoteReference"/>
          <w:sz w:val="24"/>
          <w:szCs w:val="24"/>
        </w:rPr>
        <w:footnoteRef/>
      </w:r>
      <w:r w:rsidRPr="00D03877">
        <w:rPr>
          <w:sz w:val="24"/>
          <w:szCs w:val="24"/>
        </w:rPr>
        <w:t xml:space="preserve"> </w:t>
      </w:r>
      <w:r w:rsidRPr="00D03877">
        <w:rPr>
          <w:rFonts w:cs="Times New Roman"/>
          <w:sz w:val="24"/>
          <w:szCs w:val="24"/>
        </w:rPr>
        <w:t xml:space="preserve">Staff Report, p. </w:t>
      </w:r>
      <w:r w:rsidR="00973078" w:rsidRPr="00D03877">
        <w:rPr>
          <w:rFonts w:cs="Times New Roman"/>
          <w:sz w:val="24"/>
          <w:szCs w:val="24"/>
        </w:rPr>
        <w:t>5</w:t>
      </w:r>
      <w:r w:rsidRPr="00D03877">
        <w:rPr>
          <w:rFonts w:cs="Times New Roman"/>
          <w:sz w:val="24"/>
          <w:szCs w:val="24"/>
        </w:rPr>
        <w:t>.</w:t>
      </w:r>
    </w:p>
  </w:footnote>
  <w:footnote w:id="11">
    <w:p w14:paraId="58406A64" w14:textId="410C96AB" w:rsidR="00406942" w:rsidRPr="00D03877" w:rsidRDefault="00406942" w:rsidP="00D4245A">
      <w:pPr>
        <w:pStyle w:val="FootnoteText"/>
        <w:spacing w:after="120" w:line="240" w:lineRule="exact"/>
        <w:rPr>
          <w:sz w:val="24"/>
          <w:szCs w:val="24"/>
        </w:rPr>
      </w:pPr>
      <w:r w:rsidRPr="00D03877">
        <w:rPr>
          <w:rStyle w:val="FootnoteReference"/>
          <w:sz w:val="24"/>
          <w:szCs w:val="24"/>
        </w:rPr>
        <w:footnoteRef/>
      </w:r>
      <w:r w:rsidR="00DE2286" w:rsidRPr="00D03877">
        <w:rPr>
          <w:rFonts w:cs="Times New Roman"/>
          <w:sz w:val="24"/>
          <w:szCs w:val="24"/>
        </w:rPr>
        <w:t xml:space="preserve"> </w:t>
      </w:r>
      <w:r w:rsidR="00617557" w:rsidRPr="00D03877">
        <w:rPr>
          <w:rFonts w:cs="Times New Roman"/>
          <w:sz w:val="24"/>
          <w:szCs w:val="24"/>
        </w:rPr>
        <w:t xml:space="preserve">Staff Report, p. </w:t>
      </w:r>
      <w:r w:rsidR="00973078" w:rsidRPr="00D03877">
        <w:rPr>
          <w:rFonts w:cs="Times New Roman"/>
          <w:sz w:val="24"/>
          <w:szCs w:val="24"/>
        </w:rPr>
        <w:t>6</w:t>
      </w:r>
      <w:r w:rsidR="00617557" w:rsidRPr="00D03877">
        <w:rPr>
          <w:rFonts w:cs="Times New Roman"/>
          <w:sz w:val="24"/>
          <w:szCs w:val="24"/>
        </w:rPr>
        <w:t xml:space="preserve">. </w:t>
      </w:r>
    </w:p>
  </w:footnote>
  <w:footnote w:id="12">
    <w:p w14:paraId="789AAB7A" w14:textId="1DC99C97" w:rsidR="002E25CB" w:rsidRPr="00D03877" w:rsidRDefault="002E25CB" w:rsidP="00D4245A">
      <w:pPr>
        <w:spacing w:after="120" w:line="240" w:lineRule="exact"/>
        <w:ind w:firstLine="0"/>
        <w:rPr>
          <w:sz w:val="24"/>
          <w:szCs w:val="24"/>
        </w:rPr>
      </w:pPr>
      <w:r w:rsidRPr="00D03877">
        <w:rPr>
          <w:rStyle w:val="FootnoteReference"/>
          <w:sz w:val="24"/>
          <w:szCs w:val="24"/>
        </w:rPr>
        <w:footnoteRef/>
      </w:r>
      <w:r w:rsidRPr="00D03877">
        <w:rPr>
          <w:sz w:val="24"/>
          <w:szCs w:val="24"/>
        </w:rPr>
        <w:t xml:space="preserve"> </w:t>
      </w:r>
      <w:r w:rsidR="002633CC" w:rsidRPr="00D03877">
        <w:rPr>
          <w:sz w:val="24"/>
          <w:szCs w:val="24"/>
        </w:rPr>
        <w:t xml:space="preserve">Staff </w:t>
      </w:r>
      <w:r w:rsidR="00BF6518">
        <w:rPr>
          <w:sz w:val="24"/>
          <w:szCs w:val="24"/>
        </w:rPr>
        <w:t>R</w:t>
      </w:r>
      <w:r w:rsidR="002633CC" w:rsidRPr="00D03877">
        <w:rPr>
          <w:sz w:val="24"/>
          <w:szCs w:val="24"/>
        </w:rPr>
        <w:t>eport, pp.</w:t>
      </w:r>
      <w:r w:rsidR="00A63983" w:rsidRPr="00D03877">
        <w:rPr>
          <w:sz w:val="24"/>
          <w:szCs w:val="24"/>
        </w:rPr>
        <w:t xml:space="preserve"> </w:t>
      </w:r>
      <w:r w:rsidR="002633CC" w:rsidRPr="00D03877">
        <w:rPr>
          <w:sz w:val="24"/>
          <w:szCs w:val="24"/>
        </w:rPr>
        <w:t>8</w:t>
      </w:r>
      <w:r w:rsidR="00973078" w:rsidRPr="00D03877">
        <w:rPr>
          <w:sz w:val="24"/>
          <w:szCs w:val="24"/>
        </w:rPr>
        <w:t>, 12</w:t>
      </w:r>
      <w:r w:rsidR="009C5639" w:rsidRPr="00D03877">
        <w:rPr>
          <w:sz w:val="24"/>
          <w:szCs w:val="24"/>
        </w:rPr>
        <w:t xml:space="preserve">; Resolution T-17632 issued on </w:t>
      </w:r>
      <w:r w:rsidR="00A70746">
        <w:rPr>
          <w:sz w:val="24"/>
          <w:szCs w:val="24"/>
        </w:rPr>
        <w:t xml:space="preserve">October 26, </w:t>
      </w:r>
      <w:r w:rsidR="00A94D91">
        <w:rPr>
          <w:sz w:val="24"/>
          <w:szCs w:val="24"/>
        </w:rPr>
        <w:t>2018,</w:t>
      </w:r>
      <w:r w:rsidR="00A70746">
        <w:rPr>
          <w:sz w:val="24"/>
          <w:szCs w:val="24"/>
        </w:rPr>
        <w:t xml:space="preserve"> </w:t>
      </w:r>
      <w:r w:rsidR="009C5639" w:rsidRPr="00D03877">
        <w:rPr>
          <w:sz w:val="24"/>
          <w:szCs w:val="24"/>
        </w:rPr>
        <w:t xml:space="preserve">approved the CPUC’s portion of the Prepaid Act’s surcharge rate, to be effective January 1, 2019.  Resolution T-17632 was later rescinded by Commission Resolution L-574 in response to the District Court opinion in favor of MetroPCS which was eventually overturned and remanded by the Ninth Circuit.  </w:t>
      </w:r>
    </w:p>
  </w:footnote>
  <w:footnote w:id="13">
    <w:p w14:paraId="18C63D3F" w14:textId="65FC6871" w:rsidR="008D6FC1" w:rsidRPr="00D03877" w:rsidRDefault="008D6FC1" w:rsidP="00D4245A">
      <w:pPr>
        <w:pStyle w:val="FootnoteText"/>
        <w:spacing w:after="120" w:line="240" w:lineRule="exact"/>
        <w:rPr>
          <w:rFonts w:cs="Times New Roman"/>
          <w:sz w:val="24"/>
          <w:szCs w:val="24"/>
        </w:rPr>
      </w:pPr>
      <w:r w:rsidRPr="00D03877">
        <w:rPr>
          <w:rStyle w:val="FootnoteReference"/>
          <w:sz w:val="24"/>
          <w:szCs w:val="24"/>
        </w:rPr>
        <w:footnoteRef/>
      </w:r>
      <w:r w:rsidRPr="00D03877">
        <w:rPr>
          <w:rFonts w:cs="Times New Roman"/>
          <w:sz w:val="24"/>
          <w:szCs w:val="24"/>
        </w:rPr>
        <w:t xml:space="preserve"> </w:t>
      </w:r>
      <w:r w:rsidR="002633CC" w:rsidRPr="00D03877">
        <w:rPr>
          <w:rFonts w:cs="Times New Roman"/>
          <w:sz w:val="24"/>
          <w:szCs w:val="24"/>
        </w:rPr>
        <w:t>Staff Report, p. 1</w:t>
      </w:r>
      <w:r w:rsidR="00973078" w:rsidRPr="00D03877">
        <w:rPr>
          <w:rFonts w:cs="Times New Roman"/>
          <w:sz w:val="24"/>
          <w:szCs w:val="24"/>
        </w:rPr>
        <w:t>2</w:t>
      </w:r>
      <w:r w:rsidR="009C5639" w:rsidRPr="00D03877">
        <w:rPr>
          <w:rFonts w:cs="Times New Roman"/>
          <w:sz w:val="24"/>
          <w:szCs w:val="24"/>
        </w:rPr>
        <w:t xml:space="preserve">; </w:t>
      </w:r>
      <w:r w:rsidR="009C5639" w:rsidRPr="00D03877">
        <w:rPr>
          <w:sz w:val="24"/>
          <w:szCs w:val="24"/>
        </w:rPr>
        <w:t>On December 13, 2018, the Commission issued new directions in the form of Resolution T-17641, on the collection, reporting, and remittance of Commission PPP surcharges, and user fees for prepaid wireless services in California for the year 2019.</w:t>
      </w:r>
    </w:p>
  </w:footnote>
  <w:footnote w:id="14">
    <w:p w14:paraId="08B1E5BE" w14:textId="6E5F614C" w:rsidR="007C020A" w:rsidRPr="00D03877" w:rsidRDefault="007C020A" w:rsidP="00D4245A">
      <w:pPr>
        <w:pStyle w:val="FootnoteText"/>
        <w:spacing w:after="120" w:line="240" w:lineRule="exact"/>
        <w:rPr>
          <w:sz w:val="24"/>
          <w:szCs w:val="24"/>
        </w:rPr>
      </w:pPr>
      <w:r w:rsidRPr="00D03877">
        <w:rPr>
          <w:rStyle w:val="FootnoteReference"/>
          <w:sz w:val="24"/>
          <w:szCs w:val="24"/>
        </w:rPr>
        <w:footnoteRef/>
      </w:r>
      <w:r w:rsidRPr="00D03877">
        <w:rPr>
          <w:sz w:val="24"/>
          <w:szCs w:val="24"/>
        </w:rPr>
        <w:t xml:space="preserve"> Staff Report, p.</w:t>
      </w:r>
      <w:r w:rsidR="00D4245A" w:rsidRPr="00D03877">
        <w:rPr>
          <w:sz w:val="24"/>
          <w:szCs w:val="24"/>
        </w:rPr>
        <w:t xml:space="preserve"> </w:t>
      </w:r>
      <w:r w:rsidR="00973078" w:rsidRPr="00D03877">
        <w:rPr>
          <w:sz w:val="24"/>
          <w:szCs w:val="24"/>
        </w:rPr>
        <w:t>9-10</w:t>
      </w:r>
      <w:r w:rsidRPr="00D03877">
        <w:rPr>
          <w:sz w:val="24"/>
          <w:szCs w:val="24"/>
        </w:rPr>
        <w:t xml:space="preserve">. </w:t>
      </w:r>
    </w:p>
  </w:footnote>
  <w:footnote w:id="15">
    <w:p w14:paraId="2D6FCE81" w14:textId="4A4B4FFE" w:rsidR="00E87C94" w:rsidRPr="00D03877" w:rsidRDefault="00E87C94" w:rsidP="00D4245A">
      <w:pPr>
        <w:pStyle w:val="FootnoteText"/>
        <w:spacing w:after="120" w:line="240" w:lineRule="exact"/>
        <w:rPr>
          <w:sz w:val="24"/>
          <w:szCs w:val="24"/>
        </w:rPr>
      </w:pPr>
      <w:r w:rsidRPr="00D03877">
        <w:rPr>
          <w:rStyle w:val="FootnoteReference"/>
          <w:sz w:val="24"/>
          <w:szCs w:val="24"/>
        </w:rPr>
        <w:footnoteRef/>
      </w:r>
      <w:r w:rsidRPr="00D03877">
        <w:rPr>
          <w:sz w:val="24"/>
          <w:szCs w:val="24"/>
        </w:rPr>
        <w:t xml:space="preserve"> Staff Report, Attachment F</w:t>
      </w:r>
      <w:r w:rsidR="00DA081F">
        <w:rPr>
          <w:sz w:val="24"/>
          <w:szCs w:val="24"/>
        </w:rPr>
        <w:t>.</w:t>
      </w:r>
    </w:p>
  </w:footnote>
  <w:footnote w:id="16">
    <w:p w14:paraId="553C726D" w14:textId="0247E5D6" w:rsidR="008C1AE9" w:rsidRPr="00D03877" w:rsidRDefault="008C1AE9" w:rsidP="00D4245A">
      <w:pPr>
        <w:pStyle w:val="FootnoteText"/>
        <w:spacing w:after="120" w:line="240" w:lineRule="exact"/>
        <w:rPr>
          <w:rFonts w:cs="Times New Roman"/>
          <w:sz w:val="24"/>
          <w:szCs w:val="24"/>
        </w:rPr>
      </w:pPr>
      <w:r w:rsidRPr="00D03877">
        <w:rPr>
          <w:rStyle w:val="FootnoteReference"/>
          <w:sz w:val="24"/>
          <w:szCs w:val="24"/>
        </w:rPr>
        <w:footnoteRef/>
      </w:r>
      <w:r w:rsidRPr="00D03877">
        <w:rPr>
          <w:rFonts w:cs="Times New Roman"/>
          <w:sz w:val="24"/>
          <w:szCs w:val="24"/>
        </w:rPr>
        <w:t xml:space="preserve"> </w:t>
      </w:r>
      <w:r w:rsidR="00617557" w:rsidRPr="00D03877">
        <w:rPr>
          <w:rFonts w:cs="Times New Roman"/>
          <w:sz w:val="24"/>
          <w:szCs w:val="24"/>
        </w:rPr>
        <w:t xml:space="preserve">Staff Report, pp. 8, </w:t>
      </w:r>
      <w:r w:rsidR="00973078" w:rsidRPr="00D03877">
        <w:rPr>
          <w:rFonts w:cs="Times New Roman"/>
          <w:sz w:val="24"/>
          <w:szCs w:val="24"/>
        </w:rPr>
        <w:t>10</w:t>
      </w:r>
      <w:r w:rsidR="00617557" w:rsidRPr="00D03877">
        <w:rPr>
          <w:rFonts w:cs="Times New Roman"/>
          <w:sz w:val="24"/>
          <w:szCs w:val="24"/>
        </w:rPr>
        <w:t>, 1</w:t>
      </w:r>
      <w:r w:rsidR="00B027B0">
        <w:rPr>
          <w:rFonts w:cs="Times New Roman"/>
          <w:sz w:val="24"/>
          <w:szCs w:val="24"/>
        </w:rPr>
        <w:t>6</w:t>
      </w:r>
      <w:r w:rsidR="00973078" w:rsidRPr="00D03877">
        <w:rPr>
          <w:rFonts w:cs="Times New Roman"/>
          <w:sz w:val="24"/>
          <w:szCs w:val="24"/>
        </w:rPr>
        <w:t>-</w:t>
      </w:r>
      <w:r w:rsidR="00B027B0">
        <w:rPr>
          <w:rFonts w:cs="Times New Roman"/>
          <w:sz w:val="24"/>
          <w:szCs w:val="24"/>
        </w:rPr>
        <w:t>31</w:t>
      </w:r>
      <w:r w:rsidR="00617557" w:rsidRPr="00D03877">
        <w:rPr>
          <w:rFonts w:cs="Times New Roman"/>
          <w:sz w:val="24"/>
          <w:szCs w:val="24"/>
        </w:rPr>
        <w:t>, 3</w:t>
      </w:r>
      <w:r w:rsidR="00973078" w:rsidRPr="00D03877">
        <w:rPr>
          <w:rFonts w:cs="Times New Roman"/>
          <w:sz w:val="24"/>
          <w:szCs w:val="24"/>
        </w:rPr>
        <w:t>6</w:t>
      </w:r>
      <w:r w:rsidR="00617557" w:rsidRPr="00D03877">
        <w:rPr>
          <w:rFonts w:cs="Times New Roman"/>
          <w:sz w:val="24"/>
          <w:szCs w:val="24"/>
        </w:rPr>
        <w:t>.</w:t>
      </w:r>
    </w:p>
  </w:footnote>
  <w:footnote w:id="17">
    <w:p w14:paraId="7A524EBA" w14:textId="77777777" w:rsidR="00E34380" w:rsidRPr="00D03877" w:rsidRDefault="00E34380" w:rsidP="00D4245A">
      <w:pPr>
        <w:pStyle w:val="FootnoteText"/>
        <w:spacing w:after="120" w:line="240" w:lineRule="exact"/>
        <w:rPr>
          <w:rFonts w:cs="Times New Roman"/>
          <w:sz w:val="24"/>
          <w:szCs w:val="24"/>
        </w:rPr>
      </w:pPr>
      <w:r w:rsidRPr="00D03877">
        <w:rPr>
          <w:rStyle w:val="FootnoteReference"/>
          <w:sz w:val="24"/>
          <w:szCs w:val="24"/>
        </w:rPr>
        <w:footnoteRef/>
      </w:r>
      <w:r w:rsidRPr="00D03877">
        <w:rPr>
          <w:rFonts w:cs="Times New Roman"/>
          <w:sz w:val="24"/>
          <w:szCs w:val="24"/>
        </w:rPr>
        <w:t xml:space="preserve"> Staff Report, p. 8.</w:t>
      </w:r>
    </w:p>
  </w:footnote>
  <w:footnote w:id="18">
    <w:p w14:paraId="1B90CBF7" w14:textId="69C83712" w:rsidR="00114040" w:rsidRPr="00D03877" w:rsidRDefault="00114040" w:rsidP="00D4245A">
      <w:pPr>
        <w:autoSpaceDE w:val="0"/>
        <w:autoSpaceDN w:val="0"/>
        <w:adjustRightInd w:val="0"/>
        <w:spacing w:after="120" w:line="240" w:lineRule="exact"/>
        <w:ind w:left="0" w:firstLine="0"/>
        <w:rPr>
          <w:rFonts w:eastAsiaTheme="minorEastAsia"/>
          <w:color w:val="auto"/>
          <w:sz w:val="24"/>
          <w:szCs w:val="24"/>
        </w:rPr>
      </w:pPr>
      <w:r w:rsidRPr="00D03877">
        <w:rPr>
          <w:rStyle w:val="FootnoteReference"/>
          <w:sz w:val="24"/>
          <w:szCs w:val="24"/>
        </w:rPr>
        <w:footnoteRef/>
      </w:r>
      <w:r w:rsidRPr="00D03877">
        <w:rPr>
          <w:sz w:val="24"/>
          <w:szCs w:val="24"/>
        </w:rPr>
        <w:t xml:space="preserve"> </w:t>
      </w:r>
      <w:r w:rsidR="00B4573F" w:rsidRPr="00D03877">
        <w:rPr>
          <w:rFonts w:eastAsiaTheme="minorEastAsia"/>
          <w:color w:val="auto"/>
          <w:sz w:val="24"/>
          <w:szCs w:val="24"/>
        </w:rPr>
        <w:t>U.S. District Court California Northern District (San Francisco) CASE #: 3:17-cv-05959-JD</w:t>
      </w:r>
      <w:r w:rsidRPr="00D03877">
        <w:rPr>
          <w:sz w:val="24"/>
          <w:szCs w:val="24"/>
        </w:rPr>
        <w:t>.</w:t>
      </w:r>
      <w:r w:rsidR="00A84CB4" w:rsidRPr="00D03877">
        <w:rPr>
          <w:sz w:val="24"/>
          <w:szCs w:val="24"/>
        </w:rPr>
        <w:t xml:space="preserve">  On October 17, 2017, MetroPCS filed a lawsuit in the Federal District Court for the Northern District of California (District Court) against the Commission alleging that the Prepaid Act and </w:t>
      </w:r>
      <w:r w:rsidR="00FA5572" w:rsidRPr="00D03877">
        <w:rPr>
          <w:sz w:val="24"/>
          <w:szCs w:val="24"/>
        </w:rPr>
        <w:t xml:space="preserve">the </w:t>
      </w:r>
      <w:r w:rsidR="00DE361B" w:rsidRPr="00D03877">
        <w:rPr>
          <w:sz w:val="24"/>
          <w:szCs w:val="24"/>
        </w:rPr>
        <w:t>Commission’s Resolution</w:t>
      </w:r>
      <w:r w:rsidR="00F3581C" w:rsidRPr="00D03877">
        <w:rPr>
          <w:sz w:val="24"/>
          <w:szCs w:val="24"/>
        </w:rPr>
        <w:t>(s)</w:t>
      </w:r>
      <w:r w:rsidR="00A84CB4" w:rsidRPr="00D03877">
        <w:rPr>
          <w:sz w:val="24"/>
          <w:szCs w:val="24"/>
        </w:rPr>
        <w:t xml:space="preserve"> T-17542, T-17568, and T-17579 were unlawful and the imposition of a surcharge on interstate voice and broadband data services conflicted with and was pre-empted by federal law.  (Staff Report, pp. pp. 11, 15, 36, 37.)  </w:t>
      </w:r>
      <w:r w:rsidR="001066D5" w:rsidRPr="00D03877">
        <w:rPr>
          <w:sz w:val="24"/>
          <w:szCs w:val="24"/>
        </w:rPr>
        <w:t xml:space="preserve">This case is currently </w:t>
      </w:r>
      <w:r w:rsidR="00077D50" w:rsidRPr="00D03877">
        <w:rPr>
          <w:sz w:val="24"/>
          <w:szCs w:val="24"/>
        </w:rPr>
        <w:t>awaiting a new trial date</w:t>
      </w:r>
      <w:r w:rsidR="00B4573F" w:rsidRPr="00D03877">
        <w:rPr>
          <w:sz w:val="24"/>
          <w:szCs w:val="24"/>
        </w:rPr>
        <w:t xml:space="preserve"> and is scheduled for a Case Management Conference on May </w:t>
      </w:r>
      <w:r w:rsidR="00BA6125" w:rsidRPr="00D03877">
        <w:rPr>
          <w:sz w:val="24"/>
          <w:szCs w:val="24"/>
        </w:rPr>
        <w:t>12</w:t>
      </w:r>
      <w:r w:rsidR="00B4573F" w:rsidRPr="00D03877">
        <w:rPr>
          <w:sz w:val="24"/>
          <w:szCs w:val="24"/>
        </w:rPr>
        <w:t>, 2022</w:t>
      </w:r>
      <w:r w:rsidR="001066D5" w:rsidRPr="00D03877">
        <w:rPr>
          <w:sz w:val="24"/>
          <w:szCs w:val="24"/>
        </w:rPr>
        <w:t xml:space="preserve">. </w:t>
      </w:r>
      <w:r w:rsidR="00973078" w:rsidRPr="00D03877">
        <w:rPr>
          <w:sz w:val="24"/>
          <w:szCs w:val="24"/>
        </w:rPr>
        <w:t xml:space="preserve"> Staff Report, pp. 11-14.</w:t>
      </w:r>
    </w:p>
  </w:footnote>
  <w:footnote w:id="19">
    <w:p w14:paraId="321EED6E" w14:textId="5D8FE54B" w:rsidR="001F0232" w:rsidRPr="00D03877" w:rsidRDefault="001F0232" w:rsidP="00D4245A">
      <w:pPr>
        <w:pStyle w:val="FootnoteText"/>
        <w:spacing w:after="120" w:line="240" w:lineRule="exact"/>
        <w:rPr>
          <w:sz w:val="24"/>
          <w:szCs w:val="24"/>
        </w:rPr>
      </w:pPr>
      <w:r w:rsidRPr="00D03877">
        <w:rPr>
          <w:rStyle w:val="FootnoteReference"/>
          <w:sz w:val="24"/>
          <w:szCs w:val="24"/>
        </w:rPr>
        <w:footnoteRef/>
      </w:r>
      <w:r w:rsidRPr="00D03877">
        <w:rPr>
          <w:sz w:val="24"/>
          <w:szCs w:val="24"/>
        </w:rPr>
        <w:t xml:space="preserve"> Staff Report, pp. 10-11.</w:t>
      </w:r>
    </w:p>
  </w:footnote>
  <w:footnote w:id="20">
    <w:p w14:paraId="74E9BFD8" w14:textId="2A2C9732" w:rsidR="00DB571E" w:rsidRPr="00D03877" w:rsidRDefault="00DB571E" w:rsidP="00D4245A">
      <w:pPr>
        <w:pStyle w:val="FootnoteText"/>
        <w:spacing w:after="120" w:line="240" w:lineRule="exact"/>
        <w:rPr>
          <w:rFonts w:cs="Times New Roman"/>
          <w:sz w:val="24"/>
          <w:szCs w:val="24"/>
        </w:rPr>
      </w:pPr>
      <w:r w:rsidRPr="00D03877">
        <w:rPr>
          <w:rStyle w:val="FootnoteReference"/>
          <w:sz w:val="24"/>
          <w:szCs w:val="24"/>
        </w:rPr>
        <w:footnoteRef/>
      </w:r>
      <w:r w:rsidRPr="00D03877">
        <w:rPr>
          <w:rFonts w:cs="Times New Roman"/>
          <w:sz w:val="24"/>
          <w:szCs w:val="24"/>
        </w:rPr>
        <w:t xml:space="preserve"> </w:t>
      </w:r>
      <w:r w:rsidR="00B0069A" w:rsidRPr="00D03877">
        <w:rPr>
          <w:rFonts w:cs="Times New Roman"/>
          <w:sz w:val="24"/>
          <w:szCs w:val="24"/>
        </w:rPr>
        <w:t xml:space="preserve">Staff Report, </w:t>
      </w:r>
      <w:r w:rsidR="006C19A3" w:rsidRPr="00D03877">
        <w:rPr>
          <w:rFonts w:cs="Times New Roman"/>
          <w:sz w:val="24"/>
          <w:szCs w:val="24"/>
        </w:rPr>
        <w:t xml:space="preserve">p. </w:t>
      </w:r>
      <w:r w:rsidR="00973078" w:rsidRPr="00D03877">
        <w:rPr>
          <w:rFonts w:cs="Times New Roman"/>
          <w:sz w:val="24"/>
          <w:szCs w:val="24"/>
        </w:rPr>
        <w:t>5</w:t>
      </w:r>
      <w:r w:rsidR="00471ADA" w:rsidRPr="00D03877">
        <w:rPr>
          <w:rFonts w:cs="Times New Roman"/>
          <w:sz w:val="24"/>
          <w:szCs w:val="24"/>
        </w:rPr>
        <w:t xml:space="preserve">, </w:t>
      </w:r>
      <w:r w:rsidR="00973078" w:rsidRPr="00D03877">
        <w:rPr>
          <w:rFonts w:cs="Times New Roman"/>
          <w:sz w:val="24"/>
          <w:szCs w:val="24"/>
        </w:rPr>
        <w:t>7</w:t>
      </w:r>
      <w:r w:rsidR="00471ADA" w:rsidRPr="00D03877">
        <w:rPr>
          <w:rFonts w:cs="Times New Roman"/>
          <w:sz w:val="24"/>
          <w:szCs w:val="24"/>
        </w:rPr>
        <w:t>, 1</w:t>
      </w:r>
      <w:r w:rsidR="00973078" w:rsidRPr="00D03877">
        <w:rPr>
          <w:rFonts w:cs="Times New Roman"/>
          <w:sz w:val="24"/>
          <w:szCs w:val="24"/>
        </w:rPr>
        <w:t>9-20</w:t>
      </w:r>
      <w:r w:rsidR="00471ADA" w:rsidRPr="00D03877">
        <w:rPr>
          <w:rFonts w:cs="Times New Roman"/>
          <w:sz w:val="24"/>
          <w:szCs w:val="24"/>
        </w:rPr>
        <w:t xml:space="preserve">, </w:t>
      </w:r>
      <w:r w:rsidR="00E53B40" w:rsidRPr="00D03877">
        <w:rPr>
          <w:rFonts w:cs="Times New Roman"/>
          <w:sz w:val="24"/>
          <w:szCs w:val="24"/>
        </w:rPr>
        <w:t>51</w:t>
      </w:r>
      <w:r w:rsidR="006C19A3" w:rsidRPr="00D03877">
        <w:rPr>
          <w:rFonts w:cs="Times New Roman"/>
          <w:sz w:val="24"/>
          <w:szCs w:val="24"/>
        </w:rPr>
        <w:t xml:space="preserve">. </w:t>
      </w:r>
    </w:p>
  </w:footnote>
  <w:footnote w:id="21">
    <w:p w14:paraId="20EB558A" w14:textId="747CAADD" w:rsidR="004E66E8" w:rsidRPr="00D03877" w:rsidRDefault="004E66E8" w:rsidP="00D4245A">
      <w:pPr>
        <w:pStyle w:val="FootnoteText"/>
        <w:spacing w:after="120" w:line="240" w:lineRule="exact"/>
        <w:rPr>
          <w:sz w:val="24"/>
          <w:szCs w:val="24"/>
        </w:rPr>
      </w:pPr>
      <w:r w:rsidRPr="00D03877">
        <w:rPr>
          <w:rStyle w:val="FootnoteReference"/>
          <w:sz w:val="24"/>
          <w:szCs w:val="24"/>
        </w:rPr>
        <w:footnoteRef/>
      </w:r>
      <w:r w:rsidRPr="00D03877">
        <w:rPr>
          <w:sz w:val="24"/>
          <w:szCs w:val="24"/>
        </w:rPr>
        <w:t xml:space="preserve"> Staff Report, p</w:t>
      </w:r>
      <w:r w:rsidR="00E53B40" w:rsidRPr="00D03877">
        <w:rPr>
          <w:sz w:val="24"/>
          <w:szCs w:val="24"/>
        </w:rPr>
        <w:t>p. 7-8, 51</w:t>
      </w:r>
      <w:r w:rsidR="00471ADA" w:rsidRPr="00D03877">
        <w:rPr>
          <w:sz w:val="24"/>
          <w:szCs w:val="24"/>
        </w:rPr>
        <w:t>.</w:t>
      </w:r>
      <w:r w:rsidRPr="00D03877">
        <w:rPr>
          <w:sz w:val="24"/>
          <w:szCs w:val="24"/>
        </w:rPr>
        <w:t xml:space="preserve"> </w:t>
      </w:r>
    </w:p>
  </w:footnote>
  <w:footnote w:id="22">
    <w:p w14:paraId="57D43B5C" w14:textId="7AD109A3" w:rsidR="00011634" w:rsidRPr="00D03877" w:rsidRDefault="00011634" w:rsidP="00D4245A">
      <w:pPr>
        <w:pStyle w:val="FootnoteText"/>
        <w:spacing w:after="120" w:line="240" w:lineRule="exact"/>
        <w:rPr>
          <w:sz w:val="24"/>
          <w:szCs w:val="24"/>
        </w:rPr>
      </w:pPr>
      <w:r w:rsidRPr="00D03877">
        <w:rPr>
          <w:rStyle w:val="FootnoteReference"/>
          <w:sz w:val="24"/>
          <w:szCs w:val="24"/>
        </w:rPr>
        <w:footnoteRef/>
      </w:r>
      <w:r w:rsidR="0028110B" w:rsidRPr="00D03877">
        <w:rPr>
          <w:sz w:val="24"/>
          <w:szCs w:val="24"/>
        </w:rPr>
        <w:t xml:space="preserve"> Staff Report, p</w:t>
      </w:r>
      <w:r w:rsidR="005B2024" w:rsidRPr="00D03877">
        <w:rPr>
          <w:sz w:val="24"/>
          <w:szCs w:val="24"/>
        </w:rPr>
        <w:t>p. 1</w:t>
      </w:r>
      <w:r w:rsidR="00E53B40" w:rsidRPr="00D03877">
        <w:rPr>
          <w:sz w:val="24"/>
          <w:szCs w:val="24"/>
        </w:rPr>
        <w:t>9, 36, 51</w:t>
      </w:r>
      <w:r w:rsidR="005B2024" w:rsidRPr="00D03877">
        <w:rPr>
          <w:sz w:val="24"/>
          <w:szCs w:val="24"/>
        </w:rPr>
        <w:t xml:space="preserve">. </w:t>
      </w:r>
      <w:r w:rsidR="0028110B" w:rsidRPr="00D03877">
        <w:rPr>
          <w:sz w:val="24"/>
          <w:szCs w:val="24"/>
        </w:rPr>
        <w:t xml:space="preserve"> </w:t>
      </w:r>
    </w:p>
  </w:footnote>
  <w:footnote w:id="23">
    <w:p w14:paraId="5F9B3010" w14:textId="2AAC4979" w:rsidR="00D700D4" w:rsidRPr="00D03877" w:rsidRDefault="00D700D4" w:rsidP="00D4245A">
      <w:pPr>
        <w:pStyle w:val="FootnoteText"/>
        <w:spacing w:after="120" w:line="240" w:lineRule="exact"/>
        <w:rPr>
          <w:sz w:val="24"/>
          <w:szCs w:val="24"/>
        </w:rPr>
      </w:pPr>
      <w:r w:rsidRPr="00D03877">
        <w:rPr>
          <w:rStyle w:val="FootnoteReference"/>
          <w:sz w:val="24"/>
          <w:szCs w:val="24"/>
        </w:rPr>
        <w:footnoteRef/>
      </w:r>
      <w:r w:rsidRPr="00D03877">
        <w:rPr>
          <w:sz w:val="24"/>
          <w:szCs w:val="24"/>
        </w:rPr>
        <w:t xml:space="preserve"> Staff Report, p</w:t>
      </w:r>
      <w:r w:rsidR="00B027B0">
        <w:rPr>
          <w:sz w:val="24"/>
          <w:szCs w:val="24"/>
        </w:rPr>
        <w:t>p</w:t>
      </w:r>
      <w:r w:rsidRPr="00D03877">
        <w:rPr>
          <w:sz w:val="24"/>
          <w:szCs w:val="24"/>
        </w:rPr>
        <w:t>.</w:t>
      </w:r>
      <w:r w:rsidR="00B027B0">
        <w:rPr>
          <w:sz w:val="24"/>
          <w:szCs w:val="24"/>
        </w:rPr>
        <w:t xml:space="preserve"> 7, 13.</w:t>
      </w:r>
      <w:r w:rsidRPr="00D03877">
        <w:rPr>
          <w:sz w:val="24"/>
          <w:szCs w:val="24"/>
        </w:rPr>
        <w:t xml:space="preserve"> </w:t>
      </w:r>
    </w:p>
  </w:footnote>
  <w:footnote w:id="24">
    <w:p w14:paraId="611F1284" w14:textId="21BA1D39" w:rsidR="0061545D" w:rsidRPr="00D03877" w:rsidRDefault="0061545D" w:rsidP="00D4245A">
      <w:pPr>
        <w:pStyle w:val="FootnoteText"/>
        <w:spacing w:after="120" w:line="240" w:lineRule="exact"/>
        <w:rPr>
          <w:rFonts w:cs="Times New Roman"/>
          <w:sz w:val="24"/>
          <w:szCs w:val="24"/>
        </w:rPr>
      </w:pPr>
      <w:r w:rsidRPr="00D03877">
        <w:rPr>
          <w:rStyle w:val="FootnoteReference"/>
          <w:sz w:val="24"/>
          <w:szCs w:val="24"/>
        </w:rPr>
        <w:footnoteRef/>
      </w:r>
      <w:r w:rsidRPr="00D03877">
        <w:rPr>
          <w:rFonts w:cs="Times New Roman"/>
          <w:sz w:val="24"/>
          <w:szCs w:val="24"/>
        </w:rPr>
        <w:t xml:space="preserve"> </w:t>
      </w:r>
      <w:r w:rsidR="00B0069A" w:rsidRPr="00D03877">
        <w:rPr>
          <w:rFonts w:cs="Times New Roman"/>
          <w:sz w:val="24"/>
          <w:szCs w:val="24"/>
        </w:rPr>
        <w:t>Staff Report</w:t>
      </w:r>
      <w:r w:rsidR="00C82473" w:rsidRPr="00D03877">
        <w:rPr>
          <w:rFonts w:cs="Times New Roman"/>
          <w:sz w:val="24"/>
          <w:szCs w:val="24"/>
        </w:rPr>
        <w:t>, p</w:t>
      </w:r>
      <w:r w:rsidR="00E53B40" w:rsidRPr="00D03877">
        <w:rPr>
          <w:rFonts w:cs="Times New Roman"/>
          <w:sz w:val="24"/>
          <w:szCs w:val="24"/>
        </w:rPr>
        <w:t>p</w:t>
      </w:r>
      <w:r w:rsidR="00C82473" w:rsidRPr="00D03877">
        <w:rPr>
          <w:rFonts w:cs="Times New Roman"/>
          <w:sz w:val="24"/>
          <w:szCs w:val="24"/>
        </w:rPr>
        <w:t xml:space="preserve">. </w:t>
      </w:r>
      <w:r w:rsidR="00E53B40" w:rsidRPr="00D03877">
        <w:rPr>
          <w:rFonts w:cs="Times New Roman"/>
          <w:sz w:val="24"/>
          <w:szCs w:val="24"/>
        </w:rPr>
        <w:t>7, 51</w:t>
      </w:r>
      <w:r w:rsidR="00C82473" w:rsidRPr="00D03877">
        <w:rPr>
          <w:rFonts w:cs="Times New Roman"/>
          <w:sz w:val="24"/>
          <w:szCs w:val="24"/>
        </w:rPr>
        <w:t xml:space="preserve">. </w:t>
      </w:r>
    </w:p>
  </w:footnote>
  <w:footnote w:id="25">
    <w:p w14:paraId="60A37EB6" w14:textId="632F5369" w:rsidR="0061545D" w:rsidRPr="00D03877" w:rsidRDefault="0061545D" w:rsidP="00D4245A">
      <w:pPr>
        <w:pStyle w:val="FootnoteText"/>
        <w:spacing w:after="120" w:line="240" w:lineRule="exact"/>
        <w:rPr>
          <w:rFonts w:cs="Times New Roman"/>
          <w:sz w:val="24"/>
          <w:szCs w:val="24"/>
        </w:rPr>
      </w:pPr>
      <w:r w:rsidRPr="00D03877">
        <w:rPr>
          <w:rStyle w:val="FootnoteReference"/>
          <w:sz w:val="24"/>
          <w:szCs w:val="24"/>
        </w:rPr>
        <w:footnoteRef/>
      </w:r>
      <w:r w:rsidRPr="00D03877">
        <w:rPr>
          <w:rFonts w:cs="Times New Roman"/>
          <w:sz w:val="24"/>
          <w:szCs w:val="24"/>
        </w:rPr>
        <w:t xml:space="preserve"> </w:t>
      </w:r>
      <w:r w:rsidR="00B0069A" w:rsidRPr="00D03877">
        <w:rPr>
          <w:rFonts w:cs="Times New Roman"/>
          <w:sz w:val="24"/>
          <w:szCs w:val="24"/>
        </w:rPr>
        <w:t>Staff Report</w:t>
      </w:r>
      <w:r w:rsidR="00C82473" w:rsidRPr="00D03877">
        <w:rPr>
          <w:rFonts w:cs="Times New Roman"/>
          <w:sz w:val="24"/>
          <w:szCs w:val="24"/>
        </w:rPr>
        <w:t xml:space="preserve">, pp. </w:t>
      </w:r>
      <w:r w:rsidR="00E53B40" w:rsidRPr="00D03877">
        <w:rPr>
          <w:rFonts w:cs="Times New Roman"/>
          <w:sz w:val="24"/>
          <w:szCs w:val="24"/>
        </w:rPr>
        <w:t>18, 3</w:t>
      </w:r>
      <w:r w:rsidR="00B027B0">
        <w:rPr>
          <w:rFonts w:cs="Times New Roman"/>
          <w:sz w:val="24"/>
          <w:szCs w:val="24"/>
        </w:rPr>
        <w:t>3</w:t>
      </w:r>
      <w:r w:rsidR="00E53B40" w:rsidRPr="00D03877">
        <w:rPr>
          <w:rFonts w:cs="Times New Roman"/>
          <w:sz w:val="24"/>
          <w:szCs w:val="24"/>
        </w:rPr>
        <w:t>, 47</w:t>
      </w:r>
      <w:r w:rsidR="00BD706F" w:rsidRPr="00D03877">
        <w:rPr>
          <w:rFonts w:cs="Times New Roman"/>
          <w:sz w:val="24"/>
          <w:szCs w:val="24"/>
        </w:rPr>
        <w:t>.</w:t>
      </w:r>
    </w:p>
  </w:footnote>
  <w:footnote w:id="26">
    <w:p w14:paraId="0A6B115B" w14:textId="5E965D7C" w:rsidR="00873B9F" w:rsidRPr="00D03877" w:rsidRDefault="00873B9F" w:rsidP="00D4245A">
      <w:pPr>
        <w:pStyle w:val="FootnoteText"/>
        <w:spacing w:after="120" w:line="240" w:lineRule="exact"/>
        <w:rPr>
          <w:sz w:val="24"/>
          <w:szCs w:val="24"/>
        </w:rPr>
      </w:pPr>
      <w:r w:rsidRPr="00D03877">
        <w:rPr>
          <w:rStyle w:val="FootnoteReference"/>
          <w:sz w:val="24"/>
          <w:szCs w:val="24"/>
        </w:rPr>
        <w:footnoteRef/>
      </w:r>
      <w:r w:rsidRPr="00D03877">
        <w:rPr>
          <w:sz w:val="24"/>
          <w:szCs w:val="24"/>
        </w:rPr>
        <w:t xml:space="preserve"> Staff Report, pp. </w:t>
      </w:r>
      <w:r w:rsidR="00B027B0">
        <w:rPr>
          <w:sz w:val="24"/>
          <w:szCs w:val="24"/>
        </w:rPr>
        <w:t xml:space="preserve">36, </w:t>
      </w:r>
      <w:r w:rsidR="00C62F0D" w:rsidRPr="00D03877">
        <w:rPr>
          <w:sz w:val="24"/>
          <w:szCs w:val="24"/>
        </w:rPr>
        <w:t>47, 52</w:t>
      </w:r>
      <w:r w:rsidRPr="00D03877">
        <w:rPr>
          <w:sz w:val="24"/>
          <w:szCs w:val="24"/>
        </w:rPr>
        <w:t>.</w:t>
      </w:r>
    </w:p>
  </w:footnote>
  <w:footnote w:id="27">
    <w:p w14:paraId="682476BB" w14:textId="6BB93620" w:rsidR="00B74EAB" w:rsidRPr="00D03877" w:rsidRDefault="00B74EAB" w:rsidP="00D4245A">
      <w:pPr>
        <w:pStyle w:val="FootnoteText"/>
        <w:spacing w:after="120" w:line="240" w:lineRule="exact"/>
        <w:rPr>
          <w:sz w:val="24"/>
          <w:szCs w:val="24"/>
        </w:rPr>
      </w:pPr>
      <w:r w:rsidRPr="00D03877">
        <w:rPr>
          <w:rStyle w:val="FootnoteReference"/>
          <w:sz w:val="24"/>
          <w:szCs w:val="24"/>
        </w:rPr>
        <w:footnoteRef/>
      </w:r>
      <w:r w:rsidRPr="00D03877">
        <w:rPr>
          <w:sz w:val="24"/>
          <w:szCs w:val="24"/>
        </w:rPr>
        <w:t xml:space="preserve"> </w:t>
      </w:r>
      <w:r w:rsidR="00982BD1" w:rsidRPr="00D03877">
        <w:rPr>
          <w:sz w:val="24"/>
          <w:szCs w:val="24"/>
        </w:rPr>
        <w:t xml:space="preserve">Pub. Util. Code </w:t>
      </w:r>
      <w:r w:rsidR="00451D9A" w:rsidRPr="00D03877">
        <w:rPr>
          <w:rFonts w:cs="Times New Roman"/>
          <w:sz w:val="24"/>
          <w:szCs w:val="24"/>
        </w:rPr>
        <w:t>§</w:t>
      </w:r>
      <w:r w:rsidR="00982BD1" w:rsidRPr="00D03877">
        <w:rPr>
          <w:sz w:val="24"/>
          <w:szCs w:val="24"/>
        </w:rPr>
        <w:t>405</w:t>
      </w:r>
      <w:r w:rsidR="00451D9A" w:rsidRPr="00D03877">
        <w:rPr>
          <w:sz w:val="24"/>
          <w:szCs w:val="24"/>
        </w:rPr>
        <w:t xml:space="preserve"> states, in relevant part</w:t>
      </w:r>
      <w:r w:rsidR="00982BD1" w:rsidRPr="00D03877">
        <w:rPr>
          <w:sz w:val="24"/>
          <w:szCs w:val="24"/>
        </w:rPr>
        <w:t>; If any person or corporation subject to this chapter is in default of the preparation and submission of any report or the payment of any fee required by this chapter for a period of 30 days or more, the commission may … estimate from all available information the appropriate fee and may add to the amount of that estimated fee a penalty not to exceed 25 percent of the amount on account of the failure, refusal, or neglect to prepare and submit the report or to pay the fee, and the person or corporation shall be estopped to complain of the amount of the commission's estimate.</w:t>
      </w:r>
      <w:r w:rsidR="00C62F0D" w:rsidRPr="00D03877">
        <w:rPr>
          <w:sz w:val="24"/>
          <w:szCs w:val="24"/>
        </w:rPr>
        <w:t xml:space="preserve">  Staff Report, p. 14. </w:t>
      </w:r>
    </w:p>
  </w:footnote>
  <w:footnote w:id="28">
    <w:p w14:paraId="69920C51" w14:textId="44991C56" w:rsidR="00B74EAB" w:rsidRPr="00D03877" w:rsidRDefault="00B74EAB" w:rsidP="00D4245A">
      <w:pPr>
        <w:pStyle w:val="FootnoteText"/>
        <w:spacing w:after="120" w:line="240" w:lineRule="exact"/>
        <w:rPr>
          <w:sz w:val="24"/>
          <w:szCs w:val="24"/>
        </w:rPr>
      </w:pPr>
      <w:r w:rsidRPr="00D03877">
        <w:rPr>
          <w:rStyle w:val="FootnoteReference"/>
          <w:sz w:val="24"/>
          <w:szCs w:val="24"/>
        </w:rPr>
        <w:footnoteRef/>
      </w:r>
      <w:r w:rsidRPr="00D03877">
        <w:rPr>
          <w:sz w:val="24"/>
          <w:szCs w:val="24"/>
        </w:rPr>
        <w:t xml:space="preserve"> Staff Report, p. 14. </w:t>
      </w:r>
    </w:p>
  </w:footnote>
  <w:footnote w:id="29">
    <w:p w14:paraId="7D9CDB44" w14:textId="2F20266C" w:rsidR="00311379" w:rsidRPr="00D03877" w:rsidRDefault="00311379" w:rsidP="00D4245A">
      <w:pPr>
        <w:pStyle w:val="FootnoteText"/>
        <w:spacing w:after="120" w:line="240" w:lineRule="exact"/>
        <w:rPr>
          <w:rFonts w:cs="Times New Roman"/>
          <w:sz w:val="24"/>
          <w:szCs w:val="24"/>
          <w:highlight w:val="yellow"/>
        </w:rPr>
      </w:pPr>
      <w:r w:rsidRPr="00D03877">
        <w:rPr>
          <w:rStyle w:val="FootnoteReference"/>
          <w:sz w:val="24"/>
          <w:szCs w:val="24"/>
        </w:rPr>
        <w:footnoteRef/>
      </w:r>
      <w:r w:rsidRPr="00D03877">
        <w:rPr>
          <w:rFonts w:cs="Times New Roman"/>
          <w:sz w:val="24"/>
          <w:szCs w:val="24"/>
        </w:rPr>
        <w:t xml:space="preserve"> </w:t>
      </w:r>
      <w:r w:rsidR="00B0069A" w:rsidRPr="00D03877">
        <w:rPr>
          <w:rFonts w:cs="Times New Roman"/>
          <w:sz w:val="24"/>
          <w:szCs w:val="24"/>
        </w:rPr>
        <w:t>Staff Report</w:t>
      </w:r>
      <w:r w:rsidR="00C82473" w:rsidRPr="00D03877">
        <w:rPr>
          <w:rFonts w:cs="Times New Roman"/>
          <w:sz w:val="24"/>
          <w:szCs w:val="24"/>
        </w:rPr>
        <w:t xml:space="preserve">, p. </w:t>
      </w:r>
      <w:r w:rsidR="00C62F0D" w:rsidRPr="00D03877">
        <w:rPr>
          <w:rFonts w:cs="Times New Roman"/>
          <w:sz w:val="24"/>
          <w:szCs w:val="24"/>
        </w:rPr>
        <w:t>1</w:t>
      </w:r>
      <w:r w:rsidR="00C82473" w:rsidRPr="00D03877">
        <w:rPr>
          <w:rFonts w:cs="Times New Roman"/>
          <w:sz w:val="24"/>
          <w:szCs w:val="24"/>
        </w:rPr>
        <w:t>.</w:t>
      </w:r>
      <w:r w:rsidR="00506E4B" w:rsidRPr="00D03877">
        <w:rPr>
          <w:rFonts w:cs="Times New Roman"/>
          <w:sz w:val="24"/>
          <w:szCs w:val="24"/>
        </w:rPr>
        <w:t xml:space="preserve"> </w:t>
      </w:r>
    </w:p>
  </w:footnote>
  <w:footnote w:id="30">
    <w:p w14:paraId="0594A84F" w14:textId="3A5CC910" w:rsidR="00311379" w:rsidRPr="00D03877" w:rsidRDefault="00311379" w:rsidP="00D4245A">
      <w:pPr>
        <w:pStyle w:val="FootnoteText"/>
        <w:spacing w:after="120" w:line="240" w:lineRule="exact"/>
        <w:rPr>
          <w:rFonts w:cs="Times New Roman"/>
          <w:sz w:val="24"/>
          <w:szCs w:val="24"/>
        </w:rPr>
      </w:pPr>
      <w:r w:rsidRPr="00D03877">
        <w:rPr>
          <w:rStyle w:val="FootnoteReference"/>
          <w:sz w:val="24"/>
          <w:szCs w:val="24"/>
        </w:rPr>
        <w:footnoteRef/>
      </w:r>
      <w:r w:rsidRPr="00D03877">
        <w:rPr>
          <w:rFonts w:cs="Times New Roman"/>
          <w:sz w:val="24"/>
          <w:szCs w:val="24"/>
        </w:rPr>
        <w:t xml:space="preserve"> </w:t>
      </w:r>
      <w:r w:rsidR="00B0069A" w:rsidRPr="00D03877">
        <w:rPr>
          <w:rFonts w:cs="Times New Roman"/>
          <w:sz w:val="24"/>
          <w:szCs w:val="24"/>
        </w:rPr>
        <w:t>Staff Report</w:t>
      </w:r>
      <w:r w:rsidR="00C82473" w:rsidRPr="00D03877">
        <w:rPr>
          <w:rFonts w:cs="Times New Roman"/>
          <w:sz w:val="24"/>
          <w:szCs w:val="24"/>
        </w:rPr>
        <w:t>, p</w:t>
      </w:r>
      <w:r w:rsidR="00C62F0D" w:rsidRPr="00D03877">
        <w:rPr>
          <w:rFonts w:cs="Times New Roman"/>
          <w:sz w:val="24"/>
          <w:szCs w:val="24"/>
        </w:rPr>
        <w:t>p. 1, 39, 43</w:t>
      </w:r>
      <w:r w:rsidR="00B027B0">
        <w:rPr>
          <w:rFonts w:cs="Times New Roman"/>
          <w:sz w:val="24"/>
          <w:szCs w:val="24"/>
        </w:rPr>
        <w:t>, 48</w:t>
      </w:r>
      <w:r w:rsidR="00C82473" w:rsidRPr="00D03877">
        <w:rPr>
          <w:rFonts w:cs="Times New Roman"/>
          <w:sz w:val="24"/>
          <w:szCs w:val="24"/>
        </w:rPr>
        <w:t xml:space="preserve">. </w:t>
      </w:r>
      <w:r w:rsidR="00982BD1" w:rsidRPr="00D03877">
        <w:rPr>
          <w:rFonts w:cs="Times New Roman"/>
          <w:sz w:val="24"/>
          <w:szCs w:val="24"/>
        </w:rPr>
        <w:t xml:space="preserve"> </w:t>
      </w:r>
    </w:p>
  </w:footnote>
  <w:footnote w:id="31">
    <w:p w14:paraId="5B250538" w14:textId="5C4D364B" w:rsidR="00F2709C" w:rsidRPr="00D03877" w:rsidRDefault="00F2709C" w:rsidP="00D4245A">
      <w:pPr>
        <w:pStyle w:val="FootnoteText"/>
        <w:spacing w:after="120" w:line="240" w:lineRule="exact"/>
        <w:rPr>
          <w:rFonts w:cs="Times New Roman"/>
          <w:sz w:val="24"/>
          <w:szCs w:val="24"/>
        </w:rPr>
      </w:pPr>
      <w:r w:rsidRPr="00D03877">
        <w:rPr>
          <w:rStyle w:val="FootnoteReference"/>
          <w:sz w:val="24"/>
          <w:szCs w:val="24"/>
        </w:rPr>
        <w:footnoteRef/>
      </w:r>
      <w:r w:rsidRPr="00D03877">
        <w:rPr>
          <w:rFonts w:cs="Times New Roman"/>
          <w:sz w:val="24"/>
          <w:szCs w:val="24"/>
        </w:rPr>
        <w:t xml:space="preserve"> </w:t>
      </w:r>
      <w:r w:rsidR="00C82473" w:rsidRPr="00D03877">
        <w:rPr>
          <w:rFonts w:cs="Times New Roman"/>
          <w:sz w:val="24"/>
          <w:szCs w:val="24"/>
        </w:rPr>
        <w:t>Staff Report, p. 4</w:t>
      </w:r>
      <w:r w:rsidR="00C62F0D" w:rsidRPr="00D03877">
        <w:rPr>
          <w:rFonts w:cs="Times New Roman"/>
          <w:sz w:val="24"/>
          <w:szCs w:val="24"/>
        </w:rPr>
        <w:t>3</w:t>
      </w:r>
      <w:r w:rsidR="00C82473" w:rsidRPr="00D03877">
        <w:rPr>
          <w:rFonts w:cs="Times New Roman"/>
          <w:sz w:val="24"/>
          <w:szCs w:val="24"/>
        </w:rPr>
        <w:t xml:space="preserve">. </w:t>
      </w:r>
    </w:p>
  </w:footnote>
  <w:footnote w:id="32">
    <w:p w14:paraId="36D82637" w14:textId="3ED4D997" w:rsidR="00C51FBA" w:rsidRPr="00D03877" w:rsidRDefault="00C51FBA" w:rsidP="00D4245A">
      <w:pPr>
        <w:pStyle w:val="FootnoteText"/>
        <w:spacing w:after="120" w:line="240" w:lineRule="exact"/>
        <w:rPr>
          <w:sz w:val="24"/>
          <w:szCs w:val="24"/>
        </w:rPr>
      </w:pPr>
      <w:r w:rsidRPr="00D03877">
        <w:rPr>
          <w:rStyle w:val="FootnoteReference"/>
          <w:sz w:val="24"/>
          <w:szCs w:val="24"/>
        </w:rPr>
        <w:footnoteRef/>
      </w:r>
      <w:r w:rsidRPr="00D03877">
        <w:rPr>
          <w:sz w:val="24"/>
          <w:szCs w:val="24"/>
        </w:rPr>
        <w:t xml:space="preserve"> “The Commission has held that the standard of proof that [the Safety and Enforcement Division] must meet is that of a preponderance of evidence. Preponderance of the evidence usually is defined in terms of probability of truth, e.g., such evidence as, when weighed with that opposed to it, has more convincing force and the greater probability of truth.” D.16-08-020, p. 18, </w:t>
      </w:r>
      <w:r w:rsidRPr="00D03877">
        <w:rPr>
          <w:i/>
          <w:iCs/>
          <w:sz w:val="24"/>
          <w:szCs w:val="24"/>
        </w:rPr>
        <w:t xml:space="preserve">citing </w:t>
      </w:r>
      <w:r w:rsidRPr="00D03877">
        <w:rPr>
          <w:sz w:val="24"/>
          <w:szCs w:val="24"/>
        </w:rPr>
        <w:t xml:space="preserve">In the Matter of the Application of San Diego Gas &amp; Electric Company for a Certificate of Public Convenience and Necessity for the Sunrise Powerlink Transmission Project, D.0812-058, </w:t>
      </w:r>
      <w:r w:rsidRPr="00D03877">
        <w:rPr>
          <w:i/>
          <w:iCs/>
          <w:sz w:val="24"/>
          <w:szCs w:val="24"/>
        </w:rPr>
        <w:t xml:space="preserve">citing </w:t>
      </w:r>
      <w:r w:rsidRPr="00D03877">
        <w:rPr>
          <w:sz w:val="24"/>
          <w:szCs w:val="24"/>
        </w:rPr>
        <w:t xml:space="preserve">Witkin, Calif. Evidence, 4th Edition, Vol. 1, 184.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1ACC" w14:textId="5B634028" w:rsidR="0085037A" w:rsidRDefault="00ED6D85" w:rsidP="00ED6D85">
    <w:r w:rsidRPr="00ED6D85">
      <w:t>I.22-04-005</w:t>
    </w:r>
    <w:r w:rsidRPr="00ED6D85">
      <w:tab/>
    </w:r>
    <w:r>
      <w:rPr>
        <w:rFonts w:ascii="Arial" w:hAnsi="Arial" w:cs="Arial"/>
      </w:rPr>
      <w:tab/>
    </w:r>
    <w:r>
      <w:rPr>
        <w:rFonts w:ascii="Arial" w:hAnsi="Arial" w:cs="Arial"/>
      </w:rPr>
      <w:tab/>
    </w:r>
    <w:r>
      <w:rPr>
        <w:rFonts w:ascii="Arial" w:hAnsi="Arial" w:cs="Arial"/>
      </w:rPr>
      <w:tab/>
    </w:r>
    <w:r w:rsidR="00BD7ACF">
      <w:rPr>
        <w:rFonts w:ascii="Arial" w:hAnsi="Arial" w:cs="Arial"/>
      </w:rPr>
      <w:tab/>
    </w:r>
    <w:r w:rsidR="0085037A">
      <w:t>L/mal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424C" w14:textId="6182B811" w:rsidR="0084600B" w:rsidRDefault="0085037A" w:rsidP="00ED6D85">
    <w:pPr>
      <w:spacing w:after="0" w:line="240" w:lineRule="auto"/>
      <w:rPr>
        <w:b/>
        <w:bCs/>
        <w:szCs w:val="26"/>
      </w:rPr>
    </w:pPr>
    <w:r w:rsidRPr="0085037A">
      <w:rPr>
        <w:szCs w:val="26"/>
      </w:rPr>
      <w:t>L/mal</w:t>
    </w:r>
    <w:r>
      <w:rPr>
        <w:b/>
        <w:bCs/>
        <w:szCs w:val="26"/>
      </w:rPr>
      <w:tab/>
    </w:r>
    <w:r>
      <w:rPr>
        <w:b/>
        <w:bCs/>
        <w:szCs w:val="26"/>
      </w:rPr>
      <w:tab/>
    </w:r>
    <w:r>
      <w:rPr>
        <w:b/>
        <w:bCs/>
        <w:szCs w:val="26"/>
      </w:rPr>
      <w:tab/>
    </w:r>
    <w:r>
      <w:rPr>
        <w:b/>
        <w:bCs/>
        <w:szCs w:val="26"/>
      </w:rPr>
      <w:tab/>
    </w:r>
    <w:r>
      <w:rPr>
        <w:b/>
        <w:bCs/>
        <w:szCs w:val="26"/>
      </w:rPr>
      <w:tab/>
    </w:r>
    <w:r>
      <w:rPr>
        <w:b/>
        <w:bCs/>
        <w:szCs w:val="26"/>
      </w:rPr>
      <w:tab/>
    </w:r>
    <w:r>
      <w:rPr>
        <w:b/>
        <w:bCs/>
        <w:szCs w:val="26"/>
      </w:rPr>
      <w:tab/>
    </w:r>
    <w:r w:rsidR="00ED6D85">
      <w:rPr>
        <w:b/>
        <w:bCs/>
        <w:szCs w:val="26"/>
      </w:rPr>
      <w:tab/>
    </w:r>
    <w:r w:rsidR="00ED6D85">
      <w:rPr>
        <w:b/>
        <w:bCs/>
        <w:szCs w:val="26"/>
      </w:rPr>
      <w:tab/>
    </w:r>
    <w:r w:rsidR="00ED6D85">
      <w:rPr>
        <w:b/>
        <w:bCs/>
        <w:szCs w:val="26"/>
      </w:rPr>
      <w:tab/>
      <w:t>Date of Issuance</w:t>
    </w:r>
  </w:p>
  <w:p w14:paraId="54A8EA1D" w14:textId="6EDC5F48" w:rsidR="00ED6D85" w:rsidRDefault="00ED6D85" w:rsidP="00ED6D85">
    <w:pPr>
      <w:spacing w:after="0" w:line="240" w:lineRule="auto"/>
      <w:ind w:left="6494" w:firstLine="706"/>
      <w:rPr>
        <w:b/>
        <w:bCs/>
        <w:szCs w:val="26"/>
      </w:rPr>
    </w:pPr>
    <w:r w:rsidRPr="00ED6D85">
      <w:rPr>
        <w:b/>
        <w:bCs/>
        <w:szCs w:val="26"/>
      </w:rPr>
      <w:t xml:space="preserve">    April 22, 2022</w:t>
    </w:r>
  </w:p>
  <w:p w14:paraId="174037B5" w14:textId="77777777" w:rsidR="00ED6D85" w:rsidRPr="00ED6D85" w:rsidRDefault="00ED6D85" w:rsidP="00ED6D85">
    <w:pPr>
      <w:spacing w:after="0" w:line="240" w:lineRule="auto"/>
      <w:ind w:left="14" w:hanging="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47EC"/>
    <w:multiLevelType w:val="hybridMultilevel"/>
    <w:tmpl w:val="70FC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F12C2"/>
    <w:multiLevelType w:val="hybridMultilevel"/>
    <w:tmpl w:val="A54E3AF0"/>
    <w:lvl w:ilvl="0" w:tplc="60E493D2">
      <w:start w:val="1"/>
      <w:numFmt w:val="decimal"/>
      <w:lvlText w:val="%1"/>
      <w:lvlJc w:val="left"/>
      <w:pPr>
        <w:ind w:left="1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48FB6A">
      <w:start w:val="1"/>
      <w:numFmt w:val="lowerLetter"/>
      <w:lvlText w:val="%2"/>
      <w:lvlJc w:val="left"/>
      <w:pPr>
        <w:ind w:left="1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60DDBC">
      <w:start w:val="1"/>
      <w:numFmt w:val="lowerRoman"/>
      <w:lvlText w:val="%3"/>
      <w:lvlJc w:val="left"/>
      <w:pPr>
        <w:ind w:left="1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1A77E2">
      <w:start w:val="1"/>
      <w:numFmt w:val="decimal"/>
      <w:lvlText w:val="%4"/>
      <w:lvlJc w:val="left"/>
      <w:pPr>
        <w:ind w:left="2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382743C">
      <w:start w:val="1"/>
      <w:numFmt w:val="lowerLetter"/>
      <w:lvlText w:val="%5"/>
      <w:lvlJc w:val="left"/>
      <w:pPr>
        <w:ind w:left="3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A6A6FC">
      <w:start w:val="1"/>
      <w:numFmt w:val="lowerRoman"/>
      <w:lvlText w:val="%6"/>
      <w:lvlJc w:val="left"/>
      <w:pPr>
        <w:ind w:left="4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7ECFD0">
      <w:start w:val="1"/>
      <w:numFmt w:val="decimal"/>
      <w:lvlText w:val="%7"/>
      <w:lvlJc w:val="left"/>
      <w:pPr>
        <w:ind w:left="4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FA0E12">
      <w:start w:val="1"/>
      <w:numFmt w:val="lowerLetter"/>
      <w:lvlText w:val="%8"/>
      <w:lvlJc w:val="left"/>
      <w:pPr>
        <w:ind w:left="55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9E0A02">
      <w:start w:val="1"/>
      <w:numFmt w:val="lowerRoman"/>
      <w:lvlText w:val="%9"/>
      <w:lvlJc w:val="left"/>
      <w:pPr>
        <w:ind w:left="62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CAD6BD8"/>
    <w:multiLevelType w:val="hybridMultilevel"/>
    <w:tmpl w:val="963AC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304580"/>
    <w:multiLevelType w:val="hybridMultilevel"/>
    <w:tmpl w:val="023AD726"/>
    <w:lvl w:ilvl="0" w:tplc="14044DE0">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4" w15:restartNumberingAfterBreak="0">
    <w:nsid w:val="140D6052"/>
    <w:multiLevelType w:val="hybridMultilevel"/>
    <w:tmpl w:val="4CC45A04"/>
    <w:lvl w:ilvl="0" w:tplc="27AC6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064B3"/>
    <w:multiLevelType w:val="hybridMultilevel"/>
    <w:tmpl w:val="E862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35D16"/>
    <w:multiLevelType w:val="hybridMultilevel"/>
    <w:tmpl w:val="C86A02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1D143A"/>
    <w:multiLevelType w:val="hybridMultilevel"/>
    <w:tmpl w:val="5F943266"/>
    <w:lvl w:ilvl="0" w:tplc="E432FA54">
      <w:start w:val="4"/>
      <w:numFmt w:val="upperRoman"/>
      <w:lvlText w:val="%1."/>
      <w:lvlJc w:val="left"/>
      <w:pPr>
        <w:ind w:left="7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43C4532">
      <w:start w:val="1"/>
      <w:numFmt w:val="upperLetter"/>
      <w:lvlText w:val="%2."/>
      <w:lvlJc w:val="left"/>
      <w:pPr>
        <w:ind w:left="14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66A60C0">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3494A1B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C90C3A0">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7832AF94">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8F45A18">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DD82651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904A13DA">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9456E2D"/>
    <w:multiLevelType w:val="hybridMultilevel"/>
    <w:tmpl w:val="00BEFA9E"/>
    <w:lvl w:ilvl="0" w:tplc="1DF48700">
      <w:start w:val="10"/>
      <w:numFmt w:val="decimal"/>
      <w:lvlText w:val="%1"/>
      <w:lvlJc w:val="left"/>
      <w:pPr>
        <w:ind w:left="1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80D17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57A6C5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05A326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18A21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C4EC5A">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76C3B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1CEB1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5DA8B20">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C255220"/>
    <w:multiLevelType w:val="hybridMultilevel"/>
    <w:tmpl w:val="BE6EF9CE"/>
    <w:lvl w:ilvl="0" w:tplc="19D45CDC">
      <w:start w:val="1"/>
      <w:numFmt w:val="decimal"/>
      <w:lvlText w:val="%1."/>
      <w:lvlJc w:val="left"/>
      <w:pPr>
        <w:ind w:left="15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0C491DA">
      <w:start w:val="1"/>
      <w:numFmt w:val="lowerLetter"/>
      <w:lvlText w:val="%2"/>
      <w:lvlJc w:val="left"/>
      <w:pPr>
        <w:ind w:left="22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AA0566">
      <w:start w:val="1"/>
      <w:numFmt w:val="lowerRoman"/>
      <w:lvlText w:val="%3"/>
      <w:lvlJc w:val="left"/>
      <w:pPr>
        <w:ind w:left="29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134322C">
      <w:start w:val="1"/>
      <w:numFmt w:val="decimal"/>
      <w:lvlText w:val="%4"/>
      <w:lvlJc w:val="left"/>
      <w:pPr>
        <w:ind w:left="36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214CB8A">
      <w:start w:val="1"/>
      <w:numFmt w:val="lowerLetter"/>
      <w:lvlText w:val="%5"/>
      <w:lvlJc w:val="left"/>
      <w:pPr>
        <w:ind w:left="43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2B8361A">
      <w:start w:val="1"/>
      <w:numFmt w:val="lowerRoman"/>
      <w:lvlText w:val="%6"/>
      <w:lvlJc w:val="left"/>
      <w:pPr>
        <w:ind w:left="51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0D65C32">
      <w:start w:val="1"/>
      <w:numFmt w:val="decimal"/>
      <w:lvlText w:val="%7"/>
      <w:lvlJc w:val="left"/>
      <w:pPr>
        <w:ind w:left="5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CAAE42">
      <w:start w:val="1"/>
      <w:numFmt w:val="lowerLetter"/>
      <w:lvlText w:val="%8"/>
      <w:lvlJc w:val="left"/>
      <w:pPr>
        <w:ind w:left="6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EA805B6">
      <w:start w:val="1"/>
      <w:numFmt w:val="lowerRoman"/>
      <w:lvlText w:val="%9"/>
      <w:lvlJc w:val="left"/>
      <w:pPr>
        <w:ind w:left="7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58E43BE"/>
    <w:multiLevelType w:val="hybridMultilevel"/>
    <w:tmpl w:val="F02A27EC"/>
    <w:lvl w:ilvl="0" w:tplc="44F02E26">
      <w:start w:val="100"/>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C42CBE"/>
    <w:multiLevelType w:val="hybridMultilevel"/>
    <w:tmpl w:val="6BBA468A"/>
    <w:lvl w:ilvl="0" w:tplc="A7F6F66C">
      <w:start w:val="1"/>
      <w:numFmt w:val="bullet"/>
      <w:lvlText w:val="•"/>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D64E38A">
      <w:start w:val="1"/>
      <w:numFmt w:val="bullet"/>
      <w:lvlText w:val="o"/>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C45224F2">
      <w:start w:val="1"/>
      <w:numFmt w:val="bullet"/>
      <w:lvlText w:val="▪"/>
      <w:lvlJc w:val="left"/>
      <w:pPr>
        <w:ind w:left="28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7804256">
      <w:start w:val="1"/>
      <w:numFmt w:val="bullet"/>
      <w:lvlText w:val="•"/>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2042476">
      <w:start w:val="1"/>
      <w:numFmt w:val="bullet"/>
      <w:lvlText w:val="o"/>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D4C9E98">
      <w:start w:val="1"/>
      <w:numFmt w:val="bullet"/>
      <w:lvlText w:val="▪"/>
      <w:lvlJc w:val="left"/>
      <w:pPr>
        <w:ind w:left="50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5B29F9E">
      <w:start w:val="1"/>
      <w:numFmt w:val="bullet"/>
      <w:lvlText w:val="•"/>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0E145F04">
      <w:start w:val="1"/>
      <w:numFmt w:val="bullet"/>
      <w:lvlText w:val="o"/>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98280E6">
      <w:start w:val="1"/>
      <w:numFmt w:val="bullet"/>
      <w:lvlText w:val="▪"/>
      <w:lvlJc w:val="left"/>
      <w:pPr>
        <w:ind w:left="72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BC93F6B"/>
    <w:multiLevelType w:val="hybridMultilevel"/>
    <w:tmpl w:val="1AD0F252"/>
    <w:lvl w:ilvl="0" w:tplc="90E40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C02E2"/>
    <w:multiLevelType w:val="hybridMultilevel"/>
    <w:tmpl w:val="AEC6672E"/>
    <w:lvl w:ilvl="0" w:tplc="DC182A4E">
      <w:start w:val="3"/>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8C09A4C">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90D86A">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E72438E">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9213CA">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0E2831A">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208EBC">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A6FAEC">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2CB6FE">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A0568F9"/>
    <w:multiLevelType w:val="hybridMultilevel"/>
    <w:tmpl w:val="A8067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91919"/>
    <w:multiLevelType w:val="hybridMultilevel"/>
    <w:tmpl w:val="19E6E986"/>
    <w:lvl w:ilvl="0" w:tplc="56AC71F0">
      <w:start w:val="1"/>
      <w:numFmt w:val="low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2033E4">
      <w:start w:val="1"/>
      <w:numFmt w:val="lowerLetter"/>
      <w:lvlText w:val="%2"/>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AC970E">
      <w:start w:val="1"/>
      <w:numFmt w:val="lowerRoman"/>
      <w:lvlText w:val="%3"/>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8D63914">
      <w:start w:val="1"/>
      <w:numFmt w:val="decimal"/>
      <w:lvlText w:val="%4"/>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7C94FE">
      <w:start w:val="1"/>
      <w:numFmt w:val="lowerLetter"/>
      <w:lvlText w:val="%5"/>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D2A1A2">
      <w:start w:val="1"/>
      <w:numFmt w:val="lowerRoman"/>
      <w:lvlText w:val="%6"/>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6E8591E">
      <w:start w:val="1"/>
      <w:numFmt w:val="decimal"/>
      <w:lvlText w:val="%7"/>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D4E066">
      <w:start w:val="1"/>
      <w:numFmt w:val="lowerLetter"/>
      <w:lvlText w:val="%8"/>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9ACA25A">
      <w:start w:val="1"/>
      <w:numFmt w:val="lowerRoman"/>
      <w:lvlText w:val="%9"/>
      <w:lvlJc w:val="left"/>
      <w:pPr>
        <w:ind w:left="7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75531E5"/>
    <w:multiLevelType w:val="hybridMultilevel"/>
    <w:tmpl w:val="B1489A7A"/>
    <w:lvl w:ilvl="0" w:tplc="C6A07AA0">
      <w:start w:val="5"/>
      <w:numFmt w:val="upperRoman"/>
      <w:lvlText w:val="%1."/>
      <w:lvlJc w:val="left"/>
      <w:pPr>
        <w:ind w:left="0" w:firstLine="0"/>
      </w:pPr>
      <w:rPr>
        <w:rFonts w:ascii="Times New Roman" w:eastAsia="Times New Roman" w:hAnsi="Times New Roman" w:cs="Times New Roman" w:hint="default"/>
        <w:b/>
        <w:bCs/>
        <w:i w:val="0"/>
        <w:strike w:val="0"/>
        <w:dstrike w:val="0"/>
        <w:color w:val="000000"/>
        <w:sz w:val="26"/>
        <w:szCs w:val="26"/>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C0C53"/>
    <w:multiLevelType w:val="hybridMultilevel"/>
    <w:tmpl w:val="DFA2E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51BF6"/>
    <w:multiLevelType w:val="hybridMultilevel"/>
    <w:tmpl w:val="2C9E289A"/>
    <w:lvl w:ilvl="0" w:tplc="DDFCB4D0">
      <w:start w:val="1"/>
      <w:numFmt w:val="upperRoman"/>
      <w:lvlText w:val="%1."/>
      <w:lvlJc w:val="left"/>
      <w:pPr>
        <w:ind w:left="1080" w:hanging="72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6D4C8A"/>
    <w:multiLevelType w:val="hybridMultilevel"/>
    <w:tmpl w:val="5F8A91D2"/>
    <w:lvl w:ilvl="0" w:tplc="CB5AF3BA">
      <w:start w:val="1"/>
      <w:numFmt w:val="upperLetter"/>
      <w:lvlText w:val="%1."/>
      <w:lvlJc w:val="left"/>
      <w:pPr>
        <w:ind w:left="1080" w:hanging="360"/>
      </w:pPr>
      <w:rPr>
        <w:rFonts w:ascii="Times New Roman" w:hAnsi="Times New Roman" w:cs="Times New Roman"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F90A11"/>
    <w:multiLevelType w:val="hybridMultilevel"/>
    <w:tmpl w:val="E25C7C78"/>
    <w:lvl w:ilvl="0" w:tplc="DCC61DDE">
      <w:start w:val="1"/>
      <w:numFmt w:val="upperRoman"/>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2A003B2">
      <w:start w:val="100"/>
      <w:numFmt w:val="upperRoman"/>
      <w:lvlText w:val="%2."/>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66EEEDC">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5CA1C50">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E8C71A2">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F76191A">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F8E985C">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2325702">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7960C838">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449092F"/>
    <w:multiLevelType w:val="hybridMultilevel"/>
    <w:tmpl w:val="1CCABA80"/>
    <w:lvl w:ilvl="0" w:tplc="0ED8E968">
      <w:start w:val="8"/>
      <w:numFmt w:val="upperRoman"/>
      <w:lvlText w:val="%1."/>
      <w:lvlJc w:val="left"/>
      <w:pPr>
        <w:ind w:left="0" w:firstLine="0"/>
      </w:pPr>
      <w:rPr>
        <w:rFonts w:ascii="Times New Roman" w:eastAsia="Times New Roman" w:hAnsi="Times New Roman" w:cs="Times New Roman" w:hint="default"/>
        <w:b/>
        <w:bCs/>
        <w:i w:val="0"/>
        <w:strike w:val="0"/>
        <w:dstrike w:val="0"/>
        <w:color w:val="000000"/>
        <w:sz w:val="26"/>
        <w:szCs w:val="26"/>
        <w:u w:val="none" w:color="000000"/>
        <w:vertAlign w:val="baseline"/>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65107474"/>
    <w:multiLevelType w:val="hybridMultilevel"/>
    <w:tmpl w:val="C6787736"/>
    <w:lvl w:ilvl="0" w:tplc="3CB2D6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35904"/>
    <w:multiLevelType w:val="multilevel"/>
    <w:tmpl w:val="3AAA06F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6CB53118"/>
    <w:multiLevelType w:val="hybridMultilevel"/>
    <w:tmpl w:val="2640AA86"/>
    <w:lvl w:ilvl="0" w:tplc="6FAA6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9210C2"/>
    <w:multiLevelType w:val="hybridMultilevel"/>
    <w:tmpl w:val="9C9455CE"/>
    <w:lvl w:ilvl="0" w:tplc="27507BE6">
      <w:start w:val="100"/>
      <w:numFmt w:val="upperRoman"/>
      <w:lvlText w:val="%1."/>
      <w:lvlJc w:val="left"/>
      <w:pPr>
        <w:ind w:left="2162" w:hanging="720"/>
      </w:pPr>
      <w:rPr>
        <w:rFonts w:hint="default"/>
        <w:b/>
      </w:rPr>
    </w:lvl>
    <w:lvl w:ilvl="1" w:tplc="04090019" w:tentative="1">
      <w:start w:val="1"/>
      <w:numFmt w:val="lowerLetter"/>
      <w:lvlText w:val="%2."/>
      <w:lvlJc w:val="left"/>
      <w:pPr>
        <w:ind w:left="2522" w:hanging="360"/>
      </w:pPr>
    </w:lvl>
    <w:lvl w:ilvl="2" w:tplc="0409001B" w:tentative="1">
      <w:start w:val="1"/>
      <w:numFmt w:val="lowerRoman"/>
      <w:lvlText w:val="%3."/>
      <w:lvlJc w:val="right"/>
      <w:pPr>
        <w:ind w:left="3242" w:hanging="180"/>
      </w:pPr>
    </w:lvl>
    <w:lvl w:ilvl="3" w:tplc="0409000F" w:tentative="1">
      <w:start w:val="1"/>
      <w:numFmt w:val="decimal"/>
      <w:lvlText w:val="%4."/>
      <w:lvlJc w:val="left"/>
      <w:pPr>
        <w:ind w:left="3962" w:hanging="360"/>
      </w:pPr>
    </w:lvl>
    <w:lvl w:ilvl="4" w:tplc="04090019" w:tentative="1">
      <w:start w:val="1"/>
      <w:numFmt w:val="lowerLetter"/>
      <w:lvlText w:val="%5."/>
      <w:lvlJc w:val="left"/>
      <w:pPr>
        <w:ind w:left="4682" w:hanging="360"/>
      </w:pPr>
    </w:lvl>
    <w:lvl w:ilvl="5" w:tplc="0409001B" w:tentative="1">
      <w:start w:val="1"/>
      <w:numFmt w:val="lowerRoman"/>
      <w:lvlText w:val="%6."/>
      <w:lvlJc w:val="right"/>
      <w:pPr>
        <w:ind w:left="5402" w:hanging="180"/>
      </w:pPr>
    </w:lvl>
    <w:lvl w:ilvl="6" w:tplc="0409000F" w:tentative="1">
      <w:start w:val="1"/>
      <w:numFmt w:val="decimal"/>
      <w:lvlText w:val="%7."/>
      <w:lvlJc w:val="left"/>
      <w:pPr>
        <w:ind w:left="6122" w:hanging="360"/>
      </w:pPr>
    </w:lvl>
    <w:lvl w:ilvl="7" w:tplc="04090019" w:tentative="1">
      <w:start w:val="1"/>
      <w:numFmt w:val="lowerLetter"/>
      <w:lvlText w:val="%8."/>
      <w:lvlJc w:val="left"/>
      <w:pPr>
        <w:ind w:left="6842" w:hanging="360"/>
      </w:pPr>
    </w:lvl>
    <w:lvl w:ilvl="8" w:tplc="0409001B" w:tentative="1">
      <w:start w:val="1"/>
      <w:numFmt w:val="lowerRoman"/>
      <w:lvlText w:val="%9."/>
      <w:lvlJc w:val="right"/>
      <w:pPr>
        <w:ind w:left="7562" w:hanging="180"/>
      </w:pPr>
    </w:lvl>
  </w:abstractNum>
  <w:abstractNum w:abstractNumId="26" w15:restartNumberingAfterBreak="0">
    <w:nsid w:val="7421694F"/>
    <w:multiLevelType w:val="hybridMultilevel"/>
    <w:tmpl w:val="A5A67678"/>
    <w:lvl w:ilvl="0" w:tplc="5EE609DE">
      <w:start w:val="16"/>
      <w:numFmt w:val="decimal"/>
      <w:lvlText w:val="%1"/>
      <w:lvlJc w:val="left"/>
      <w:pPr>
        <w:ind w:left="13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AED17A">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CEED1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32EA91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404FD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0447CA0">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B6678B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428D72">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FDAA0D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759C2087"/>
    <w:multiLevelType w:val="hybridMultilevel"/>
    <w:tmpl w:val="3CF4EEA2"/>
    <w:lvl w:ilvl="0" w:tplc="4F7A7E1A">
      <w:start w:val="7"/>
      <w:numFmt w:val="upperRoman"/>
      <w:lvlText w:val="%1."/>
      <w:lvlJc w:val="left"/>
      <w:pPr>
        <w:ind w:left="7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5608ABE">
      <w:start w:val="1"/>
      <w:numFmt w:val="decimal"/>
      <w:lvlText w:val="%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E862C2">
      <w:start w:val="1"/>
      <w:numFmt w:val="lowerRoman"/>
      <w:lvlText w:val="%3"/>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64CE36">
      <w:start w:val="1"/>
      <w:numFmt w:val="decimal"/>
      <w:lvlText w:val="%4"/>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FE09F2">
      <w:start w:val="1"/>
      <w:numFmt w:val="lowerLetter"/>
      <w:lvlText w:val="%5"/>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2C2066">
      <w:start w:val="1"/>
      <w:numFmt w:val="lowerRoman"/>
      <w:lvlText w:val="%6"/>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00C062">
      <w:start w:val="1"/>
      <w:numFmt w:val="decimal"/>
      <w:lvlText w:val="%7"/>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B2048B8">
      <w:start w:val="1"/>
      <w:numFmt w:val="lowerLetter"/>
      <w:lvlText w:val="%8"/>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16ED0C">
      <w:start w:val="1"/>
      <w:numFmt w:val="lowerRoman"/>
      <w:lvlText w:val="%9"/>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71725046">
    <w:abstractNumId w:val="7"/>
  </w:num>
  <w:num w:numId="2" w16cid:durableId="1600336185">
    <w:abstractNumId w:val="27"/>
  </w:num>
  <w:num w:numId="3" w16cid:durableId="1423258094">
    <w:abstractNumId w:val="11"/>
  </w:num>
  <w:num w:numId="4" w16cid:durableId="1370839177">
    <w:abstractNumId w:val="9"/>
  </w:num>
  <w:num w:numId="5" w16cid:durableId="1063139466">
    <w:abstractNumId w:val="15"/>
  </w:num>
  <w:num w:numId="6" w16cid:durableId="172113919">
    <w:abstractNumId w:val="1"/>
  </w:num>
  <w:num w:numId="7" w16cid:durableId="1327053055">
    <w:abstractNumId w:val="8"/>
  </w:num>
  <w:num w:numId="8" w16cid:durableId="1284573561">
    <w:abstractNumId w:val="26"/>
  </w:num>
  <w:num w:numId="9" w16cid:durableId="491721091">
    <w:abstractNumId w:val="13"/>
  </w:num>
  <w:num w:numId="10" w16cid:durableId="2134933330">
    <w:abstractNumId w:val="20"/>
  </w:num>
  <w:num w:numId="11" w16cid:durableId="683555608">
    <w:abstractNumId w:val="6"/>
  </w:num>
  <w:num w:numId="12" w16cid:durableId="1348487394">
    <w:abstractNumId w:val="18"/>
  </w:num>
  <w:num w:numId="13" w16cid:durableId="1702126020">
    <w:abstractNumId w:val="4"/>
  </w:num>
  <w:num w:numId="14" w16cid:durableId="1962229560">
    <w:abstractNumId w:val="12"/>
  </w:num>
  <w:num w:numId="15" w16cid:durableId="1651862873">
    <w:abstractNumId w:val="22"/>
  </w:num>
  <w:num w:numId="16" w16cid:durableId="1552575606">
    <w:abstractNumId w:val="24"/>
  </w:num>
  <w:num w:numId="17" w16cid:durableId="1966539327">
    <w:abstractNumId w:val="5"/>
  </w:num>
  <w:num w:numId="18" w16cid:durableId="1252589751">
    <w:abstractNumId w:val="14"/>
  </w:num>
  <w:num w:numId="19" w16cid:durableId="86997215">
    <w:abstractNumId w:val="17"/>
  </w:num>
  <w:num w:numId="20" w16cid:durableId="1399330328">
    <w:abstractNumId w:val="2"/>
  </w:num>
  <w:num w:numId="21" w16cid:durableId="1490095024">
    <w:abstractNumId w:val="25"/>
  </w:num>
  <w:num w:numId="22" w16cid:durableId="1686595066">
    <w:abstractNumId w:val="10"/>
  </w:num>
  <w:num w:numId="23" w16cid:durableId="2020037640">
    <w:abstractNumId w:val="19"/>
  </w:num>
  <w:num w:numId="24" w16cid:durableId="7684135">
    <w:abstractNumId w:val="16"/>
  </w:num>
  <w:num w:numId="25" w16cid:durableId="233779979">
    <w:abstractNumId w:val="21"/>
  </w:num>
  <w:num w:numId="26" w16cid:durableId="206649561">
    <w:abstractNumId w:val="0"/>
  </w:num>
  <w:num w:numId="27" w16cid:durableId="2046176054">
    <w:abstractNumId w:val="3"/>
  </w:num>
  <w:num w:numId="28" w16cid:durableId="11689022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01"/>
    <w:rsid w:val="00003801"/>
    <w:rsid w:val="00004C64"/>
    <w:rsid w:val="00005423"/>
    <w:rsid w:val="00011634"/>
    <w:rsid w:val="00014FCA"/>
    <w:rsid w:val="00015E92"/>
    <w:rsid w:val="00016B16"/>
    <w:rsid w:val="00022BD2"/>
    <w:rsid w:val="0002490E"/>
    <w:rsid w:val="000254CE"/>
    <w:rsid w:val="00034892"/>
    <w:rsid w:val="00035DC2"/>
    <w:rsid w:val="00037890"/>
    <w:rsid w:val="0004095E"/>
    <w:rsid w:val="00040B53"/>
    <w:rsid w:val="00046AAE"/>
    <w:rsid w:val="00054A85"/>
    <w:rsid w:val="000571AF"/>
    <w:rsid w:val="00065F84"/>
    <w:rsid w:val="00070C63"/>
    <w:rsid w:val="00071F23"/>
    <w:rsid w:val="00073C03"/>
    <w:rsid w:val="000741C7"/>
    <w:rsid w:val="00075B7B"/>
    <w:rsid w:val="00076BC6"/>
    <w:rsid w:val="00077D50"/>
    <w:rsid w:val="00080C2F"/>
    <w:rsid w:val="00080D1B"/>
    <w:rsid w:val="00082E06"/>
    <w:rsid w:val="0008406A"/>
    <w:rsid w:val="00085835"/>
    <w:rsid w:val="00086AF6"/>
    <w:rsid w:val="00087A56"/>
    <w:rsid w:val="00091229"/>
    <w:rsid w:val="00095644"/>
    <w:rsid w:val="000974F5"/>
    <w:rsid w:val="000A0D09"/>
    <w:rsid w:val="000A432F"/>
    <w:rsid w:val="000B034F"/>
    <w:rsid w:val="000C132F"/>
    <w:rsid w:val="000C4E7C"/>
    <w:rsid w:val="000D34BB"/>
    <w:rsid w:val="000D621D"/>
    <w:rsid w:val="000E0278"/>
    <w:rsid w:val="000E6119"/>
    <w:rsid w:val="000E727A"/>
    <w:rsid w:val="000F206B"/>
    <w:rsid w:val="00104A8E"/>
    <w:rsid w:val="00105FFA"/>
    <w:rsid w:val="001066D5"/>
    <w:rsid w:val="00113ED8"/>
    <w:rsid w:val="00114040"/>
    <w:rsid w:val="00121498"/>
    <w:rsid w:val="00121581"/>
    <w:rsid w:val="00121CBB"/>
    <w:rsid w:val="001232FE"/>
    <w:rsid w:val="001235D2"/>
    <w:rsid w:val="00127A85"/>
    <w:rsid w:val="00127D43"/>
    <w:rsid w:val="001308D8"/>
    <w:rsid w:val="00140A41"/>
    <w:rsid w:val="00140F91"/>
    <w:rsid w:val="00150510"/>
    <w:rsid w:val="001575B0"/>
    <w:rsid w:val="001618BC"/>
    <w:rsid w:val="00162C37"/>
    <w:rsid w:val="00163960"/>
    <w:rsid w:val="00163CE4"/>
    <w:rsid w:val="00171317"/>
    <w:rsid w:val="0017214D"/>
    <w:rsid w:val="00175BD4"/>
    <w:rsid w:val="0018292C"/>
    <w:rsid w:val="00183366"/>
    <w:rsid w:val="00194DCB"/>
    <w:rsid w:val="001955B7"/>
    <w:rsid w:val="001A24E6"/>
    <w:rsid w:val="001A3BDA"/>
    <w:rsid w:val="001A78EF"/>
    <w:rsid w:val="001B725A"/>
    <w:rsid w:val="001B7958"/>
    <w:rsid w:val="001B7BD7"/>
    <w:rsid w:val="001C02E7"/>
    <w:rsid w:val="001D30D0"/>
    <w:rsid w:val="001D6145"/>
    <w:rsid w:val="001E5D41"/>
    <w:rsid w:val="001F0232"/>
    <w:rsid w:val="001F22AA"/>
    <w:rsid w:val="001F5517"/>
    <w:rsid w:val="00207E23"/>
    <w:rsid w:val="002138FE"/>
    <w:rsid w:val="002256BE"/>
    <w:rsid w:val="00225F42"/>
    <w:rsid w:val="002323B5"/>
    <w:rsid w:val="0023460A"/>
    <w:rsid w:val="002420F7"/>
    <w:rsid w:val="00242C4E"/>
    <w:rsid w:val="002514C6"/>
    <w:rsid w:val="00251592"/>
    <w:rsid w:val="00255335"/>
    <w:rsid w:val="002603E6"/>
    <w:rsid w:val="00260761"/>
    <w:rsid w:val="002633CC"/>
    <w:rsid w:val="00273EE4"/>
    <w:rsid w:val="00280636"/>
    <w:rsid w:val="0028110B"/>
    <w:rsid w:val="00283706"/>
    <w:rsid w:val="002A355D"/>
    <w:rsid w:val="002B013B"/>
    <w:rsid w:val="002B0ABB"/>
    <w:rsid w:val="002B182D"/>
    <w:rsid w:val="002C40AD"/>
    <w:rsid w:val="002D12FD"/>
    <w:rsid w:val="002D151D"/>
    <w:rsid w:val="002D3AA2"/>
    <w:rsid w:val="002D6D75"/>
    <w:rsid w:val="002E0498"/>
    <w:rsid w:val="002E145D"/>
    <w:rsid w:val="002E1B2D"/>
    <w:rsid w:val="002E25CB"/>
    <w:rsid w:val="002E51F4"/>
    <w:rsid w:val="002F02B9"/>
    <w:rsid w:val="002F1EFD"/>
    <w:rsid w:val="002F5DD2"/>
    <w:rsid w:val="00305F8C"/>
    <w:rsid w:val="00310DA5"/>
    <w:rsid w:val="00311379"/>
    <w:rsid w:val="003147A8"/>
    <w:rsid w:val="0031579C"/>
    <w:rsid w:val="00315C5F"/>
    <w:rsid w:val="003169F8"/>
    <w:rsid w:val="0031778B"/>
    <w:rsid w:val="00317C1E"/>
    <w:rsid w:val="00330A64"/>
    <w:rsid w:val="00333825"/>
    <w:rsid w:val="00335B79"/>
    <w:rsid w:val="00336A45"/>
    <w:rsid w:val="00340B84"/>
    <w:rsid w:val="00340F87"/>
    <w:rsid w:val="00343CC9"/>
    <w:rsid w:val="00344634"/>
    <w:rsid w:val="0034599F"/>
    <w:rsid w:val="00345D32"/>
    <w:rsid w:val="0036042D"/>
    <w:rsid w:val="00366C9F"/>
    <w:rsid w:val="00381408"/>
    <w:rsid w:val="003855D1"/>
    <w:rsid w:val="0039061B"/>
    <w:rsid w:val="00391D66"/>
    <w:rsid w:val="003953B1"/>
    <w:rsid w:val="0039644D"/>
    <w:rsid w:val="00397256"/>
    <w:rsid w:val="0039784D"/>
    <w:rsid w:val="003A0041"/>
    <w:rsid w:val="003A7E8A"/>
    <w:rsid w:val="003B032F"/>
    <w:rsid w:val="003B7CE6"/>
    <w:rsid w:val="003C4747"/>
    <w:rsid w:val="003D460F"/>
    <w:rsid w:val="003E181C"/>
    <w:rsid w:val="003F10B9"/>
    <w:rsid w:val="003F165A"/>
    <w:rsid w:val="003F3F53"/>
    <w:rsid w:val="003F7E22"/>
    <w:rsid w:val="00401933"/>
    <w:rsid w:val="00402EBF"/>
    <w:rsid w:val="00404EDE"/>
    <w:rsid w:val="00406942"/>
    <w:rsid w:val="0041043D"/>
    <w:rsid w:val="00411974"/>
    <w:rsid w:val="0041570F"/>
    <w:rsid w:val="004240AC"/>
    <w:rsid w:val="00424BF5"/>
    <w:rsid w:val="00434172"/>
    <w:rsid w:val="00436753"/>
    <w:rsid w:val="00442962"/>
    <w:rsid w:val="00443BAB"/>
    <w:rsid w:val="0045067D"/>
    <w:rsid w:val="00451D07"/>
    <w:rsid w:val="00451D9A"/>
    <w:rsid w:val="00454A52"/>
    <w:rsid w:val="00460C54"/>
    <w:rsid w:val="004613D1"/>
    <w:rsid w:val="00464A1D"/>
    <w:rsid w:val="00466CEB"/>
    <w:rsid w:val="00471ADA"/>
    <w:rsid w:val="00471F83"/>
    <w:rsid w:val="00474DB2"/>
    <w:rsid w:val="00480404"/>
    <w:rsid w:val="0048456F"/>
    <w:rsid w:val="00486733"/>
    <w:rsid w:val="00490678"/>
    <w:rsid w:val="00491DEB"/>
    <w:rsid w:val="004924AE"/>
    <w:rsid w:val="00494A07"/>
    <w:rsid w:val="0049594B"/>
    <w:rsid w:val="004976B6"/>
    <w:rsid w:val="004A68D5"/>
    <w:rsid w:val="004A7196"/>
    <w:rsid w:val="004A71B6"/>
    <w:rsid w:val="004B018F"/>
    <w:rsid w:val="004B053E"/>
    <w:rsid w:val="004B4945"/>
    <w:rsid w:val="004B494B"/>
    <w:rsid w:val="004B5027"/>
    <w:rsid w:val="004B58D1"/>
    <w:rsid w:val="004C6D0C"/>
    <w:rsid w:val="004C709B"/>
    <w:rsid w:val="004D37EF"/>
    <w:rsid w:val="004D44A5"/>
    <w:rsid w:val="004D6380"/>
    <w:rsid w:val="004E3117"/>
    <w:rsid w:val="004E66E8"/>
    <w:rsid w:val="004F1A3A"/>
    <w:rsid w:val="004F7737"/>
    <w:rsid w:val="00503711"/>
    <w:rsid w:val="00503971"/>
    <w:rsid w:val="00505849"/>
    <w:rsid w:val="00506786"/>
    <w:rsid w:val="00506E4B"/>
    <w:rsid w:val="00515496"/>
    <w:rsid w:val="00516869"/>
    <w:rsid w:val="005200BE"/>
    <w:rsid w:val="005267FE"/>
    <w:rsid w:val="0053313F"/>
    <w:rsid w:val="00536D3A"/>
    <w:rsid w:val="00542A87"/>
    <w:rsid w:val="005461F5"/>
    <w:rsid w:val="00551D87"/>
    <w:rsid w:val="0055347F"/>
    <w:rsid w:val="00554EEE"/>
    <w:rsid w:val="0055654D"/>
    <w:rsid w:val="00556C5C"/>
    <w:rsid w:val="005613AF"/>
    <w:rsid w:val="00565D94"/>
    <w:rsid w:val="00567483"/>
    <w:rsid w:val="005675E2"/>
    <w:rsid w:val="00570D63"/>
    <w:rsid w:val="00571F18"/>
    <w:rsid w:val="00574CAD"/>
    <w:rsid w:val="00582413"/>
    <w:rsid w:val="00585859"/>
    <w:rsid w:val="00586996"/>
    <w:rsid w:val="00590CBF"/>
    <w:rsid w:val="0059175C"/>
    <w:rsid w:val="00594F6B"/>
    <w:rsid w:val="005A2C63"/>
    <w:rsid w:val="005B2024"/>
    <w:rsid w:val="005C1507"/>
    <w:rsid w:val="005C1EF8"/>
    <w:rsid w:val="005D023A"/>
    <w:rsid w:val="005D23B2"/>
    <w:rsid w:val="005D4D91"/>
    <w:rsid w:val="005D6A5E"/>
    <w:rsid w:val="005E5ABD"/>
    <w:rsid w:val="005F2D9B"/>
    <w:rsid w:val="005F331E"/>
    <w:rsid w:val="005F3DB6"/>
    <w:rsid w:val="00601577"/>
    <w:rsid w:val="0060382F"/>
    <w:rsid w:val="0060477B"/>
    <w:rsid w:val="00604FC3"/>
    <w:rsid w:val="0060689E"/>
    <w:rsid w:val="0061545D"/>
    <w:rsid w:val="00616E5D"/>
    <w:rsid w:val="00617557"/>
    <w:rsid w:val="00626378"/>
    <w:rsid w:val="006340AF"/>
    <w:rsid w:val="00641795"/>
    <w:rsid w:val="00641F84"/>
    <w:rsid w:val="00643B9E"/>
    <w:rsid w:val="006452BC"/>
    <w:rsid w:val="006528A1"/>
    <w:rsid w:val="00652F80"/>
    <w:rsid w:val="006537E1"/>
    <w:rsid w:val="00653EA4"/>
    <w:rsid w:val="00656661"/>
    <w:rsid w:val="00663BEE"/>
    <w:rsid w:val="00665C0D"/>
    <w:rsid w:val="006811EC"/>
    <w:rsid w:val="00683180"/>
    <w:rsid w:val="006841AA"/>
    <w:rsid w:val="0068571C"/>
    <w:rsid w:val="00686543"/>
    <w:rsid w:val="0069283B"/>
    <w:rsid w:val="006A2A0F"/>
    <w:rsid w:val="006A2E39"/>
    <w:rsid w:val="006C1701"/>
    <w:rsid w:val="006C19A3"/>
    <w:rsid w:val="006D185A"/>
    <w:rsid w:val="006E7CF2"/>
    <w:rsid w:val="006F489D"/>
    <w:rsid w:val="0070287C"/>
    <w:rsid w:val="00705DBC"/>
    <w:rsid w:val="00721DA6"/>
    <w:rsid w:val="00722CD6"/>
    <w:rsid w:val="00723063"/>
    <w:rsid w:val="00724ADB"/>
    <w:rsid w:val="0072545C"/>
    <w:rsid w:val="007263A6"/>
    <w:rsid w:val="007369D7"/>
    <w:rsid w:val="007423D3"/>
    <w:rsid w:val="00742A2D"/>
    <w:rsid w:val="007475EC"/>
    <w:rsid w:val="0074761A"/>
    <w:rsid w:val="00747C4A"/>
    <w:rsid w:val="007547B9"/>
    <w:rsid w:val="00761AB0"/>
    <w:rsid w:val="00765501"/>
    <w:rsid w:val="00765B78"/>
    <w:rsid w:val="00771757"/>
    <w:rsid w:val="00780D44"/>
    <w:rsid w:val="0078550C"/>
    <w:rsid w:val="00786BF8"/>
    <w:rsid w:val="00790A65"/>
    <w:rsid w:val="0079217E"/>
    <w:rsid w:val="00793170"/>
    <w:rsid w:val="0079348C"/>
    <w:rsid w:val="0079610A"/>
    <w:rsid w:val="007A0393"/>
    <w:rsid w:val="007A2CCA"/>
    <w:rsid w:val="007B01A0"/>
    <w:rsid w:val="007B1170"/>
    <w:rsid w:val="007B7446"/>
    <w:rsid w:val="007C020A"/>
    <w:rsid w:val="007D7BC1"/>
    <w:rsid w:val="007E3011"/>
    <w:rsid w:val="007E491E"/>
    <w:rsid w:val="007E55C8"/>
    <w:rsid w:val="007E621C"/>
    <w:rsid w:val="00800762"/>
    <w:rsid w:val="00805A68"/>
    <w:rsid w:val="0081011E"/>
    <w:rsid w:val="00815444"/>
    <w:rsid w:val="00821D0F"/>
    <w:rsid w:val="00823405"/>
    <w:rsid w:val="00825F41"/>
    <w:rsid w:val="008309FA"/>
    <w:rsid w:val="0084600B"/>
    <w:rsid w:val="00846DCF"/>
    <w:rsid w:val="0085037A"/>
    <w:rsid w:val="008504BC"/>
    <w:rsid w:val="00853D28"/>
    <w:rsid w:val="00853F0F"/>
    <w:rsid w:val="00855D87"/>
    <w:rsid w:val="00857CCB"/>
    <w:rsid w:val="00863BFE"/>
    <w:rsid w:val="0086533A"/>
    <w:rsid w:val="00873125"/>
    <w:rsid w:val="008733AF"/>
    <w:rsid w:val="00873B0A"/>
    <w:rsid w:val="00873B9F"/>
    <w:rsid w:val="00874019"/>
    <w:rsid w:val="00874623"/>
    <w:rsid w:val="00874AE8"/>
    <w:rsid w:val="00876357"/>
    <w:rsid w:val="0087714E"/>
    <w:rsid w:val="00884DC7"/>
    <w:rsid w:val="00891230"/>
    <w:rsid w:val="008931B0"/>
    <w:rsid w:val="0089442B"/>
    <w:rsid w:val="008B66ED"/>
    <w:rsid w:val="008B6F47"/>
    <w:rsid w:val="008C1AE9"/>
    <w:rsid w:val="008C4055"/>
    <w:rsid w:val="008C5446"/>
    <w:rsid w:val="008C6AF3"/>
    <w:rsid w:val="008D12FA"/>
    <w:rsid w:val="008D25E1"/>
    <w:rsid w:val="008D371D"/>
    <w:rsid w:val="008D4FEF"/>
    <w:rsid w:val="008D6FC1"/>
    <w:rsid w:val="008E535E"/>
    <w:rsid w:val="008F3D7B"/>
    <w:rsid w:val="009023B4"/>
    <w:rsid w:val="00920201"/>
    <w:rsid w:val="009234DC"/>
    <w:rsid w:val="00930743"/>
    <w:rsid w:val="009439B3"/>
    <w:rsid w:val="009462F3"/>
    <w:rsid w:val="0095236D"/>
    <w:rsid w:val="00956770"/>
    <w:rsid w:val="00957E9C"/>
    <w:rsid w:val="0096132C"/>
    <w:rsid w:val="00961E7C"/>
    <w:rsid w:val="00963661"/>
    <w:rsid w:val="0097124D"/>
    <w:rsid w:val="00973078"/>
    <w:rsid w:val="00973804"/>
    <w:rsid w:val="00980A30"/>
    <w:rsid w:val="00982BD1"/>
    <w:rsid w:val="00987557"/>
    <w:rsid w:val="0099121E"/>
    <w:rsid w:val="00997646"/>
    <w:rsid w:val="009A1C00"/>
    <w:rsid w:val="009A1F1D"/>
    <w:rsid w:val="009A4912"/>
    <w:rsid w:val="009B52A4"/>
    <w:rsid w:val="009C5639"/>
    <w:rsid w:val="009C64CE"/>
    <w:rsid w:val="009D031B"/>
    <w:rsid w:val="009D28B8"/>
    <w:rsid w:val="009D3BF6"/>
    <w:rsid w:val="009E19CA"/>
    <w:rsid w:val="009E4369"/>
    <w:rsid w:val="009E4609"/>
    <w:rsid w:val="009F6B98"/>
    <w:rsid w:val="00A11465"/>
    <w:rsid w:val="00A1610F"/>
    <w:rsid w:val="00A244A5"/>
    <w:rsid w:val="00A265EA"/>
    <w:rsid w:val="00A30CBC"/>
    <w:rsid w:val="00A311D4"/>
    <w:rsid w:val="00A36FA2"/>
    <w:rsid w:val="00A44AB1"/>
    <w:rsid w:val="00A47A3F"/>
    <w:rsid w:val="00A54A87"/>
    <w:rsid w:val="00A5792A"/>
    <w:rsid w:val="00A63983"/>
    <w:rsid w:val="00A6665A"/>
    <w:rsid w:val="00A70746"/>
    <w:rsid w:val="00A7135A"/>
    <w:rsid w:val="00A779F3"/>
    <w:rsid w:val="00A825BD"/>
    <w:rsid w:val="00A84CB4"/>
    <w:rsid w:val="00A84E31"/>
    <w:rsid w:val="00A91181"/>
    <w:rsid w:val="00A94D91"/>
    <w:rsid w:val="00A954C7"/>
    <w:rsid w:val="00AA1946"/>
    <w:rsid w:val="00AA2571"/>
    <w:rsid w:val="00AA6ACF"/>
    <w:rsid w:val="00AB3DA0"/>
    <w:rsid w:val="00AC66CF"/>
    <w:rsid w:val="00AC73FF"/>
    <w:rsid w:val="00AD3077"/>
    <w:rsid w:val="00AD44F6"/>
    <w:rsid w:val="00AD5369"/>
    <w:rsid w:val="00AE531B"/>
    <w:rsid w:val="00AE7557"/>
    <w:rsid w:val="00AF27D4"/>
    <w:rsid w:val="00AF44AB"/>
    <w:rsid w:val="00AF723D"/>
    <w:rsid w:val="00B0003E"/>
    <w:rsid w:val="00B0069A"/>
    <w:rsid w:val="00B008F2"/>
    <w:rsid w:val="00B027B0"/>
    <w:rsid w:val="00B04C45"/>
    <w:rsid w:val="00B12139"/>
    <w:rsid w:val="00B14C48"/>
    <w:rsid w:val="00B203B5"/>
    <w:rsid w:val="00B2073D"/>
    <w:rsid w:val="00B3312B"/>
    <w:rsid w:val="00B352CD"/>
    <w:rsid w:val="00B45491"/>
    <w:rsid w:val="00B4573F"/>
    <w:rsid w:val="00B4741F"/>
    <w:rsid w:val="00B522A6"/>
    <w:rsid w:val="00B5427A"/>
    <w:rsid w:val="00B545D4"/>
    <w:rsid w:val="00B74EAB"/>
    <w:rsid w:val="00B773CD"/>
    <w:rsid w:val="00B84760"/>
    <w:rsid w:val="00B86CB6"/>
    <w:rsid w:val="00B917AB"/>
    <w:rsid w:val="00B9388D"/>
    <w:rsid w:val="00B93AA0"/>
    <w:rsid w:val="00BA31BB"/>
    <w:rsid w:val="00BA3B9C"/>
    <w:rsid w:val="00BA5189"/>
    <w:rsid w:val="00BA6125"/>
    <w:rsid w:val="00BA66CB"/>
    <w:rsid w:val="00BB7C9E"/>
    <w:rsid w:val="00BC2D57"/>
    <w:rsid w:val="00BC53B2"/>
    <w:rsid w:val="00BC5CAB"/>
    <w:rsid w:val="00BD03E4"/>
    <w:rsid w:val="00BD706F"/>
    <w:rsid w:val="00BD70BC"/>
    <w:rsid w:val="00BD7ACF"/>
    <w:rsid w:val="00BE2E0D"/>
    <w:rsid w:val="00BE7DD4"/>
    <w:rsid w:val="00BF3914"/>
    <w:rsid w:val="00BF6518"/>
    <w:rsid w:val="00C016E1"/>
    <w:rsid w:val="00C03355"/>
    <w:rsid w:val="00C05203"/>
    <w:rsid w:val="00C05A6E"/>
    <w:rsid w:val="00C10F51"/>
    <w:rsid w:val="00C12B7B"/>
    <w:rsid w:val="00C13B3D"/>
    <w:rsid w:val="00C20567"/>
    <w:rsid w:val="00C21623"/>
    <w:rsid w:val="00C21E7C"/>
    <w:rsid w:val="00C21F93"/>
    <w:rsid w:val="00C24BDE"/>
    <w:rsid w:val="00C3106D"/>
    <w:rsid w:val="00C33E20"/>
    <w:rsid w:val="00C36E67"/>
    <w:rsid w:val="00C374BB"/>
    <w:rsid w:val="00C44167"/>
    <w:rsid w:val="00C45600"/>
    <w:rsid w:val="00C46B18"/>
    <w:rsid w:val="00C508D8"/>
    <w:rsid w:val="00C51FBA"/>
    <w:rsid w:val="00C61BEC"/>
    <w:rsid w:val="00C62F0D"/>
    <w:rsid w:val="00C62F85"/>
    <w:rsid w:val="00C634C5"/>
    <w:rsid w:val="00C63661"/>
    <w:rsid w:val="00C7283C"/>
    <w:rsid w:val="00C82473"/>
    <w:rsid w:val="00C85F34"/>
    <w:rsid w:val="00C90A48"/>
    <w:rsid w:val="00C9102D"/>
    <w:rsid w:val="00C91C2F"/>
    <w:rsid w:val="00CA5318"/>
    <w:rsid w:val="00CA538E"/>
    <w:rsid w:val="00CA7E7D"/>
    <w:rsid w:val="00CB7D26"/>
    <w:rsid w:val="00CC45AE"/>
    <w:rsid w:val="00CC5675"/>
    <w:rsid w:val="00CC6D1B"/>
    <w:rsid w:val="00CC7811"/>
    <w:rsid w:val="00CD0E3A"/>
    <w:rsid w:val="00CD5039"/>
    <w:rsid w:val="00CE2024"/>
    <w:rsid w:val="00CE7DC7"/>
    <w:rsid w:val="00CF1892"/>
    <w:rsid w:val="00CF2C4B"/>
    <w:rsid w:val="00CF4823"/>
    <w:rsid w:val="00D03877"/>
    <w:rsid w:val="00D12A10"/>
    <w:rsid w:val="00D20E4C"/>
    <w:rsid w:val="00D23172"/>
    <w:rsid w:val="00D24E76"/>
    <w:rsid w:val="00D317C6"/>
    <w:rsid w:val="00D3543D"/>
    <w:rsid w:val="00D4245A"/>
    <w:rsid w:val="00D4457D"/>
    <w:rsid w:val="00D54FDD"/>
    <w:rsid w:val="00D56190"/>
    <w:rsid w:val="00D603AA"/>
    <w:rsid w:val="00D700D4"/>
    <w:rsid w:val="00D8050B"/>
    <w:rsid w:val="00D82478"/>
    <w:rsid w:val="00D83DBB"/>
    <w:rsid w:val="00D85031"/>
    <w:rsid w:val="00D942C5"/>
    <w:rsid w:val="00DA021C"/>
    <w:rsid w:val="00DA071C"/>
    <w:rsid w:val="00DA081F"/>
    <w:rsid w:val="00DA20FB"/>
    <w:rsid w:val="00DA2F2C"/>
    <w:rsid w:val="00DA3027"/>
    <w:rsid w:val="00DA3D0F"/>
    <w:rsid w:val="00DA431E"/>
    <w:rsid w:val="00DB07F6"/>
    <w:rsid w:val="00DB571E"/>
    <w:rsid w:val="00DC14C3"/>
    <w:rsid w:val="00DD7F04"/>
    <w:rsid w:val="00DE021B"/>
    <w:rsid w:val="00DE2286"/>
    <w:rsid w:val="00DE361B"/>
    <w:rsid w:val="00DE7C95"/>
    <w:rsid w:val="00DF2F03"/>
    <w:rsid w:val="00DF3AB8"/>
    <w:rsid w:val="00DF56FC"/>
    <w:rsid w:val="00DF62B2"/>
    <w:rsid w:val="00E0728F"/>
    <w:rsid w:val="00E10B2B"/>
    <w:rsid w:val="00E10E2E"/>
    <w:rsid w:val="00E22FF6"/>
    <w:rsid w:val="00E27C40"/>
    <w:rsid w:val="00E34380"/>
    <w:rsid w:val="00E353D4"/>
    <w:rsid w:val="00E42A69"/>
    <w:rsid w:val="00E42DC2"/>
    <w:rsid w:val="00E4380A"/>
    <w:rsid w:val="00E46071"/>
    <w:rsid w:val="00E53868"/>
    <w:rsid w:val="00E53B40"/>
    <w:rsid w:val="00E56E61"/>
    <w:rsid w:val="00E6089B"/>
    <w:rsid w:val="00E73690"/>
    <w:rsid w:val="00E76408"/>
    <w:rsid w:val="00E87C94"/>
    <w:rsid w:val="00E972AD"/>
    <w:rsid w:val="00EA4DFB"/>
    <w:rsid w:val="00EA6744"/>
    <w:rsid w:val="00EA731E"/>
    <w:rsid w:val="00EB0484"/>
    <w:rsid w:val="00EB1C70"/>
    <w:rsid w:val="00EB790E"/>
    <w:rsid w:val="00EB7C0B"/>
    <w:rsid w:val="00EC2ECD"/>
    <w:rsid w:val="00EC7C35"/>
    <w:rsid w:val="00ED6D85"/>
    <w:rsid w:val="00ED7845"/>
    <w:rsid w:val="00EE333C"/>
    <w:rsid w:val="00EE4F70"/>
    <w:rsid w:val="00EF2897"/>
    <w:rsid w:val="00EF6260"/>
    <w:rsid w:val="00F10CD4"/>
    <w:rsid w:val="00F120DB"/>
    <w:rsid w:val="00F12F9C"/>
    <w:rsid w:val="00F14439"/>
    <w:rsid w:val="00F174A8"/>
    <w:rsid w:val="00F2045F"/>
    <w:rsid w:val="00F239A3"/>
    <w:rsid w:val="00F2709C"/>
    <w:rsid w:val="00F27BA2"/>
    <w:rsid w:val="00F34B83"/>
    <w:rsid w:val="00F3581C"/>
    <w:rsid w:val="00F4180F"/>
    <w:rsid w:val="00F42F1F"/>
    <w:rsid w:val="00F44029"/>
    <w:rsid w:val="00F551D1"/>
    <w:rsid w:val="00F55425"/>
    <w:rsid w:val="00F55E86"/>
    <w:rsid w:val="00F56216"/>
    <w:rsid w:val="00F609C6"/>
    <w:rsid w:val="00F72711"/>
    <w:rsid w:val="00F82699"/>
    <w:rsid w:val="00F82CB4"/>
    <w:rsid w:val="00F83813"/>
    <w:rsid w:val="00F87E04"/>
    <w:rsid w:val="00F90743"/>
    <w:rsid w:val="00F90997"/>
    <w:rsid w:val="00F91B71"/>
    <w:rsid w:val="00F92589"/>
    <w:rsid w:val="00F94CA8"/>
    <w:rsid w:val="00F9579F"/>
    <w:rsid w:val="00F95B59"/>
    <w:rsid w:val="00F971F9"/>
    <w:rsid w:val="00FA27C7"/>
    <w:rsid w:val="00FA5572"/>
    <w:rsid w:val="00FB323D"/>
    <w:rsid w:val="00FB34EA"/>
    <w:rsid w:val="00FC0B77"/>
    <w:rsid w:val="00FC48CA"/>
    <w:rsid w:val="00FD337C"/>
    <w:rsid w:val="00FD33F5"/>
    <w:rsid w:val="00FD34D2"/>
    <w:rsid w:val="00FD4D68"/>
    <w:rsid w:val="00FD4DC8"/>
    <w:rsid w:val="00FE00E8"/>
    <w:rsid w:val="00FE1404"/>
    <w:rsid w:val="00FF01CD"/>
    <w:rsid w:val="00FF0EB2"/>
    <w:rsid w:val="00FF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EB7FE"/>
  <w15:docId w15:val="{30EDFB00-01E8-4DB0-B4C8-CE922E469D09}"/>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numPr>
        <w:numId w:val="28"/>
      </w:numPr>
      <w:spacing w:after="101" w:line="250" w:lineRule="auto"/>
      <w:outlineLvl w:val="0"/>
    </w:pPr>
    <w:rPr>
      <w:rFonts w:ascii="Times New Roman" w:eastAsia="Times New Roman" w:hAnsi="Times New Roman" w:cs="Times New Roman"/>
      <w:b/>
      <w:color w:val="000000"/>
      <w:sz w:val="26"/>
    </w:rPr>
  </w:style>
  <w:style w:type="paragraph" w:styleId="Heading2">
    <w:name w:val="heading 2"/>
    <w:next w:val="Normal"/>
    <w:link w:val="Heading2Char"/>
    <w:autoRedefine/>
    <w:uiPriority w:val="9"/>
    <w:unhideWhenUsed/>
    <w:qFormat/>
    <w:rsid w:val="002F5DD2"/>
    <w:pPr>
      <w:keepNext/>
      <w:keepLines/>
      <w:numPr>
        <w:ilvl w:val="1"/>
        <w:numId w:val="28"/>
      </w:numPr>
      <w:spacing w:before="120" w:after="120" w:line="240" w:lineRule="auto"/>
      <w:ind w:left="1440" w:right="720" w:hanging="720"/>
      <w:outlineLvl w:val="1"/>
    </w:pPr>
    <w:rPr>
      <w:rFonts w:ascii="Times New Roman" w:eastAsia="Times New Roman" w:hAnsi="Times New Roman" w:cs="Times New Roman"/>
      <w:b/>
      <w:color w:val="000000"/>
      <w:sz w:val="26"/>
    </w:rPr>
  </w:style>
  <w:style w:type="paragraph" w:styleId="Heading3">
    <w:name w:val="heading 3"/>
    <w:basedOn w:val="Normal"/>
    <w:next w:val="Normal"/>
    <w:link w:val="Heading3Char"/>
    <w:uiPriority w:val="9"/>
    <w:semiHidden/>
    <w:unhideWhenUsed/>
    <w:qFormat/>
    <w:rsid w:val="00D4245A"/>
    <w:pPr>
      <w:keepNext/>
      <w:keepLines/>
      <w:numPr>
        <w:ilvl w:val="2"/>
        <w:numId w:val="28"/>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4245A"/>
    <w:pPr>
      <w:keepNext/>
      <w:keepLines/>
      <w:numPr>
        <w:ilvl w:val="3"/>
        <w:numId w:val="28"/>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4245A"/>
    <w:pPr>
      <w:keepNext/>
      <w:keepLines/>
      <w:numPr>
        <w:ilvl w:val="4"/>
        <w:numId w:val="2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4245A"/>
    <w:pPr>
      <w:keepNext/>
      <w:keepLines/>
      <w:numPr>
        <w:ilvl w:val="5"/>
        <w:numId w:val="2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4245A"/>
    <w:pPr>
      <w:keepNext/>
      <w:keepLines/>
      <w:numPr>
        <w:ilvl w:val="6"/>
        <w:numId w:val="2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4245A"/>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4245A"/>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F5DD2"/>
    <w:rPr>
      <w:rFonts w:ascii="Times New Roman" w:eastAsia="Times New Roman" w:hAnsi="Times New Roman" w:cs="Times New Roman"/>
      <w:b/>
      <w:color w:val="000000"/>
      <w:sz w:val="26"/>
    </w:rPr>
  </w:style>
  <w:style w:type="paragraph" w:customStyle="1" w:styleId="footnotedescription">
    <w:name w:val="footnote description"/>
    <w:next w:val="Normal"/>
    <w:link w:val="footnotedescriptionChar"/>
    <w:hidden/>
    <w:pPr>
      <w:spacing w:after="0"/>
      <w:ind w:left="1"/>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b/>
      <w:color w:val="000000"/>
      <w:sz w:val="26"/>
    </w:rPr>
  </w:style>
  <w:style w:type="paragraph" w:styleId="TOC1">
    <w:name w:val="toc 1"/>
    <w:hidden/>
    <w:pPr>
      <w:spacing w:after="129" w:line="249" w:lineRule="auto"/>
      <w:ind w:left="25" w:right="227" w:hanging="10"/>
    </w:pPr>
    <w:rPr>
      <w:rFonts w:ascii="Times New Roman" w:eastAsia="Times New Roman" w:hAnsi="Times New Roman" w:cs="Times New Roman"/>
      <w:b/>
      <w:color w:val="000000"/>
      <w:sz w:val="24"/>
    </w:rPr>
  </w:style>
  <w:style w:type="paragraph" w:styleId="TOC2">
    <w:name w:val="toc 2"/>
    <w:hidden/>
    <w:pPr>
      <w:spacing w:after="136"/>
      <w:ind w:left="442" w:right="221" w:hanging="10"/>
      <w:jc w:val="right"/>
    </w:pPr>
    <w:rPr>
      <w:rFonts w:ascii="Times New Roman" w:eastAsia="Times New Roman" w:hAnsi="Times New Roman" w:cs="Times New Roman"/>
      <w:color w:val="000000"/>
      <w:sz w:val="19"/>
    </w:rPr>
  </w:style>
  <w:style w:type="character" w:styleId="LineNumber">
    <w:name w:val="line number"/>
    <w:hidden/>
    <w:rPr>
      <w:rFonts w:ascii="Times New Roman" w:eastAsia="Times New Roman" w:hAnsi="Times New Roman" w:cs="Times New Roman"/>
      <w:color w:val="000000"/>
      <w:sz w:val="26"/>
    </w:rPr>
  </w:style>
  <w:style w:type="character" w:customStyle="1" w:styleId="footnotemark">
    <w:name w:val="footnote mark"/>
    <w:hidden/>
    <w:rPr>
      <w:rFonts w:ascii="Times New Roman" w:eastAsia="Times New Roman" w:hAnsi="Times New Roman" w:cs="Times New Roman"/>
      <w:b/>
      <w:color w:val="000000"/>
      <w:sz w:val="22"/>
      <w:u w:val="single" w:color="00000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D31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7C6"/>
    <w:rPr>
      <w:rFonts w:ascii="Times New Roman" w:eastAsia="Times New Roman" w:hAnsi="Times New Roman" w:cs="Times New Roman"/>
      <w:color w:val="000000"/>
      <w:sz w:val="26"/>
    </w:rPr>
  </w:style>
  <w:style w:type="paragraph" w:styleId="Header">
    <w:name w:val="header"/>
    <w:basedOn w:val="Normal"/>
    <w:link w:val="HeaderChar"/>
    <w:uiPriority w:val="99"/>
    <w:unhideWhenUsed/>
    <w:rsid w:val="00D31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7C6"/>
    <w:rPr>
      <w:rFonts w:ascii="Times New Roman" w:eastAsia="Times New Roman" w:hAnsi="Times New Roman" w:cs="Times New Roman"/>
      <w:color w:val="000000"/>
      <w:sz w:val="26"/>
    </w:rPr>
  </w:style>
  <w:style w:type="character" w:styleId="Hyperlink">
    <w:name w:val="Hyperlink"/>
    <w:basedOn w:val="DefaultParagraphFont"/>
    <w:uiPriority w:val="99"/>
    <w:unhideWhenUsed/>
    <w:rsid w:val="009A4912"/>
    <w:rPr>
      <w:color w:val="0000FF"/>
      <w:u w:val="single"/>
    </w:rPr>
  </w:style>
  <w:style w:type="paragraph" w:styleId="ListParagraph">
    <w:name w:val="List Paragraph"/>
    <w:basedOn w:val="Normal"/>
    <w:link w:val="ListParagraphChar"/>
    <w:uiPriority w:val="34"/>
    <w:qFormat/>
    <w:rsid w:val="00665C0D"/>
    <w:pPr>
      <w:spacing w:after="160" w:line="259" w:lineRule="auto"/>
      <w:ind w:left="720" w:firstLine="0"/>
      <w:contextualSpacing/>
    </w:pPr>
    <w:rPr>
      <w:rFonts w:asciiTheme="minorHAnsi" w:eastAsiaTheme="minorHAnsi" w:hAnsiTheme="minorHAnsi" w:cstheme="minorBidi"/>
      <w:color w:val="auto"/>
      <w:sz w:val="22"/>
    </w:rPr>
  </w:style>
  <w:style w:type="paragraph" w:styleId="FootnoteText">
    <w:name w:val="footnote text"/>
    <w:basedOn w:val="Normal"/>
    <w:link w:val="FootnoteTextChar"/>
    <w:uiPriority w:val="99"/>
    <w:unhideWhenUsed/>
    <w:rsid w:val="00665C0D"/>
    <w:pPr>
      <w:spacing w:after="0" w:line="240" w:lineRule="auto"/>
      <w:ind w:left="0" w:firstLine="0"/>
    </w:pPr>
    <w:rPr>
      <w:rFonts w:eastAsiaTheme="minorHAnsi" w:cstheme="minorBidi"/>
      <w:color w:val="auto"/>
      <w:sz w:val="16"/>
      <w:szCs w:val="20"/>
    </w:rPr>
  </w:style>
  <w:style w:type="character" w:customStyle="1" w:styleId="FootnoteTextChar">
    <w:name w:val="Footnote Text Char"/>
    <w:basedOn w:val="DefaultParagraphFont"/>
    <w:link w:val="FootnoteText"/>
    <w:uiPriority w:val="99"/>
    <w:rsid w:val="00665C0D"/>
    <w:rPr>
      <w:rFonts w:ascii="Times New Roman" w:eastAsiaTheme="minorHAnsi" w:hAnsi="Times New Roman"/>
      <w:sz w:val="16"/>
      <w:szCs w:val="20"/>
    </w:rPr>
  </w:style>
  <w:style w:type="character" w:styleId="FootnoteReference">
    <w:name w:val="footnote reference"/>
    <w:basedOn w:val="DefaultParagraphFont"/>
    <w:uiPriority w:val="99"/>
    <w:unhideWhenUsed/>
    <w:qFormat/>
    <w:rsid w:val="00D4245A"/>
    <w:rPr>
      <w:b/>
      <w:u w:val="single"/>
      <w:vertAlign w:val="superscript"/>
    </w:rPr>
  </w:style>
  <w:style w:type="character" w:styleId="CommentReference">
    <w:name w:val="annotation reference"/>
    <w:basedOn w:val="DefaultParagraphFont"/>
    <w:uiPriority w:val="99"/>
    <w:semiHidden/>
    <w:unhideWhenUsed/>
    <w:rsid w:val="00665C0D"/>
    <w:rPr>
      <w:sz w:val="16"/>
      <w:szCs w:val="16"/>
    </w:rPr>
  </w:style>
  <w:style w:type="paragraph" w:styleId="CommentText">
    <w:name w:val="annotation text"/>
    <w:basedOn w:val="Normal"/>
    <w:link w:val="CommentTextChar"/>
    <w:uiPriority w:val="99"/>
    <w:unhideWhenUsed/>
    <w:rsid w:val="00665C0D"/>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665C0D"/>
    <w:rPr>
      <w:rFonts w:eastAsiaTheme="minorHAnsi"/>
      <w:sz w:val="20"/>
      <w:szCs w:val="20"/>
    </w:rPr>
  </w:style>
  <w:style w:type="character" w:customStyle="1" w:styleId="ListParagraphChar">
    <w:name w:val="List Paragraph Char"/>
    <w:basedOn w:val="DefaultParagraphFont"/>
    <w:link w:val="ListParagraph"/>
    <w:uiPriority w:val="34"/>
    <w:rsid w:val="00665C0D"/>
    <w:rPr>
      <w:rFonts w:eastAsiaTheme="minorHAnsi"/>
    </w:rPr>
  </w:style>
  <w:style w:type="paragraph" w:styleId="Revision">
    <w:name w:val="Revision"/>
    <w:hidden/>
    <w:uiPriority w:val="99"/>
    <w:semiHidden/>
    <w:rsid w:val="000974F5"/>
    <w:pPr>
      <w:spacing w:after="0" w:line="240" w:lineRule="auto"/>
    </w:pPr>
    <w:rPr>
      <w:rFonts w:ascii="Times New Roman" w:eastAsia="Times New Roman" w:hAnsi="Times New Roman" w:cs="Times New Roman"/>
      <w:color w:val="000000"/>
      <w:sz w:val="26"/>
    </w:rPr>
  </w:style>
  <w:style w:type="paragraph" w:styleId="CommentSubject">
    <w:name w:val="annotation subject"/>
    <w:basedOn w:val="CommentText"/>
    <w:next w:val="CommentText"/>
    <w:link w:val="CommentSubjectChar"/>
    <w:uiPriority w:val="99"/>
    <w:semiHidden/>
    <w:unhideWhenUsed/>
    <w:rsid w:val="00FE00E8"/>
    <w:pPr>
      <w:spacing w:after="5"/>
      <w:ind w:left="10" w:hanging="10"/>
    </w:pPr>
    <w:rPr>
      <w:rFonts w:ascii="Times New Roman" w:eastAsia="Times New Roman" w:hAnsi="Times New Roman" w:cs="Times New Roman"/>
      <w:b/>
      <w:bCs/>
      <w:color w:val="000000"/>
    </w:rPr>
  </w:style>
  <w:style w:type="character" w:customStyle="1" w:styleId="CommentSubjectChar">
    <w:name w:val="Comment Subject Char"/>
    <w:basedOn w:val="CommentTextChar"/>
    <w:link w:val="CommentSubject"/>
    <w:uiPriority w:val="99"/>
    <w:semiHidden/>
    <w:rsid w:val="00FE00E8"/>
    <w:rPr>
      <w:rFonts w:ascii="Times New Roman" w:eastAsia="Times New Roman" w:hAnsi="Times New Roman" w:cs="Times New Roman"/>
      <w:b/>
      <w:bCs/>
      <w:color w:val="000000"/>
      <w:sz w:val="20"/>
      <w:szCs w:val="20"/>
    </w:rPr>
  </w:style>
  <w:style w:type="paragraph" w:customStyle="1" w:styleId="pf0">
    <w:name w:val="pf0"/>
    <w:basedOn w:val="Normal"/>
    <w:rsid w:val="00070C63"/>
    <w:pPr>
      <w:spacing w:before="100" w:beforeAutospacing="1" w:after="100" w:afterAutospacing="1" w:line="240" w:lineRule="auto"/>
      <w:ind w:left="0" w:firstLine="0"/>
    </w:pPr>
    <w:rPr>
      <w:color w:val="auto"/>
      <w:sz w:val="24"/>
      <w:szCs w:val="24"/>
    </w:rPr>
  </w:style>
  <w:style w:type="character" w:customStyle="1" w:styleId="cf01">
    <w:name w:val="cf01"/>
    <w:basedOn w:val="DefaultParagraphFont"/>
    <w:rsid w:val="00070C63"/>
    <w:rPr>
      <w:rFonts w:ascii="Segoe UI" w:hAnsi="Segoe UI" w:cs="Segoe UI" w:hint="default"/>
      <w:sz w:val="18"/>
      <w:szCs w:val="18"/>
    </w:rPr>
  </w:style>
  <w:style w:type="paragraph" w:customStyle="1" w:styleId="Default">
    <w:name w:val="Default"/>
    <w:rsid w:val="00B93AA0"/>
    <w:pPr>
      <w:autoSpaceDE w:val="0"/>
      <w:autoSpaceDN w:val="0"/>
      <w:adjustRightInd w:val="0"/>
      <w:spacing w:after="0" w:line="240" w:lineRule="auto"/>
    </w:pPr>
    <w:rPr>
      <w:rFonts w:ascii="Palatino Linotype" w:hAnsi="Palatino Linotype" w:cs="Palatino Linotype"/>
      <w:color w:val="000000"/>
      <w:sz w:val="24"/>
      <w:szCs w:val="24"/>
    </w:rPr>
  </w:style>
  <w:style w:type="character" w:styleId="UnresolvedMention">
    <w:name w:val="Unresolved Mention"/>
    <w:basedOn w:val="DefaultParagraphFont"/>
    <w:uiPriority w:val="99"/>
    <w:semiHidden/>
    <w:unhideWhenUsed/>
    <w:rsid w:val="00C33E20"/>
    <w:rPr>
      <w:color w:val="605E5C"/>
      <w:shd w:val="clear" w:color="auto" w:fill="E1DFDD"/>
    </w:rPr>
  </w:style>
  <w:style w:type="paragraph" w:customStyle="1" w:styleId="nostyle">
    <w:name w:val="nostyle"/>
    <w:basedOn w:val="Normal"/>
    <w:rsid w:val="00D24E76"/>
    <w:pPr>
      <w:spacing w:before="100" w:beforeAutospacing="1" w:after="100" w:afterAutospacing="1" w:line="240" w:lineRule="auto"/>
      <w:ind w:left="0" w:firstLine="0"/>
    </w:pPr>
    <w:rPr>
      <w:color w:val="auto"/>
      <w:sz w:val="24"/>
      <w:szCs w:val="24"/>
    </w:rPr>
  </w:style>
  <w:style w:type="paragraph" w:styleId="NormalWeb">
    <w:name w:val="Normal (Web)"/>
    <w:basedOn w:val="Normal"/>
    <w:uiPriority w:val="99"/>
    <w:semiHidden/>
    <w:unhideWhenUsed/>
    <w:rsid w:val="00D24E76"/>
    <w:pPr>
      <w:spacing w:before="100" w:beforeAutospacing="1" w:after="100" w:afterAutospacing="1" w:line="240" w:lineRule="auto"/>
      <w:ind w:left="0" w:firstLine="0"/>
    </w:pPr>
    <w:rPr>
      <w:color w:val="auto"/>
      <w:sz w:val="24"/>
      <w:szCs w:val="24"/>
    </w:rPr>
  </w:style>
  <w:style w:type="character" w:customStyle="1" w:styleId="cf11">
    <w:name w:val="cf11"/>
    <w:basedOn w:val="DefaultParagraphFont"/>
    <w:rsid w:val="00343CC9"/>
    <w:rPr>
      <w:rFonts w:ascii="Segoe UI" w:hAnsi="Segoe UI" w:cs="Segoe UI" w:hint="default"/>
      <w:color w:val="FF0000"/>
      <w:sz w:val="18"/>
      <w:szCs w:val="18"/>
    </w:rPr>
  </w:style>
  <w:style w:type="table" w:styleId="TableGrid0">
    <w:name w:val="Table Grid"/>
    <w:basedOn w:val="TableNormal"/>
    <w:uiPriority w:val="39"/>
    <w:rsid w:val="00D42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4245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4245A"/>
    <w:rPr>
      <w:rFonts w:asciiTheme="majorHAnsi" w:eastAsiaTheme="majorEastAsia" w:hAnsiTheme="majorHAnsi" w:cstheme="majorBidi"/>
      <w:i/>
      <w:iCs/>
      <w:color w:val="2F5496" w:themeColor="accent1" w:themeShade="BF"/>
      <w:sz w:val="26"/>
    </w:rPr>
  </w:style>
  <w:style w:type="character" w:customStyle="1" w:styleId="Heading5Char">
    <w:name w:val="Heading 5 Char"/>
    <w:basedOn w:val="DefaultParagraphFont"/>
    <w:link w:val="Heading5"/>
    <w:uiPriority w:val="9"/>
    <w:semiHidden/>
    <w:rsid w:val="00D4245A"/>
    <w:rPr>
      <w:rFonts w:asciiTheme="majorHAnsi" w:eastAsiaTheme="majorEastAsia" w:hAnsiTheme="majorHAnsi" w:cstheme="majorBidi"/>
      <w:color w:val="2F5496" w:themeColor="accent1" w:themeShade="BF"/>
      <w:sz w:val="26"/>
    </w:rPr>
  </w:style>
  <w:style w:type="character" w:customStyle="1" w:styleId="Heading6Char">
    <w:name w:val="Heading 6 Char"/>
    <w:basedOn w:val="DefaultParagraphFont"/>
    <w:link w:val="Heading6"/>
    <w:uiPriority w:val="9"/>
    <w:semiHidden/>
    <w:rsid w:val="00D4245A"/>
    <w:rPr>
      <w:rFonts w:asciiTheme="majorHAnsi" w:eastAsiaTheme="majorEastAsia" w:hAnsiTheme="majorHAnsi" w:cstheme="majorBidi"/>
      <w:color w:val="1F3763" w:themeColor="accent1" w:themeShade="7F"/>
      <w:sz w:val="26"/>
    </w:rPr>
  </w:style>
  <w:style w:type="character" w:customStyle="1" w:styleId="Heading7Char">
    <w:name w:val="Heading 7 Char"/>
    <w:basedOn w:val="DefaultParagraphFont"/>
    <w:link w:val="Heading7"/>
    <w:uiPriority w:val="9"/>
    <w:semiHidden/>
    <w:rsid w:val="00D4245A"/>
    <w:rPr>
      <w:rFonts w:asciiTheme="majorHAnsi" w:eastAsiaTheme="majorEastAsia" w:hAnsiTheme="majorHAnsi" w:cstheme="majorBidi"/>
      <w:i/>
      <w:iCs/>
      <w:color w:val="1F3763" w:themeColor="accent1" w:themeShade="7F"/>
      <w:sz w:val="26"/>
    </w:rPr>
  </w:style>
  <w:style w:type="character" w:customStyle="1" w:styleId="Heading8Char">
    <w:name w:val="Heading 8 Char"/>
    <w:basedOn w:val="DefaultParagraphFont"/>
    <w:link w:val="Heading8"/>
    <w:uiPriority w:val="9"/>
    <w:semiHidden/>
    <w:rsid w:val="00D4245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4245A"/>
    <w:rPr>
      <w:rFonts w:asciiTheme="majorHAnsi" w:eastAsiaTheme="majorEastAsia" w:hAnsiTheme="majorHAnsi" w:cstheme="majorBidi"/>
      <w:i/>
      <w:iCs/>
      <w:color w:val="272727" w:themeColor="text1" w:themeTint="D8"/>
      <w:sz w:val="21"/>
      <w:szCs w:val="21"/>
    </w:rPr>
  </w:style>
  <w:style w:type="paragraph" w:styleId="Caption">
    <w:name w:val="caption"/>
    <w:basedOn w:val="BodyText"/>
    <w:uiPriority w:val="35"/>
    <w:qFormat/>
    <w:rsid w:val="00D03877"/>
    <w:pPr>
      <w:tabs>
        <w:tab w:val="left" w:pos="4320"/>
        <w:tab w:val="left" w:pos="5040"/>
      </w:tabs>
      <w:overflowPunct w:val="0"/>
      <w:autoSpaceDE w:val="0"/>
      <w:autoSpaceDN w:val="0"/>
      <w:adjustRightInd w:val="0"/>
      <w:spacing w:after="0" w:line="240" w:lineRule="auto"/>
      <w:ind w:left="0" w:firstLine="0"/>
      <w:textAlignment w:val="baseline"/>
    </w:pPr>
    <w:rPr>
      <w:color w:val="auto"/>
      <w:szCs w:val="20"/>
    </w:rPr>
  </w:style>
  <w:style w:type="paragraph" w:styleId="BodyText">
    <w:name w:val="Body Text"/>
    <w:basedOn w:val="Normal"/>
    <w:link w:val="BodyTextChar"/>
    <w:uiPriority w:val="99"/>
    <w:semiHidden/>
    <w:unhideWhenUsed/>
    <w:rsid w:val="00D03877"/>
    <w:pPr>
      <w:spacing w:after="120"/>
    </w:pPr>
  </w:style>
  <w:style w:type="character" w:customStyle="1" w:styleId="BodyTextChar">
    <w:name w:val="Body Text Char"/>
    <w:basedOn w:val="DefaultParagraphFont"/>
    <w:link w:val="BodyText"/>
    <w:uiPriority w:val="99"/>
    <w:semiHidden/>
    <w:rsid w:val="00D03877"/>
    <w:rPr>
      <w:rFonts w:ascii="Times New Roman" w:eastAsia="Times New Roman" w:hAnsi="Times New Roman" w:cs="Times New Roman"/>
      <w:color w:val="000000"/>
      <w:sz w:val="26"/>
    </w:rPr>
  </w:style>
  <w:style w:type="character" w:styleId="PlaceholderText">
    <w:name w:val="Placeholder Text"/>
    <w:basedOn w:val="DefaultParagraphFont"/>
    <w:uiPriority w:val="99"/>
    <w:semiHidden/>
    <w:rsid w:val="001B7BD7"/>
    <w:rPr>
      <w:color w:val="808080"/>
    </w:rPr>
  </w:style>
  <w:style w:type="paragraph" w:customStyle="1" w:styleId="standard">
    <w:name w:val="standard"/>
    <w:basedOn w:val="Normal"/>
    <w:link w:val="standardChar"/>
    <w:rsid w:val="00037890"/>
    <w:pPr>
      <w:spacing w:after="0" w:line="360" w:lineRule="auto"/>
      <w:ind w:left="0" w:firstLine="720"/>
    </w:pPr>
    <w:rPr>
      <w:rFonts w:ascii="Palatino" w:hAnsi="Palatino"/>
      <w:color w:val="auto"/>
      <w:szCs w:val="20"/>
    </w:rPr>
  </w:style>
  <w:style w:type="character" w:customStyle="1" w:styleId="standardChar">
    <w:name w:val="standard Char"/>
    <w:link w:val="standard"/>
    <w:locked/>
    <w:rsid w:val="00037890"/>
    <w:rPr>
      <w:rFonts w:ascii="Palatino" w:eastAsia="Times New Roman" w:hAnsi="Palatino"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59195">
      <w:bodyDiv w:val="1"/>
      <w:marLeft w:val="0"/>
      <w:marRight w:val="0"/>
      <w:marTop w:val="0"/>
      <w:marBottom w:val="0"/>
      <w:divBdr>
        <w:top w:val="none" w:sz="0" w:space="0" w:color="auto"/>
        <w:left w:val="none" w:sz="0" w:space="0" w:color="auto"/>
        <w:bottom w:val="none" w:sz="0" w:space="0" w:color="auto"/>
        <w:right w:val="none" w:sz="0" w:space="0" w:color="auto"/>
      </w:divBdr>
    </w:div>
    <w:div w:id="978917167">
      <w:bodyDiv w:val="1"/>
      <w:marLeft w:val="0"/>
      <w:marRight w:val="0"/>
      <w:marTop w:val="0"/>
      <w:marBottom w:val="0"/>
      <w:divBdr>
        <w:top w:val="none" w:sz="0" w:space="0" w:color="auto"/>
        <w:left w:val="none" w:sz="0" w:space="0" w:color="auto"/>
        <w:bottom w:val="none" w:sz="0" w:space="0" w:color="auto"/>
        <w:right w:val="none" w:sz="0" w:space="0" w:color="auto"/>
      </w:divBdr>
    </w:div>
    <w:div w:id="1217400350">
      <w:bodyDiv w:val="1"/>
      <w:marLeft w:val="0"/>
      <w:marRight w:val="0"/>
      <w:marTop w:val="0"/>
      <w:marBottom w:val="0"/>
      <w:divBdr>
        <w:top w:val="none" w:sz="0" w:space="0" w:color="auto"/>
        <w:left w:val="none" w:sz="0" w:space="0" w:color="auto"/>
        <w:bottom w:val="none" w:sz="0" w:space="0" w:color="auto"/>
        <w:right w:val="none" w:sz="0" w:space="0" w:color="auto"/>
      </w:divBdr>
    </w:div>
    <w:div w:id="1300305014">
      <w:bodyDiv w:val="1"/>
      <w:marLeft w:val="0"/>
      <w:marRight w:val="0"/>
      <w:marTop w:val="0"/>
      <w:marBottom w:val="0"/>
      <w:divBdr>
        <w:top w:val="none" w:sz="0" w:space="0" w:color="auto"/>
        <w:left w:val="none" w:sz="0" w:space="0" w:color="auto"/>
        <w:bottom w:val="none" w:sz="0" w:space="0" w:color="auto"/>
        <w:right w:val="none" w:sz="0" w:space="0" w:color="auto"/>
      </w:divBdr>
    </w:div>
    <w:div w:id="1456018709">
      <w:bodyDiv w:val="1"/>
      <w:marLeft w:val="0"/>
      <w:marRight w:val="0"/>
      <w:marTop w:val="0"/>
      <w:marBottom w:val="0"/>
      <w:divBdr>
        <w:top w:val="none" w:sz="0" w:space="0" w:color="auto"/>
        <w:left w:val="none" w:sz="0" w:space="0" w:color="auto"/>
        <w:bottom w:val="none" w:sz="0" w:space="0" w:color="auto"/>
        <w:right w:val="none" w:sz="0" w:space="0" w:color="auto"/>
      </w:divBdr>
    </w:div>
    <w:div w:id="1851871952">
      <w:bodyDiv w:val="1"/>
      <w:marLeft w:val="0"/>
      <w:marRight w:val="0"/>
      <w:marTop w:val="0"/>
      <w:marBottom w:val="0"/>
      <w:divBdr>
        <w:top w:val="none" w:sz="0" w:space="0" w:color="auto"/>
        <w:left w:val="none" w:sz="0" w:space="0" w:color="auto"/>
        <w:bottom w:val="none" w:sz="0" w:space="0" w:color="auto"/>
        <w:right w:val="none" w:sz="0" w:space="0" w:color="auto"/>
      </w:divBdr>
    </w:div>
    <w:div w:id="2076200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en.wikipedia.org/wiki/Prepaid_mobile_phone" TargetMode="Externa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Jeanette.Lo@cpuc.ca.gov"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Roderick.Hill@cpuc.ca.gov" TargetMode="Externa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hyperlink" Target="mailto:lmb@wblaw.net" TargetMode="External" Id="rId10" /><Relationship Type="http://schemas.openxmlformats.org/officeDocument/2006/relationships/settings" Target="settings.xml" Id="rId4" /><Relationship Type="http://schemas.openxmlformats.org/officeDocument/2006/relationships/hyperlink" Target="https://en.wikipedia.org/wiki/T-Mobile_US" TargetMode="External" Id="rId9" /><Relationship Type="http://schemas.openxmlformats.org/officeDocument/2006/relationships/footer" Target="footer1.xml" Id="rId14" /><Relationship Type="http://schemas.openxmlformats.org/officeDocument/2006/relationships/hyperlink" Target="http://docs.cpuc.ca.gov/PublishedDocs/Published/G000/M470/K481/470481255.pdf" TargetMode="External" Id="R04ba657fe2424e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F525B-2E21-4A1B-AE40-BF8117594F2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3331</ap:Words>
  <ap:Characters>18988</ap:Characters>
  <ap:Application>Microsoft Office Word</ap:Application>
  <ap:DocSecurity>0</ap:DocSecurity>
  <ap:Lines>158</ap:Lines>
  <ap:Paragraphs>44</ap:Paragraphs>
  <ap:ScaleCrop>false</ap:ScaleCrop>
  <ap:HeadingPairs>
    <vt:vector baseType="variant" size="2">
      <vt:variant>
        <vt:lpstr>Title</vt:lpstr>
      </vt:variant>
      <vt:variant>
        <vt:i4>1</vt:i4>
      </vt:variant>
    </vt:vector>
  </ap:HeadingPairs>
  <ap:TitlesOfParts>
    <vt:vector baseType="lpstr" size="1">
      <vt:lpstr>BEFORE THE PUBLIC UTILITIES COMMISSION OF THE STATE OF CALIFORNIA</vt:lpstr>
    </vt:vector>
  </ap:TitlesOfParts>
  <ap:Company/>
  <ap:LinksUpToDate>false</ap:LinksUpToDate>
  <ap:CharactersWithSpaces>22275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2022-03-27T15:56:00Z</cp:lastPrinted>
  <dcterms:created xsi:type="dcterms:W3CDTF">2022-04-22T10:13:14Z</dcterms:created>
  <dcterms:modified xsi:type="dcterms:W3CDTF">2022-04-22T10:13:14Z</dcterms:modified>
</cp:coreProperties>
</file>